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13307d10q.htm"/>
      <w:bookmarkStart w:id="1" w:name="ksd913307d10q"/>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10-Q</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QUARTERLY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quarterly period ended June 30, 2025 </w:t>
      </w:r>
    </w:p>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transition period from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to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001-34791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228340" cy="6400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28340" cy="6400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Magnachip Semiconductor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228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83-0406195</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c/o Magnachip Semiconductor, Ltd. </w:t>
      </w:r>
    </w:p>
    <w:p>
      <w:pPr>
        <w:pStyle w:val="TextBody"/>
        <w:bidi w:val="0"/>
        <w:spacing w:before="0" w:after="0"/>
        <w:jc w:val="center"/>
        <w:rPr>
          <w:rFonts w:ascii="Times New Roman" w:hAnsi="Times New Roman"/>
          <w:b/>
          <w:sz w:val="20"/>
        </w:rPr>
      </w:pPr>
      <w:r>
        <w:rPr>
          <w:rFonts w:ascii="Times New Roman" w:hAnsi="Times New Roman"/>
          <w:b/>
          <w:sz w:val="20"/>
        </w:rPr>
        <w:t xml:space="preserve">15F, 76 Jikji-daero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436beon-gil</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Heungdeok-gu</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Cheongju-si,</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Chungcheongbuk-do,</w:t>
      </w:r>
    </w:p>
    <w:p>
      <w:pPr>
        <w:pStyle w:val="TextBody"/>
        <w:bidi w:val="0"/>
        <w:spacing w:before="0" w:after="0"/>
        <w:jc w:val="center"/>
        <w:rPr>
          <w:rFonts w:ascii="Times New Roman" w:hAnsi="Times New Roman"/>
          <w:b/>
          <w:sz w:val="20"/>
        </w:rPr>
      </w:pPr>
      <w:r>
        <w:rPr>
          <w:rFonts w:ascii="Times New Roman" w:hAnsi="Times New Roman"/>
          <w:b/>
          <w:sz w:val="20"/>
        </w:rPr>
        <w:t xml:space="preserve">Republic of Korea 28581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16"/>
        </w:rPr>
      </w:pPr>
      <w:r>
        <w:rPr>
          <w:rFonts w:ascii="Times New Roman" w:hAnsi="Times New Roman"/>
          <w:b/>
          <w:sz w:val="16"/>
        </w:rPr>
        <w:t xml:space="preserve">Registrant’s telephone number, including area code: +82 (2) 6903-3000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7965" w:type="dxa"/>
        <w:jc w:val="left"/>
        <w:tblInd w:w="0" w:type="dxa"/>
        <w:tblLayout w:type="fixed"/>
        <w:tblCellMar>
          <w:top w:w="0" w:type="dxa"/>
          <w:left w:w="0" w:type="dxa"/>
          <w:bottom w:w="0" w:type="dxa"/>
          <w:right w:w="0" w:type="dxa"/>
        </w:tblCellMar>
      </w:tblPr>
      <w:tblGrid>
        <w:gridCol w:w="4310"/>
        <w:gridCol w:w="60"/>
        <w:gridCol w:w="740"/>
        <w:gridCol w:w="60"/>
        <w:gridCol w:w="2795"/>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7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310" w:type="dxa"/>
            <w:tcBorders/>
            <w:vAlign w:val="center"/>
          </w:tcPr>
          <w:p>
            <w:pPr>
              <w:pStyle w:val="TableContents"/>
              <w:bidi w:val="0"/>
              <w:spacing w:before="0" w:after="0"/>
              <w:jc w:val="center"/>
              <w:rPr>
                <w:b/>
                <w:spacing w:val="0"/>
              </w:rPr>
            </w:pPr>
            <w:r>
              <w:rPr>
                <w:b/>
                <w:spacing w:val="0"/>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b/>
                <w:spacing w:val="0"/>
              </w:rPr>
            </w:pPr>
            <w:r>
              <w:rPr>
                <w:b/>
                <w:spacing w:val="0"/>
              </w:rPr>
              <w:t>MX</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center"/>
              <w:rPr>
                <w:b/>
                <w:spacing w:val="0"/>
              </w:rPr>
            </w:pPr>
            <w:r>
              <w:rPr>
                <w:b/>
                <w:spacing w:val="0"/>
              </w:rPr>
              <w:t>New York Stock Exchange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S-T</w:t>
      </w:r>
    </w:p>
    <w:p>
      <w:pPr>
        <w:pStyle w:val="TextBody"/>
        <w:bidi w:val="0"/>
        <w:spacing w:before="240" w:after="0"/>
        <w:jc w:val="left"/>
        <w:rPr>
          <w:rFonts w:ascii="Times New Roman" w:hAnsi="Times New Roman"/>
          <w:sz w:val="20"/>
        </w:rPr>
      </w:pPr>
      <w:r>
        <w:rPr>
          <w:rFonts w:ascii="Times New Roman" w:hAnsi="Times New Roman"/>
          <w:sz w:val="20"/>
        </w:rPr>
        <w:t xml:space="preserve">(§232.405 of this chapter) during the preceding 12 months (or for such shorter period that the registrant was required to submit such files). ☒ Yes ☐ No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non-accelerated</w:t>
      </w:r>
    </w:p>
    <w:p>
      <w:pPr>
        <w:pStyle w:val="TextBody"/>
        <w:bidi w:val="0"/>
        <w:spacing w:before="240" w:after="0"/>
        <w:jc w:val="left"/>
        <w:rPr>
          <w:rFonts w:ascii="Times New Roman" w:hAnsi="Times New Roman"/>
          <w:sz w:val="20"/>
        </w:rPr>
      </w:pPr>
      <w:r>
        <w:rPr>
          <w:rFonts w:ascii="Times New Roman" w:hAnsi="Times New Roman"/>
          <w:sz w:val="20"/>
        </w:rPr>
        <w:t xml:space="preserve">filer, a smaller reporting company, or an emerging growth company. See the definitions of “large accelerated filer,” “accelerated filer,” “smaller reporting company,” and “emerging growth company”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w:t>
      </w:r>
    </w:p>
    <w:p>
      <w:pPr>
        <w:pStyle w:val="TextBody"/>
        <w:bidi w:val="0"/>
        <w:spacing w:before="0" w:after="0"/>
        <w:jc w:val="left"/>
        <w:rPr/>
      </w:pPr>
      <w: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Act). ☐ Yes ☒ No </w:t>
      </w:r>
    </w:p>
    <w:p>
      <w:pPr>
        <w:pStyle w:val="TextBody"/>
        <w:bidi w:val="0"/>
        <w:spacing w:before="240" w:after="0"/>
        <w:jc w:val="left"/>
        <w:rPr>
          <w:rFonts w:ascii="Times New Roman" w:hAnsi="Times New Roman"/>
          <w:sz w:val="20"/>
        </w:rPr>
      </w:pPr>
      <w:r>
        <w:rPr>
          <w:rFonts w:ascii="Times New Roman" w:hAnsi="Times New Roman"/>
          <w:sz w:val="20"/>
        </w:rPr>
        <w:t xml:space="preserve">As of July 31, 2025, the registrant had 35,924,033 shares of common stock outstanding.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60"/>
        <w:gridCol w:w="8290"/>
        <w:gridCol w:w="120"/>
        <w:gridCol w:w="175"/>
        <w:gridCol w:w="760"/>
        <w:gridCol w:w="75"/>
      </w:tblGrid>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 No.</w:t>
            </w:r>
          </w:p>
        </w:tc>
        <w:tc>
          <w:tcPr>
            <w:tcW w:w="75" w:type="dxa"/>
            <w:tcBorders/>
            <w:vAlign w:val="center"/>
          </w:tcPr>
          <w:p>
            <w:pPr>
              <w:pStyle w:val="TableContents"/>
              <w:bidi w:val="0"/>
              <w:spacing w:before="0" w:after="283"/>
              <w:jc w:val="left"/>
              <w:rPr/>
            </w:pPr>
            <w:r>
              <w:rPr/>
              <w:t> </w:t>
            </w:r>
          </w:p>
        </w:tc>
      </w:tr>
      <w:tr>
        <w:trPr/>
        <w:tc>
          <w:tcPr>
            <w:tcW w:w="9075" w:type="dxa"/>
            <w:gridSpan w:val="3"/>
            <w:tcBorders/>
            <w:vAlign w:val="center"/>
          </w:tcPr>
          <w:p>
            <w:pPr>
              <w:pStyle w:val="TableContents"/>
              <w:bidi w:val="0"/>
              <w:spacing w:before="0" w:after="0"/>
              <w:jc w:val="left"/>
              <w:rPr/>
            </w:pPr>
            <w:hyperlink w:anchor="toc913307_1">
              <w:r>
                <w:rPr>
                  <w:rStyle w:val="InternetLink"/>
                  <w:rFonts w:ascii="Times New Roman" w:hAnsi="Times New Roman"/>
                  <w:sz w:val="20"/>
                </w:rPr>
                <w:t>PART I FINANCIAL INFORMATION</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913307_2">
              <w:r>
                <w:rPr>
                  <w:rStyle w:val="InternetLink"/>
                  <w:rFonts w:ascii="Times New Roman" w:hAnsi="Times New Roman"/>
                  <w:sz w:val="20"/>
                </w:rPr>
                <w:t>Interim Consolidated Financial Statements (Unaudited)</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913307_3">
              <w:r>
                <w:rPr>
                  <w:rStyle w:val="InternetLink"/>
                  <w:rFonts w:ascii="Times New Roman" w:hAnsi="Times New Roman"/>
                  <w:sz w:val="20"/>
                </w:rPr>
                <w:t>Magnachip Semiconductor Corporation and Subsidiaries Consolidated Balance Sheets as of June 30, 2025 and December 31, 2024</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913307_4">
              <w:r>
                <w:rPr>
                  <w:rStyle w:val="InternetLink"/>
                  <w:rFonts w:ascii="Times New Roman" w:hAnsi="Times New Roman"/>
                  <w:sz w:val="20"/>
                </w:rPr>
                <w:t>Magnachip Semiconductor Corporation and Subsidiaries Consolidated Statements of Operations for the Three and Six Months Ended June 30, 2025 and 2024</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913307_5">
              <w:r>
                <w:rPr>
                  <w:rStyle w:val="InternetLink"/>
                  <w:rFonts w:ascii="Times New Roman" w:hAnsi="Times New Roman"/>
                  <w:sz w:val="20"/>
                </w:rPr>
                <w:t>Magnachip Semiconductor Corporation and Subsidiaries Consolidated Statements of Comprehensive Income (Loss) for the Three and Six Months Ended June 30, 2025 and 2024</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913307_6">
              <w:r>
                <w:rPr>
                  <w:rStyle w:val="InternetLink"/>
                  <w:rFonts w:ascii="Times New Roman" w:hAnsi="Times New Roman"/>
                  <w:sz w:val="20"/>
                </w:rPr>
                <w:t>Magnachip Semiconductor Corporation and Subsidiaries Consolidated Statements of Changes in Stockholders’ Equity for the Three and Six Months Ended June 30, 2025 and 2024</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913307_7">
              <w:r>
                <w:rPr>
                  <w:rStyle w:val="InternetLink"/>
                  <w:rFonts w:ascii="Times New Roman" w:hAnsi="Times New Roman"/>
                  <w:sz w:val="20"/>
                </w:rPr>
                <w:t>Magnachip Semiconductor Corporation and Subsidiaries Consolidated Statements of Cash Flows for the Six Months Ended June 30, 2025 and 2024</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913307_8">
              <w:r>
                <w:rPr>
                  <w:rStyle w:val="InternetLink"/>
                  <w:rFonts w:ascii="Times New Roman" w:hAnsi="Times New Roman"/>
                  <w:sz w:val="20"/>
                </w:rPr>
                <w:t>Magnachip Semiconductor Corporation and Subsidiaries Notes to Consolidated Financial Statements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913307_9">
              <w:r>
                <w:rPr>
                  <w:rStyle w:val="InternetLink"/>
                  <w:rFonts w:ascii="Times New Roman" w:hAnsi="Times New Roman"/>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913307_10">
              <w:r>
                <w:rPr>
                  <w:rStyle w:val="InternetLink"/>
                  <w:rFonts w:ascii="Times New Roman" w:hAnsi="Times New Roman"/>
                  <w:sz w:val="20"/>
                </w:rPr>
                <w:t>[Reserved]</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913307_11">
              <w:r>
                <w:rPr>
                  <w:rStyle w:val="InternetLink"/>
                  <w:rFonts w:ascii="Times New Roman" w:hAnsi="Times New Roman"/>
                  <w:sz w:val="20"/>
                </w:rPr>
                <w:t>Controls and Procedures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075" w:type="dxa"/>
            <w:gridSpan w:val="3"/>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9075" w:type="dxa"/>
            <w:gridSpan w:val="3"/>
            <w:tcBorders/>
            <w:vAlign w:val="center"/>
          </w:tcPr>
          <w:p>
            <w:pPr>
              <w:pStyle w:val="TableContents"/>
              <w:bidi w:val="0"/>
              <w:spacing w:before="0" w:after="0"/>
              <w:jc w:val="left"/>
              <w:rPr/>
            </w:pPr>
            <w:hyperlink w:anchor="toc913307_12">
              <w:r>
                <w:rPr>
                  <w:rStyle w:val="InternetLink"/>
                  <w:rFonts w:ascii="Times New Roman" w:hAnsi="Times New Roman"/>
                  <w:sz w:val="20"/>
                </w:rPr>
                <w:t>PART II OTHER INFORMATION</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913307_13">
              <w:r>
                <w:rPr>
                  <w:rStyle w:val="InternetLink"/>
                  <w:rFonts w:ascii="Times New Roman" w:hAnsi="Times New Roman"/>
                  <w:sz w:val="20"/>
                </w:rPr>
                <w:t>Legal Proceedings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913307_14">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913307_15">
              <w:r>
                <w:rPr>
                  <w:rStyle w:val="InternetLink"/>
                  <w:rFonts w:ascii="Times New Roman" w:hAnsi="Times New Roman"/>
                  <w:sz w:val="20"/>
                </w:rPr>
                <w:t>Unregistered Sales of Equity Securities and Use of Proceeds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913307_16">
              <w:r>
                <w:rPr>
                  <w:rStyle w:val="InternetLink"/>
                  <w:rFonts w:ascii="Times New Roman" w:hAnsi="Times New Roman"/>
                  <w:sz w:val="20"/>
                </w:rPr>
                <w:t>Defaults Upon Senior Securities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913307_17">
              <w:r>
                <w:rPr>
                  <w:rStyle w:val="InternetLink"/>
                  <w:rFonts w:ascii="Times New Roman" w:hAnsi="Times New Roman"/>
                  <w:sz w:val="20"/>
                </w:rPr>
                <w:t>Mine Safety Disclosures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913307_18">
              <w:r>
                <w:rPr>
                  <w:rStyle w:val="InternetLink"/>
                  <w:rFonts w:ascii="Times New Roman" w:hAnsi="Times New Roman"/>
                  <w:sz w:val="20"/>
                </w:rPr>
                <w:t>Other Information</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350" w:type="dxa"/>
            <w:gridSpan w:val="2"/>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913307_19">
              <w:r>
                <w:rPr>
                  <w:rStyle w:val="InternetLink"/>
                  <w:rFonts w:ascii="Times New Roman" w:hAnsi="Times New Roman"/>
                  <w:sz w:val="20"/>
                </w:rPr>
                <w:t>Exhibits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9075" w:type="dxa"/>
            <w:gridSpan w:val="3"/>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9075" w:type="dxa"/>
            <w:gridSpan w:val="3"/>
            <w:tcBorders/>
            <w:vAlign w:val="center"/>
          </w:tcPr>
          <w:p>
            <w:pPr>
              <w:pStyle w:val="TableContents"/>
              <w:bidi w:val="0"/>
              <w:spacing w:before="0" w:after="0"/>
              <w:jc w:val="left"/>
              <w:rPr/>
            </w:pPr>
            <w:hyperlink w:anchor="toc913307_20">
              <w:r>
                <w:rPr>
                  <w:rStyle w:val="InternetLink"/>
                  <w:rFonts w:ascii="Times New Roman" w:hAnsi="Times New Roman"/>
                  <w:sz w:val="20"/>
                </w:rPr>
                <w:t>SIGNATURES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PART I—FINANCIAL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25"/>
        <w:gridCol w:w="4730"/>
      </w:tblGrid>
      <w:tr>
        <w:trPr/>
        <w:tc>
          <w:tcPr>
            <w:tcW w:w="725" w:type="dxa"/>
            <w:tcBorders/>
            <w:vAlign w:val="center"/>
          </w:tcPr>
          <w:p>
            <w:pPr>
              <w:pStyle w:val="TableContents"/>
              <w:bidi w:val="0"/>
              <w:spacing w:before="0" w:after="0"/>
              <w:jc w:val="left"/>
              <w:rPr>
                <w:b/>
                <w:spacing w:val="0"/>
              </w:rPr>
            </w:pPr>
            <w:bookmarkStart w:id="3" w:name="toc913307_2"/>
            <w:bookmarkEnd w:id="3"/>
            <w:r>
              <w:rPr>
                <w:b/>
                <w:spacing w:val="0"/>
              </w:rPr>
              <w:t>Item 1.</w:t>
            </w:r>
          </w:p>
        </w:tc>
        <w:tc>
          <w:tcPr>
            <w:tcW w:w="47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Interim Consolidated Financial Statements (Unaudited)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8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(Unaudited)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95"/>
        <w:gridCol w:w="120"/>
        <w:gridCol w:w="254"/>
        <w:gridCol w:w="1593"/>
        <w:gridCol w:w="281"/>
        <w:gridCol w:w="108"/>
        <w:gridCol w:w="355"/>
        <w:gridCol w:w="2226"/>
        <w:gridCol w:w="173"/>
      </w:tblGrid>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258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17" w:type="dxa"/>
            <w:gridSpan w:val="6"/>
            <w:tcBorders/>
            <w:vAlign w:val="center"/>
          </w:tcPr>
          <w:p>
            <w:pPr>
              <w:pStyle w:val="TableContents"/>
              <w:bidi w:val="0"/>
              <w:spacing w:before="0" w:after="0"/>
              <w:jc w:val="center"/>
              <w:rPr>
                <w:b/>
                <w:spacing w:val="0"/>
              </w:rPr>
            </w:pPr>
            <w:r>
              <w:rPr>
                <w:b/>
                <w:spacing w:val="0"/>
              </w:rPr>
              <w:t>(In thousands of U.S. dollars, except share data)</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1593" w:type="dxa"/>
            <w:tcBorders/>
            <w:shd w:fill="CCEEFF" w:val="clear"/>
            <w:vAlign w:val="center"/>
          </w:tcPr>
          <w:p>
            <w:pPr>
              <w:pStyle w:val="TableContents"/>
              <w:bidi w:val="0"/>
              <w:spacing w:before="0" w:after="283"/>
              <w:jc w:val="left"/>
              <w:rPr>
                <w:sz w:val="4"/>
                <w:szCs w:val="4"/>
              </w:rPr>
            </w:pPr>
            <w:r>
              <w:rPr>
                <w:sz w:val="4"/>
                <w:szCs w:val="4"/>
              </w:rPr>
            </w:r>
          </w:p>
        </w:tc>
        <w:tc>
          <w:tcPr>
            <w:tcW w:w="281" w:type="dxa"/>
            <w:tcBorders/>
            <w:shd w:fill="CCEEFF" w:val="clear"/>
            <w:vAlign w:val="center"/>
          </w:tcPr>
          <w:p>
            <w:pPr>
              <w:pStyle w:val="TableContents"/>
              <w:bidi w:val="0"/>
              <w:spacing w:before="0" w:after="283"/>
              <w:jc w:val="left"/>
              <w:rPr>
                <w:sz w:val="4"/>
                <w:szCs w:val="4"/>
              </w:rPr>
            </w:pPr>
            <w:r>
              <w:rPr>
                <w:sz w:val="4"/>
                <w:szCs w:val="4"/>
              </w:rPr>
            </w:r>
          </w:p>
        </w:tc>
        <w:tc>
          <w:tcPr>
            <w:tcW w:w="108"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sz w:val="4"/>
                <w:szCs w:val="4"/>
              </w:rPr>
            </w:pPr>
            <w:r>
              <w:rPr>
                <w:sz w:val="4"/>
                <w:szCs w:val="4"/>
              </w:rPr>
            </w:r>
          </w:p>
        </w:tc>
        <w:tc>
          <w:tcPr>
            <w:tcW w:w="2226"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593" w:type="dxa"/>
            <w:tcBorders/>
            <w:shd w:fill="CCEEFF" w:val="clear"/>
            <w:vAlign w:val="center"/>
          </w:tcPr>
          <w:p>
            <w:pPr>
              <w:pStyle w:val="TableContents"/>
              <w:bidi w:val="0"/>
              <w:spacing w:before="0" w:after="283"/>
              <w:jc w:val="right"/>
              <w:rPr/>
            </w:pPr>
            <w:r>
              <w:rPr/>
              <w:t>113,326</w:t>
            </w:r>
          </w:p>
        </w:tc>
        <w:tc>
          <w:tcPr>
            <w:tcW w:w="28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w:t>
            </w:r>
          </w:p>
        </w:tc>
        <w:tc>
          <w:tcPr>
            <w:tcW w:w="2226" w:type="dxa"/>
            <w:tcBorders/>
            <w:shd w:fill="CCEEFF" w:val="clear"/>
            <w:vAlign w:val="center"/>
          </w:tcPr>
          <w:p>
            <w:pPr>
              <w:pStyle w:val="TableContents"/>
              <w:bidi w:val="0"/>
              <w:spacing w:before="0" w:after="283"/>
              <w:jc w:val="right"/>
              <w:rPr/>
            </w:pPr>
            <w:r>
              <w:rPr/>
              <w:t>138,610</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pPr>
            <w:r>
              <w:rPr/>
              <w:t>28,784</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2226" w:type="dxa"/>
            <w:tcBorders/>
            <w:vAlign w:val="center"/>
          </w:tcPr>
          <w:p>
            <w:pPr>
              <w:pStyle w:val="TableContents"/>
              <w:bidi w:val="0"/>
              <w:spacing w:before="0" w:after="283"/>
              <w:jc w:val="right"/>
              <w:rPr/>
            </w:pPr>
            <w:r>
              <w:rPr/>
              <w:t>28,402</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37,571</w:t>
            </w:r>
          </w:p>
        </w:tc>
        <w:tc>
          <w:tcPr>
            <w:tcW w:w="28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2226" w:type="dxa"/>
            <w:tcBorders/>
            <w:shd w:fill="CCEEFF" w:val="clear"/>
            <w:vAlign w:val="center"/>
          </w:tcPr>
          <w:p>
            <w:pPr>
              <w:pStyle w:val="TableContents"/>
              <w:bidi w:val="0"/>
              <w:spacing w:before="0" w:after="283"/>
              <w:jc w:val="right"/>
              <w:rPr/>
            </w:pPr>
            <w:r>
              <w:rPr/>
              <w:t>30,535</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pPr>
            <w:r>
              <w:rPr/>
              <w:t>8,329</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2226" w:type="dxa"/>
            <w:tcBorders/>
            <w:vAlign w:val="center"/>
          </w:tcPr>
          <w:p>
            <w:pPr>
              <w:pStyle w:val="TableContents"/>
              <w:bidi w:val="0"/>
              <w:spacing w:before="0" w:after="283"/>
              <w:jc w:val="right"/>
              <w:rPr/>
            </w:pPr>
            <w:r>
              <w:rPr/>
              <w:t>4,444</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6,518</w:t>
            </w:r>
          </w:p>
        </w:tc>
        <w:tc>
          <w:tcPr>
            <w:tcW w:w="28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2226" w:type="dxa"/>
            <w:tcBorders/>
            <w:shd w:fill="CCEEFF" w:val="clear"/>
            <w:vAlign w:val="center"/>
          </w:tcPr>
          <w:p>
            <w:pPr>
              <w:pStyle w:val="TableContents"/>
              <w:bidi w:val="0"/>
              <w:spacing w:before="0" w:after="283"/>
              <w:jc w:val="right"/>
              <w:rPr/>
            </w:pPr>
            <w:r>
              <w:rPr/>
              <w:t>10,379</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Hedge collateral (Note 8)</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2226" w:type="dxa"/>
            <w:tcBorders/>
            <w:vAlign w:val="center"/>
          </w:tcPr>
          <w:p>
            <w:pPr>
              <w:pStyle w:val="TableContents"/>
              <w:bidi w:val="0"/>
              <w:spacing w:before="0" w:after="283"/>
              <w:jc w:val="right"/>
              <w:rPr/>
            </w:pPr>
            <w:r>
              <w:rPr/>
              <w:t>2,080</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 (Note 18)</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4,926</w:t>
            </w:r>
          </w:p>
        </w:tc>
        <w:tc>
          <w:tcPr>
            <w:tcW w:w="28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2226" w:type="dxa"/>
            <w:tcBorders/>
            <w:shd w:fill="CCEEFF" w:val="clear"/>
            <w:vAlign w:val="center"/>
          </w:tcPr>
          <w:p>
            <w:pPr>
              <w:pStyle w:val="TableContents"/>
              <w:bidi w:val="0"/>
              <w:spacing w:before="0" w:after="283"/>
              <w:jc w:val="right"/>
              <w:rPr/>
            </w:pPr>
            <w:r>
              <w:rPr/>
              <w:t>4,779</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0"/>
              <w:jc w:val="left"/>
              <w:rPr>
                <w:bdr w:val="single" w:sz="2" w:space="1" w:color="000000"/>
              </w:rPr>
            </w:pPr>
            <w:r>
              <w:rPr>
                <w:bdr w:val="single" w:sz="2" w:space="1" w:color="000000"/>
              </w:rPr>
              <w:t> </w:t>
            </w:r>
          </w:p>
        </w:tc>
        <w:tc>
          <w:tcPr>
            <w:tcW w:w="1593" w:type="dxa"/>
            <w:tcBorders/>
            <w:vAlign w:val="center"/>
          </w:tcPr>
          <w:p>
            <w:pPr>
              <w:pStyle w:val="TableContents"/>
              <w:bidi w:val="0"/>
              <w:spacing w:before="0" w:after="0"/>
              <w:jc w:val="left"/>
              <w:rPr>
                <w:bdr w:val="single" w:sz="2" w:space="1" w:color="000000"/>
              </w:rPr>
            </w:pPr>
            <w:r>
              <w:rPr>
                <w:bdr w:val="single" w:sz="2" w:space="1" w:color="000000"/>
              </w:rPr>
              <w:t> </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0"/>
              <w:jc w:val="left"/>
              <w:rPr>
                <w:bdr w:val="single" w:sz="2" w:space="1" w:color="000000"/>
              </w:rPr>
            </w:pPr>
            <w:r>
              <w:rPr>
                <w:bdr w:val="single" w:sz="2" w:space="1" w:color="000000"/>
              </w:rPr>
              <w:t> </w:t>
            </w:r>
          </w:p>
        </w:tc>
        <w:tc>
          <w:tcPr>
            <w:tcW w:w="2226"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pPr>
            <w:r>
              <w:rPr/>
              <w:t>199,454</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2226" w:type="dxa"/>
            <w:tcBorders/>
            <w:vAlign w:val="center"/>
          </w:tcPr>
          <w:p>
            <w:pPr>
              <w:pStyle w:val="TableContents"/>
              <w:bidi w:val="0"/>
              <w:spacing w:before="0" w:after="283"/>
              <w:jc w:val="right"/>
              <w:rPr/>
            </w:pPr>
            <w:r>
              <w:rPr/>
              <w:t>219,229</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94,262</w:t>
            </w:r>
          </w:p>
        </w:tc>
        <w:tc>
          <w:tcPr>
            <w:tcW w:w="28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2226" w:type="dxa"/>
            <w:tcBorders/>
            <w:shd w:fill="CCEEFF" w:val="clear"/>
            <w:vAlign w:val="center"/>
          </w:tcPr>
          <w:p>
            <w:pPr>
              <w:pStyle w:val="TableContents"/>
              <w:bidi w:val="0"/>
              <w:spacing w:before="0" w:after="283"/>
              <w:jc w:val="right"/>
              <w:rPr/>
            </w:pPr>
            <w:r>
              <w:rPr/>
              <w:t>81,463</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pPr>
            <w:r>
              <w:rPr/>
              <w:t>2,958</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2226" w:type="dxa"/>
            <w:tcBorders/>
            <w:vAlign w:val="center"/>
          </w:tcPr>
          <w:p>
            <w:pPr>
              <w:pStyle w:val="TableContents"/>
              <w:bidi w:val="0"/>
              <w:spacing w:before="0" w:after="283"/>
              <w:jc w:val="right"/>
              <w:rPr/>
            </w:pPr>
            <w:r>
              <w:rPr/>
              <w:t>3,107</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500</w:t>
            </w:r>
          </w:p>
        </w:tc>
        <w:tc>
          <w:tcPr>
            <w:tcW w:w="28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2226" w:type="dxa"/>
            <w:tcBorders/>
            <w:shd w:fill="CCEEFF" w:val="clear"/>
            <w:vAlign w:val="center"/>
          </w:tcPr>
          <w:p>
            <w:pPr>
              <w:pStyle w:val="TableContents"/>
              <w:bidi w:val="0"/>
              <w:spacing w:before="0" w:after="283"/>
              <w:jc w:val="right"/>
              <w:rPr/>
            </w:pPr>
            <w:r>
              <w:rPr/>
              <w:t>507</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prepaid expenses, net</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pPr>
            <w:r>
              <w:rPr/>
              <w:t>255</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2226" w:type="dxa"/>
            <w:tcBorders/>
            <w:vAlign w:val="center"/>
          </w:tcPr>
          <w:p>
            <w:pPr>
              <w:pStyle w:val="TableContents"/>
              <w:bidi w:val="0"/>
              <w:spacing w:before="0" w:after="283"/>
              <w:jc w:val="right"/>
              <w:rPr/>
            </w:pPr>
            <w:r>
              <w:rPr/>
              <w:t>165</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57,298</w:t>
            </w:r>
          </w:p>
        </w:tc>
        <w:tc>
          <w:tcPr>
            <w:tcW w:w="28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2226" w:type="dxa"/>
            <w:tcBorders/>
            <w:shd w:fill="CCEEFF" w:val="clear"/>
            <w:vAlign w:val="center"/>
          </w:tcPr>
          <w:p>
            <w:pPr>
              <w:pStyle w:val="TableContents"/>
              <w:bidi w:val="0"/>
              <w:spacing w:before="0" w:after="283"/>
              <w:jc w:val="right"/>
              <w:rPr/>
            </w:pPr>
            <w:r>
              <w:rPr/>
              <w:t>52,889</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pPr>
            <w:r>
              <w:rPr/>
              <w:t>15,804</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2226" w:type="dxa"/>
            <w:tcBorders/>
            <w:vAlign w:val="center"/>
          </w:tcPr>
          <w:p>
            <w:pPr>
              <w:pStyle w:val="TableContents"/>
              <w:bidi w:val="0"/>
              <w:spacing w:before="0" w:after="283"/>
              <w:jc w:val="right"/>
              <w:rPr/>
            </w:pPr>
            <w:r>
              <w:rPr/>
              <w:t>21,956</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0"/>
              <w:jc w:val="left"/>
              <w:rPr>
                <w:bdr w:val="single" w:sz="2" w:space="1" w:color="000000"/>
              </w:rPr>
            </w:pPr>
            <w:r>
              <w:rPr>
                <w:bdr w:val="single" w:sz="2" w:space="1" w:color="000000"/>
              </w:rPr>
              <w:t> </w:t>
            </w:r>
          </w:p>
        </w:tc>
        <w:tc>
          <w:tcPr>
            <w:tcW w:w="1593" w:type="dxa"/>
            <w:tcBorders/>
            <w:vAlign w:val="center"/>
          </w:tcPr>
          <w:p>
            <w:pPr>
              <w:pStyle w:val="TableContents"/>
              <w:bidi w:val="0"/>
              <w:spacing w:before="0" w:after="0"/>
              <w:jc w:val="left"/>
              <w:rPr>
                <w:bdr w:val="single" w:sz="2" w:space="1" w:color="000000"/>
              </w:rPr>
            </w:pPr>
            <w:r>
              <w:rPr>
                <w:bdr w:val="single" w:sz="2" w:space="1" w:color="000000"/>
              </w:rPr>
              <w:t> </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0"/>
              <w:jc w:val="left"/>
              <w:rPr>
                <w:bdr w:val="single" w:sz="2" w:space="1" w:color="000000"/>
              </w:rPr>
            </w:pPr>
            <w:r>
              <w:rPr>
                <w:bdr w:val="single" w:sz="2" w:space="1" w:color="000000"/>
              </w:rPr>
              <w:t> </w:t>
            </w:r>
          </w:p>
        </w:tc>
        <w:tc>
          <w:tcPr>
            <w:tcW w:w="2226"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593" w:type="dxa"/>
            <w:tcBorders/>
            <w:shd w:fill="CCEEFF" w:val="clear"/>
            <w:vAlign w:val="center"/>
          </w:tcPr>
          <w:p>
            <w:pPr>
              <w:pStyle w:val="TableContents"/>
              <w:bidi w:val="0"/>
              <w:spacing w:before="0" w:after="283"/>
              <w:jc w:val="right"/>
              <w:rPr/>
            </w:pPr>
            <w:r>
              <w:rPr/>
              <w:t>370,531</w:t>
            </w:r>
          </w:p>
        </w:tc>
        <w:tc>
          <w:tcPr>
            <w:tcW w:w="28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w:t>
            </w:r>
          </w:p>
        </w:tc>
        <w:tc>
          <w:tcPr>
            <w:tcW w:w="2226" w:type="dxa"/>
            <w:tcBorders/>
            <w:shd w:fill="CCEEFF" w:val="clear"/>
            <w:vAlign w:val="center"/>
          </w:tcPr>
          <w:p>
            <w:pPr>
              <w:pStyle w:val="TableContents"/>
              <w:bidi w:val="0"/>
              <w:spacing w:before="0" w:after="283"/>
              <w:jc w:val="right"/>
              <w:rPr/>
            </w:pPr>
            <w:r>
              <w:rPr/>
              <w:t>379,316</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0"/>
              <w:jc w:val="left"/>
              <w:rPr>
                <w:bdr w:val="double" w:sz="6" w:space="1" w:color="000000"/>
              </w:rPr>
            </w:pPr>
            <w:r>
              <w:rPr>
                <w:bdr w:val="double" w:sz="6" w:space="1" w:color="000000"/>
              </w:rPr>
              <w:t> </w:t>
            </w:r>
          </w:p>
        </w:tc>
        <w:tc>
          <w:tcPr>
            <w:tcW w:w="1593" w:type="dxa"/>
            <w:tcBorders/>
            <w:vAlign w:val="center"/>
          </w:tcPr>
          <w:p>
            <w:pPr>
              <w:pStyle w:val="TableContents"/>
              <w:bidi w:val="0"/>
              <w:spacing w:before="0" w:after="0"/>
              <w:jc w:val="left"/>
              <w:rPr>
                <w:bdr w:val="double" w:sz="6" w:space="1" w:color="000000"/>
              </w:rPr>
            </w:pPr>
            <w:r>
              <w:rPr>
                <w:bdr w:val="double" w:sz="6" w:space="1" w:color="000000"/>
              </w:rPr>
              <w:t> </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0"/>
              <w:jc w:val="left"/>
              <w:rPr>
                <w:bdr w:val="double" w:sz="6" w:space="1" w:color="000000"/>
              </w:rPr>
            </w:pPr>
            <w:r>
              <w:rPr>
                <w:bdr w:val="double" w:sz="6" w:space="1" w:color="000000"/>
              </w:rPr>
              <w:t> </w:t>
            </w:r>
          </w:p>
        </w:tc>
        <w:tc>
          <w:tcPr>
            <w:tcW w:w="2226" w:type="dxa"/>
            <w:tcBorders/>
            <w:vAlign w:val="center"/>
          </w:tcPr>
          <w:p>
            <w:pPr>
              <w:pStyle w:val="TableContents"/>
              <w:bidi w:val="0"/>
              <w:spacing w:before="0" w:after="0"/>
              <w:jc w:val="left"/>
              <w:rPr>
                <w:bdr w:val="double" w:sz="6" w:space="1" w:color="000000"/>
              </w:rPr>
            </w:pPr>
            <w:r>
              <w:rPr>
                <w:bdr w:val="double" w:sz="6"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1593" w:type="dxa"/>
            <w:tcBorders/>
            <w:shd w:fill="CCEEFF" w:val="clear"/>
            <w:vAlign w:val="center"/>
          </w:tcPr>
          <w:p>
            <w:pPr>
              <w:pStyle w:val="TableContents"/>
              <w:bidi w:val="0"/>
              <w:spacing w:before="0" w:after="283"/>
              <w:jc w:val="left"/>
              <w:rPr>
                <w:sz w:val="4"/>
                <w:szCs w:val="4"/>
              </w:rPr>
            </w:pPr>
            <w:r>
              <w:rPr>
                <w:sz w:val="4"/>
                <w:szCs w:val="4"/>
              </w:rPr>
            </w:r>
          </w:p>
        </w:tc>
        <w:tc>
          <w:tcPr>
            <w:tcW w:w="281" w:type="dxa"/>
            <w:tcBorders/>
            <w:shd w:fill="CCEEFF" w:val="clear"/>
            <w:vAlign w:val="center"/>
          </w:tcPr>
          <w:p>
            <w:pPr>
              <w:pStyle w:val="TableContents"/>
              <w:bidi w:val="0"/>
              <w:spacing w:before="0" w:after="283"/>
              <w:jc w:val="left"/>
              <w:rPr>
                <w:sz w:val="4"/>
                <w:szCs w:val="4"/>
              </w:rPr>
            </w:pPr>
            <w:r>
              <w:rPr>
                <w:sz w:val="4"/>
                <w:szCs w:val="4"/>
              </w:rPr>
            </w:r>
          </w:p>
        </w:tc>
        <w:tc>
          <w:tcPr>
            <w:tcW w:w="108"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sz w:val="4"/>
                <w:szCs w:val="4"/>
              </w:rPr>
            </w:pPr>
            <w:r>
              <w:rPr>
                <w:sz w:val="4"/>
                <w:szCs w:val="4"/>
              </w:rPr>
            </w:r>
          </w:p>
        </w:tc>
        <w:tc>
          <w:tcPr>
            <w:tcW w:w="2226"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283"/>
              <w:jc w:val="right"/>
              <w:rPr/>
            </w:pPr>
            <w:r>
              <w:rPr/>
              <w:t>19,448</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w:t>
            </w:r>
          </w:p>
        </w:tc>
        <w:tc>
          <w:tcPr>
            <w:tcW w:w="2226" w:type="dxa"/>
            <w:tcBorders/>
            <w:vAlign w:val="center"/>
          </w:tcPr>
          <w:p>
            <w:pPr>
              <w:pStyle w:val="TableContents"/>
              <w:bidi w:val="0"/>
              <w:spacing w:before="0" w:after="283"/>
              <w:jc w:val="right"/>
              <w:rPr/>
            </w:pPr>
            <w:r>
              <w:rPr/>
              <w:t>21,642</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accounts payable</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11,900</w:t>
            </w:r>
          </w:p>
        </w:tc>
        <w:tc>
          <w:tcPr>
            <w:tcW w:w="28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2226" w:type="dxa"/>
            <w:tcBorders/>
            <w:shd w:fill="CCEEFF" w:val="clear"/>
            <w:vAlign w:val="center"/>
          </w:tcPr>
          <w:p>
            <w:pPr>
              <w:pStyle w:val="TableContents"/>
              <w:bidi w:val="0"/>
              <w:spacing w:before="0" w:after="283"/>
              <w:jc w:val="right"/>
              <w:rPr/>
            </w:pPr>
            <w:r>
              <w:rPr/>
              <w:t>10,764</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(Note 7)</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pPr>
            <w:r>
              <w:rPr/>
              <w:t>8,429</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2226" w:type="dxa"/>
            <w:tcBorders/>
            <w:vAlign w:val="center"/>
          </w:tcPr>
          <w:p>
            <w:pPr>
              <w:pStyle w:val="TableContents"/>
              <w:bidi w:val="0"/>
              <w:spacing w:before="0" w:after="283"/>
              <w:jc w:val="right"/>
              <w:rPr/>
            </w:pPr>
            <w:r>
              <w:rPr/>
              <w:t>8,648</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income taxes</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84</w:t>
            </w:r>
          </w:p>
        </w:tc>
        <w:tc>
          <w:tcPr>
            <w:tcW w:w="28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2226" w:type="dxa"/>
            <w:tcBorders/>
            <w:shd w:fill="CCEEFF" w:val="clear"/>
            <w:vAlign w:val="center"/>
          </w:tcPr>
          <w:p>
            <w:pPr>
              <w:pStyle w:val="TableContents"/>
              <w:bidi w:val="0"/>
              <w:spacing w:before="0" w:after="283"/>
              <w:jc w:val="right"/>
              <w:rPr/>
            </w:pPr>
            <w:r>
              <w:rPr/>
              <w:t>56</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pPr>
            <w:r>
              <w:rPr/>
              <w:t>1,572</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2226" w:type="dxa"/>
            <w:tcBorders/>
            <w:vAlign w:val="center"/>
          </w:tcPr>
          <w:p>
            <w:pPr>
              <w:pStyle w:val="TableContents"/>
              <w:bidi w:val="0"/>
              <w:spacing w:before="0" w:after="283"/>
              <w:jc w:val="right"/>
              <w:rPr/>
            </w:pPr>
            <w:r>
              <w:rPr/>
              <w:t>1,393</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1,483</w:t>
            </w:r>
          </w:p>
        </w:tc>
        <w:tc>
          <w:tcPr>
            <w:tcW w:w="28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2226" w:type="dxa"/>
            <w:tcBorders/>
            <w:shd w:fill="CCEEFF" w:val="clear"/>
            <w:vAlign w:val="center"/>
          </w:tcPr>
          <w:p>
            <w:pPr>
              <w:pStyle w:val="TableContents"/>
              <w:bidi w:val="0"/>
              <w:spacing w:before="0" w:after="283"/>
              <w:jc w:val="right"/>
              <w:rPr/>
            </w:pPr>
            <w:r>
              <w:rPr/>
              <w:t>3,765</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0"/>
              <w:jc w:val="left"/>
              <w:rPr>
                <w:bdr w:val="single" w:sz="2" w:space="1" w:color="000000"/>
              </w:rPr>
            </w:pPr>
            <w:r>
              <w:rPr>
                <w:bdr w:val="single" w:sz="2" w:space="1" w:color="000000"/>
              </w:rPr>
              <w:t> </w:t>
            </w:r>
          </w:p>
        </w:tc>
        <w:tc>
          <w:tcPr>
            <w:tcW w:w="1593" w:type="dxa"/>
            <w:tcBorders/>
            <w:vAlign w:val="center"/>
          </w:tcPr>
          <w:p>
            <w:pPr>
              <w:pStyle w:val="TableContents"/>
              <w:bidi w:val="0"/>
              <w:spacing w:before="0" w:after="0"/>
              <w:jc w:val="left"/>
              <w:rPr>
                <w:bdr w:val="single" w:sz="2" w:space="1" w:color="000000"/>
              </w:rPr>
            </w:pPr>
            <w:r>
              <w:rPr>
                <w:bdr w:val="single" w:sz="2" w:space="1" w:color="000000"/>
              </w:rPr>
              <w:t> </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0"/>
              <w:jc w:val="left"/>
              <w:rPr>
                <w:bdr w:val="single" w:sz="2" w:space="1" w:color="000000"/>
              </w:rPr>
            </w:pPr>
            <w:r>
              <w:rPr>
                <w:bdr w:val="single" w:sz="2" w:space="1" w:color="000000"/>
              </w:rPr>
              <w:t> </w:t>
            </w:r>
          </w:p>
        </w:tc>
        <w:tc>
          <w:tcPr>
            <w:tcW w:w="2226"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pPr>
            <w:r>
              <w:rPr/>
              <w:t>42,916</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2226" w:type="dxa"/>
            <w:tcBorders/>
            <w:vAlign w:val="center"/>
          </w:tcPr>
          <w:p>
            <w:pPr>
              <w:pStyle w:val="TableContents"/>
              <w:bidi w:val="0"/>
              <w:spacing w:before="0" w:after="283"/>
              <w:jc w:val="right"/>
              <w:rPr/>
            </w:pPr>
            <w:r>
              <w:rPr/>
              <w:t>46,268</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borrowings</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36,508</w:t>
            </w:r>
          </w:p>
        </w:tc>
        <w:tc>
          <w:tcPr>
            <w:tcW w:w="28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2226" w:type="dxa"/>
            <w:tcBorders/>
            <w:shd w:fill="CCEEFF" w:val="clear"/>
            <w:vAlign w:val="center"/>
          </w:tcPr>
          <w:p>
            <w:pPr>
              <w:pStyle w:val="TableContents"/>
              <w:bidi w:val="0"/>
              <w:spacing w:before="0" w:after="283"/>
              <w:jc w:val="right"/>
              <w:rPr/>
            </w:pPr>
            <w:r>
              <w:rPr/>
              <w:t>27,211</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severance benefits, net</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pPr>
            <w:r>
              <w:rPr/>
              <w:t>14,248</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2226" w:type="dxa"/>
            <w:tcBorders/>
            <w:vAlign w:val="center"/>
          </w:tcPr>
          <w:p>
            <w:pPr>
              <w:pStyle w:val="TableContents"/>
              <w:bidi w:val="0"/>
              <w:spacing w:before="0" w:after="283"/>
              <w:jc w:val="right"/>
              <w:rPr/>
            </w:pPr>
            <w:r>
              <w:rPr/>
              <w:t>17,094</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1,382</w:t>
            </w:r>
          </w:p>
        </w:tc>
        <w:tc>
          <w:tcPr>
            <w:tcW w:w="28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2226" w:type="dxa"/>
            <w:tcBorders/>
            <w:shd w:fill="CCEEFF" w:val="clear"/>
            <w:vAlign w:val="center"/>
          </w:tcPr>
          <w:p>
            <w:pPr>
              <w:pStyle w:val="TableContents"/>
              <w:bidi w:val="0"/>
              <w:spacing w:before="0" w:after="283"/>
              <w:jc w:val="right"/>
              <w:rPr/>
            </w:pPr>
            <w:r>
              <w:rPr/>
              <w:t>1,823</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pPr>
            <w:r>
              <w:rPr/>
              <w:t>5,315</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2226" w:type="dxa"/>
            <w:tcBorders/>
            <w:vAlign w:val="center"/>
          </w:tcPr>
          <w:p>
            <w:pPr>
              <w:pStyle w:val="TableContents"/>
              <w:bidi w:val="0"/>
              <w:spacing w:before="0" w:after="283"/>
              <w:jc w:val="right"/>
              <w:rPr/>
            </w:pPr>
            <w:r>
              <w:rPr/>
              <w:t>10,123</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0"/>
              <w:jc w:val="left"/>
              <w:rPr>
                <w:bdr w:val="single" w:sz="2" w:space="1" w:color="000000"/>
              </w:rPr>
            </w:pPr>
            <w:r>
              <w:rPr>
                <w:bdr w:val="single" w:sz="2" w:space="1" w:color="000000"/>
              </w:rPr>
              <w:t> </w:t>
            </w:r>
          </w:p>
        </w:tc>
        <w:tc>
          <w:tcPr>
            <w:tcW w:w="1593" w:type="dxa"/>
            <w:tcBorders/>
            <w:vAlign w:val="center"/>
          </w:tcPr>
          <w:p>
            <w:pPr>
              <w:pStyle w:val="TableContents"/>
              <w:bidi w:val="0"/>
              <w:spacing w:before="0" w:after="0"/>
              <w:jc w:val="left"/>
              <w:rPr>
                <w:bdr w:val="single" w:sz="2" w:space="1" w:color="000000"/>
              </w:rPr>
            </w:pPr>
            <w:r>
              <w:rPr>
                <w:bdr w:val="single" w:sz="2" w:space="1" w:color="000000"/>
              </w:rPr>
              <w:t> </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0"/>
              <w:jc w:val="left"/>
              <w:rPr>
                <w:bdr w:val="single" w:sz="2" w:space="1" w:color="000000"/>
              </w:rPr>
            </w:pPr>
            <w:r>
              <w:rPr>
                <w:bdr w:val="single" w:sz="2" w:space="1" w:color="000000"/>
              </w:rPr>
              <w:t> </w:t>
            </w:r>
          </w:p>
        </w:tc>
        <w:tc>
          <w:tcPr>
            <w:tcW w:w="2226"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100,369</w:t>
            </w:r>
          </w:p>
        </w:tc>
        <w:tc>
          <w:tcPr>
            <w:tcW w:w="28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2226" w:type="dxa"/>
            <w:tcBorders/>
            <w:shd w:fill="CCEEFF" w:val="clear"/>
            <w:vAlign w:val="center"/>
          </w:tcPr>
          <w:p>
            <w:pPr>
              <w:pStyle w:val="TableContents"/>
              <w:bidi w:val="0"/>
              <w:spacing w:before="0" w:after="283"/>
              <w:jc w:val="right"/>
              <w:rPr/>
            </w:pPr>
            <w:r>
              <w:rPr/>
              <w:t>102,519</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0"/>
              <w:jc w:val="left"/>
              <w:rPr>
                <w:bdr w:val="single" w:sz="2" w:space="1" w:color="000000"/>
              </w:rPr>
            </w:pPr>
            <w:r>
              <w:rPr>
                <w:bdr w:val="single" w:sz="2" w:space="1" w:color="000000"/>
              </w:rPr>
              <w:t> </w:t>
            </w:r>
          </w:p>
        </w:tc>
        <w:tc>
          <w:tcPr>
            <w:tcW w:w="1593" w:type="dxa"/>
            <w:tcBorders/>
            <w:vAlign w:val="center"/>
          </w:tcPr>
          <w:p>
            <w:pPr>
              <w:pStyle w:val="TableContents"/>
              <w:bidi w:val="0"/>
              <w:spacing w:before="0" w:after="0"/>
              <w:jc w:val="left"/>
              <w:rPr>
                <w:bdr w:val="single" w:sz="2" w:space="1" w:color="000000"/>
              </w:rPr>
            </w:pPr>
            <w:r>
              <w:rPr>
                <w:bdr w:val="single" w:sz="2" w:space="1" w:color="000000"/>
              </w:rPr>
              <w:t> </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0"/>
              <w:jc w:val="left"/>
              <w:rPr>
                <w:bdr w:val="single" w:sz="2" w:space="1" w:color="000000"/>
              </w:rPr>
            </w:pPr>
            <w:r>
              <w:rPr>
                <w:bdr w:val="single" w:sz="2" w:space="1" w:color="000000"/>
              </w:rPr>
              <w:t> </w:t>
            </w:r>
          </w:p>
        </w:tc>
        <w:tc>
          <w:tcPr>
            <w:tcW w:w="2226"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18)</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1593" w:type="dxa"/>
            <w:tcBorders/>
            <w:shd w:fill="CCEEFF" w:val="clear"/>
            <w:vAlign w:val="center"/>
          </w:tcPr>
          <w:p>
            <w:pPr>
              <w:pStyle w:val="TableContents"/>
              <w:bidi w:val="0"/>
              <w:spacing w:before="0" w:after="283"/>
              <w:jc w:val="left"/>
              <w:rPr>
                <w:sz w:val="4"/>
                <w:szCs w:val="4"/>
              </w:rPr>
            </w:pPr>
            <w:r>
              <w:rPr>
                <w:sz w:val="4"/>
                <w:szCs w:val="4"/>
              </w:rPr>
            </w:r>
          </w:p>
        </w:tc>
        <w:tc>
          <w:tcPr>
            <w:tcW w:w="281" w:type="dxa"/>
            <w:tcBorders/>
            <w:shd w:fill="CCEEFF" w:val="clear"/>
            <w:vAlign w:val="center"/>
          </w:tcPr>
          <w:p>
            <w:pPr>
              <w:pStyle w:val="TableContents"/>
              <w:bidi w:val="0"/>
              <w:spacing w:before="0" w:after="283"/>
              <w:jc w:val="left"/>
              <w:rPr>
                <w:sz w:val="4"/>
                <w:szCs w:val="4"/>
              </w:rPr>
            </w:pPr>
            <w:r>
              <w:rPr>
                <w:sz w:val="4"/>
                <w:szCs w:val="4"/>
              </w:rPr>
            </w:r>
          </w:p>
        </w:tc>
        <w:tc>
          <w:tcPr>
            <w:tcW w:w="108"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sz w:val="4"/>
                <w:szCs w:val="4"/>
              </w:rPr>
            </w:pPr>
            <w:r>
              <w:rPr>
                <w:sz w:val="4"/>
                <w:szCs w:val="4"/>
              </w:rPr>
            </w:r>
          </w:p>
        </w:tc>
        <w:tc>
          <w:tcPr>
            <w:tcW w:w="2226"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$0.01 par value, 150,000,000 shares authorized, 57,581,275 shares issued and 35,954,038 outstanding at June 30, 2025 and 57,498,507 shares issued and 36,912,118 outstanding at December 31, 2024</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pPr>
            <w:r>
              <w:rPr/>
              <w:t>575</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2226" w:type="dxa"/>
            <w:tcBorders/>
            <w:vAlign w:val="center"/>
          </w:tcPr>
          <w:p>
            <w:pPr>
              <w:pStyle w:val="TableContents"/>
              <w:bidi w:val="0"/>
              <w:spacing w:before="0" w:after="283"/>
              <w:jc w:val="right"/>
              <w:rPr/>
            </w:pPr>
            <w:r>
              <w:rPr/>
              <w:t>574</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280,853</w:t>
            </w:r>
          </w:p>
        </w:tc>
        <w:tc>
          <w:tcPr>
            <w:tcW w:w="28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2226" w:type="dxa"/>
            <w:tcBorders/>
            <w:shd w:fill="CCEEFF" w:val="clear"/>
            <w:vAlign w:val="center"/>
          </w:tcPr>
          <w:p>
            <w:pPr>
              <w:pStyle w:val="TableContents"/>
              <w:bidi w:val="0"/>
              <w:spacing w:before="0" w:after="283"/>
              <w:jc w:val="right"/>
              <w:rPr/>
            </w:pPr>
            <w:r>
              <w:rPr/>
              <w:t>279,423</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pPr>
            <w:r>
              <w:rPr/>
              <w:t>236,021</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2226" w:type="dxa"/>
            <w:tcBorders/>
            <w:vAlign w:val="center"/>
          </w:tcPr>
          <w:p>
            <w:pPr>
              <w:pStyle w:val="TableContents"/>
              <w:bidi w:val="0"/>
              <w:spacing w:before="0" w:after="283"/>
              <w:jc w:val="right"/>
              <w:rPr/>
            </w:pPr>
            <w:r>
              <w:rPr/>
              <w:t>244,576</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Treasury stock, 21,627,237 shares at June 30, 2025 and 20,586,389 shares at December 31, 2024, respectively</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(229,381</w:t>
            </w:r>
          </w:p>
        </w:tc>
        <w:tc>
          <w:tcPr>
            <w:tcW w:w="28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2226" w:type="dxa"/>
            <w:tcBorders/>
            <w:shd w:fill="CCEEFF" w:val="clear"/>
            <w:vAlign w:val="center"/>
          </w:tcPr>
          <w:p>
            <w:pPr>
              <w:pStyle w:val="TableContents"/>
              <w:bidi w:val="0"/>
              <w:spacing w:before="0" w:after="283"/>
              <w:jc w:val="right"/>
              <w:rPr/>
            </w:pPr>
            <w:r>
              <w:rPr/>
              <w:t>(225,883</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pPr>
            <w:r>
              <w:rPr/>
              <w:t>(17,906</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2226" w:type="dxa"/>
            <w:tcBorders/>
            <w:vAlign w:val="center"/>
          </w:tcPr>
          <w:p>
            <w:pPr>
              <w:pStyle w:val="TableContents"/>
              <w:bidi w:val="0"/>
              <w:spacing w:before="0" w:after="283"/>
              <w:jc w:val="right"/>
              <w:rPr/>
            </w:pPr>
            <w:r>
              <w:rPr/>
              <w:t>(21,893</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0"/>
              <w:jc w:val="left"/>
              <w:rPr>
                <w:bdr w:val="single" w:sz="2" w:space="1" w:color="000000"/>
              </w:rPr>
            </w:pPr>
            <w:r>
              <w:rPr>
                <w:bdr w:val="single" w:sz="2" w:space="1" w:color="000000"/>
              </w:rPr>
              <w:t> </w:t>
            </w:r>
          </w:p>
        </w:tc>
        <w:tc>
          <w:tcPr>
            <w:tcW w:w="1593" w:type="dxa"/>
            <w:tcBorders/>
            <w:vAlign w:val="center"/>
          </w:tcPr>
          <w:p>
            <w:pPr>
              <w:pStyle w:val="TableContents"/>
              <w:bidi w:val="0"/>
              <w:spacing w:before="0" w:after="0"/>
              <w:jc w:val="left"/>
              <w:rPr>
                <w:bdr w:val="single" w:sz="2" w:space="1" w:color="000000"/>
              </w:rPr>
            </w:pPr>
            <w:r>
              <w:rPr>
                <w:bdr w:val="single" w:sz="2" w:space="1" w:color="000000"/>
              </w:rPr>
              <w:t> </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0"/>
              <w:jc w:val="left"/>
              <w:rPr>
                <w:bdr w:val="single" w:sz="2" w:space="1" w:color="000000"/>
              </w:rPr>
            </w:pPr>
            <w:r>
              <w:rPr>
                <w:bdr w:val="single" w:sz="2" w:space="1" w:color="000000"/>
              </w:rPr>
              <w:t> </w:t>
            </w:r>
          </w:p>
        </w:tc>
        <w:tc>
          <w:tcPr>
            <w:tcW w:w="2226"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270,162</w:t>
            </w:r>
          </w:p>
        </w:tc>
        <w:tc>
          <w:tcPr>
            <w:tcW w:w="28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2226" w:type="dxa"/>
            <w:tcBorders/>
            <w:shd w:fill="CCEEFF" w:val="clear"/>
            <w:vAlign w:val="center"/>
          </w:tcPr>
          <w:p>
            <w:pPr>
              <w:pStyle w:val="TableContents"/>
              <w:bidi w:val="0"/>
              <w:spacing w:before="0" w:after="283"/>
              <w:jc w:val="right"/>
              <w:rPr/>
            </w:pPr>
            <w:r>
              <w:rPr/>
              <w:t>276,797</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0"/>
              <w:jc w:val="left"/>
              <w:rPr>
                <w:bdr w:val="single" w:sz="2" w:space="1" w:color="000000"/>
              </w:rPr>
            </w:pPr>
            <w:r>
              <w:rPr>
                <w:bdr w:val="single" w:sz="2" w:space="1" w:color="000000"/>
              </w:rPr>
              <w:t> </w:t>
            </w:r>
          </w:p>
        </w:tc>
        <w:tc>
          <w:tcPr>
            <w:tcW w:w="1593" w:type="dxa"/>
            <w:tcBorders/>
            <w:vAlign w:val="center"/>
          </w:tcPr>
          <w:p>
            <w:pPr>
              <w:pStyle w:val="TableContents"/>
              <w:bidi w:val="0"/>
              <w:spacing w:before="0" w:after="0"/>
              <w:jc w:val="left"/>
              <w:rPr>
                <w:bdr w:val="single" w:sz="2" w:space="1" w:color="000000"/>
              </w:rPr>
            </w:pPr>
            <w:r>
              <w:rPr>
                <w:bdr w:val="single" w:sz="2" w:space="1" w:color="000000"/>
              </w:rPr>
              <w:t> </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0"/>
              <w:jc w:val="left"/>
              <w:rPr>
                <w:bdr w:val="single" w:sz="2" w:space="1" w:color="000000"/>
              </w:rPr>
            </w:pPr>
            <w:r>
              <w:rPr>
                <w:bdr w:val="single" w:sz="2" w:space="1" w:color="000000"/>
              </w:rPr>
              <w:t> </w:t>
            </w:r>
          </w:p>
        </w:tc>
        <w:tc>
          <w:tcPr>
            <w:tcW w:w="2226"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283"/>
              <w:jc w:val="right"/>
              <w:rPr/>
            </w:pPr>
            <w:r>
              <w:rPr/>
              <w:t>370,531</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w:t>
            </w:r>
          </w:p>
        </w:tc>
        <w:tc>
          <w:tcPr>
            <w:tcW w:w="2226" w:type="dxa"/>
            <w:tcBorders/>
            <w:vAlign w:val="center"/>
          </w:tcPr>
          <w:p>
            <w:pPr>
              <w:pStyle w:val="TableContents"/>
              <w:bidi w:val="0"/>
              <w:spacing w:before="0" w:after="283"/>
              <w:jc w:val="right"/>
              <w:rPr/>
            </w:pPr>
            <w:r>
              <w:rPr/>
              <w:t>379,316</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0"/>
              <w:jc w:val="left"/>
              <w:rPr>
                <w:bdr w:val="double" w:sz="6" w:space="1" w:color="000000"/>
              </w:rPr>
            </w:pPr>
            <w:r>
              <w:rPr>
                <w:bdr w:val="double" w:sz="6" w:space="1" w:color="000000"/>
              </w:rPr>
              <w:t> </w:t>
            </w:r>
          </w:p>
        </w:tc>
        <w:tc>
          <w:tcPr>
            <w:tcW w:w="1593" w:type="dxa"/>
            <w:tcBorders/>
            <w:vAlign w:val="center"/>
          </w:tcPr>
          <w:p>
            <w:pPr>
              <w:pStyle w:val="TableContents"/>
              <w:bidi w:val="0"/>
              <w:spacing w:before="0" w:after="0"/>
              <w:jc w:val="left"/>
              <w:rPr>
                <w:bdr w:val="double" w:sz="6" w:space="1" w:color="000000"/>
              </w:rPr>
            </w:pPr>
            <w:r>
              <w:rPr>
                <w:bdr w:val="double" w:sz="6" w:space="1" w:color="000000"/>
              </w:rPr>
              <w:t> </w:t>
            </w:r>
          </w:p>
        </w:tc>
        <w:tc>
          <w:tcPr>
            <w:tcW w:w="28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0"/>
              <w:jc w:val="left"/>
              <w:rPr>
                <w:bdr w:val="double" w:sz="6" w:space="1" w:color="000000"/>
              </w:rPr>
            </w:pPr>
            <w:r>
              <w:rPr>
                <w:bdr w:val="double" w:sz="6" w:space="1" w:color="000000"/>
              </w:rPr>
              <w:t> </w:t>
            </w:r>
          </w:p>
        </w:tc>
        <w:tc>
          <w:tcPr>
            <w:tcW w:w="2226" w:type="dxa"/>
            <w:tcBorders/>
            <w:vAlign w:val="center"/>
          </w:tcPr>
          <w:p>
            <w:pPr>
              <w:pStyle w:val="TableContents"/>
              <w:bidi w:val="0"/>
              <w:spacing w:before="0" w:after="0"/>
              <w:jc w:val="left"/>
              <w:rPr>
                <w:bdr w:val="double" w:sz="6" w:space="1" w:color="000000"/>
              </w:rPr>
            </w:pPr>
            <w:r>
              <w:rPr>
                <w:bdr w:val="double" w:sz="6" w:space="1" w:color="000000"/>
              </w:rPr>
              <w:t> </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(Unaudited)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10"/>
        <w:gridCol w:w="120"/>
        <w:gridCol w:w="140"/>
        <w:gridCol w:w="1100"/>
        <w:gridCol w:w="155"/>
        <w:gridCol w:w="60"/>
        <w:gridCol w:w="140"/>
        <w:gridCol w:w="1100"/>
        <w:gridCol w:w="155"/>
        <w:gridCol w:w="60"/>
        <w:gridCol w:w="140"/>
        <w:gridCol w:w="1100"/>
        <w:gridCol w:w="155"/>
        <w:gridCol w:w="60"/>
        <w:gridCol w:w="140"/>
        <w:gridCol w:w="1100"/>
        <w:gridCol w:w="170"/>
      </w:tblGrid>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9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r>
          </w:p>
        </w:tc>
        <w:tc>
          <w:tcPr>
            <w:tcW w:w="17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17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5" w:type="dxa"/>
            <w:gridSpan w:val="14"/>
            <w:tcBorders/>
            <w:vAlign w:val="center"/>
          </w:tcPr>
          <w:p>
            <w:pPr>
              <w:pStyle w:val="TableContents"/>
              <w:bidi w:val="0"/>
              <w:spacing w:before="0" w:after="0"/>
              <w:jc w:val="center"/>
              <w:rPr>
                <w:b/>
                <w:spacing w:val="0"/>
              </w:rPr>
            </w:pPr>
            <w:r>
              <w:rPr>
                <w:b/>
                <w:spacing w:val="0"/>
              </w:rPr>
              <w:t>(In thousands of U.S. dollars, except share data)</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465" w:type="dxa"/>
            <w:gridSpan w:val="13"/>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Power solutions business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47,622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44,064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92,344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83,976</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5,862</w:t>
            </w:r>
          </w:p>
        </w:tc>
        <w:tc>
          <w:tcPr>
            <w:tcW w:w="17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47,622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46,400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92,344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89,838</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Power solutions business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37,910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34,157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73,270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67,025</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6,668</w:t>
            </w:r>
          </w:p>
        </w:tc>
        <w:tc>
          <w:tcPr>
            <w:tcW w:w="17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37,910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36,614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73,270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73,693</w:t>
            </w:r>
          </w:p>
        </w:tc>
        <w:tc>
          <w:tcPr>
            <w:tcW w:w="17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19,074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16,145</w:t>
            </w:r>
          </w:p>
        </w:tc>
        <w:tc>
          <w:tcPr>
            <w:tcW w:w="17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9,321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19,035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19,275</w:t>
            </w:r>
          </w:p>
        </w:tc>
        <w:tc>
          <w:tcPr>
            <w:tcW w:w="17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6,983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5,774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12,919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11,984</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charges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17,150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15,509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32,800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31,259</w:t>
            </w:r>
          </w:p>
        </w:tc>
        <w:tc>
          <w:tcPr>
            <w:tcW w:w="17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(13,726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(15,114</w:t>
            </w:r>
          </w:p>
        </w:tc>
        <w:tc>
          <w:tcPr>
            <w:tcW w:w="17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4,275</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(672</w:t>
            </w:r>
          </w:p>
        </w:tc>
        <w:tc>
          <w:tcPr>
            <w:tcW w:w="17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gain (loss),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10,810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10,405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(8,613</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152</w:t>
            </w:r>
          </w:p>
        </w:tc>
        <w:tc>
          <w:tcPr>
            <w:tcW w:w="17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 before income tax benefit,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(7,593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(19,972</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benefit,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(3,480</w:t>
            </w:r>
          </w:p>
        </w:tc>
        <w:tc>
          <w:tcPr>
            <w:tcW w:w="17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8,486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(16,492</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net of tax</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(10,789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(11,959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(11,922</w:t>
            </w:r>
          </w:p>
        </w:tc>
        <w:tc>
          <w:tcPr>
            <w:tcW w:w="17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(12,997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(8,555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(28,414</w:t>
            </w:r>
          </w:p>
        </w:tc>
        <w:tc>
          <w:tcPr>
            <w:tcW w:w="17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earnings (loss) per common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Continuing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(0.43</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Discontinued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(0.31</w:t>
            </w:r>
          </w:p>
        </w:tc>
        <w:tc>
          <w:tcPr>
            <w:tcW w:w="17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(0.74</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 earnings (loss) per common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Continuing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(0.43</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Discontinued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(0.31</w:t>
            </w:r>
          </w:p>
        </w:tc>
        <w:tc>
          <w:tcPr>
            <w:tcW w:w="17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(0.74</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36,083,703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38,174,920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36,483,551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38,359,851</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36,768,647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38,174,920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37,209,622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38,359,851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COMPREHENSIVE INCOME (LOSS) (Unaudited) </w:t>
      </w:r>
    </w:p>
    <w:p>
      <w:pPr>
        <w:pStyle w:val="TextBody"/>
        <w:bidi w:val="0"/>
        <w:spacing w:before="0" w:after="0"/>
        <w:jc w:val="left"/>
        <w:rPr/>
      </w:pPr>
      <w:r>
        <w:rPr/>
        <w:t> </w:t>
      </w:r>
    </w:p>
    <w:tbl>
      <w:tblPr>
        <w:tblW w:w="8415" w:type="dxa"/>
        <w:jc w:val="left"/>
        <w:tblInd w:w="0" w:type="dxa"/>
        <w:tblLayout w:type="fixed"/>
        <w:tblCellMar>
          <w:top w:w="0" w:type="dxa"/>
          <w:left w:w="0" w:type="dxa"/>
          <w:bottom w:w="0" w:type="dxa"/>
          <w:right w:w="0" w:type="dxa"/>
        </w:tblCellMar>
      </w:tblPr>
      <w:tblGrid>
        <w:gridCol w:w="3695"/>
        <w:gridCol w:w="120"/>
        <w:gridCol w:w="174"/>
        <w:gridCol w:w="701"/>
        <w:gridCol w:w="74"/>
        <w:gridCol w:w="149"/>
        <w:gridCol w:w="174"/>
        <w:gridCol w:w="942"/>
        <w:gridCol w:w="155"/>
        <w:gridCol w:w="60"/>
        <w:gridCol w:w="157"/>
        <w:gridCol w:w="718"/>
        <w:gridCol w:w="157"/>
        <w:gridCol w:w="60"/>
        <w:gridCol w:w="141"/>
        <w:gridCol w:w="768"/>
        <w:gridCol w:w="170"/>
      </w:tblGrid>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4"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1"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1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30" w:type="dxa"/>
            <w:gridSpan w:val="14"/>
            <w:tcBorders/>
            <w:vAlign w:val="center"/>
          </w:tcPr>
          <w:p>
            <w:pPr>
              <w:pStyle w:val="TableContents"/>
              <w:bidi w:val="0"/>
              <w:spacing w:before="0" w:after="0"/>
              <w:jc w:val="center"/>
              <w:rPr>
                <w:b/>
                <w:spacing w:val="0"/>
              </w:rPr>
            </w:pPr>
            <w:r>
              <w:rPr>
                <w:b/>
                <w:spacing w:val="0"/>
              </w:rPr>
              <w:t>(In thousands of U.S. dollars)</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01" w:type="dxa"/>
            <w:tcBorders/>
            <w:shd w:fill="CCEEFF" w:val="clear"/>
            <w:vAlign w:val="center"/>
          </w:tcPr>
          <w:p>
            <w:pPr>
              <w:pStyle w:val="TableContents"/>
              <w:bidi w:val="0"/>
              <w:spacing w:before="0" w:after="283"/>
              <w:jc w:val="right"/>
              <w:rPr/>
            </w:pPr>
            <w:r>
              <w:rPr/>
              <w:t>323</w:t>
            </w:r>
          </w:p>
        </w:tc>
        <w:tc>
          <w:tcPr>
            <w:tcW w:w="7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2" w:type="dxa"/>
            <w:tcBorders/>
            <w:shd w:fill="CCEEFF" w:val="clear"/>
            <w:vAlign w:val="center"/>
          </w:tcPr>
          <w:p>
            <w:pPr>
              <w:pStyle w:val="TableContents"/>
              <w:bidi w:val="0"/>
              <w:spacing w:before="0" w:after="283"/>
              <w:jc w:val="right"/>
              <w:rPr/>
            </w:pPr>
            <w:r>
              <w:rPr/>
              <w:t>(12,997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18" w:type="dxa"/>
            <w:tcBorders/>
            <w:shd w:fill="CCEEFF" w:val="clear"/>
            <w:vAlign w:val="center"/>
          </w:tcPr>
          <w:p>
            <w:pPr>
              <w:pStyle w:val="TableContents"/>
              <w:bidi w:val="0"/>
              <w:spacing w:before="0" w:after="283"/>
              <w:jc w:val="right"/>
              <w:rPr/>
            </w:pPr>
            <w:r>
              <w:rPr/>
              <w:t>(8,555</w:t>
            </w:r>
          </w:p>
        </w:tc>
        <w:tc>
          <w:tcPr>
            <w:tcW w:w="1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768" w:type="dxa"/>
            <w:tcBorders/>
            <w:shd w:fill="CCEEFF" w:val="clear"/>
            <w:vAlign w:val="center"/>
          </w:tcPr>
          <w:p>
            <w:pPr>
              <w:pStyle w:val="TableContents"/>
              <w:bidi w:val="0"/>
              <w:spacing w:before="0" w:after="283"/>
              <w:jc w:val="right"/>
              <w:rPr/>
            </w:pPr>
            <w:r>
              <w:rPr/>
              <w:t>(28,414</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single" w:sz="2" w:space="1" w:color="000000"/>
              </w:rPr>
            </w:pPr>
            <w:r>
              <w:rPr>
                <w:bdr w:val="single" w:sz="2" w:space="1" w:color="000000"/>
              </w:rPr>
              <w:t> </w:t>
            </w:r>
          </w:p>
        </w:tc>
        <w:tc>
          <w:tcPr>
            <w:tcW w:w="701" w:type="dxa"/>
            <w:tcBorders/>
            <w:vAlign w:val="center"/>
          </w:tcPr>
          <w:p>
            <w:pPr>
              <w:pStyle w:val="TableContents"/>
              <w:bidi w:val="0"/>
              <w:spacing w:before="0" w:after="0"/>
              <w:jc w:val="left"/>
              <w:rPr>
                <w:bdr w:val="single" w:sz="2" w:space="1" w:color="000000"/>
              </w:rPr>
            </w:pPr>
            <w:r>
              <w:rPr>
                <w:bdr w:val="single" w:sz="2" w:space="1" w:color="000000"/>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single" w:sz="2" w:space="1" w:color="000000"/>
              </w:rPr>
            </w:pPr>
            <w:r>
              <w:rPr>
                <w:bdr w:val="single" w:sz="2" w:space="1" w:color="000000"/>
              </w:rPr>
              <w:t> </w:t>
            </w:r>
          </w:p>
        </w:tc>
        <w:tc>
          <w:tcPr>
            <w:tcW w:w="94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bdr w:val="single" w:sz="2" w:space="1" w:color="000000"/>
              </w:rPr>
            </w:pPr>
            <w:r>
              <w:rPr>
                <w:bdr w:val="single" w:sz="2" w:space="1" w:color="000000"/>
              </w:rPr>
              <w:t> </w:t>
            </w:r>
          </w:p>
        </w:tc>
        <w:tc>
          <w:tcPr>
            <w:tcW w:w="718" w:type="dxa"/>
            <w:tcBorders/>
            <w:vAlign w:val="center"/>
          </w:tcPr>
          <w:p>
            <w:pPr>
              <w:pStyle w:val="TableContents"/>
              <w:bidi w:val="0"/>
              <w:spacing w:before="0" w:after="0"/>
              <w:jc w:val="left"/>
              <w:rPr>
                <w:bdr w:val="single" w:sz="2" w:space="1" w:color="000000"/>
              </w:rPr>
            </w:pPr>
            <w:r>
              <w:rPr>
                <w:bdr w:val="single" w:sz="2" w:space="1" w:color="000000"/>
              </w:rPr>
              <w:t> </w:t>
            </w:r>
          </w:p>
        </w:tc>
        <w:tc>
          <w:tcPr>
            <w:tcW w:w="1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76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(Note 15)</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875</w:t>
            </w:r>
          </w:p>
        </w:tc>
        <w:tc>
          <w:tcPr>
            <w:tcW w:w="7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(1,591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1,630</w:t>
            </w:r>
          </w:p>
        </w:tc>
        <w:tc>
          <w:tcPr>
            <w:tcW w:w="1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(5,088</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adjustments</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1,696</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(280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2,357</w:t>
            </w:r>
          </w:p>
        </w:tc>
        <w:tc>
          <w:tcPr>
            <w:tcW w:w="1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right"/>
              <w:rPr/>
            </w:pPr>
            <w:r>
              <w:rPr/>
              <w:t>(826</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single" w:sz="2" w:space="1" w:color="000000"/>
              </w:rPr>
            </w:pPr>
            <w:r>
              <w:rPr>
                <w:bdr w:val="single" w:sz="2" w:space="1" w:color="000000"/>
              </w:rPr>
              <w:t> </w:t>
            </w:r>
          </w:p>
        </w:tc>
        <w:tc>
          <w:tcPr>
            <w:tcW w:w="701" w:type="dxa"/>
            <w:tcBorders/>
            <w:vAlign w:val="center"/>
          </w:tcPr>
          <w:p>
            <w:pPr>
              <w:pStyle w:val="TableContents"/>
              <w:bidi w:val="0"/>
              <w:spacing w:before="0" w:after="0"/>
              <w:jc w:val="left"/>
              <w:rPr>
                <w:bdr w:val="single" w:sz="2" w:space="1" w:color="000000"/>
              </w:rPr>
            </w:pPr>
            <w:r>
              <w:rPr>
                <w:bdr w:val="single" w:sz="2" w:space="1" w:color="000000"/>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single" w:sz="2" w:space="1" w:color="000000"/>
              </w:rPr>
            </w:pPr>
            <w:r>
              <w:rPr>
                <w:bdr w:val="single" w:sz="2" w:space="1" w:color="000000"/>
              </w:rPr>
              <w:t> </w:t>
            </w:r>
          </w:p>
        </w:tc>
        <w:tc>
          <w:tcPr>
            <w:tcW w:w="94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bdr w:val="single" w:sz="2" w:space="1" w:color="000000"/>
              </w:rPr>
            </w:pPr>
            <w:r>
              <w:rPr>
                <w:bdr w:val="single" w:sz="2" w:space="1" w:color="000000"/>
              </w:rPr>
              <w:t> </w:t>
            </w:r>
          </w:p>
        </w:tc>
        <w:tc>
          <w:tcPr>
            <w:tcW w:w="718" w:type="dxa"/>
            <w:tcBorders/>
            <w:vAlign w:val="center"/>
          </w:tcPr>
          <w:p>
            <w:pPr>
              <w:pStyle w:val="TableContents"/>
              <w:bidi w:val="0"/>
              <w:spacing w:before="0" w:after="0"/>
              <w:jc w:val="left"/>
              <w:rPr>
                <w:bdr w:val="single" w:sz="2" w:space="1" w:color="000000"/>
              </w:rPr>
            </w:pPr>
            <w:r>
              <w:rPr>
                <w:bdr w:val="single" w:sz="2" w:space="1" w:color="000000"/>
              </w:rPr>
              <w:t> </w:t>
            </w:r>
          </w:p>
        </w:tc>
        <w:tc>
          <w:tcPr>
            <w:tcW w:w="1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76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2,571</w:t>
            </w:r>
          </w:p>
        </w:tc>
        <w:tc>
          <w:tcPr>
            <w:tcW w:w="7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(1,871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3,987</w:t>
            </w:r>
          </w:p>
        </w:tc>
        <w:tc>
          <w:tcPr>
            <w:tcW w:w="1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(5,914</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single" w:sz="2" w:space="1" w:color="000000"/>
              </w:rPr>
            </w:pPr>
            <w:r>
              <w:rPr>
                <w:bdr w:val="single" w:sz="2" w:space="1" w:color="000000"/>
              </w:rPr>
              <w:t> </w:t>
            </w:r>
          </w:p>
        </w:tc>
        <w:tc>
          <w:tcPr>
            <w:tcW w:w="701" w:type="dxa"/>
            <w:tcBorders/>
            <w:vAlign w:val="center"/>
          </w:tcPr>
          <w:p>
            <w:pPr>
              <w:pStyle w:val="TableContents"/>
              <w:bidi w:val="0"/>
              <w:spacing w:before="0" w:after="0"/>
              <w:jc w:val="left"/>
              <w:rPr>
                <w:bdr w:val="single" w:sz="2" w:space="1" w:color="000000"/>
              </w:rPr>
            </w:pPr>
            <w:r>
              <w:rPr>
                <w:bdr w:val="single" w:sz="2" w:space="1" w:color="000000"/>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single" w:sz="2" w:space="1" w:color="000000"/>
              </w:rPr>
            </w:pPr>
            <w:r>
              <w:rPr>
                <w:bdr w:val="single" w:sz="2" w:space="1" w:color="000000"/>
              </w:rPr>
              <w:t> </w:t>
            </w:r>
          </w:p>
        </w:tc>
        <w:tc>
          <w:tcPr>
            <w:tcW w:w="94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bdr w:val="single" w:sz="2" w:space="1" w:color="000000"/>
              </w:rPr>
            </w:pPr>
            <w:r>
              <w:rPr>
                <w:bdr w:val="single" w:sz="2" w:space="1" w:color="000000"/>
              </w:rPr>
              <w:t> </w:t>
            </w:r>
          </w:p>
        </w:tc>
        <w:tc>
          <w:tcPr>
            <w:tcW w:w="718" w:type="dxa"/>
            <w:tcBorders/>
            <w:vAlign w:val="center"/>
          </w:tcPr>
          <w:p>
            <w:pPr>
              <w:pStyle w:val="TableContents"/>
              <w:bidi w:val="0"/>
              <w:spacing w:before="0" w:after="0"/>
              <w:jc w:val="left"/>
              <w:rPr>
                <w:bdr w:val="single" w:sz="2" w:space="1" w:color="000000"/>
              </w:rPr>
            </w:pPr>
            <w:r>
              <w:rPr>
                <w:bdr w:val="single" w:sz="2" w:space="1" w:color="000000"/>
              </w:rPr>
              <w:t> </w:t>
            </w:r>
          </w:p>
        </w:tc>
        <w:tc>
          <w:tcPr>
            <w:tcW w:w="1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76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comprehensive income (loss)</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701" w:type="dxa"/>
            <w:tcBorders/>
            <w:vAlign w:val="center"/>
          </w:tcPr>
          <w:p>
            <w:pPr>
              <w:pStyle w:val="TableContents"/>
              <w:bidi w:val="0"/>
              <w:spacing w:before="0" w:after="283"/>
              <w:jc w:val="right"/>
              <w:rPr/>
            </w:pPr>
            <w:r>
              <w:rPr/>
              <w:t>2,894</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942" w:type="dxa"/>
            <w:tcBorders/>
            <w:vAlign w:val="center"/>
          </w:tcPr>
          <w:p>
            <w:pPr>
              <w:pStyle w:val="TableContents"/>
              <w:bidi w:val="0"/>
              <w:spacing w:before="0" w:after="283"/>
              <w:jc w:val="right"/>
              <w:rPr/>
            </w:pPr>
            <w:r>
              <w:rPr/>
              <w:t>(14,868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718" w:type="dxa"/>
            <w:tcBorders/>
            <w:vAlign w:val="center"/>
          </w:tcPr>
          <w:p>
            <w:pPr>
              <w:pStyle w:val="TableContents"/>
              <w:bidi w:val="0"/>
              <w:spacing w:before="0" w:after="283"/>
              <w:jc w:val="right"/>
              <w:rPr/>
            </w:pPr>
            <w:r>
              <w:rPr/>
              <w:t>(4,568</w:t>
            </w:r>
          </w:p>
        </w:tc>
        <w:tc>
          <w:tcPr>
            <w:tcW w:w="1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768" w:type="dxa"/>
            <w:tcBorders/>
            <w:vAlign w:val="center"/>
          </w:tcPr>
          <w:p>
            <w:pPr>
              <w:pStyle w:val="TableContents"/>
              <w:bidi w:val="0"/>
              <w:spacing w:before="0" w:after="283"/>
              <w:jc w:val="right"/>
              <w:rPr/>
            </w:pPr>
            <w:r>
              <w:rPr/>
              <w:t>(34,328</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double" w:sz="6" w:space="1" w:color="000000"/>
              </w:rPr>
            </w:pPr>
            <w:r>
              <w:rPr>
                <w:bdr w:val="double" w:sz="6" w:space="1" w:color="000000"/>
              </w:rPr>
              <w:t> </w:t>
            </w:r>
          </w:p>
        </w:tc>
        <w:tc>
          <w:tcPr>
            <w:tcW w:w="701" w:type="dxa"/>
            <w:tcBorders/>
            <w:vAlign w:val="center"/>
          </w:tcPr>
          <w:p>
            <w:pPr>
              <w:pStyle w:val="TableContents"/>
              <w:bidi w:val="0"/>
              <w:spacing w:before="0" w:after="0"/>
              <w:jc w:val="left"/>
              <w:rPr>
                <w:bdr w:val="double" w:sz="6" w:space="1" w:color="000000"/>
              </w:rPr>
            </w:pPr>
            <w:r>
              <w:rPr>
                <w:bdr w:val="double" w:sz="6" w:space="1" w:color="000000"/>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double" w:sz="6" w:space="1" w:color="000000"/>
              </w:rPr>
            </w:pPr>
            <w:r>
              <w:rPr>
                <w:bdr w:val="double" w:sz="6" w:space="1" w:color="000000"/>
              </w:rPr>
              <w:t> </w:t>
            </w:r>
          </w:p>
        </w:tc>
        <w:tc>
          <w:tcPr>
            <w:tcW w:w="94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bdr w:val="double" w:sz="6" w:space="1" w:color="000000"/>
              </w:rPr>
            </w:pPr>
            <w:r>
              <w:rPr>
                <w:bdr w:val="double" w:sz="6" w:space="1" w:color="000000"/>
              </w:rPr>
              <w:t> </w:t>
            </w:r>
          </w:p>
        </w:tc>
        <w:tc>
          <w:tcPr>
            <w:tcW w:w="718" w:type="dxa"/>
            <w:tcBorders/>
            <w:vAlign w:val="center"/>
          </w:tcPr>
          <w:p>
            <w:pPr>
              <w:pStyle w:val="TableContents"/>
              <w:bidi w:val="0"/>
              <w:spacing w:before="0" w:after="0"/>
              <w:jc w:val="left"/>
              <w:rPr>
                <w:bdr w:val="double" w:sz="6" w:space="1" w:color="000000"/>
              </w:rPr>
            </w:pPr>
            <w:r>
              <w:rPr>
                <w:bdr w:val="double" w:sz="6" w:space="1" w:color="000000"/>
              </w:rPr>
              <w:t> </w:t>
            </w:r>
          </w:p>
        </w:tc>
        <w:tc>
          <w:tcPr>
            <w:tcW w:w="1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768"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CHANGES IN STOCKHOLDERS’ EQUITY (Unaudited) </w:t>
      </w:r>
    </w:p>
    <w:p>
      <w:pPr>
        <w:pStyle w:val="TextBody"/>
        <w:bidi w:val="0"/>
        <w:spacing w:before="0" w:after="0"/>
        <w:jc w:val="left"/>
        <w:rPr/>
      </w:pPr>
      <w:r>
        <w:rPr/>
        <w:t> </w:t>
      </w:r>
    </w:p>
    <w:tbl>
      <w:tblPr>
        <w:tblW w:w="12635" w:type="dxa"/>
        <w:jc w:val="left"/>
        <w:tblInd w:w="0" w:type="dxa"/>
        <w:tblLayout w:type="fixed"/>
        <w:tblCellMar>
          <w:top w:w="0" w:type="dxa"/>
          <w:left w:w="0" w:type="dxa"/>
          <w:bottom w:w="0" w:type="dxa"/>
          <w:right w:w="0" w:type="dxa"/>
        </w:tblCellMar>
      </w:tblPr>
      <w:tblGrid>
        <w:gridCol w:w="3455"/>
        <w:gridCol w:w="120"/>
        <w:gridCol w:w="60"/>
        <w:gridCol w:w="1100"/>
        <w:gridCol w:w="155"/>
        <w:gridCol w:w="60"/>
        <w:gridCol w:w="231"/>
        <w:gridCol w:w="629"/>
        <w:gridCol w:w="60"/>
        <w:gridCol w:w="120"/>
        <w:gridCol w:w="163"/>
        <w:gridCol w:w="937"/>
        <w:gridCol w:w="155"/>
        <w:gridCol w:w="60"/>
        <w:gridCol w:w="141"/>
        <w:gridCol w:w="809"/>
        <w:gridCol w:w="155"/>
        <w:gridCol w:w="60"/>
        <w:gridCol w:w="140"/>
        <w:gridCol w:w="875"/>
        <w:gridCol w:w="155"/>
        <w:gridCol w:w="60"/>
        <w:gridCol w:w="251"/>
        <w:gridCol w:w="1359"/>
        <w:gridCol w:w="155"/>
        <w:gridCol w:w="60"/>
        <w:gridCol w:w="140"/>
        <w:gridCol w:w="800"/>
        <w:gridCol w:w="170"/>
      </w:tblGrid>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b/>
                <w:spacing w:val="0"/>
              </w:rPr>
            </w:pPr>
            <w:r>
              <w:rPr>
                <w:b/>
                <w:spacing w:val="0"/>
              </w:rPr>
              <w:br/>
              <w:t>Capital</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br/>
              <w:t>Loss</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95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Retained</w:t>
              <w:br/>
              <w:t>Earnings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01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w:t>
              <w:br/>
              <w:t>Stock</w:t>
            </w:r>
          </w:p>
        </w:tc>
        <w:tc>
          <w:tcPr>
            <w:tcW w:w="155" w:type="dxa"/>
            <w:vMerge w:val="restart"/>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9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vMerge w:val="restart"/>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(In thousands of U.S. dollars, except share data)</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95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01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4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Three Months Ended June 30, 2025: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March 31, 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36,675,789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280,452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235,698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(227,047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(20,477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269,201</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462</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9,806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(61</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(731,557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(2,334</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2,571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2,571</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323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323</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June 30, 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35,954,038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280,853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236,021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(229,381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(17,906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270,162</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Three Months Ended June 30,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March 31, 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38,263,642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274,156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283,467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(217,607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(18,700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321,885</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1,216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1,216</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6,996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(471,156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(2,342</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(1,871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(1,871</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(12,997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(12,997</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June 30, 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37,799,482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275,329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270,470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(219,949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(20,571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305,848</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c>
          <w:tcPr>
            <w:tcW w:w="182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b/>
                <w:spacing w:val="0"/>
              </w:rPr>
            </w:pPr>
            <w:r>
              <w:rPr>
                <w:b/>
                <w:spacing w:val="0"/>
              </w:rPr>
              <w:br/>
              <w:t>Capital</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br/>
              <w:t>Loss</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95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Retained</w:t>
              <w:br/>
              <w:t>Earnings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01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w:t>
              <w:br/>
              <w:t>Stock</w:t>
            </w:r>
          </w:p>
        </w:tc>
        <w:tc>
          <w:tcPr>
            <w:tcW w:w="155" w:type="dxa"/>
            <w:vMerge w:val="restart"/>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9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vMerge w:val="restart"/>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(In thousands of U.S. dollars, except share data)</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95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01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4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Six Months Ended June 30, 2025: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36,912,118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279,423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244,576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(225,883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(21,893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276,797</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1,492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1,492</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82,768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(61</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(1,040,848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(3,498</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3,987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3,987</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(8,555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(8,555</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June 30, 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35,954,038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280,853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236,021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(229,381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(17,906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270,162</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Six Months Ended June 30,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38,852,742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273,256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298,884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(213,454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(14,657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344,598</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2,116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2,116</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44,175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(1,097,435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(6,495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(6,495</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(5,914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(5,914</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(28,414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(28,414</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June 30, 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37,799,482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275,329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270,470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(219,949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(20,571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305,848</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(Unaudited) </w:t>
      </w:r>
    </w:p>
    <w:p>
      <w:pPr>
        <w:pStyle w:val="TextBody"/>
        <w:bidi w:val="0"/>
        <w:spacing w:before="0" w:after="0"/>
        <w:jc w:val="left"/>
        <w:rPr/>
      </w:pPr>
      <w:r>
        <w:rPr/>
        <w:t> </w:t>
      </w:r>
    </w:p>
    <w:tbl>
      <w:tblPr>
        <w:tblW w:w="9161" w:type="dxa"/>
        <w:jc w:val="left"/>
        <w:tblInd w:w="0" w:type="dxa"/>
        <w:tblLayout w:type="fixed"/>
        <w:tblCellMar>
          <w:top w:w="0" w:type="dxa"/>
          <w:left w:w="0" w:type="dxa"/>
          <w:bottom w:w="0" w:type="dxa"/>
          <w:right w:w="0" w:type="dxa"/>
        </w:tblCellMar>
      </w:tblPr>
      <w:tblGrid>
        <w:gridCol w:w="5885"/>
        <w:gridCol w:w="120"/>
        <w:gridCol w:w="198"/>
        <w:gridCol w:w="1141"/>
        <w:gridCol w:w="220"/>
        <w:gridCol w:w="85"/>
        <w:gridCol w:w="198"/>
        <w:gridCol w:w="1144"/>
        <w:gridCol w:w="170"/>
      </w:tblGrid>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6"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6" w:type="dxa"/>
            <w:gridSpan w:val="6"/>
            <w:tcBorders/>
            <w:vAlign w:val="center"/>
          </w:tcPr>
          <w:p>
            <w:pPr>
              <w:pStyle w:val="TableContents"/>
              <w:bidi w:val="0"/>
              <w:spacing w:before="0" w:after="0"/>
              <w:jc w:val="center"/>
              <w:rPr>
                <w:b/>
                <w:spacing w:val="0"/>
              </w:rPr>
            </w:pPr>
            <w:r>
              <w:rPr>
                <w:b/>
                <w:spacing w:val="0"/>
              </w:rPr>
              <w:t>(In thousands of U.S. dollars)</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(8,555</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144" w:type="dxa"/>
            <w:tcBorders/>
            <w:vAlign w:val="center"/>
          </w:tcPr>
          <w:p>
            <w:pPr>
              <w:pStyle w:val="TableContents"/>
              <w:bidi w:val="0"/>
              <w:spacing w:before="0" w:after="283"/>
              <w:jc w:val="right"/>
              <w:rPr/>
            </w:pPr>
            <w:r>
              <w:rPr/>
              <w:t>(28,414</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6,661</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8,115</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severance benefits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2,175</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2,970</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(gain) on foreign currency, net</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(18,085</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16,848</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(reversal) for inventory reserves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845</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(1,024</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1,492</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2,116</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Impairment charges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7,362</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(649</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3,158</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476</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426</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(4,600</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(235</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(4,979</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(3,449</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(5,835</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601</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5,296</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896</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2,559</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1,944</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accounts payable</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(4,972</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(6,676</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(2,022</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(427</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income taxes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22</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(17</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(546</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453</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8</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(246</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of severance benefits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(9,843</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(1,362</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3,389</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(761</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141" w:type="dxa"/>
            <w:tcBorders/>
            <w:vAlign w:val="center"/>
          </w:tcPr>
          <w:p>
            <w:pPr>
              <w:pStyle w:val="TableContents"/>
              <w:bidi w:val="0"/>
              <w:spacing w:before="0" w:after="0"/>
              <w:jc w:val="left"/>
              <w:rPr>
                <w:bdr w:val="single" w:sz="2" w:space="1" w:color="000000"/>
              </w:rPr>
            </w:pPr>
            <w:r>
              <w:rPr>
                <w:bdr w:val="single" w:sz="2" w:space="1" w:color="000000"/>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14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(29,801</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(5,084</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settlement of hedge collateral</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2,237</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of hedge collateral</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(612</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 of property, plant and equipment</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(12,083</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(1,566</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for intellectual property registration</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(85</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(178</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Collection of guarantee deposits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2,336</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1,138</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of guarantee deposits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(297</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(1,910</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 of short-term financial instruments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(30,000</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180</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141" w:type="dxa"/>
            <w:tcBorders/>
            <w:vAlign w:val="center"/>
          </w:tcPr>
          <w:p>
            <w:pPr>
              <w:pStyle w:val="TableContents"/>
              <w:bidi w:val="0"/>
              <w:spacing w:before="0" w:after="0"/>
              <w:jc w:val="left"/>
              <w:rPr>
                <w:bdr w:val="single" w:sz="2" w:space="1" w:color="000000"/>
              </w:rPr>
            </w:pPr>
            <w:r>
              <w:rPr>
                <w:bdr w:val="single" w:sz="2" w:space="1" w:color="000000"/>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14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(7,712</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(33,128</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long-term borrowings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6,964</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30,059</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(4,020</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(6,859</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financing related to water treatment facility arrangement</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(225</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(238</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principal portion of finance lease liabilities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(80</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(69</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141" w:type="dxa"/>
            <w:tcBorders/>
            <w:vAlign w:val="center"/>
          </w:tcPr>
          <w:p>
            <w:pPr>
              <w:pStyle w:val="TableContents"/>
              <w:bidi w:val="0"/>
              <w:spacing w:before="0" w:after="0"/>
              <w:jc w:val="left"/>
              <w:rPr>
                <w:bdr w:val="single" w:sz="2" w:space="1" w:color="000000"/>
              </w:rPr>
            </w:pPr>
            <w:r>
              <w:rPr>
                <w:bdr w:val="single" w:sz="2" w:space="1" w:color="000000"/>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14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2,639</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22,893</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rates on cash and cash equivalents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9,590</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(10,306</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141" w:type="dxa"/>
            <w:tcBorders/>
            <w:vAlign w:val="center"/>
          </w:tcPr>
          <w:p>
            <w:pPr>
              <w:pStyle w:val="TableContents"/>
              <w:bidi w:val="0"/>
              <w:spacing w:before="0" w:after="0"/>
              <w:jc w:val="left"/>
              <w:rPr>
                <w:bdr w:val="single" w:sz="2" w:space="1" w:color="000000"/>
              </w:rPr>
            </w:pPr>
            <w:r>
              <w:rPr>
                <w:bdr w:val="single" w:sz="2" w:space="1" w:color="000000"/>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14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(25,284</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(25,625</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138,610</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158,092</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141" w:type="dxa"/>
            <w:tcBorders/>
            <w:vAlign w:val="center"/>
          </w:tcPr>
          <w:p>
            <w:pPr>
              <w:pStyle w:val="TableContents"/>
              <w:bidi w:val="0"/>
              <w:spacing w:before="0" w:after="0"/>
              <w:jc w:val="left"/>
              <w:rPr>
                <w:bdr w:val="single" w:sz="2" w:space="1" w:color="000000"/>
              </w:rPr>
            </w:pPr>
            <w:r>
              <w:rPr>
                <w:bdr w:val="single" w:sz="2" w:space="1" w:color="000000"/>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14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113,326</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144" w:type="dxa"/>
            <w:tcBorders/>
            <w:vAlign w:val="center"/>
          </w:tcPr>
          <w:p>
            <w:pPr>
              <w:pStyle w:val="TableContents"/>
              <w:bidi w:val="0"/>
              <w:spacing w:before="0" w:after="283"/>
              <w:jc w:val="right"/>
              <w:rPr/>
            </w:pPr>
            <w:r>
              <w:rPr/>
              <w:t>132,467</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double" w:sz="6" w:space="1" w:color="000000"/>
              </w:rPr>
            </w:pPr>
            <w:r>
              <w:rPr>
                <w:bdr w:val="double" w:sz="6" w:space="1" w:color="000000"/>
              </w:rPr>
              <w:t> </w:t>
            </w:r>
          </w:p>
        </w:tc>
        <w:tc>
          <w:tcPr>
            <w:tcW w:w="1141" w:type="dxa"/>
            <w:tcBorders/>
            <w:vAlign w:val="center"/>
          </w:tcPr>
          <w:p>
            <w:pPr>
              <w:pStyle w:val="TableContents"/>
              <w:bidi w:val="0"/>
              <w:spacing w:before="0" w:after="0"/>
              <w:jc w:val="left"/>
              <w:rPr>
                <w:bdr w:val="double" w:sz="6" w:space="1" w:color="000000"/>
              </w:rPr>
            </w:pPr>
            <w:r>
              <w:rPr>
                <w:bdr w:val="double" w:sz="6" w:space="1" w:color="000000"/>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double" w:sz="6" w:space="1" w:color="000000"/>
              </w:rPr>
            </w:pPr>
            <w:r>
              <w:rPr>
                <w:bdr w:val="double" w:sz="6" w:space="1" w:color="000000"/>
              </w:rPr>
              <w:t> </w:t>
            </w:r>
          </w:p>
        </w:tc>
        <w:tc>
          <w:tcPr>
            <w:tcW w:w="114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cash flow information</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interest on long-term borrowings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613</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144" w:type="dxa"/>
            <w:tcBorders/>
            <w:vAlign w:val="center"/>
          </w:tcPr>
          <w:p>
            <w:pPr>
              <w:pStyle w:val="TableContents"/>
              <w:bidi w:val="0"/>
              <w:spacing w:before="0" w:after="283"/>
              <w:jc w:val="right"/>
              <w:rPr/>
            </w:pPr>
            <w:r>
              <w:rPr/>
              <w:t>266</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refunded for income taxes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(1,168</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(716</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additions in other accounts payable</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939</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1,467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THOUSANDS, EXCEPT SHARE DATA) </w:t>
      </w:r>
    </w:p>
    <w:p>
      <w:pPr>
        <w:pStyle w:val="TextBody"/>
        <w:bidi w:val="0"/>
        <w:spacing w:before="240" w:after="0"/>
        <w:jc w:val="left"/>
        <w:rPr>
          <w:rFonts w:ascii="Times New Roman" w:hAnsi="Times New Roman"/>
          <w:b/>
          <w:sz w:val="20"/>
        </w:rPr>
      </w:pPr>
      <w:r>
        <w:rPr>
          <w:rFonts w:ascii="Times New Roman" w:hAnsi="Times New Roman"/>
          <w:b/>
          <w:sz w:val="20"/>
        </w:rPr>
        <w:t xml:space="preserve">1. Business, Basis of Presentation and Significant Accounting Policies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Business </w:t>
      </w:r>
    </w:p>
    <w:p>
      <w:pPr>
        <w:pStyle w:val="TextBody"/>
        <w:bidi w:val="0"/>
        <w:spacing w:before="120" w:after="0"/>
        <w:jc w:val="left"/>
        <w:rPr>
          <w:rFonts w:ascii="Times New Roman" w:hAnsi="Times New Roman"/>
          <w:sz w:val="20"/>
        </w:rPr>
      </w:pPr>
      <w:r>
        <w:rPr>
          <w:rFonts w:ascii="Times New Roman" w:hAnsi="Times New Roman"/>
          <w:sz w:val="20"/>
        </w:rPr>
        <w:t xml:space="preserve">Magnachip Semiconductor Corporation (together with its subsidiaries, the “Company”) is a designer and manufacturer of analog and mixed-signal power semiconductor platform solutions for various applications, including industrial, automotive, communication, consumer and computing.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develops and manufactures Power discrete products and develops Power integrated circuit (“IC”) products. Power discrete products include metal oxide semiconductor field effect transistors (“MOSFETs”) and insulated-gate bipolar transistors (“IGBTs”) for a range of devices, including televisions, smartphones, mobile phones, wearable devices, desktop personal computers (“PCs”), notebook PCs, tablet PCs, servers, other consumer electronics, as well as automotive and industrial applications such as power suppliers,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e-bikes,</w:t>
      </w:r>
    </w:p>
    <w:p>
      <w:pPr>
        <w:pStyle w:val="TextBody"/>
        <w:bidi w:val="0"/>
        <w:spacing w:before="240" w:after="0"/>
        <w:jc w:val="left"/>
        <w:rPr>
          <w:rFonts w:ascii="Times New Roman" w:hAnsi="Times New Roman"/>
          <w:sz w:val="20"/>
        </w:rPr>
      </w:pPr>
      <w:r>
        <w:rPr>
          <w:rFonts w:ascii="Times New Roman" w:hAnsi="Times New Roman"/>
          <w:sz w:val="20"/>
        </w:rPr>
        <w:t xml:space="preserve">solar inverters, LED lighting and motor drives. Power IC products include </w:t>
      </w:r>
    </w:p>
    <w:p>
      <w:pPr>
        <w:pStyle w:val="TextBody"/>
        <w:bidi w:val="0"/>
        <w:spacing w:before="240" w:after="0"/>
        <w:jc w:val="left"/>
        <w:rPr>
          <w:rFonts w:ascii="Times New Roman" w:hAnsi="Times New Roman"/>
          <w:spacing w:val="0"/>
          <w:sz w:val="20"/>
        </w:rPr>
      </w:pPr>
      <w:r>
        <w:rPr>
          <w:rFonts w:ascii="Times New Roman" w:hAnsi="Times New Roman"/>
          <w:spacing w:val="0"/>
          <w:sz w:val="20"/>
        </w:rPr>
        <w:t>AC-DC/DC-DC</w:t>
      </w:r>
    </w:p>
    <w:p>
      <w:pPr>
        <w:pStyle w:val="TextBody"/>
        <w:bidi w:val="0"/>
        <w:spacing w:before="240" w:after="0"/>
        <w:jc w:val="left"/>
        <w:rPr>
          <w:rFonts w:ascii="Times New Roman" w:hAnsi="Times New Roman"/>
          <w:sz w:val="20"/>
        </w:rPr>
      </w:pPr>
      <w:r>
        <w:rPr>
          <w:rFonts w:ascii="Times New Roman" w:hAnsi="Times New Roman"/>
          <w:sz w:val="20"/>
        </w:rPr>
        <w:t xml:space="preserve">converters, LED drivers, regulators, power management integrated circuits (“PMICs”) and level shifter for a range of devices, including televisions, wearable devices, notebooks, tablet PCs and others consumer electronics, as well as automotive applications. </w:t>
      </w:r>
    </w:p>
    <w:p>
      <w:pPr>
        <w:pStyle w:val="TextBody"/>
        <w:bidi w:val="0"/>
        <w:spacing w:before="240" w:after="0"/>
        <w:jc w:val="left"/>
        <w:rPr>
          <w:rFonts w:ascii="Times New Roman" w:hAnsi="Times New Roman"/>
          <w:sz w:val="20"/>
        </w:rPr>
      </w:pPr>
      <w:r>
        <w:rPr>
          <w:rFonts w:ascii="Times New Roman" w:hAnsi="Times New Roman"/>
          <w:sz w:val="20"/>
        </w:rPr>
        <w:t xml:space="preserve">In 2024, the Power IC business was operated by Magnachip Mixed-Signal, Ltd. (“MMS”), which later transferred the business to Magnachip Semiconductor, Ltd. (“MSK”) effective January 1, 2025, pursuant to an intercompany business transfer agreement executed between MMS and MSK. The transfer was based on the mutual understanding that consolidating the Power IC and Power Analog Solutions businesses under a single company would create a more effective framework for expanding and strengthening the Company’s business for Power products.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(“ASC”) 270, “Interim Reporting” and, accordingly, do not include all of the information and note disclosures required by U.S. GAAP for complete financial statements, except for the changes below.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reclassified certain prior year amounts to conform to the current year’s presentation for discontinued operations to reflect a plan to shut down the Company’s Display business and transition into a pure-play Power company. The assets and liabilities related to the discontinued Display business have not been reclassified on the consolidated balance sheets as of June 30, 2025. See Note 2 “Discontinued Operations” for additional information. The consolidated statements of cash flows have not been adjusted to separately disclose cash flows related to discontinued operations, but the material items in the operating and investing activities of cash flows relating to discontinued operations are disclosed in Note 2. Unless otherwise stated, information in these notes to consolidated financial statements relates to the Company’s continuing operations and excludes the discontinued operations.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no material changes to the Company’s significant accounting policies as of and for the six months ended June 30, 2025, except for those related to discontinued operations as described below, as compared to the significant accounting policies described in the Company’s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December 31, 2024.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Financial Accounting Standards Board (“FASB”) issued Accounting Standards Update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pPr>
      <w:r>
        <w:rPr/>
        <w:t>“</w:t>
      </w:r>
      <w:r>
        <w:rPr>
          <w:rFonts w:ascii="Times New Roman" w:hAnsi="Times New Roman"/>
          <w:sz w:val="20"/>
        </w:rPr>
        <w:t xml:space="preserve">Income Statement—Reporting Comprehensive Income—Expense Disaggregation Disclosures (Subtopic </w:t>
      </w:r>
    </w:p>
    <w:p>
      <w:pPr>
        <w:pStyle w:val="TextBody"/>
        <w:bidi w:val="0"/>
        <w:spacing w:before="120" w:after="0"/>
        <w:jc w:val="left"/>
        <w:rPr>
          <w:rFonts w:ascii="Times New Roman" w:hAnsi="Times New Roman"/>
          <w:spacing w:val="0"/>
          <w:sz w:val="20"/>
        </w:rPr>
      </w:pPr>
      <w:r>
        <w:rPr>
          <w:rFonts w:ascii="Times New Roman" w:hAnsi="Times New Roman"/>
          <w:spacing w:val="0"/>
          <w:sz w:val="20"/>
        </w:rPr>
        <w:t>220-40):</w:t>
      </w:r>
    </w:p>
    <w:p>
      <w:pPr>
        <w:pStyle w:val="TextBody"/>
        <w:bidi w:val="0"/>
        <w:spacing w:before="120" w:after="0"/>
        <w:jc w:val="left"/>
        <w:rPr>
          <w:rFonts w:ascii="Times New Roman" w:hAnsi="Times New Roman"/>
          <w:sz w:val="20"/>
        </w:rPr>
      </w:pPr>
      <w:r>
        <w:rPr>
          <w:rFonts w:ascii="Times New Roman" w:hAnsi="Times New Roman"/>
          <w:sz w:val="20"/>
        </w:rPr>
        <w:t xml:space="preserve">Disaggregation of Income Statement Expenses”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(“ASU 2024-03”).</w:t>
      </w:r>
    </w:p>
    <w:p>
      <w:pPr>
        <w:pStyle w:val="TextBody"/>
        <w:bidi w:val="0"/>
        <w:spacing w:before="120" w:after="0"/>
        <w:jc w:val="left"/>
        <w:rPr>
          <w:rFonts w:ascii="Times New Roman" w:hAnsi="Times New Roman"/>
          <w:sz w:val="20"/>
        </w:rPr>
      </w:pPr>
      <w:r>
        <w:rPr>
          <w:rFonts w:ascii="Times New Roman" w:hAnsi="Times New Roman"/>
          <w:sz w:val="20"/>
        </w:rPr>
        <w:t xml:space="preserve">Additionally, in January 2025,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2025-01</w:t>
      </w:r>
    </w:p>
    <w:p>
      <w:pPr>
        <w:pStyle w:val="TextBody"/>
        <w:bidi w:val="0"/>
        <w:spacing w:before="120" w:after="0"/>
        <w:jc w:val="left"/>
        <w:rPr>
          <w:rFonts w:ascii="Times New Roman" w:hAnsi="Times New Roman"/>
          <w:sz w:val="20"/>
        </w:rPr>
      </w:pPr>
      <w:r>
        <w:rPr>
          <w:rFonts w:ascii="Times New Roman" w:hAnsi="Times New Roman"/>
          <w:sz w:val="20"/>
        </w:rPr>
        <w:t xml:space="preserve">to clarify the effective date of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requires public companies to disclose, in the notes to the financial statements, specific information about certain costs and expenses at each interim and annual reporting period. This includes disclosing amounts related to purchases of inventory, employee compensation, depreciation, and intangible asset amortization. In addition, public companies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need to provide a qualitative description of the amounts remaining in relevant expense captions that are not separately disaggregated quantitatively. ASU </w:t>
      </w:r>
    </w:p>
    <w:p>
      <w:pPr>
        <w:pStyle w:val="TextBody"/>
        <w:bidi w:val="0"/>
        <w:spacing w:before="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0" w:after="0"/>
        <w:jc w:val="left"/>
        <w:rPr>
          <w:rFonts w:ascii="Times New Roman" w:hAnsi="Times New Roman"/>
          <w:sz w:val="20"/>
        </w:rPr>
      </w:pPr>
      <w:r>
        <w:rPr>
          <w:rFonts w:ascii="Times New Roman" w:hAnsi="Times New Roman"/>
          <w:sz w:val="20"/>
        </w:rPr>
        <w:t xml:space="preserve">is effective for public business entities for annual reporting periods beginning after December 15, 2026, and interim reporting periods beginning after December 15, 2027. Early adoption is permitted and the amendments in this update may be applied prospectively or retrospectively. The Company is currently evaluating the impact of this accounting standard update on its consolidated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 2023-09,</w:t>
      </w:r>
    </w:p>
    <w:p>
      <w:pPr>
        <w:pStyle w:val="TextBody"/>
        <w:bidi w:val="0"/>
        <w:spacing w:before="240" w:after="0"/>
        <w:jc w:val="left"/>
        <w:rPr/>
      </w:pPr>
      <w:r>
        <w:rPr/>
        <w:t>“</w:t>
      </w:r>
      <w:r>
        <w:rPr>
          <w:rFonts w:ascii="Times New Roman" w:hAnsi="Times New Roman"/>
          <w:sz w:val="20"/>
        </w:rPr>
        <w:t xml:space="preserve">Income Taxes (Topic 740): Improvements to Income Tax Disclosures”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(“ASU 2023-09”),</w:t>
      </w:r>
    </w:p>
    <w:p>
      <w:pPr>
        <w:pStyle w:val="TextBody"/>
        <w:bidi w:val="0"/>
        <w:spacing w:before="240" w:after="0"/>
        <w:jc w:val="left"/>
        <w:rPr>
          <w:rFonts w:ascii="Times New Roman" w:hAnsi="Times New Roman"/>
          <w:sz w:val="20"/>
        </w:rPr>
      </w:pPr>
      <w:r>
        <w:rPr>
          <w:rFonts w:ascii="Times New Roman" w:hAnsi="Times New Roman"/>
          <w:sz w:val="20"/>
        </w:rPr>
        <w:t xml:space="preserve">which intends to enhance the transparency and decision usefulness of income tax disclosures. It requires public business entities to disclose additional information in specified categories with respect to the reconciliation of the effective tax rate to the statutory rate for federal, state, and foreign income taxes. It also requires greater detail about individual reconciling items in the rate reconciliation to the extent the impact of those items exceeds a specified threshold.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240" w:after="0"/>
        <w:jc w:val="left"/>
        <w:rPr>
          <w:rFonts w:ascii="Times New Roman" w:hAnsi="Times New Roman"/>
          <w:sz w:val="20"/>
        </w:rPr>
      </w:pPr>
      <w:r>
        <w:rPr>
          <w:rFonts w:ascii="Times New Roman" w:hAnsi="Times New Roman"/>
          <w:sz w:val="20"/>
        </w:rPr>
        <w:t xml:space="preserve">is effective for annual periods beginning after December 15, 2024, though early adoption is permitted. The Company is currently evaluating the impact of this accounting standard update on its consolidated financial statements and related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2. Discontinued Operations </w:t>
      </w:r>
    </w:p>
    <w:p>
      <w:pPr>
        <w:pStyle w:val="TextBody"/>
        <w:bidi w:val="0"/>
        <w:spacing w:before="120" w:after="0"/>
        <w:jc w:val="left"/>
        <w:rPr>
          <w:rFonts w:ascii="Times New Roman" w:hAnsi="Times New Roman"/>
          <w:sz w:val="20"/>
        </w:rPr>
      </w:pPr>
      <w:r>
        <w:rPr>
          <w:rFonts w:ascii="Times New Roman" w:hAnsi="Times New Roman"/>
          <w:sz w:val="20"/>
        </w:rPr>
        <w:t xml:space="preserve">On March 7, 2025, the Company’s Board of Directors authorized a strategy to transition to a pure-play Power company, focusing its investments on the Power Analog Solutions and Power IC businesses to enhance profitability and maximize shareholder value. As part of this strategy, the Company explored all strategic options including a sale, merger, joint venture, licensing, and wind-down for its Display business (Display IC products). However, the Company was not able to consummate a transaction following several months of discussions with several interested parties on terms that the Company’s Board of Directors believed were in the best interests of the Company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Accordingly, on April 6, 2025, the Company’s Board of Directors unanimously approved the plan to shut down the Company’s Display business (the “Discontinued Business”), including the liquidation of MMS, the Company’s indirect wholly owned subsidiary that operated the Discontinued Business. As a result, the Display business qualifies as a discontinued operation in accordance with ASC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205-20.</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w:t>
      </w:r>
    </w:p>
    <w:p>
      <w:pPr>
        <w:pStyle w:val="TextBody"/>
        <w:bidi w:val="0"/>
        <w:spacing w:before="240" w:after="0"/>
        <w:jc w:val="left"/>
        <w:rPr>
          <w:rFonts w:ascii="Times New Roman" w:hAnsi="Times New Roman"/>
          <w:sz w:val="20"/>
        </w:rPr>
      </w:pPr>
      <w:r>
        <w:rPr>
          <w:rFonts w:ascii="Times New Roman" w:hAnsi="Times New Roman"/>
          <w:sz w:val="20"/>
        </w:rPr>
        <w:t xml:space="preserve">results </w:t>
      </w:r>
    </w:p>
    <w:p>
      <w:pPr>
        <w:pStyle w:val="TextBody"/>
        <w:bidi w:val="0"/>
        <w:spacing w:before="240" w:after="0"/>
        <w:jc w:val="left"/>
        <w:rPr>
          <w:rFonts w:ascii="Times New Roman" w:hAnsi="Times New Roman"/>
          <w:sz w:val="20"/>
        </w:rPr>
      </w:pPr>
      <w:r>
        <w:rPr>
          <w:rFonts w:ascii="Times New Roman" w:hAnsi="Times New Roman"/>
          <w:sz w:val="20"/>
        </w:rPr>
        <w:t xml:space="preserve">from discontinued operations, net of tax, for the three and six months ended June 30, 2025 and 2024 (in thousands): </w:t>
      </w:r>
    </w:p>
    <w:p>
      <w:pPr>
        <w:pStyle w:val="TextBody"/>
        <w:bidi w:val="0"/>
        <w:spacing w:before="0" w:after="0"/>
        <w:jc w:val="left"/>
        <w:rPr/>
      </w:pPr>
      <w:r>
        <w:rPr/>
        <w:t> </w:t>
      </w:r>
    </w:p>
    <w:tbl>
      <w:tblPr>
        <w:tblW w:w="9885" w:type="dxa"/>
        <w:jc w:val="left"/>
        <w:tblInd w:w="0" w:type="dxa"/>
        <w:tblLayout w:type="fixed"/>
        <w:tblCellMar>
          <w:top w:w="0" w:type="dxa"/>
          <w:left w:w="0" w:type="dxa"/>
          <w:bottom w:w="0" w:type="dxa"/>
          <w:right w:w="0" w:type="dxa"/>
        </w:tblCellMar>
      </w:tblPr>
      <w:tblGrid>
        <w:gridCol w:w="5045"/>
        <w:gridCol w:w="120"/>
        <w:gridCol w:w="155"/>
        <w:gridCol w:w="755"/>
        <w:gridCol w:w="172"/>
        <w:gridCol w:w="133"/>
        <w:gridCol w:w="155"/>
        <w:gridCol w:w="840"/>
        <w:gridCol w:w="155"/>
        <w:gridCol w:w="120"/>
        <w:gridCol w:w="140"/>
        <w:gridCol w:w="755"/>
        <w:gridCol w:w="155"/>
        <w:gridCol w:w="120"/>
        <w:gridCol w:w="140"/>
        <w:gridCol w:w="755"/>
        <w:gridCol w:w="170"/>
      </w:tblGrid>
      <w:tr>
        <w:trPr/>
        <w:tc>
          <w:tcPr>
            <w:tcW w:w="5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r>
          </w:p>
        </w:tc>
        <w:tc>
          <w:tcPr>
            <w:tcW w:w="17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17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170"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7,730</w:t>
            </w:r>
          </w:p>
        </w:tc>
        <w:tc>
          <w:tcPr>
            <w:tcW w:w="172"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6,771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17,286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12,400</w:t>
            </w:r>
          </w:p>
        </w:tc>
        <w:tc>
          <w:tcPr>
            <w:tcW w:w="170"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4,068</w:t>
            </w:r>
          </w:p>
        </w:tc>
        <w:tc>
          <w:tcPr>
            <w:tcW w:w="17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4,956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10,507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7,976</w:t>
            </w:r>
          </w:p>
        </w:tc>
        <w:tc>
          <w:tcPr>
            <w:tcW w:w="17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single" w:sz="2" w:space="1" w:color="000000"/>
              </w:rPr>
            </w:pPr>
            <w:r>
              <w:rPr>
                <w:bdr w:val="single" w:sz="2" w:space="1" w:color="000000"/>
              </w:rPr>
              <w:t> </w:t>
            </w:r>
          </w:p>
        </w:tc>
        <w:tc>
          <w:tcPr>
            <w:tcW w:w="84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3,662</w:t>
            </w:r>
          </w:p>
        </w:tc>
        <w:tc>
          <w:tcPr>
            <w:tcW w:w="172"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1,815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6,779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4,424</w:t>
            </w:r>
          </w:p>
        </w:tc>
        <w:tc>
          <w:tcPr>
            <w:tcW w:w="170"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(304</w:t>
            </w:r>
          </w:p>
        </w:tc>
        <w:tc>
          <w:tcPr>
            <w:tcW w:w="172"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1,999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3,723</w:t>
            </w:r>
          </w:p>
        </w:tc>
        <w:tc>
          <w:tcPr>
            <w:tcW w:w="170"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2,477</w:t>
            </w:r>
          </w:p>
        </w:tc>
        <w:tc>
          <w:tcPr>
            <w:tcW w:w="17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6,917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8,259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11,870</w:t>
            </w:r>
          </w:p>
        </w:tc>
        <w:tc>
          <w:tcPr>
            <w:tcW w:w="170"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charges</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1,561</w:t>
            </w:r>
          </w:p>
        </w:tc>
        <w:tc>
          <w:tcPr>
            <w:tcW w:w="172"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 and other charges</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7,460</w:t>
            </w:r>
          </w:p>
        </w:tc>
        <w:tc>
          <w:tcPr>
            <w:tcW w:w="17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7,587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single" w:sz="2" w:space="1" w:color="000000"/>
              </w:rPr>
            </w:pPr>
            <w:r>
              <w:rPr>
                <w:bdr w:val="single" w:sz="2" w:space="1" w:color="000000"/>
              </w:rPr>
              <w:t> </w:t>
            </w:r>
          </w:p>
        </w:tc>
        <w:tc>
          <w:tcPr>
            <w:tcW w:w="84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11,194</w:t>
            </w:r>
          </w:p>
        </w:tc>
        <w:tc>
          <w:tcPr>
            <w:tcW w:w="172"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8,916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18,135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15,593</w:t>
            </w:r>
          </w:p>
        </w:tc>
        <w:tc>
          <w:tcPr>
            <w:tcW w:w="170"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single" w:sz="2" w:space="1" w:color="000000"/>
              </w:rPr>
            </w:pPr>
            <w:r>
              <w:rPr>
                <w:bdr w:val="single" w:sz="2" w:space="1" w:color="000000"/>
              </w:rPr>
              <w:t> </w:t>
            </w:r>
          </w:p>
        </w:tc>
        <w:tc>
          <w:tcPr>
            <w:tcW w:w="84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 from discontinued operations</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(7,532</w:t>
            </w:r>
          </w:p>
        </w:tc>
        <w:tc>
          <w:tcPr>
            <w:tcW w:w="17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(7,101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(11,356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(11,169</w:t>
            </w:r>
          </w:p>
        </w:tc>
        <w:tc>
          <w:tcPr>
            <w:tcW w:w="170"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82</w:t>
            </w:r>
          </w:p>
        </w:tc>
        <w:tc>
          <w:tcPr>
            <w:tcW w:w="172"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166</w:t>
            </w:r>
          </w:p>
        </w:tc>
        <w:tc>
          <w:tcPr>
            <w:tcW w:w="170"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(93</w:t>
            </w:r>
          </w:p>
        </w:tc>
        <w:tc>
          <w:tcPr>
            <w:tcW w:w="17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(120</w:t>
            </w:r>
          </w:p>
        </w:tc>
        <w:tc>
          <w:tcPr>
            <w:tcW w:w="170"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gain (loss), net</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(437</w:t>
            </w:r>
          </w:p>
        </w:tc>
        <w:tc>
          <w:tcPr>
            <w:tcW w:w="172"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w:t>
            </w:r>
          </w:p>
        </w:tc>
        <w:tc>
          <w:tcPr>
            <w:tcW w:w="170"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w:t>
            </w:r>
          </w:p>
        </w:tc>
        <w:tc>
          <w:tcPr>
            <w:tcW w:w="17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single" w:sz="2" w:space="1" w:color="000000"/>
              </w:rPr>
            </w:pPr>
            <w:r>
              <w:rPr>
                <w:bdr w:val="single" w:sz="2" w:space="1" w:color="000000"/>
              </w:rPr>
              <w:t> </w:t>
            </w:r>
          </w:p>
        </w:tc>
        <w:tc>
          <w:tcPr>
            <w:tcW w:w="84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before income tax expense</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(7,975</w:t>
            </w:r>
          </w:p>
        </w:tc>
        <w:tc>
          <w:tcPr>
            <w:tcW w:w="172"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(7,006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(11,771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(11,068</w:t>
            </w:r>
          </w:p>
        </w:tc>
        <w:tc>
          <w:tcPr>
            <w:tcW w:w="170"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 net</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188</w:t>
            </w:r>
          </w:p>
        </w:tc>
        <w:tc>
          <w:tcPr>
            <w:tcW w:w="17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3,783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854</w:t>
            </w:r>
          </w:p>
        </w:tc>
        <w:tc>
          <w:tcPr>
            <w:tcW w:w="17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single" w:sz="2" w:space="1" w:color="000000"/>
              </w:rPr>
            </w:pPr>
            <w:r>
              <w:rPr>
                <w:bdr w:val="single" w:sz="2" w:space="1" w:color="000000"/>
              </w:rPr>
              <w:t> </w:t>
            </w:r>
          </w:p>
        </w:tc>
        <w:tc>
          <w:tcPr>
            <w:tcW w:w="84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net of tax</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(8,163</w:t>
            </w:r>
          </w:p>
        </w:tc>
        <w:tc>
          <w:tcPr>
            <w:tcW w:w="172"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(10,789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(11,959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(11,922</w:t>
            </w:r>
          </w:p>
        </w:tc>
        <w:tc>
          <w:tcPr>
            <w:tcW w:w="170"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double" w:sz="6" w:space="1" w:color="000000"/>
              </w:rPr>
            </w:pPr>
            <w:r>
              <w:rPr>
                <w:bdr w:val="double" w:sz="6" w:space="1" w:color="000000"/>
              </w:rPr>
              <w:t> </w:t>
            </w:r>
          </w:p>
        </w:tc>
        <w:tc>
          <w:tcPr>
            <w:tcW w:w="84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three and six months ended June 30, 2025, the Company recognized the impairment charges of $7,362 thousand, primarily related to certain design tool software contracts in connection with the </w:t>
      </w:r>
    </w:p>
    <w:p>
      <w:pPr>
        <w:pStyle w:val="TextBody"/>
        <w:bidi w:val="0"/>
        <w:spacing w:before="240" w:after="0"/>
        <w:jc w:val="left"/>
        <w:rPr>
          <w:rFonts w:ascii="Times New Roman" w:hAnsi="Times New Roman"/>
          <w:sz w:val="20"/>
        </w:rPr>
      </w:pPr>
      <w:r>
        <w:rPr>
          <w:rFonts w:ascii="Times New Roman" w:hAnsi="Times New Roman"/>
          <w:sz w:val="20"/>
        </w:rPr>
        <w:t xml:space="preserve">liquidation </w:t>
      </w:r>
    </w:p>
    <w:p>
      <w:pPr>
        <w:pStyle w:val="TextBody"/>
        <w:bidi w:val="0"/>
        <w:spacing w:before="240" w:after="0"/>
        <w:jc w:val="left"/>
        <w:rPr>
          <w:rFonts w:ascii="Times New Roman" w:hAnsi="Times New Roman"/>
          <w:sz w:val="20"/>
        </w:rPr>
      </w:pPr>
      <w:r>
        <w:rPr>
          <w:rFonts w:ascii="Times New Roman" w:hAnsi="Times New Roman"/>
          <w:sz w:val="20"/>
        </w:rPr>
        <w:t xml:space="preserve">of MMS.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supplemental cash flows information related to discontinued operations (in thousands): </w:t>
      </w:r>
    </w:p>
    <w:p>
      <w:pPr>
        <w:pStyle w:val="TextBody"/>
        <w:bidi w:val="0"/>
        <w:spacing w:before="0" w:after="0"/>
        <w:jc w:val="left"/>
        <w:rPr/>
      </w:pPr>
      <w:r>
        <w:rPr/>
        <w:t> </w:t>
      </w:r>
    </w:p>
    <w:tbl>
      <w:tblPr>
        <w:tblW w:w="4929" w:type="dxa"/>
        <w:jc w:val="left"/>
        <w:tblInd w:w="0" w:type="dxa"/>
        <w:tblLayout w:type="fixed"/>
        <w:tblCellMar>
          <w:top w:w="0" w:type="dxa"/>
          <w:left w:w="0" w:type="dxa"/>
          <w:bottom w:w="0" w:type="dxa"/>
          <w:right w:w="0" w:type="dxa"/>
        </w:tblCellMar>
      </w:tblPr>
      <w:tblGrid>
        <w:gridCol w:w="2615"/>
        <w:gridCol w:w="120"/>
        <w:gridCol w:w="178"/>
        <w:gridCol w:w="715"/>
        <w:gridCol w:w="198"/>
        <w:gridCol w:w="153"/>
        <w:gridCol w:w="235"/>
        <w:gridCol w:w="640"/>
        <w:gridCol w:w="75"/>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19"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198"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715" w:type="dxa"/>
            <w:tcBorders/>
            <w:shd w:fill="CCEEFF" w:val="clear"/>
            <w:vAlign w:val="center"/>
          </w:tcPr>
          <w:p>
            <w:pPr>
              <w:pStyle w:val="TableContents"/>
              <w:bidi w:val="0"/>
              <w:spacing w:before="0" w:after="283"/>
              <w:jc w:val="left"/>
              <w:rPr>
                <w:sz w:val="4"/>
                <w:szCs w:val="4"/>
              </w:rPr>
            </w:pPr>
            <w:r>
              <w:rPr>
                <w:sz w:val="4"/>
                <w:szCs w:val="4"/>
              </w:rPr>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6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715" w:type="dxa"/>
            <w:tcBorders/>
            <w:vAlign w:val="center"/>
          </w:tcPr>
          <w:p>
            <w:pPr>
              <w:pStyle w:val="TableContents"/>
              <w:bidi w:val="0"/>
              <w:spacing w:before="0" w:after="283"/>
              <w:jc w:val="right"/>
              <w:rPr/>
            </w:pPr>
            <w:r>
              <w:rPr/>
              <w:t>12</w:t>
            </w:r>
          </w:p>
        </w:tc>
        <w:tc>
          <w:tcPr>
            <w:tcW w:w="198"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719</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severance benefits</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t>(243</w:t>
            </w:r>
          </w:p>
        </w:tc>
        <w:tc>
          <w:tcPr>
            <w:tcW w:w="198"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637</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right"/>
              <w:rPr/>
            </w:pPr>
            <w:r>
              <w:rPr/>
              <w:t>(353</w:t>
            </w:r>
          </w:p>
        </w:tc>
        <w:tc>
          <w:tcPr>
            <w:tcW w:w="198"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235</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Impairment charges</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t>7,362</w:t>
            </w:r>
          </w:p>
        </w:tc>
        <w:tc>
          <w:tcPr>
            <w:tcW w:w="198"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5"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the Company ceased active operations of its Display business, it continues to have limited involvement post-shut down. Specifically, the Company’s Korean subsidiary, MSK, will continue to fulfill remaining customer obligations, including the sale of certain “end of life” (“EOL”) Display products. A small team has been retained to manage this transition and provide ongoing customer support. </w:t>
      </w:r>
    </w:p>
    <w:p>
      <w:pPr>
        <w:pStyle w:val="TextBody"/>
        <w:bidi w:val="0"/>
        <w:spacing w:before="240" w:after="0"/>
        <w:jc w:val="left"/>
        <w:rPr>
          <w:rFonts w:ascii="Times New Roman" w:hAnsi="Times New Roman"/>
          <w:sz w:val="20"/>
        </w:rPr>
      </w:pPr>
      <w:r>
        <w:rPr>
          <w:rFonts w:ascii="Times New Roman" w:hAnsi="Times New Roman"/>
          <w:sz w:val="20"/>
        </w:rPr>
        <w:t xml:space="preserve">As such, the result of these limited ongoing activities do not qualify for presentation as part of continuing operations and are instead presented as part of discontinued operations. The following table presents the revenue, gross profit and operating expenses related to the Company’s continuing involvement with the Discontinued Business for the periods presented (in thousands): </w:t>
      </w:r>
    </w:p>
    <w:p>
      <w:pPr>
        <w:pStyle w:val="TextBody"/>
        <w:bidi w:val="0"/>
        <w:spacing w:before="0" w:after="0"/>
        <w:jc w:val="left"/>
        <w:rPr/>
      </w:pPr>
      <w:r>
        <w:rPr/>
        <w:t> </w:t>
      </w:r>
    </w:p>
    <w:tbl>
      <w:tblPr>
        <w:tblW w:w="6120" w:type="dxa"/>
        <w:jc w:val="left"/>
        <w:tblInd w:w="0" w:type="dxa"/>
        <w:tblLayout w:type="fixed"/>
        <w:tblCellMar>
          <w:top w:w="0" w:type="dxa"/>
          <w:left w:w="0" w:type="dxa"/>
          <w:bottom w:w="0" w:type="dxa"/>
          <w:right w:w="0" w:type="dxa"/>
        </w:tblCellMar>
      </w:tblPr>
      <w:tblGrid>
        <w:gridCol w:w="1625"/>
        <w:gridCol w:w="120"/>
        <w:gridCol w:w="442"/>
        <w:gridCol w:w="1768"/>
        <w:gridCol w:w="60"/>
        <w:gridCol w:w="120"/>
        <w:gridCol w:w="382"/>
        <w:gridCol w:w="1528"/>
        <w:gridCol w:w="75"/>
      </w:tblGrid>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0"/>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center"/>
          </w:tcPr>
          <w:p>
            <w:pPr>
              <w:pStyle w:val="TableContents"/>
              <w:bidi w:val="0"/>
              <w:spacing w:before="0" w:after="0"/>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00" w:type="dxa"/>
            <w:gridSpan w:val="6"/>
            <w:tcBorders>
              <w:bottom w:val="single" w:sz="8" w:space="0" w:color="000000"/>
            </w:tcBorders>
            <w:tcMar>
              <w:bottom w:w="28" w:type="dxa"/>
            </w:tcMar>
            <w:vAlign w:val="center"/>
          </w:tcPr>
          <w:p>
            <w:pPr>
              <w:pStyle w:val="TableContents"/>
              <w:bidi w:val="0"/>
              <w:spacing w:before="0" w:after="0"/>
              <w:jc w:val="center"/>
              <w:rPr>
                <w:b/>
              </w:rPr>
            </w:pPr>
            <w:r>
              <w:rPr>
                <w:b/>
              </w:rPr>
              <w:t>June 30, 2025</w:t>
            </w:r>
          </w:p>
        </w:tc>
        <w:tc>
          <w:tcPr>
            <w:tcW w:w="7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2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w:t>
            </w:r>
          </w:p>
        </w:tc>
        <w:tc>
          <w:tcPr>
            <w:tcW w:w="1768" w:type="dxa"/>
            <w:tcBorders/>
            <w:shd w:fill="CCEEFF" w:val="clear"/>
            <w:vAlign w:val="center"/>
          </w:tcPr>
          <w:p>
            <w:pPr>
              <w:pStyle w:val="TableContents"/>
              <w:bidi w:val="0"/>
              <w:spacing w:before="0" w:after="283"/>
              <w:jc w:val="right"/>
              <w:rPr/>
            </w:pPr>
            <w:r>
              <w:rPr/>
              <w:t>2,318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w:t>
            </w:r>
          </w:p>
        </w:tc>
        <w:tc>
          <w:tcPr>
            <w:tcW w:w="1528" w:type="dxa"/>
            <w:tcBorders/>
            <w:shd w:fill="CCEEFF" w:val="clear"/>
            <w:vAlign w:val="center"/>
          </w:tcPr>
          <w:p>
            <w:pPr>
              <w:pStyle w:val="TableContents"/>
              <w:bidi w:val="0"/>
              <w:spacing w:before="0" w:after="283"/>
              <w:jc w:val="right"/>
              <w:rPr/>
            </w:pPr>
            <w:r>
              <w:rPr/>
              <w:t>2,318</w:t>
            </w:r>
          </w:p>
        </w:tc>
        <w:tc>
          <w:tcPr>
            <w:tcW w:w="75"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933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c>
          <w:tcPr>
            <w:tcW w:w="1528" w:type="dxa"/>
            <w:tcBorders/>
            <w:vAlign w:val="center"/>
          </w:tcPr>
          <w:p>
            <w:pPr>
              <w:pStyle w:val="TableContents"/>
              <w:bidi w:val="0"/>
              <w:spacing w:before="0" w:after="283"/>
              <w:jc w:val="right"/>
              <w:rPr/>
            </w:pPr>
            <w:r>
              <w:rPr/>
              <w:t>933</w:t>
            </w:r>
          </w:p>
        </w:tc>
        <w:tc>
          <w:tcPr>
            <w:tcW w:w="7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143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528" w:type="dxa"/>
            <w:tcBorders/>
            <w:shd w:fill="CCEEFF" w:val="clear"/>
            <w:vAlign w:val="center"/>
          </w:tcPr>
          <w:p>
            <w:pPr>
              <w:pStyle w:val="TableContents"/>
              <w:bidi w:val="0"/>
              <w:spacing w:before="0" w:after="283"/>
              <w:jc w:val="right"/>
              <w:rPr/>
            </w:pPr>
            <w:r>
              <w:rPr/>
              <w:t>143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sale of EOL </w:t>
      </w:r>
    </w:p>
    <w:p>
      <w:pPr>
        <w:pStyle w:val="TextBody"/>
        <w:bidi w:val="0"/>
        <w:spacing w:before="240" w:after="0"/>
        <w:jc w:val="left"/>
        <w:rPr>
          <w:rFonts w:ascii="Times New Roman" w:hAnsi="Times New Roman"/>
          <w:sz w:val="20"/>
        </w:rPr>
      </w:pPr>
      <w:r>
        <w:rPr>
          <w:rFonts w:ascii="Times New Roman" w:hAnsi="Times New Roman"/>
          <w:sz w:val="20"/>
        </w:rPr>
        <w:t xml:space="preserve">Display </w:t>
      </w:r>
    </w:p>
    <w:p>
      <w:pPr>
        <w:pStyle w:val="TextBody"/>
        <w:bidi w:val="0"/>
        <w:spacing w:before="240" w:after="0"/>
        <w:jc w:val="left"/>
        <w:rPr>
          <w:rFonts w:ascii="Times New Roman" w:hAnsi="Times New Roman"/>
          <w:sz w:val="20"/>
        </w:rPr>
      </w:pPr>
      <w:r>
        <w:rPr>
          <w:rFonts w:ascii="Times New Roman" w:hAnsi="Times New Roman"/>
          <w:sz w:val="20"/>
        </w:rPr>
        <w:t xml:space="preserve">products and the potential monetization of the intellectual property assets of the Discontinued Business are currently expected to generate cash inflow of approximately $20 million over a period of approximately 2 years from the second half of 2025, depending upon customer demand and monetization efforts of the Display intellectual property assets. </w:t>
      </w:r>
    </w:p>
    <w:p>
      <w:pPr>
        <w:pStyle w:val="TextBody"/>
        <w:bidi w:val="0"/>
        <w:spacing w:before="240" w:after="0"/>
        <w:jc w:val="left"/>
        <w:rPr>
          <w:rFonts w:ascii="Times New Roman" w:hAnsi="Times New Roman"/>
          <w:sz w:val="20"/>
        </w:rPr>
      </w:pPr>
      <w:r>
        <w:rPr>
          <w:rFonts w:ascii="Times New Roman" w:hAnsi="Times New Roman"/>
          <w:sz w:val="20"/>
        </w:rPr>
        <w:t xml:space="preserve">The total estimated cash cost of the liquidation is approximately $12 to $15 million, which is expected to be offset by the cash inflow that may be generated as described above.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z w:val="20"/>
        </w:rPr>
      </w:pPr>
      <w:r>
        <w:rPr>
          <w:rFonts w:ascii="Times New Roman" w:hAnsi="Times New Roman"/>
          <w:sz w:val="20"/>
        </w:rPr>
        <w:t xml:space="preserve">liquidation cost is expected to consist of statutory severance and other employee-related costs, contract termination charges and other associated costs. Of this estimated total cash cost, the Company paid $6.5 million of statutory severance and other employee-related costs in the second quarter of 2025. Further, the Company originally expected to pay certain contract termination charges in full along with the statutory severance and other employee-related costs, but negotiated with the respective vendors for those contract termination charges totaling $6.5 million to be paid over the duration of the remaining existing contract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3. 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as of June 30, 2025 and December 31, 2024 consist of the following (in thousands): </w:t>
      </w:r>
    </w:p>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2090"/>
        <w:gridCol w:w="120"/>
        <w:gridCol w:w="149"/>
        <w:gridCol w:w="726"/>
        <w:gridCol w:w="155"/>
        <w:gridCol w:w="120"/>
        <w:gridCol w:w="241"/>
        <w:gridCol w:w="1174"/>
        <w:gridCol w:w="170"/>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6,747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7,802</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Semi-finished goods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work-in-process</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34,517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26,797</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4,660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3,607</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in-transit</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142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61</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inventory reserve</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(8,495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(7,732</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single" w:sz="2" w:space="1" w:color="000000"/>
              </w:rPr>
            </w:pPr>
            <w:r>
              <w:rPr>
                <w:bdr w:val="single" w:sz="2" w:space="1" w:color="000000"/>
              </w:rPr>
              <w:t> </w:t>
            </w:r>
          </w:p>
        </w:tc>
        <w:tc>
          <w:tcPr>
            <w:tcW w:w="72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726" w:type="dxa"/>
            <w:tcBorders/>
            <w:vAlign w:val="center"/>
          </w:tcPr>
          <w:p>
            <w:pPr>
              <w:pStyle w:val="TableContents"/>
              <w:bidi w:val="0"/>
              <w:spacing w:before="0" w:after="283"/>
              <w:jc w:val="right"/>
              <w:rPr/>
            </w:pPr>
            <w:r>
              <w:rPr/>
              <w:t>37,571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30,535</w:t>
            </w:r>
          </w:p>
        </w:tc>
        <w:tc>
          <w:tcPr>
            <w:tcW w:w="1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72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Changes in inventory reserve for the three and six months ended June 30, 2025 and 2024 are as follows (in thousands): </w:t>
      </w:r>
    </w:p>
    <w:p>
      <w:pPr>
        <w:pStyle w:val="TextBody"/>
        <w:bidi w:val="0"/>
        <w:spacing w:before="0" w:after="0"/>
        <w:jc w:val="left"/>
        <w:rPr/>
      </w:pPr>
      <w:r>
        <w:rPr/>
        <w:t> </w:t>
      </w:r>
    </w:p>
    <w:tbl>
      <w:tblPr>
        <w:tblW w:w="9855" w:type="dxa"/>
        <w:jc w:val="left"/>
        <w:tblInd w:w="0" w:type="dxa"/>
        <w:tblLayout w:type="fixed"/>
        <w:tblCellMar>
          <w:top w:w="0" w:type="dxa"/>
          <w:left w:w="0" w:type="dxa"/>
          <w:bottom w:w="0" w:type="dxa"/>
          <w:right w:w="0" w:type="dxa"/>
        </w:tblCellMar>
      </w:tblPr>
      <w:tblGrid>
        <w:gridCol w:w="3440"/>
        <w:gridCol w:w="120"/>
        <w:gridCol w:w="266"/>
        <w:gridCol w:w="1209"/>
        <w:gridCol w:w="155"/>
        <w:gridCol w:w="120"/>
        <w:gridCol w:w="212"/>
        <w:gridCol w:w="963"/>
        <w:gridCol w:w="155"/>
        <w:gridCol w:w="120"/>
        <w:gridCol w:w="266"/>
        <w:gridCol w:w="1209"/>
        <w:gridCol w:w="155"/>
        <w:gridCol w:w="120"/>
        <w:gridCol w:w="183"/>
        <w:gridCol w:w="992"/>
        <w:gridCol w:w="170"/>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w:t>
              <w:br/>
              <w:t>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w:t>
              <w:br/>
              <w:t>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w:t>
              <w:br/>
              <w:t>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w:t>
              <w:br/>
              <w:t>Ended</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 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 2024</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(8,754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(7,732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(8,947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992" w:type="dxa"/>
            <w:tcBorders/>
            <w:shd w:fill="CCEEFF" w:val="clear"/>
            <w:vAlign w:val="center"/>
          </w:tcPr>
          <w:p>
            <w:pPr>
              <w:pStyle w:val="TableContents"/>
              <w:bidi w:val="0"/>
              <w:spacing w:before="0" w:after="283"/>
              <w:jc w:val="right"/>
              <w:rPr/>
            </w:pPr>
            <w:r>
              <w:rPr/>
              <w:t>(10,599</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reserve</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Inventory reserve charged to costs of sales</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(1,357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(3,656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(1,411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(2,961</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 of previously reserved inventory</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1,578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2,846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1,466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4,127</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jc w:val="left"/>
              <w:rPr>
                <w:bdr w:val="single" w:sz="2" w:space="1" w:color="000000"/>
              </w:rPr>
            </w:pPr>
            <w:r>
              <w:rPr>
                <w:bdr w:val="single" w:sz="2" w:space="1" w:color="000000"/>
              </w:rPr>
              <w:t> </w:t>
            </w:r>
          </w:p>
        </w:tc>
        <w:tc>
          <w:tcPr>
            <w:tcW w:w="96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bdr w:val="single" w:sz="2" w:space="1" w:color="000000"/>
              </w:rPr>
            </w:pPr>
            <w:r>
              <w:rPr>
                <w:bdr w:val="single" w:sz="2" w:space="1" w:color="000000"/>
              </w:rPr>
              <w:t> </w:t>
            </w:r>
          </w:p>
        </w:tc>
        <w:tc>
          <w:tcPr>
            <w:tcW w:w="99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221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(810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1,166</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Write off</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538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735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327</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adjustments</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(500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(688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290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565</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jc w:val="left"/>
              <w:rPr>
                <w:bdr w:val="single" w:sz="2" w:space="1" w:color="000000"/>
              </w:rPr>
            </w:pPr>
            <w:r>
              <w:rPr>
                <w:bdr w:val="single" w:sz="2" w:space="1" w:color="000000"/>
              </w:rPr>
              <w:t> </w:t>
            </w:r>
          </w:p>
        </w:tc>
        <w:tc>
          <w:tcPr>
            <w:tcW w:w="96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bdr w:val="single" w:sz="2" w:space="1" w:color="000000"/>
              </w:rPr>
            </w:pPr>
            <w:r>
              <w:rPr>
                <w:bdr w:val="single" w:sz="2" w:space="1" w:color="000000"/>
              </w:rPr>
              <w:t> </w:t>
            </w:r>
          </w:p>
        </w:tc>
        <w:tc>
          <w:tcPr>
            <w:tcW w:w="99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209" w:type="dxa"/>
            <w:tcBorders/>
            <w:vAlign w:val="center"/>
          </w:tcPr>
          <w:p>
            <w:pPr>
              <w:pStyle w:val="TableContents"/>
              <w:bidi w:val="0"/>
              <w:spacing w:before="0" w:after="283"/>
              <w:jc w:val="right"/>
              <w:rPr/>
            </w:pPr>
            <w:r>
              <w:rPr/>
              <w:t>(8,495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963" w:type="dxa"/>
            <w:tcBorders/>
            <w:vAlign w:val="center"/>
          </w:tcPr>
          <w:p>
            <w:pPr>
              <w:pStyle w:val="TableContents"/>
              <w:bidi w:val="0"/>
              <w:spacing w:before="0" w:after="283"/>
              <w:jc w:val="right"/>
              <w:rPr/>
            </w:pPr>
            <w:r>
              <w:rPr/>
              <w:t>(8,495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209" w:type="dxa"/>
            <w:tcBorders/>
            <w:vAlign w:val="center"/>
          </w:tcPr>
          <w:p>
            <w:pPr>
              <w:pStyle w:val="TableContents"/>
              <w:bidi w:val="0"/>
              <w:spacing w:before="0" w:after="283"/>
              <w:jc w:val="right"/>
              <w:rPr/>
            </w:pPr>
            <w:r>
              <w:rPr/>
              <w:t>(8,541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992" w:type="dxa"/>
            <w:tcBorders/>
            <w:vAlign w:val="center"/>
          </w:tcPr>
          <w:p>
            <w:pPr>
              <w:pStyle w:val="TableContents"/>
              <w:bidi w:val="0"/>
              <w:spacing w:before="0" w:after="283"/>
              <w:jc w:val="right"/>
              <w:rPr/>
            </w:pPr>
            <w:r>
              <w:rPr/>
              <w:t>(8,541</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double" w:sz="6" w:space="1" w:color="000000"/>
              </w:rPr>
            </w:pPr>
            <w:r>
              <w:rPr>
                <w:bdr w:val="double" w:sz="6" w:space="1" w:color="000000"/>
              </w:rPr>
              <w:t> </w:t>
            </w:r>
          </w:p>
        </w:tc>
        <w:tc>
          <w:tcPr>
            <w:tcW w:w="12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jc w:val="left"/>
              <w:rPr>
                <w:bdr w:val="double" w:sz="6" w:space="1" w:color="000000"/>
              </w:rPr>
            </w:pPr>
            <w:r>
              <w:rPr>
                <w:bdr w:val="double" w:sz="6" w:space="1" w:color="000000"/>
              </w:rPr>
              <w:t> </w:t>
            </w:r>
          </w:p>
        </w:tc>
        <w:tc>
          <w:tcPr>
            <w:tcW w:w="96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double" w:sz="6" w:space="1" w:color="000000"/>
              </w:rPr>
            </w:pPr>
            <w:r>
              <w:rPr>
                <w:bdr w:val="double" w:sz="6" w:space="1" w:color="000000"/>
              </w:rPr>
              <w:t> </w:t>
            </w:r>
          </w:p>
        </w:tc>
        <w:tc>
          <w:tcPr>
            <w:tcW w:w="12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bdr w:val="double" w:sz="6" w:space="1" w:color="000000"/>
              </w:rPr>
            </w:pPr>
            <w:r>
              <w:rPr>
                <w:bdr w:val="double" w:sz="6" w:space="1" w:color="000000"/>
              </w:rPr>
              <w:t> </w:t>
            </w:r>
          </w:p>
        </w:tc>
        <w:tc>
          <w:tcPr>
            <w:tcW w:w="99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t>
      </w:r>
    </w:p>
    <w:p>
      <w:pPr>
        <w:pStyle w:val="TextBody"/>
        <w:bidi w:val="0"/>
        <w:spacing w:before="240" w:after="0"/>
        <w:jc w:val="left"/>
        <w:rPr>
          <w:rFonts w:ascii="Times New Roman" w:hAnsi="Times New Roman"/>
          <w:spacing w:val="0"/>
          <w:sz w:val="20"/>
        </w:rPr>
      </w:pPr>
      <w:r>
        <w:rPr>
          <w:rFonts w:ascii="Times New Roman" w:hAnsi="Times New Roman"/>
          <w:spacing w:val="0"/>
          <w:sz w:val="20"/>
        </w:rPr>
        <w:t>work-in-process</w:t>
      </w:r>
    </w:p>
    <w:p>
      <w:pPr>
        <w:pStyle w:val="TextBody"/>
        <w:bidi w:val="0"/>
        <w:spacing w:before="240" w:after="0"/>
        <w:jc w:val="left"/>
        <w:rPr>
          <w:rFonts w:ascii="Times New Roman" w:hAnsi="Times New Roman"/>
          <w:sz w:val="20"/>
        </w:rPr>
      </w:pPr>
      <w:r>
        <w:rPr>
          <w:rFonts w:ascii="Times New Roman" w:hAnsi="Times New Roman"/>
          <w:sz w:val="20"/>
        </w:rPr>
        <w:t xml:space="preserve">and raw materials. Write off of this reserve is recognized only when the related inventory has been disposed or scrapped.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4.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as of June 30, 2025 and December 31, 2024 are comprised of the following (in thousands): </w:t>
      </w:r>
    </w:p>
    <w:p>
      <w:pPr>
        <w:pStyle w:val="TextBody"/>
        <w:bidi w:val="0"/>
        <w:spacing w:before="0" w:after="0"/>
        <w:jc w:val="left"/>
        <w:rPr/>
      </w:pPr>
      <w:r>
        <w:rPr/>
        <w:t> </w:t>
      </w:r>
    </w:p>
    <w:tbl>
      <w:tblPr>
        <w:tblW w:w="5835" w:type="dxa"/>
        <w:jc w:val="left"/>
        <w:tblInd w:w="0" w:type="dxa"/>
        <w:tblLayout w:type="fixed"/>
        <w:tblCellMar>
          <w:top w:w="0" w:type="dxa"/>
          <w:left w:w="0" w:type="dxa"/>
          <w:bottom w:w="0" w:type="dxa"/>
          <w:right w:w="0" w:type="dxa"/>
        </w:tblCellMar>
      </w:tblPr>
      <w:tblGrid>
        <w:gridCol w:w="2840"/>
        <w:gridCol w:w="120"/>
        <w:gridCol w:w="140"/>
        <w:gridCol w:w="875"/>
        <w:gridCol w:w="155"/>
        <w:gridCol w:w="120"/>
        <w:gridCol w:w="195"/>
        <w:gridCol w:w="1220"/>
        <w:gridCol w:w="170"/>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Buildings and related structures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23,705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21,873</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141,153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126,971</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606</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35,896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33,274</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201,376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182,724</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(131,561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(115,236</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12,178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11,237</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12,269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2,738</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94,262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81,463</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Aggregate depreciation expenses associated with our continuing operations totaled $6,517 thousand and $7,229 thousand for the six months ended June 30,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Kun-Pledge</w:t>
      </w:r>
    </w:p>
    <w:p>
      <w:pPr>
        <w:pStyle w:val="TextBody"/>
        <w:bidi w:val="0"/>
        <w:spacing w:before="240" w:after="0"/>
        <w:jc w:val="left"/>
        <w:rPr>
          <w:rFonts w:ascii="Times New Roman" w:hAnsi="Times New Roman"/>
          <w:sz w:val="20"/>
        </w:rPr>
      </w:pPr>
      <w:r>
        <w:rPr>
          <w:rFonts w:ascii="Times New Roman" w:hAnsi="Times New Roman"/>
          <w:sz w:val="20"/>
        </w:rPr>
        <w:t xml:space="preserve">(Mortgage) Agreement (the “Pledge Agreement”) with KDB pursuant to which MSK pledged its real property and buildings located in Gumi, Korea in favor of KDB. </w:t>
      </w:r>
    </w:p>
    <w:p>
      <w:pPr>
        <w:pStyle w:val="TextBody"/>
        <w:bidi w:val="0"/>
        <w:spacing w:before="240" w:after="0"/>
        <w:jc w:val="left"/>
        <w:rPr>
          <w:rFonts w:ascii="Times New Roman" w:hAnsi="Times New Roman"/>
          <w:sz w:val="20"/>
        </w:rPr>
      </w:pPr>
      <w:r>
        <w:rPr>
          <w:rFonts w:ascii="Times New Roman" w:hAnsi="Times New Roman"/>
          <w:sz w:val="20"/>
        </w:rPr>
        <w:t xml:space="preserve">On December 16, 2024, MSK executed a Standard Credit Agreement (as amended) (together with its General Terms and Conditions, the “Equipment Financing Credit Agreement”) with KDB. In connection with the Equipment Financing Credit Agreement, on December 8, 2024, MSK amended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Kun-Pledge</w:t>
      </w:r>
    </w:p>
    <w:p>
      <w:pPr>
        <w:pStyle w:val="TextBody"/>
        <w:bidi w:val="0"/>
        <w:spacing w:before="240" w:after="0"/>
        <w:jc w:val="left"/>
        <w:rPr>
          <w:rFonts w:ascii="Times New Roman" w:hAnsi="Times New Roman"/>
          <w:sz w:val="20"/>
        </w:rPr>
      </w:pPr>
      <w:r>
        <w:rPr>
          <w:rFonts w:ascii="Times New Roman" w:hAnsi="Times New Roman"/>
          <w:sz w:val="20"/>
        </w:rPr>
        <w:t xml:space="preserve">Agreement (the “Equipment Pledge Agreement”) with KDB, originally executed on or about March 26, 2024, to increase the maximum secured amount and to expand the scope of collateral to include certain machinery and equipment owned by MSK, which are located in its fabrication facility located in Gumi, Korea. </w:t>
      </w:r>
    </w:p>
    <w:p>
      <w:pPr>
        <w:pStyle w:val="TextBody"/>
        <w:bidi w:val="0"/>
        <w:spacing w:before="240" w:after="0"/>
        <w:jc w:val="left"/>
        <w:rPr>
          <w:rFonts w:ascii="Times New Roman" w:hAnsi="Times New Roman"/>
          <w:sz w:val="20"/>
        </w:rPr>
      </w:pPr>
      <w:r>
        <w:rPr>
          <w:rFonts w:ascii="Times New Roman" w:hAnsi="Times New Roman"/>
          <w:sz w:val="20"/>
        </w:rPr>
        <w:t xml:space="preserve">See “Note 11. Long-Term Borrowings” to these consolidated financial statements below for more information regarding the Loan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5.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Intangible assets as of June 30, 2025 and December 31, 2024 are comprised of the following (in thousands): </w:t>
      </w:r>
    </w:p>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2210"/>
        <w:gridCol w:w="120"/>
        <w:gridCol w:w="160"/>
        <w:gridCol w:w="640"/>
        <w:gridCol w:w="60"/>
        <w:gridCol w:w="120"/>
        <w:gridCol w:w="247"/>
        <w:gridCol w:w="1123"/>
        <w:gridCol w:w="155"/>
        <w:gridCol w:w="120"/>
        <w:gridCol w:w="215"/>
        <w:gridCol w:w="585"/>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2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 2025</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b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amortization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amount</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Intellectual property assets</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8,157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(7,657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585" w:type="dxa"/>
            <w:tcBorders/>
            <w:shd w:fill="CCEEFF" w:val="clear"/>
            <w:vAlign w:val="center"/>
          </w:tcPr>
          <w:p>
            <w:pPr>
              <w:pStyle w:val="TableContents"/>
              <w:bidi w:val="0"/>
              <w:spacing w:before="0" w:after="283"/>
              <w:jc w:val="right"/>
              <w:rPr/>
            </w:pPr>
            <w:r>
              <w:rPr/>
              <w:t>500</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bdr w:val="single" w:sz="2" w:space="1" w:color="000000"/>
              </w:rPr>
            </w:pPr>
            <w:r>
              <w:rPr>
                <w:bdr w:val="single" w:sz="2" w:space="1" w:color="000000"/>
              </w:rPr>
              <w:t> </w:t>
            </w:r>
          </w:p>
        </w:tc>
        <w:tc>
          <w:tcPr>
            <w:tcW w:w="58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8,157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(7,657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585" w:type="dxa"/>
            <w:tcBorders/>
            <w:vAlign w:val="center"/>
          </w:tcPr>
          <w:p>
            <w:pPr>
              <w:pStyle w:val="TableContents"/>
              <w:bidi w:val="0"/>
              <w:spacing w:before="0" w:after="283"/>
              <w:jc w:val="right"/>
              <w:rPr/>
            </w:pPr>
            <w:r>
              <w:rPr/>
              <w:t>500</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double" w:sz="6" w:space="1" w:color="000000"/>
              </w:rPr>
            </w:pPr>
            <w:r>
              <w:rPr>
                <w:bdr w:val="double" w:sz="6" w:space="1" w:color="000000"/>
              </w:rPr>
              <w:t> </w:t>
            </w:r>
          </w:p>
        </w:tc>
        <w:tc>
          <w:tcPr>
            <w:tcW w:w="112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bdr w:val="double" w:sz="6" w:space="1" w:color="000000"/>
              </w:rPr>
            </w:pPr>
            <w:r>
              <w:rPr>
                <w:bdr w:val="double" w:sz="6" w:space="1" w:color="000000"/>
              </w:rPr>
              <w:t> </w:t>
            </w:r>
          </w:p>
        </w:tc>
        <w:tc>
          <w:tcPr>
            <w:tcW w:w="585"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3620" w:type="dxa"/>
            <w:gridSpan w:val="12"/>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2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2024</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b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amortization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amount</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Intellectual property assets</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7,599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(7,092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585" w:type="dxa"/>
            <w:tcBorders/>
            <w:shd w:fill="CCEEFF" w:val="clear"/>
            <w:vAlign w:val="center"/>
          </w:tcPr>
          <w:p>
            <w:pPr>
              <w:pStyle w:val="TableContents"/>
              <w:bidi w:val="0"/>
              <w:spacing w:before="0" w:after="283"/>
              <w:jc w:val="right"/>
              <w:rPr/>
            </w:pPr>
            <w:r>
              <w:rPr/>
              <w:t>507</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bdr w:val="single" w:sz="2" w:space="1" w:color="000000"/>
              </w:rPr>
            </w:pPr>
            <w:r>
              <w:rPr>
                <w:bdr w:val="single" w:sz="2" w:space="1" w:color="000000"/>
              </w:rPr>
              <w:t> </w:t>
            </w:r>
          </w:p>
        </w:tc>
        <w:tc>
          <w:tcPr>
            <w:tcW w:w="58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7,599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(7,092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585" w:type="dxa"/>
            <w:tcBorders/>
            <w:vAlign w:val="center"/>
          </w:tcPr>
          <w:p>
            <w:pPr>
              <w:pStyle w:val="TableContents"/>
              <w:bidi w:val="0"/>
              <w:spacing w:before="0" w:after="283"/>
              <w:jc w:val="right"/>
              <w:rPr/>
            </w:pPr>
            <w:r>
              <w:rPr/>
              <w:t>507</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double" w:sz="6" w:space="1" w:color="000000"/>
              </w:rPr>
            </w:pPr>
            <w:r>
              <w:rPr>
                <w:bdr w:val="double" w:sz="6" w:space="1" w:color="000000"/>
              </w:rPr>
              <w:t> </w:t>
            </w:r>
          </w:p>
        </w:tc>
        <w:tc>
          <w:tcPr>
            <w:tcW w:w="112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bdr w:val="double" w:sz="6" w:space="1" w:color="000000"/>
              </w:rPr>
            </w:pPr>
            <w:r>
              <w:rPr>
                <w:bdr w:val="double" w:sz="6" w:space="1" w:color="000000"/>
              </w:rPr>
              <w:t> </w:t>
            </w:r>
          </w:p>
        </w:tc>
        <w:tc>
          <w:tcPr>
            <w:tcW w:w="585"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Aggregate amortization expenses associated with our continuing operations totaled $132 thousand and $166 thousand for the six months ended June 30, 2025 and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6.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operating and finance leases for buildings and other assets such as vehicles and office equipment. The Company’s leases have remaining lease terms ranging from one year to four years. </w:t>
      </w:r>
    </w:p>
    <w:p>
      <w:pPr>
        <w:pStyle w:val="TextBody"/>
        <w:bidi w:val="0"/>
        <w:spacing w:before="240" w:after="0"/>
        <w:jc w:val="left"/>
        <w:rPr>
          <w:rFonts w:ascii="Times New Roman" w:hAnsi="Times New Roman"/>
          <w:sz w:val="20"/>
        </w:rPr>
      </w:pPr>
      <w:r>
        <w:rPr>
          <w:rFonts w:ascii="Times New Roman" w:hAnsi="Times New Roman"/>
          <w:sz w:val="20"/>
        </w:rPr>
        <w:t xml:space="preserve">The tables below present financial information related to the Company’s leases. </w:t>
      </w:r>
    </w:p>
    <w:p>
      <w:pPr>
        <w:pStyle w:val="TextBody"/>
        <w:bidi w:val="0"/>
        <w:spacing w:before="240" w:after="0"/>
        <w:jc w:val="left"/>
        <w:rPr>
          <w:rFonts w:ascii="Times New Roman" w:hAnsi="Times New Roman"/>
          <w:sz w:val="20"/>
        </w:rPr>
      </w:pPr>
      <w:r>
        <w:rPr>
          <w:rFonts w:ascii="Times New Roman" w:hAnsi="Times New Roman"/>
          <w:sz w:val="20"/>
        </w:rPr>
        <w:t xml:space="preserve">Supplemental balance sheets information related to leases as of June 30, 2025 and December 31, 2024 are as follows (in thousands): </w:t>
      </w:r>
    </w:p>
    <w:p>
      <w:pPr>
        <w:pStyle w:val="TextBody"/>
        <w:bidi w:val="0"/>
        <w:spacing w:before="0" w:after="0"/>
        <w:jc w:val="left"/>
        <w:rPr/>
      </w:pPr>
      <w:r>
        <w:rPr/>
        <w:t> </w:t>
      </w:r>
    </w:p>
    <w:tbl>
      <w:tblPr>
        <w:tblW w:w="7415" w:type="dxa"/>
        <w:jc w:val="left"/>
        <w:tblInd w:w="0" w:type="dxa"/>
        <w:tblLayout w:type="fixed"/>
        <w:tblCellMar>
          <w:top w:w="0" w:type="dxa"/>
          <w:left w:w="0" w:type="dxa"/>
          <w:bottom w:w="0" w:type="dxa"/>
          <w:right w:w="0" w:type="dxa"/>
        </w:tblCellMar>
      </w:tblPr>
      <w:tblGrid>
        <w:gridCol w:w="1805"/>
        <w:gridCol w:w="120"/>
        <w:gridCol w:w="2825"/>
        <w:gridCol w:w="120"/>
        <w:gridCol w:w="175"/>
        <w:gridCol w:w="700"/>
        <w:gridCol w:w="60"/>
        <w:gridCol w:w="120"/>
        <w:gridCol w:w="283"/>
        <w:gridCol w:w="1132"/>
        <w:gridCol w:w="75"/>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Leases</w:t>
            </w:r>
          </w:p>
        </w:tc>
        <w:tc>
          <w:tcPr>
            <w:tcW w:w="12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Classification</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28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right-of-use assets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2,958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3,107</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w:t>
            </w:r>
          </w:p>
        </w:tc>
        <w:tc>
          <w:tcPr>
            <w:tcW w:w="120" w:type="dxa"/>
            <w:tcBorders/>
            <w:shd w:fill="CCEEFF" w:val="clear"/>
            <w:vAlign w:val="center"/>
          </w:tcPr>
          <w:p>
            <w:pPr>
              <w:pStyle w:val="TableContents"/>
              <w:bidi w:val="0"/>
              <w:spacing w:before="0" w:after="283"/>
              <w:jc w:val="left"/>
              <w:rPr/>
            </w:pPr>
            <w:r>
              <w:rPr/>
              <w:t>  </w:t>
            </w:r>
          </w:p>
        </w:tc>
        <w:tc>
          <w:tcPr>
            <w:tcW w:w="2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345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390</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single" w:sz="2" w:space="1" w:color="000000"/>
              </w:rPr>
            </w:pPr>
            <w:r>
              <w:rPr>
                <w:bdr w:val="single" w:sz="2" w:space="1" w:color="000000"/>
              </w:rPr>
              <w:t> </w:t>
            </w:r>
          </w:p>
        </w:tc>
        <w:tc>
          <w:tcPr>
            <w:tcW w:w="7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lease assets</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3,303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3,497</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double" w:sz="6" w:space="1" w:color="000000"/>
              </w:rPr>
            </w:pPr>
            <w:r>
              <w:rPr>
                <w:bdr w:val="double" w:sz="6" w:space="1" w:color="000000"/>
              </w:rPr>
              <w:t> </w:t>
            </w:r>
          </w:p>
        </w:tc>
        <w:tc>
          <w:tcPr>
            <w:tcW w:w="7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shd w:fill="CCEEFF" w:val="clear"/>
            <w:vAlign w:val="center"/>
          </w:tcPr>
          <w:p>
            <w:pPr>
              <w:pStyle w:val="TableContents"/>
              <w:bidi w:val="0"/>
              <w:spacing w:before="0" w:after="283"/>
              <w:jc w:val="left"/>
              <w:rPr/>
            </w:pPr>
            <w:r>
              <w:rPr/>
              <w:t>  </w:t>
            </w:r>
          </w:p>
        </w:tc>
        <w:tc>
          <w:tcPr>
            <w:tcW w:w="28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w:t>
            </w:r>
          </w:p>
        </w:tc>
        <w:tc>
          <w:tcPr>
            <w:tcW w:w="120" w:type="dxa"/>
            <w:tcBorders/>
            <w:shd w:fill="CCEEFF" w:val="clear"/>
            <w:vAlign w:val="center"/>
          </w:tcPr>
          <w:p>
            <w:pPr>
              <w:pStyle w:val="TableContents"/>
              <w:bidi w:val="0"/>
              <w:spacing w:before="0" w:after="283"/>
              <w:jc w:val="left"/>
              <w:rPr/>
            </w:pPr>
            <w:r>
              <w:rPr/>
              <w:t>  </w:t>
            </w:r>
          </w:p>
        </w:tc>
        <w:tc>
          <w:tcPr>
            <w:tcW w:w="2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1,572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1,393</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167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153</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shd w:fill="CCEEFF" w:val="clear"/>
            <w:vAlign w:val="center"/>
          </w:tcPr>
          <w:p>
            <w:pPr>
              <w:pStyle w:val="TableContents"/>
              <w:bidi w:val="0"/>
              <w:spacing w:before="0" w:after="283"/>
              <w:jc w:val="left"/>
              <w:rPr/>
            </w:pPr>
            <w:r>
              <w:rPr/>
              <w:t>  </w:t>
            </w:r>
          </w:p>
        </w:tc>
        <w:tc>
          <w:tcPr>
            <w:tcW w:w="28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1,382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1,823</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w:t>
            </w:r>
          </w:p>
        </w:tc>
        <w:tc>
          <w:tcPr>
            <w:tcW w:w="120" w:type="dxa"/>
            <w:tcBorders/>
            <w:shd w:fill="CCEEFF" w:val="clear"/>
            <w:vAlign w:val="center"/>
          </w:tcPr>
          <w:p>
            <w:pPr>
              <w:pStyle w:val="TableContents"/>
              <w:bidi w:val="0"/>
              <w:spacing w:before="0" w:after="283"/>
              <w:jc w:val="left"/>
              <w:rPr/>
            </w:pPr>
            <w:r>
              <w:rPr/>
              <w:t>  </w:t>
            </w:r>
          </w:p>
        </w:tc>
        <w:tc>
          <w:tcPr>
            <w:tcW w:w="2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233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294</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single" w:sz="2" w:space="1" w:color="000000"/>
              </w:rPr>
            </w:pPr>
            <w:r>
              <w:rPr>
                <w:bdr w:val="single" w:sz="2" w:space="1" w:color="000000"/>
              </w:rPr>
              <w:t> </w:t>
            </w:r>
          </w:p>
        </w:tc>
        <w:tc>
          <w:tcPr>
            <w:tcW w:w="7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lease liabilities</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3,354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3,663</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double" w:sz="6" w:space="1" w:color="000000"/>
              </w:rPr>
            </w:pPr>
            <w:r>
              <w:rPr>
                <w:bdr w:val="double" w:sz="6" w:space="1" w:color="000000"/>
              </w:rPr>
              <w:t> </w:t>
            </w:r>
          </w:p>
        </w:tc>
        <w:tc>
          <w:tcPr>
            <w:tcW w:w="7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weighted average remaining lease term and discount rate: </w:t>
      </w:r>
    </w:p>
    <w:p>
      <w:pPr>
        <w:pStyle w:val="TextBody"/>
        <w:bidi w:val="0"/>
        <w:spacing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3425"/>
        <w:gridCol w:w="120"/>
        <w:gridCol w:w="60"/>
        <w:gridCol w:w="875"/>
        <w:gridCol w:w="275"/>
        <w:gridCol w:w="60"/>
        <w:gridCol w:w="90"/>
        <w:gridCol w:w="1325"/>
        <w:gridCol w:w="290"/>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29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Weighted average remaining lease term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3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 years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2.5 years</w:t>
            </w:r>
          </w:p>
        </w:tc>
        <w:tc>
          <w:tcPr>
            <w:tcW w:w="29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 years</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2.9 years</w:t>
            </w:r>
          </w:p>
        </w:tc>
        <w:tc>
          <w:tcPr>
            <w:tcW w:w="29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Weighted average discount rate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6.8</w:t>
            </w:r>
          </w:p>
        </w:tc>
        <w:tc>
          <w:tcPr>
            <w:tcW w:w="29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7.1</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components of lease cost from continuing operations included in the Company’s consolidated statements of operations, are as follows (in thousands): </w:t>
      </w:r>
    </w:p>
    <w:p>
      <w:pPr>
        <w:pStyle w:val="TextBody"/>
        <w:bidi w:val="0"/>
        <w:spacing w:before="0" w:after="0"/>
        <w:jc w:val="left"/>
        <w:rPr/>
      </w:pPr>
      <w:r>
        <w:rPr/>
        <w:t> </w:t>
      </w:r>
    </w:p>
    <w:tbl>
      <w:tblPr>
        <w:tblW w:w="6717" w:type="dxa"/>
        <w:jc w:val="left"/>
        <w:tblInd w:w="0" w:type="dxa"/>
        <w:tblLayout w:type="fixed"/>
        <w:tblCellMar>
          <w:top w:w="0" w:type="dxa"/>
          <w:left w:w="0" w:type="dxa"/>
          <w:bottom w:w="0" w:type="dxa"/>
          <w:right w:w="0" w:type="dxa"/>
        </w:tblCellMar>
      </w:tblPr>
      <w:tblGrid>
        <w:gridCol w:w="2165"/>
        <w:gridCol w:w="120"/>
        <w:gridCol w:w="253"/>
        <w:gridCol w:w="688"/>
        <w:gridCol w:w="108"/>
        <w:gridCol w:w="217"/>
        <w:gridCol w:w="253"/>
        <w:gridCol w:w="691"/>
        <w:gridCol w:w="60"/>
        <w:gridCol w:w="120"/>
        <w:gridCol w:w="175"/>
        <w:gridCol w:w="700"/>
        <w:gridCol w:w="72"/>
        <w:gridCol w:w="145"/>
        <w:gridCol w:w="175"/>
        <w:gridCol w:w="700"/>
        <w:gridCol w:w="75"/>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6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516</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502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1,038</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1,010</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cost</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37</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73</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68</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8</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15</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bdr w:val="single" w:sz="2" w:space="1" w:color="000000"/>
              </w:rPr>
            </w:pPr>
            <w:r>
              <w:rPr>
                <w:bdr w:val="single" w:sz="2" w:space="1" w:color="000000"/>
              </w:rPr>
              <w:t> </w:t>
            </w:r>
          </w:p>
        </w:tc>
        <w:tc>
          <w:tcPr>
            <w:tcW w:w="688" w:type="dxa"/>
            <w:tcBorders/>
            <w:vAlign w:val="center"/>
          </w:tcPr>
          <w:p>
            <w:pPr>
              <w:pStyle w:val="TableContents"/>
              <w:bidi w:val="0"/>
              <w:spacing w:before="0" w:after="0"/>
              <w:jc w:val="left"/>
              <w:rPr>
                <w:bdr w:val="single" w:sz="2" w:space="1" w:color="000000"/>
              </w:rPr>
            </w:pPr>
            <w:r>
              <w:rPr>
                <w:bdr w:val="single" w:sz="2" w:space="1" w:color="000000"/>
              </w:rPr>
              <w:t> </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bdr w:val="single" w:sz="2" w:space="1" w:color="000000"/>
              </w:rPr>
            </w:pPr>
            <w:r>
              <w:rPr>
                <w:bdr w:val="single" w:sz="2" w:space="1" w:color="000000"/>
              </w:rPr>
              <w:t> </w:t>
            </w:r>
          </w:p>
        </w:tc>
        <w:tc>
          <w:tcPr>
            <w:tcW w:w="6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single" w:sz="2" w:space="1" w:color="000000"/>
              </w:rPr>
            </w:pPr>
            <w:r>
              <w:rPr>
                <w:bdr w:val="single" w:sz="2" w:space="1" w:color="000000"/>
              </w:rPr>
              <w:t> </w:t>
            </w:r>
          </w:p>
        </w:tc>
        <w:tc>
          <w:tcPr>
            <w:tcW w:w="700"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single" w:sz="2" w:space="1" w:color="000000"/>
              </w:rPr>
            </w:pPr>
            <w:r>
              <w:rPr>
                <w:bdr w:val="single" w:sz="2" w:space="1" w:color="000000"/>
              </w:rPr>
              <w:t> </w:t>
            </w:r>
          </w:p>
        </w:tc>
        <w:tc>
          <w:tcPr>
            <w:tcW w:w="7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561</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544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1,126</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1,097</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bdr w:val="double" w:sz="6" w:space="1" w:color="000000"/>
              </w:rPr>
            </w:pPr>
            <w:r>
              <w:rPr>
                <w:bdr w:val="double" w:sz="6" w:space="1" w:color="000000"/>
              </w:rPr>
              <w:t> </w:t>
            </w:r>
          </w:p>
        </w:tc>
        <w:tc>
          <w:tcPr>
            <w:tcW w:w="688" w:type="dxa"/>
            <w:tcBorders/>
            <w:vAlign w:val="center"/>
          </w:tcPr>
          <w:p>
            <w:pPr>
              <w:pStyle w:val="TableContents"/>
              <w:bidi w:val="0"/>
              <w:spacing w:before="0" w:after="0"/>
              <w:jc w:val="left"/>
              <w:rPr>
                <w:bdr w:val="double" w:sz="6" w:space="1" w:color="000000"/>
              </w:rPr>
            </w:pPr>
            <w:r>
              <w:rPr>
                <w:bdr w:val="double" w:sz="6" w:space="1" w:color="000000"/>
              </w:rPr>
              <w:t> </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bdr w:val="double" w:sz="6" w:space="1" w:color="000000"/>
              </w:rPr>
            </w:pPr>
            <w:r>
              <w:rPr>
                <w:bdr w:val="double" w:sz="6" w:space="1" w:color="000000"/>
              </w:rPr>
              <w:t> </w:t>
            </w:r>
          </w:p>
        </w:tc>
        <w:tc>
          <w:tcPr>
            <w:tcW w:w="6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double" w:sz="6" w:space="1" w:color="000000"/>
              </w:rPr>
            </w:pPr>
            <w:r>
              <w:rPr>
                <w:bdr w:val="double" w:sz="6" w:space="1" w:color="000000"/>
              </w:rPr>
              <w:t> </w:t>
            </w:r>
          </w:p>
        </w:tc>
        <w:tc>
          <w:tcPr>
            <w:tcW w:w="700" w:type="dxa"/>
            <w:tcBorders/>
            <w:vAlign w:val="center"/>
          </w:tcPr>
          <w:p>
            <w:pPr>
              <w:pStyle w:val="TableContents"/>
              <w:bidi w:val="0"/>
              <w:spacing w:before="0" w:after="0"/>
              <w:jc w:val="left"/>
              <w:rPr>
                <w:bdr w:val="double" w:sz="6" w:space="1" w:color="000000"/>
              </w:rPr>
            </w:pPr>
            <w:r>
              <w:rPr>
                <w:bdr w:val="double" w:sz="6"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double" w:sz="6" w:space="1" w:color="000000"/>
              </w:rPr>
            </w:pPr>
            <w:r>
              <w:rPr>
                <w:bdr w:val="double" w:sz="6" w:space="1" w:color="000000"/>
              </w:rPr>
              <w:t> </w:t>
            </w:r>
          </w:p>
        </w:tc>
        <w:tc>
          <w:tcPr>
            <w:tcW w:w="7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table does not include an immaterial cost of short-term leases for the three and six months ended June 30, 2025 and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lease information associated with continuing operations is as follows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53"/>
        <w:gridCol w:w="120"/>
        <w:gridCol w:w="253"/>
        <w:gridCol w:w="688"/>
        <w:gridCol w:w="108"/>
        <w:gridCol w:w="217"/>
        <w:gridCol w:w="253"/>
        <w:gridCol w:w="691"/>
        <w:gridCol w:w="60"/>
        <w:gridCol w:w="120"/>
        <w:gridCol w:w="175"/>
        <w:gridCol w:w="700"/>
        <w:gridCol w:w="71"/>
        <w:gridCol w:w="144"/>
        <w:gridCol w:w="175"/>
        <w:gridCol w:w="700"/>
        <w:gridCol w:w="77"/>
      </w:tblGrid>
      <w:tr>
        <w:trPr/>
        <w:tc>
          <w:tcPr>
            <w:tcW w:w="56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565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6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r>
          </w:p>
        </w:tc>
        <w:tc>
          <w:tcPr>
            <w:tcW w:w="77" w:type="dxa"/>
            <w:tcBorders/>
            <w:vAlign w:val="center"/>
          </w:tcPr>
          <w:p>
            <w:pPr>
              <w:pStyle w:val="TableContents"/>
              <w:bidi w:val="0"/>
              <w:spacing w:before="0" w:after="283"/>
              <w:jc w:val="left"/>
              <w:rPr/>
            </w:pPr>
            <w:r>
              <w:rPr/>
              <w:t> </w:t>
            </w:r>
          </w:p>
        </w:tc>
      </w:tr>
      <w:tr>
        <w:trPr/>
        <w:tc>
          <w:tcPr>
            <w:tcW w:w="565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71"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77" w:type="dxa"/>
            <w:tcBorders/>
            <w:vAlign w:val="center"/>
          </w:tcPr>
          <w:p>
            <w:pPr>
              <w:pStyle w:val="TableContents"/>
              <w:bidi w:val="0"/>
              <w:spacing w:before="0" w:after="283"/>
              <w:jc w:val="left"/>
              <w:rPr/>
            </w:pPr>
            <w:r>
              <w:rPr/>
              <w:t> </w:t>
            </w:r>
          </w:p>
        </w:tc>
      </w:tr>
      <w:tr>
        <w:trPr/>
        <w:tc>
          <w:tcPr>
            <w:tcW w:w="56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lease liabilities</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before="0" w:after="283"/>
              <w:jc w:val="left"/>
              <w:rPr>
                <w:sz w:val="4"/>
                <w:szCs w:val="4"/>
              </w:rPr>
            </w:pPr>
            <w:r>
              <w:rPr>
                <w:sz w:val="4"/>
                <w:szCs w:val="4"/>
              </w:rPr>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14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56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cash flows from operating leases</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491</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right"/>
              <w:rPr/>
            </w:pPr>
            <w:r>
              <w:rPr/>
              <w:t>513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1,151</w:t>
            </w:r>
          </w:p>
        </w:tc>
        <w:tc>
          <w:tcPr>
            <w:tcW w:w="71"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1,032</w:t>
            </w:r>
          </w:p>
        </w:tc>
        <w:tc>
          <w:tcPr>
            <w:tcW w:w="77" w:type="dxa"/>
            <w:tcBorders/>
            <w:vAlign w:val="center"/>
          </w:tcPr>
          <w:p>
            <w:pPr>
              <w:pStyle w:val="TableContents"/>
              <w:bidi w:val="0"/>
              <w:spacing w:before="0" w:after="283"/>
              <w:jc w:val="left"/>
              <w:rPr/>
            </w:pPr>
            <w:r>
              <w:rPr/>
              <w:t> </w:t>
            </w:r>
          </w:p>
        </w:tc>
      </w:tr>
      <w:tr>
        <w:trPr/>
        <w:tc>
          <w:tcPr>
            <w:tcW w:w="56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cash flows from finance leases</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8</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15</w:t>
            </w:r>
          </w:p>
        </w:tc>
        <w:tc>
          <w:tcPr>
            <w:tcW w:w="7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19</w:t>
            </w:r>
          </w:p>
        </w:tc>
        <w:tc>
          <w:tcPr>
            <w:tcW w:w="77" w:type="dxa"/>
            <w:tcBorders/>
            <w:shd w:fill="CCEEFF" w:val="clear"/>
            <w:vAlign w:val="center"/>
          </w:tcPr>
          <w:p>
            <w:pPr>
              <w:pStyle w:val="TableContents"/>
              <w:bidi w:val="0"/>
              <w:spacing w:before="0" w:after="283"/>
              <w:jc w:val="left"/>
              <w:rPr/>
            </w:pPr>
            <w:r>
              <w:rPr/>
              <w:t> </w:t>
            </w:r>
          </w:p>
        </w:tc>
      </w:tr>
      <w:tr>
        <w:trPr/>
        <w:tc>
          <w:tcPr>
            <w:tcW w:w="56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Financing cash flows from finance leases</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40</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78</w:t>
            </w:r>
          </w:p>
        </w:tc>
        <w:tc>
          <w:tcPr>
            <w:tcW w:w="71"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69</w:t>
            </w:r>
          </w:p>
        </w:tc>
        <w:tc>
          <w:tcPr>
            <w:tcW w:w="7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transaction amounts of lease liabilities arising from obtaining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assets were $1,147 thousand and $627 thousand for the six months ended June 30,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aggregate future lease payments for operating and finance leases as of June 30, 2025 are as follows (in thousands): </w:t>
      </w:r>
    </w:p>
    <w:p>
      <w:pPr>
        <w:pStyle w:val="TextBody"/>
        <w:bidi w:val="0"/>
        <w:spacing w:before="0" w:after="0"/>
        <w:jc w:val="left"/>
        <w:rPr/>
      </w:pPr>
      <w:r>
        <w:rPr/>
        <w:t> </w:t>
      </w:r>
    </w:p>
    <w:tbl>
      <w:tblPr>
        <w:tblW w:w="5125" w:type="dxa"/>
        <w:jc w:val="left"/>
        <w:tblInd w:w="0" w:type="dxa"/>
        <w:tblLayout w:type="fixed"/>
        <w:tblCellMar>
          <w:top w:w="0" w:type="dxa"/>
          <w:left w:w="0" w:type="dxa"/>
          <w:bottom w:w="0" w:type="dxa"/>
          <w:right w:w="0" w:type="dxa"/>
        </w:tblCellMar>
      </w:tblPr>
      <w:tblGrid>
        <w:gridCol w:w="2675"/>
        <w:gridCol w:w="120"/>
        <w:gridCol w:w="211"/>
        <w:gridCol w:w="844"/>
        <w:gridCol w:w="155"/>
        <w:gridCol w:w="120"/>
        <w:gridCol w:w="223"/>
        <w:gridCol w:w="607"/>
        <w:gridCol w:w="170"/>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Operating</w:t>
              <w:br/>
              <w:t>Leases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Finance</w:t>
            </w:r>
          </w:p>
          <w:p>
            <w:pPr>
              <w:pStyle w:val="TableContents"/>
              <w:bidi w:val="0"/>
              <w:spacing w:before="0" w:after="0"/>
              <w:jc w:val="center"/>
              <w:rPr>
                <w:b/>
                <w:spacing w:val="0"/>
              </w:rPr>
            </w:pPr>
            <w:r>
              <w:rPr>
                <w:b/>
                <w:spacing w:val="0"/>
              </w:rPr>
              <w:br/>
              <w:t>Leases</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Remainder of 2025</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44" w:type="dxa"/>
            <w:tcBorders/>
            <w:shd w:fill="CCEEFF" w:val="clear"/>
            <w:vAlign w:val="center"/>
          </w:tcPr>
          <w:p>
            <w:pPr>
              <w:pStyle w:val="TableContents"/>
              <w:bidi w:val="0"/>
              <w:spacing w:before="0" w:after="283"/>
              <w:jc w:val="right"/>
              <w:rPr/>
            </w:pPr>
            <w:r>
              <w:rPr/>
              <w:t>849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607" w:type="dxa"/>
            <w:tcBorders/>
            <w:shd w:fill="CCEEFF" w:val="clear"/>
            <w:vAlign w:val="center"/>
          </w:tcPr>
          <w:p>
            <w:pPr>
              <w:pStyle w:val="TableContents"/>
              <w:bidi w:val="0"/>
              <w:spacing w:before="0" w:after="283"/>
              <w:jc w:val="right"/>
              <w:rPr/>
            </w:pPr>
            <w:r>
              <w:rPr/>
              <w:t>95</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1,575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right"/>
              <w:rPr/>
            </w:pPr>
            <w:r>
              <w:rPr/>
              <w:t>178</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721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143</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right"/>
              <w:rPr/>
            </w:pPr>
            <w:r>
              <w:rPr/>
              <w:t>19</w:t>
            </w:r>
          </w:p>
        </w:tc>
        <w:tc>
          <w:tcPr>
            <w:tcW w:w="17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jc w:val="left"/>
              <w:rPr>
                <w:bdr w:val="single" w:sz="2" w:space="1" w:color="000000"/>
              </w:rPr>
            </w:pPr>
            <w:r>
              <w:rPr>
                <w:bdr w:val="single" w:sz="2" w:space="1" w:color="000000"/>
              </w:rPr>
              <w:t> </w:t>
            </w:r>
          </w:p>
        </w:tc>
        <w:tc>
          <w:tcPr>
            <w:tcW w:w="84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single" w:sz="2" w:space="1" w:color="000000"/>
              </w:rPr>
            </w:pPr>
            <w:r>
              <w:rPr>
                <w:bdr w:val="single" w:sz="2" w:space="1" w:color="000000"/>
              </w:rPr>
              <w:t> </w:t>
            </w:r>
          </w:p>
        </w:tc>
        <w:tc>
          <w:tcPr>
            <w:tcW w:w="60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future lease payments</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3,156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435</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(202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right"/>
              <w:rPr/>
            </w:pPr>
            <w:r>
              <w:rPr/>
              <w:t>(35</w:t>
            </w:r>
          </w:p>
        </w:tc>
        <w:tc>
          <w:tcPr>
            <w:tcW w:w="17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jc w:val="left"/>
              <w:rPr>
                <w:bdr w:val="single" w:sz="2" w:space="1" w:color="000000"/>
              </w:rPr>
            </w:pPr>
            <w:r>
              <w:rPr>
                <w:bdr w:val="single" w:sz="2" w:space="1" w:color="000000"/>
              </w:rPr>
              <w:t> </w:t>
            </w:r>
          </w:p>
        </w:tc>
        <w:tc>
          <w:tcPr>
            <w:tcW w:w="84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single" w:sz="2" w:space="1" w:color="000000"/>
              </w:rPr>
            </w:pPr>
            <w:r>
              <w:rPr>
                <w:bdr w:val="single" w:sz="2" w:space="1" w:color="000000"/>
              </w:rPr>
              <w:t> </w:t>
            </w:r>
          </w:p>
        </w:tc>
        <w:tc>
          <w:tcPr>
            <w:tcW w:w="60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future payments</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44" w:type="dxa"/>
            <w:tcBorders/>
            <w:shd w:fill="CCEEFF" w:val="clear"/>
            <w:vAlign w:val="center"/>
          </w:tcPr>
          <w:p>
            <w:pPr>
              <w:pStyle w:val="TableContents"/>
              <w:bidi w:val="0"/>
              <w:spacing w:before="0" w:after="283"/>
              <w:jc w:val="right"/>
              <w:rPr/>
            </w:pPr>
            <w:r>
              <w:rPr/>
              <w:t>2,954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607" w:type="dxa"/>
            <w:tcBorders/>
            <w:shd w:fill="CCEEFF" w:val="clear"/>
            <w:vAlign w:val="center"/>
          </w:tcPr>
          <w:p>
            <w:pPr>
              <w:pStyle w:val="TableContents"/>
              <w:bidi w:val="0"/>
              <w:spacing w:before="0" w:after="283"/>
              <w:jc w:val="right"/>
              <w:rPr/>
            </w:pPr>
            <w:r>
              <w:rPr/>
              <w:t>400</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jc w:val="left"/>
              <w:rPr>
                <w:bdr w:val="double" w:sz="6" w:space="1" w:color="000000"/>
              </w:rPr>
            </w:pPr>
            <w:r>
              <w:rPr>
                <w:bdr w:val="double" w:sz="6" w:space="1" w:color="000000"/>
              </w:rPr>
              <w:t> </w:t>
            </w:r>
          </w:p>
        </w:tc>
        <w:tc>
          <w:tcPr>
            <w:tcW w:w="84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double" w:sz="6" w:space="1" w:color="000000"/>
              </w:rPr>
            </w:pPr>
            <w:r>
              <w:rPr>
                <w:bdr w:val="double" w:sz="6" w:space="1" w:color="000000"/>
              </w:rPr>
              <w:t> </w:t>
            </w:r>
          </w:p>
        </w:tc>
        <w:tc>
          <w:tcPr>
            <w:tcW w:w="607"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7.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as of June 30, 2025 and December 31, 2024 are comprised of the following (in thousands): </w:t>
      </w:r>
    </w:p>
    <w:p>
      <w:pPr>
        <w:pStyle w:val="TextBody"/>
        <w:bidi w:val="0"/>
        <w:spacing w:before="0" w:after="0"/>
        <w:jc w:val="left"/>
        <w:rPr/>
      </w:pPr>
      <w:r>
        <w:rPr/>
        <w:t> </w:t>
      </w:r>
    </w:p>
    <w:tbl>
      <w:tblPr>
        <w:tblW w:w="7875" w:type="dxa"/>
        <w:jc w:val="left"/>
        <w:tblInd w:w="0" w:type="dxa"/>
        <w:tblLayout w:type="fixed"/>
        <w:tblCellMar>
          <w:top w:w="0" w:type="dxa"/>
          <w:left w:w="0" w:type="dxa"/>
          <w:bottom w:w="0" w:type="dxa"/>
          <w:right w:w="0" w:type="dxa"/>
        </w:tblCellMar>
      </w:tblPr>
      <w:tblGrid>
        <w:gridCol w:w="5210"/>
        <w:gridCol w:w="120"/>
        <w:gridCol w:w="175"/>
        <w:gridCol w:w="700"/>
        <w:gridCol w:w="60"/>
        <w:gridCol w:w="120"/>
        <w:gridCol w:w="283"/>
        <w:gridCol w:w="1132"/>
        <w:gridCol w:w="75"/>
      </w:tblGrid>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Payroll, benefits and related taxes, excluding severance benefits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6,077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5,518</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Withholding tax attributable to intercompany interest income</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677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1,419</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Outside service fees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1,192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1,221</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483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490</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single" w:sz="2" w:space="1" w:color="000000"/>
              </w:rPr>
            </w:pPr>
            <w:r>
              <w:rPr>
                <w:bdr w:val="single" w:sz="2" w:space="1" w:color="000000"/>
              </w:rPr>
              <w:t> </w:t>
            </w:r>
          </w:p>
        </w:tc>
        <w:tc>
          <w:tcPr>
            <w:tcW w:w="7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8,429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8,648</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double" w:sz="6" w:space="1" w:color="000000"/>
              </w:rPr>
            </w:pPr>
            <w:r>
              <w:rPr>
                <w:bdr w:val="double" w:sz="6" w:space="1" w:color="000000"/>
              </w:rPr>
              <w:t> </w:t>
            </w:r>
          </w:p>
        </w:tc>
        <w:tc>
          <w:tcPr>
            <w:tcW w:w="7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8. Derivative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Korean subsidiary, Magnachip Semiconductor, Ltd., from time to time has entered into zero cost collar contracts to hedge the risk of changes in the functional-currency-equivalent cash flows attributable to currency rate changes on U.S. dollar denominated revenues. </w:t>
      </w:r>
    </w:p>
    <w:p>
      <w:pPr>
        <w:pStyle w:val="TextBody"/>
        <w:bidi w:val="0"/>
        <w:spacing w:before="240" w:after="0"/>
        <w:jc w:val="left"/>
        <w:rPr>
          <w:rFonts w:ascii="Times New Roman" w:hAnsi="Times New Roman"/>
          <w:sz w:val="20"/>
        </w:rPr>
      </w:pPr>
      <w:r>
        <w:rPr>
          <w:rFonts w:ascii="Times New Roman" w:hAnsi="Times New Roman"/>
          <w:sz w:val="20"/>
        </w:rPr>
        <w:t xml:space="preserve">Details of the zero cost collar contracts as of June 30, 2025 are as follows (in thousands): </w:t>
      </w:r>
    </w:p>
    <w:p>
      <w:pPr>
        <w:pStyle w:val="TextBody"/>
        <w:bidi w:val="0"/>
        <w:spacing w:before="0" w:after="0"/>
        <w:jc w:val="left"/>
        <w:rPr/>
      </w:pPr>
      <w:r>
        <w:rPr/>
        <w:t> </w:t>
      </w:r>
    </w:p>
    <w:tbl>
      <w:tblPr>
        <w:tblW w:w="7380" w:type="dxa"/>
        <w:jc w:val="left"/>
        <w:tblInd w:w="0" w:type="dxa"/>
        <w:tblLayout w:type="fixed"/>
        <w:tblCellMar>
          <w:top w:w="0" w:type="dxa"/>
          <w:left w:w="0" w:type="dxa"/>
          <w:bottom w:w="0" w:type="dxa"/>
          <w:right w:w="0" w:type="dxa"/>
        </w:tblCellMar>
      </w:tblPr>
      <w:tblGrid>
        <w:gridCol w:w="1520"/>
        <w:gridCol w:w="120"/>
        <w:gridCol w:w="457"/>
        <w:gridCol w:w="1828"/>
        <w:gridCol w:w="60"/>
        <w:gridCol w:w="120"/>
        <w:gridCol w:w="60"/>
        <w:gridCol w:w="3140"/>
        <w:gridCol w:w="75"/>
      </w:tblGrid>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Date of transaction</w:t>
            </w:r>
          </w:p>
        </w:tc>
        <w:tc>
          <w:tcPr>
            <w:tcW w:w="120" w:type="dxa"/>
            <w:tcBorders/>
            <w:vAlign w:val="center"/>
          </w:tcPr>
          <w:p>
            <w:pPr>
              <w:pStyle w:val="TableContents"/>
              <w:bidi w:val="0"/>
              <w:spacing w:before="0" w:after="283"/>
              <w:jc w:val="left"/>
              <w:rPr/>
            </w:pPr>
            <w:r>
              <w:rPr/>
              <w:t>  </w:t>
            </w:r>
          </w:p>
        </w:tc>
        <w:tc>
          <w:tcPr>
            <w:tcW w:w="22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notional 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Month of settlement</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July 09, 2024</w:t>
            </w:r>
          </w:p>
        </w:tc>
        <w:tc>
          <w:tcPr>
            <w:tcW w:w="12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w:t>
            </w:r>
          </w:p>
        </w:tc>
        <w:tc>
          <w:tcPr>
            <w:tcW w:w="1828" w:type="dxa"/>
            <w:tcBorders/>
            <w:shd w:fill="CCEEFF" w:val="clear"/>
            <w:vAlign w:val="center"/>
          </w:tcPr>
          <w:p>
            <w:pPr>
              <w:pStyle w:val="TableContents"/>
              <w:bidi w:val="0"/>
              <w:spacing w:before="0" w:after="283"/>
              <w:jc w:val="right"/>
              <w:rPr/>
            </w:pPr>
            <w:r>
              <w:rPr/>
              <w:t>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40" w:type="dxa"/>
            <w:tcBorders/>
            <w:shd w:fill="CCEEFF" w:val="clear"/>
            <w:vAlign w:val="center"/>
          </w:tcPr>
          <w:p>
            <w:pPr>
              <w:pStyle w:val="TableContents"/>
              <w:bidi w:val="0"/>
              <w:spacing w:before="0" w:after="283"/>
              <w:jc w:val="right"/>
              <w:rPr/>
            </w:pPr>
            <w:r>
              <w:rPr/>
              <w:t>July 2025 to September 2025</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October 17, 2024</w:t>
            </w:r>
          </w:p>
        </w:tc>
        <w:tc>
          <w:tcPr>
            <w:tcW w:w="120" w:type="dxa"/>
            <w:tcBorders/>
            <w:vAlign w:val="center"/>
          </w:tcPr>
          <w:p>
            <w:pPr>
              <w:pStyle w:val="TableContents"/>
              <w:bidi w:val="0"/>
              <w:spacing w:before="0" w:after="283"/>
              <w:jc w:val="left"/>
              <w:rPr/>
            </w:pPr>
            <w:r>
              <w:rPr/>
              <w:t>  </w:t>
            </w:r>
          </w:p>
        </w:tc>
        <w:tc>
          <w:tcPr>
            <w:tcW w:w="457" w:type="dxa"/>
            <w:tcBorders/>
            <w:vAlign w:val="center"/>
          </w:tcPr>
          <w:p>
            <w:pPr>
              <w:pStyle w:val="TableContents"/>
              <w:bidi w:val="0"/>
              <w:spacing w:before="0" w:after="283"/>
              <w:jc w:val="left"/>
              <w:rPr/>
            </w:pPr>
            <w:r>
              <w:rPr/>
              <w:t>$</w:t>
            </w:r>
          </w:p>
        </w:tc>
        <w:tc>
          <w:tcPr>
            <w:tcW w:w="1828" w:type="dxa"/>
            <w:tcBorders/>
            <w:vAlign w:val="center"/>
          </w:tcPr>
          <w:p>
            <w:pPr>
              <w:pStyle w:val="TableContents"/>
              <w:bidi w:val="0"/>
              <w:spacing w:before="0" w:after="283"/>
              <w:jc w:val="right"/>
              <w:rPr/>
            </w:pPr>
            <w:r>
              <w:rPr/>
              <w:t>9,000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right"/>
              <w:rPr/>
            </w:pPr>
            <w:r>
              <w:rPr/>
              <w:t>October 2025 to December 2025</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February 03, 2025</w:t>
            </w:r>
          </w:p>
        </w:tc>
        <w:tc>
          <w:tcPr>
            <w:tcW w:w="12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w:t>
            </w:r>
          </w:p>
        </w:tc>
        <w:tc>
          <w:tcPr>
            <w:tcW w:w="1828" w:type="dxa"/>
            <w:tcBorders/>
            <w:shd w:fill="CCEEFF" w:val="clear"/>
            <w:vAlign w:val="center"/>
          </w:tcPr>
          <w:p>
            <w:pPr>
              <w:pStyle w:val="TableContents"/>
              <w:bidi w:val="0"/>
              <w:spacing w:before="0" w:after="283"/>
              <w:jc w:val="right"/>
              <w:rPr/>
            </w:pPr>
            <w:r>
              <w:rPr/>
              <w:t>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40" w:type="dxa"/>
            <w:tcBorders/>
            <w:shd w:fill="CCEEFF" w:val="clear"/>
            <w:vAlign w:val="center"/>
          </w:tcPr>
          <w:p>
            <w:pPr>
              <w:pStyle w:val="TableContents"/>
              <w:bidi w:val="0"/>
              <w:spacing w:before="0" w:after="283"/>
              <w:jc w:val="right"/>
              <w:rPr/>
            </w:pPr>
            <w:r>
              <w:rPr/>
              <w:t>January 2026 to March 2026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Details of the zero cost collar contracts as of December 31, 2024 are as follows (in thousands): </w:t>
      </w:r>
    </w:p>
    <w:p>
      <w:pPr>
        <w:pStyle w:val="TextBody"/>
        <w:bidi w:val="0"/>
        <w:spacing w:before="0" w:after="0"/>
        <w:jc w:val="left"/>
        <w:rPr/>
      </w:pPr>
      <w:r>
        <w:rPr/>
        <w:t> </w:t>
      </w:r>
    </w:p>
    <w:tbl>
      <w:tblPr>
        <w:tblW w:w="7305" w:type="dxa"/>
        <w:jc w:val="left"/>
        <w:tblInd w:w="0" w:type="dxa"/>
        <w:tblLayout w:type="fixed"/>
        <w:tblCellMar>
          <w:top w:w="0" w:type="dxa"/>
          <w:left w:w="0" w:type="dxa"/>
          <w:bottom w:w="0" w:type="dxa"/>
          <w:right w:w="0" w:type="dxa"/>
        </w:tblCellMar>
      </w:tblPr>
      <w:tblGrid>
        <w:gridCol w:w="1445"/>
        <w:gridCol w:w="120"/>
        <w:gridCol w:w="390"/>
        <w:gridCol w:w="1895"/>
        <w:gridCol w:w="60"/>
        <w:gridCol w:w="120"/>
        <w:gridCol w:w="60"/>
        <w:gridCol w:w="3140"/>
        <w:gridCol w:w="75"/>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Date of transaction</w:t>
            </w:r>
          </w:p>
        </w:tc>
        <w:tc>
          <w:tcPr>
            <w:tcW w:w="120" w:type="dxa"/>
            <w:tcBorders/>
            <w:vAlign w:val="center"/>
          </w:tcPr>
          <w:p>
            <w:pPr>
              <w:pStyle w:val="TableContents"/>
              <w:bidi w:val="0"/>
              <w:spacing w:before="0" w:after="283"/>
              <w:jc w:val="left"/>
              <w:rPr/>
            </w:pPr>
            <w:r>
              <w:rPr/>
              <w:t>  </w:t>
            </w:r>
          </w:p>
        </w:tc>
        <w:tc>
          <w:tcPr>
            <w:tcW w:w="22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notional 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Month of settlement</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April 05, 2024</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40" w:type="dxa"/>
            <w:tcBorders/>
            <w:shd w:fill="CCEEFF" w:val="clear"/>
            <w:vAlign w:val="center"/>
          </w:tcPr>
          <w:p>
            <w:pPr>
              <w:pStyle w:val="TableContents"/>
              <w:bidi w:val="0"/>
              <w:spacing w:before="0" w:after="283"/>
              <w:jc w:val="right"/>
              <w:rPr/>
            </w:pPr>
            <w:r>
              <w:rPr/>
              <w:t>January 2025 to March 2025</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July 09, 2024</w:t>
            </w:r>
          </w:p>
        </w:tc>
        <w:tc>
          <w:tcPr>
            <w:tcW w:w="12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18,000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right"/>
              <w:rPr/>
            </w:pPr>
            <w:r>
              <w:rPr/>
              <w:t>April 2025 to September 2025</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October 17, 2024</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40" w:type="dxa"/>
            <w:tcBorders/>
            <w:shd w:fill="CCEEFF" w:val="clear"/>
            <w:vAlign w:val="center"/>
          </w:tcPr>
          <w:p>
            <w:pPr>
              <w:pStyle w:val="TableContents"/>
              <w:bidi w:val="0"/>
              <w:spacing w:before="0" w:after="283"/>
              <w:jc w:val="right"/>
              <w:rPr/>
            </w:pPr>
            <w:r>
              <w:rPr/>
              <w:t>October 2025 to December 2025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fair values of the Company’s outstanding zero cost collar contracts recorded as assets and liabilities as of June 30, 2025 and December 31, 2024 are as follows (in thousands): </w:t>
      </w:r>
    </w:p>
    <w:p>
      <w:pPr>
        <w:pStyle w:val="TextBody"/>
        <w:bidi w:val="0"/>
        <w:spacing w:before="0" w:after="0"/>
        <w:ind w:left="0" w:right="0" w:hanging="0"/>
        <w:jc w:val="left"/>
        <w:rPr>
          <w:spacing w:val="0"/>
        </w:rPr>
      </w:pPr>
      <w:r>
        <w:rPr>
          <w:spacing w:val="0"/>
        </w:rPr>
        <w:t> </w:t>
      </w:r>
    </w:p>
    <w:tbl>
      <w:tblPr>
        <w:tblW w:w="8390" w:type="dxa"/>
        <w:jc w:val="left"/>
        <w:tblInd w:w="0" w:type="dxa"/>
        <w:tblLayout w:type="fixed"/>
        <w:tblCellMar>
          <w:top w:w="0" w:type="dxa"/>
          <w:left w:w="0" w:type="dxa"/>
          <w:bottom w:w="0" w:type="dxa"/>
          <w:right w:w="0" w:type="dxa"/>
        </w:tblCellMar>
      </w:tblPr>
      <w:tblGrid>
        <w:gridCol w:w="3425"/>
        <w:gridCol w:w="120"/>
        <w:gridCol w:w="2180"/>
        <w:gridCol w:w="120"/>
        <w:gridCol w:w="235"/>
        <w:gridCol w:w="640"/>
        <w:gridCol w:w="60"/>
        <w:gridCol w:w="120"/>
        <w:gridCol w:w="283"/>
        <w:gridCol w:w="1132"/>
        <w:gridCol w:w="75"/>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Derivatives designated as hedging instruments:</w:t>
            </w:r>
          </w:p>
        </w:tc>
        <w:tc>
          <w:tcPr>
            <w:tcW w:w="120" w:type="dxa"/>
            <w:tcBorders/>
            <w:vAlign w:val="center"/>
          </w:tcPr>
          <w:p>
            <w:pPr>
              <w:pStyle w:val="TableContents"/>
              <w:bidi w:val="0"/>
              <w:spacing w:before="0" w:after="0"/>
              <w:jc w:val="left"/>
              <w:rPr>
                <w:spacing w:val="0"/>
              </w:rPr>
            </w:pPr>
            <w:r>
              <w:rPr>
                <w:spacing w:val="0"/>
              </w:rPr>
              <w:t>  </w:t>
            </w:r>
          </w:p>
        </w:tc>
        <w:tc>
          <w:tcPr>
            <w:tcW w:w="218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 Derivatives:</w:t>
            </w:r>
          </w:p>
        </w:tc>
        <w:tc>
          <w:tcPr>
            <w:tcW w:w="120" w:type="dxa"/>
            <w:tcBorders/>
            <w:shd w:fill="CCEEFF" w:val="clear"/>
            <w:vAlign w:val="center"/>
          </w:tcPr>
          <w:p>
            <w:pPr>
              <w:pStyle w:val="TableContents"/>
              <w:bidi w:val="0"/>
              <w:spacing w:before="0" w:after="283"/>
              <w:jc w:val="left"/>
              <w:rPr/>
            </w:pPr>
            <w:r>
              <w:rPr/>
              <w:t>  </w:t>
            </w:r>
          </w:p>
        </w:tc>
        <w:tc>
          <w:tcPr>
            <w:tcW w:w="218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Other current assets</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354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218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Other current liabilities</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1,956</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Offsetting of derivative assets and liabilities as of June 30, 2025 is as follows (in thousands): </w:t>
      </w:r>
    </w:p>
    <w:p>
      <w:pPr>
        <w:pStyle w:val="TextBody"/>
        <w:bidi w:val="0"/>
        <w:spacing w:before="0" w:after="0"/>
        <w:jc w:val="left"/>
        <w:rPr/>
      </w:pPr>
      <w:r>
        <w:rPr/>
        <w:t> </w:t>
      </w:r>
    </w:p>
    <w:tbl>
      <w:tblPr>
        <w:tblW w:w="11000" w:type="dxa"/>
        <w:jc w:val="left"/>
        <w:tblInd w:w="0" w:type="dxa"/>
        <w:tblLayout w:type="fixed"/>
        <w:tblCellMar>
          <w:top w:w="0" w:type="dxa"/>
          <w:left w:w="0" w:type="dxa"/>
          <w:bottom w:w="0" w:type="dxa"/>
          <w:right w:w="0" w:type="dxa"/>
        </w:tblCellMar>
      </w:tblPr>
      <w:tblGrid>
        <w:gridCol w:w="965"/>
        <w:gridCol w:w="120"/>
        <w:gridCol w:w="481"/>
        <w:gridCol w:w="1309"/>
        <w:gridCol w:w="60"/>
        <w:gridCol w:w="120"/>
        <w:gridCol w:w="537"/>
        <w:gridCol w:w="998"/>
        <w:gridCol w:w="60"/>
        <w:gridCol w:w="120"/>
        <w:gridCol w:w="441"/>
        <w:gridCol w:w="1199"/>
        <w:gridCol w:w="60"/>
        <w:gridCol w:w="120"/>
        <w:gridCol w:w="427"/>
        <w:gridCol w:w="793"/>
        <w:gridCol w:w="60"/>
        <w:gridCol w:w="120"/>
        <w:gridCol w:w="537"/>
        <w:gridCol w:w="998"/>
        <w:gridCol w:w="60"/>
        <w:gridCol w:w="120"/>
        <w:gridCol w:w="328"/>
        <w:gridCol w:w="892"/>
        <w:gridCol w:w="75"/>
      </w:tblGrid>
      <w:tr>
        <w:trPr/>
        <w:tc>
          <w:tcPr>
            <w:tcW w:w="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5" w:type="dxa"/>
            <w:vMerge w:val="restart"/>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As of June 30, 2025</w:t>
            </w:r>
          </w:p>
        </w:tc>
        <w:tc>
          <w:tcPr>
            <w:tcW w:w="120" w:type="dxa"/>
            <w:vMerge w:val="restart"/>
            <w:tcBorders/>
            <w:vAlign w:val="center"/>
          </w:tcPr>
          <w:p>
            <w:pPr>
              <w:pStyle w:val="TableContents"/>
              <w:bidi w:val="0"/>
              <w:spacing w:before="0" w:after="283"/>
              <w:jc w:val="left"/>
              <w:rPr/>
            </w:pPr>
            <w:r>
              <w:rPr/>
              <w:t>  </w:t>
            </w:r>
          </w:p>
        </w:tc>
        <w:tc>
          <w:tcPr>
            <w:tcW w:w="17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of</w:t>
              <w:br/>
              <w:t>recognized</w:t>
              <w:br/>
              <w:t>assets/liabilities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53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w:t>
              <w:br/>
              <w:t>offset in the</w:t>
              <w:br/>
              <w:t>balance sheets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6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amounts of</w:t>
              <w:br/>
              <w:t>assets/liabilities</w:t>
              <w:br/>
              <w:t>presented in the</w:t>
              <w:br/>
              <w:t>balance sheets</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not offset</w:t>
              <w:br/>
              <w:t>in the balance sheets</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22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w:t>
            </w:r>
          </w:p>
        </w:tc>
        <w:tc>
          <w:tcPr>
            <w:tcW w:w="75" w:type="dxa"/>
            <w:vMerge w:val="restart"/>
            <w:tcBorders/>
            <w:vAlign w:val="center"/>
          </w:tcPr>
          <w:p>
            <w:pPr>
              <w:pStyle w:val="TableContents"/>
              <w:bidi w:val="0"/>
              <w:spacing w:before="0" w:after="283"/>
              <w:jc w:val="left"/>
              <w:rPr/>
            </w:pPr>
            <w:r>
              <w:rPr/>
              <w:t> </w:t>
            </w:r>
          </w:p>
        </w:tc>
      </w:tr>
      <w:tr>
        <w:trPr/>
        <w:tc>
          <w:tcPr>
            <w:tcW w:w="96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79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535"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4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Financial</w:t>
              <w:br/>
              <w:t>instruments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Cash collateral</w:t>
              <w:br/>
              <w:t>pledged</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220"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 Derivatives:</w:t>
            </w:r>
          </w:p>
        </w:tc>
        <w:tc>
          <w:tcPr>
            <w:tcW w:w="120"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sz w:val="4"/>
                <w:szCs w:val="4"/>
              </w:rPr>
            </w:pPr>
            <w:r>
              <w:rPr>
                <w:sz w:val="4"/>
                <w:szCs w:val="4"/>
              </w:rPr>
            </w:r>
          </w:p>
        </w:tc>
        <w:tc>
          <w:tcPr>
            <w:tcW w:w="119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89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354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354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354</w:t>
            </w:r>
          </w:p>
        </w:tc>
        <w:tc>
          <w:tcPr>
            <w:tcW w:w="75"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sz w:val="4"/>
                <w:szCs w:val="4"/>
              </w:rPr>
            </w:pPr>
            <w:r>
              <w:rPr>
                <w:sz w:val="4"/>
                <w:szCs w:val="4"/>
              </w:rPr>
            </w:r>
          </w:p>
        </w:tc>
        <w:tc>
          <w:tcPr>
            <w:tcW w:w="119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89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Offsetting of derivative assets and liabilities as of December 31, 2024 is as follows (in thousands): </w:t>
      </w:r>
    </w:p>
    <w:p>
      <w:pPr>
        <w:pStyle w:val="TextBody"/>
        <w:bidi w:val="0"/>
        <w:spacing w:before="0" w:after="0"/>
        <w:jc w:val="left"/>
        <w:rPr/>
      </w:pPr>
      <w:r>
        <w:rPr/>
        <w:t> </w:t>
      </w:r>
    </w:p>
    <w:tbl>
      <w:tblPr>
        <w:tblW w:w="11095" w:type="dxa"/>
        <w:jc w:val="left"/>
        <w:tblInd w:w="0" w:type="dxa"/>
        <w:tblLayout w:type="fixed"/>
        <w:tblCellMar>
          <w:top w:w="0" w:type="dxa"/>
          <w:left w:w="0" w:type="dxa"/>
          <w:bottom w:w="0" w:type="dxa"/>
          <w:right w:w="0" w:type="dxa"/>
        </w:tblCellMar>
      </w:tblPr>
      <w:tblGrid>
        <w:gridCol w:w="1025"/>
        <w:gridCol w:w="120"/>
        <w:gridCol w:w="358"/>
        <w:gridCol w:w="1432"/>
        <w:gridCol w:w="60"/>
        <w:gridCol w:w="120"/>
        <w:gridCol w:w="537"/>
        <w:gridCol w:w="998"/>
        <w:gridCol w:w="60"/>
        <w:gridCol w:w="120"/>
        <w:gridCol w:w="328"/>
        <w:gridCol w:w="1312"/>
        <w:gridCol w:w="60"/>
        <w:gridCol w:w="120"/>
        <w:gridCol w:w="427"/>
        <w:gridCol w:w="793"/>
        <w:gridCol w:w="60"/>
        <w:gridCol w:w="120"/>
        <w:gridCol w:w="277"/>
        <w:gridCol w:w="1258"/>
        <w:gridCol w:w="155"/>
        <w:gridCol w:w="60"/>
        <w:gridCol w:w="328"/>
        <w:gridCol w:w="892"/>
        <w:gridCol w:w="75"/>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25" w:type="dxa"/>
            <w:vMerge w:val="restart"/>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As of December 31, 2024</w:t>
            </w:r>
          </w:p>
        </w:tc>
        <w:tc>
          <w:tcPr>
            <w:tcW w:w="120" w:type="dxa"/>
            <w:vMerge w:val="restart"/>
            <w:tcBorders/>
            <w:vAlign w:val="center"/>
          </w:tcPr>
          <w:p>
            <w:pPr>
              <w:pStyle w:val="TableContents"/>
              <w:bidi w:val="0"/>
              <w:spacing w:before="0" w:after="283"/>
              <w:jc w:val="left"/>
              <w:rPr/>
            </w:pPr>
            <w:r>
              <w:rPr/>
              <w:t>  </w:t>
            </w:r>
          </w:p>
        </w:tc>
        <w:tc>
          <w:tcPr>
            <w:tcW w:w="17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of</w:t>
              <w:br/>
              <w:t>recognized</w:t>
              <w:br/>
              <w:t>liabilities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53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w:t>
              <w:br/>
              <w:t>offset in the</w:t>
              <w:br/>
              <w:t>balance sheets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6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amounts of</w:t>
              <w:br/>
              <w:t>liabilities</w:t>
              <w:br/>
              <w:t>presented in the</w:t>
              <w:br/>
              <w:t>balance sheets</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not offset</w:t>
              <w:br/>
              <w:t>in the balance sheets</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22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w:t>
            </w:r>
          </w:p>
        </w:tc>
        <w:tc>
          <w:tcPr>
            <w:tcW w:w="75" w:type="dxa"/>
            <w:vMerge w:val="restart"/>
            <w:tcBorders/>
            <w:vAlign w:val="center"/>
          </w:tcPr>
          <w:p>
            <w:pPr>
              <w:pStyle w:val="TableContents"/>
              <w:bidi w:val="0"/>
              <w:spacing w:before="0" w:after="283"/>
              <w:jc w:val="left"/>
              <w:rPr/>
            </w:pPr>
            <w:r>
              <w:rPr/>
              <w:t> </w:t>
            </w:r>
          </w:p>
        </w:tc>
      </w:tr>
      <w:tr>
        <w:trPr/>
        <w:tc>
          <w:tcPr>
            <w:tcW w:w="102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79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535"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4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Financial</w:t>
              <w:br/>
              <w:t>instruments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Cash collateral</w:t>
              <w:br/>
              <w:t>pledged</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220"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sz w:val="4"/>
                <w:szCs w:val="4"/>
              </w:rPr>
            </w:pPr>
            <w:r>
              <w:rPr>
                <w:sz w:val="4"/>
                <w:szCs w:val="4"/>
              </w:rPr>
            </w:r>
          </w:p>
        </w:tc>
        <w:tc>
          <w:tcPr>
            <w:tcW w:w="14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131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sz w:val="4"/>
                <w:szCs w:val="4"/>
              </w:rPr>
            </w:pPr>
            <w:r>
              <w:rPr>
                <w:sz w:val="4"/>
                <w:szCs w:val="4"/>
              </w:rPr>
            </w:r>
          </w:p>
        </w:tc>
        <w:tc>
          <w:tcPr>
            <w:tcW w:w="125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89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w:t>
            </w:r>
          </w:p>
        </w:tc>
        <w:tc>
          <w:tcPr>
            <w:tcW w:w="1432" w:type="dxa"/>
            <w:tcBorders/>
            <w:vAlign w:val="center"/>
          </w:tcPr>
          <w:p>
            <w:pPr>
              <w:pStyle w:val="TableContents"/>
              <w:bidi w:val="0"/>
              <w:spacing w:before="0" w:after="283"/>
              <w:jc w:val="right"/>
              <w:rPr/>
            </w:pPr>
            <w:r>
              <w:rPr/>
              <w:t>1,956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1312" w:type="dxa"/>
            <w:tcBorders/>
            <w:vAlign w:val="center"/>
          </w:tcPr>
          <w:p>
            <w:pPr>
              <w:pStyle w:val="TableContents"/>
              <w:bidi w:val="0"/>
              <w:spacing w:before="0" w:after="283"/>
              <w:jc w:val="right"/>
              <w:rPr/>
            </w:pPr>
            <w:r>
              <w:rPr/>
              <w:t>1,956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jc w:val="right"/>
              <w:rPr/>
            </w:pPr>
            <w:r>
              <w:rPr/>
              <w:t>(1,080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876</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derivative instruments that are designated and qualify as cash flow hedges, gains or losses on the derivative aside from components excluded from the assessment of effectiveness are reported as a component of accumulated other comprehensive income or loss (“AOCI”) and reclassified into earnings in the same period or periods during which the hedged transaction affects earnings.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Gains and losses on the derivative, representing hedge components excluded from the assessment of effectiveness, are recognized in current earnings.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impact of derivative instruments on the consolidated statements of operations for the three months ended June 30, 2025 and 2024 (in thousands): </w:t>
      </w:r>
    </w:p>
    <w:p>
      <w:pPr>
        <w:pStyle w:val="TextBody"/>
        <w:bidi w:val="0"/>
        <w:spacing w:before="0" w:after="0"/>
        <w:ind w:left="0" w:right="0" w:hanging="0"/>
        <w:jc w:val="left"/>
        <w:rPr>
          <w:spacing w:val="0"/>
        </w:rPr>
      </w:pPr>
      <w:r>
        <w:rPr>
          <w:spacing w:val="0"/>
        </w:rPr>
        <w:t> </w:t>
      </w:r>
    </w:p>
    <w:tbl>
      <w:tblPr>
        <w:tblW w:w="11455" w:type="dxa"/>
        <w:jc w:val="left"/>
        <w:tblInd w:w="0" w:type="dxa"/>
        <w:tblLayout w:type="fixed"/>
        <w:tblCellMar>
          <w:top w:w="0" w:type="dxa"/>
          <w:left w:w="0" w:type="dxa"/>
          <w:bottom w:w="0" w:type="dxa"/>
          <w:right w:w="0" w:type="dxa"/>
        </w:tblCellMar>
      </w:tblPr>
      <w:tblGrid>
        <w:gridCol w:w="995"/>
        <w:gridCol w:w="120"/>
        <w:gridCol w:w="222"/>
        <w:gridCol w:w="890"/>
        <w:gridCol w:w="95"/>
        <w:gridCol w:w="190"/>
        <w:gridCol w:w="222"/>
        <w:gridCol w:w="726"/>
        <w:gridCol w:w="155"/>
        <w:gridCol w:w="60"/>
        <w:gridCol w:w="60"/>
        <w:gridCol w:w="875"/>
        <w:gridCol w:w="60"/>
        <w:gridCol w:w="120"/>
        <w:gridCol w:w="240"/>
        <w:gridCol w:w="576"/>
        <w:gridCol w:w="266"/>
        <w:gridCol w:w="103"/>
        <w:gridCol w:w="240"/>
        <w:gridCol w:w="785"/>
        <w:gridCol w:w="155"/>
        <w:gridCol w:w="60"/>
        <w:gridCol w:w="60"/>
        <w:gridCol w:w="1715"/>
        <w:gridCol w:w="60"/>
        <w:gridCol w:w="120"/>
        <w:gridCol w:w="283"/>
        <w:gridCol w:w="679"/>
        <w:gridCol w:w="314"/>
        <w:gridCol w:w="121"/>
        <w:gridCol w:w="283"/>
        <w:gridCol w:w="530"/>
        <w:gridCol w:w="75"/>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Derivatives in ASC</w:t>
            </w:r>
          </w:p>
          <w:p>
            <w:pPr>
              <w:pStyle w:val="TableContents"/>
              <w:bidi w:val="0"/>
              <w:spacing w:before="0" w:after="0"/>
              <w:jc w:val="left"/>
              <w:rPr>
                <w:rFonts w:ascii="Times New Roman" w:hAnsi="Times New Roman"/>
                <w:b/>
                <w:spacing w:val="0"/>
                <w:sz w:val="16"/>
              </w:rPr>
            </w:pPr>
            <w:r>
              <w:rPr>
                <w:rFonts w:ascii="Times New Roman" w:hAnsi="Times New Roman"/>
                <w:b/>
                <w:spacing w:val="0"/>
                <w:sz w:val="16"/>
              </w:rPr>
              <w:t>815 Cash Flow Hedging</w:t>
            </w:r>
          </w:p>
          <w:p>
            <w:pPr>
              <w:pStyle w:val="TableContents"/>
              <w:bidi w:val="0"/>
              <w:spacing w:before="0" w:after="2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Relationships</w:t>
            </w:r>
          </w:p>
        </w:tc>
        <w:tc>
          <w:tcPr>
            <w:tcW w:w="120" w:type="dxa"/>
            <w:tcBorders/>
            <w:vAlign w:val="center"/>
          </w:tcPr>
          <w:p>
            <w:pPr>
              <w:pStyle w:val="TableContents"/>
              <w:bidi w:val="0"/>
              <w:spacing w:before="0" w:after="0"/>
              <w:jc w:val="left"/>
              <w:rPr>
                <w:spacing w:val="0"/>
              </w:rPr>
            </w:pPr>
            <w:r>
              <w:rPr>
                <w:spacing w:val="0"/>
              </w:rPr>
              <w:t>  </w:t>
            </w:r>
          </w:p>
        </w:tc>
        <w:tc>
          <w:tcPr>
            <w:tcW w:w="23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 of Gain (Loss)</w:t>
              <w:br/>
              <w:t>Recognized in</w:t>
              <w:br/>
              <w:t>AOCI on</w:t>
              <w:br/>
              <w:t>Derivatives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32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Location/Amount of</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Reclassified from AOCI</w:t>
            </w:r>
          </w:p>
          <w:p>
            <w:pPr>
              <w:pStyle w:val="TableContents"/>
              <w:bidi w:val="0"/>
              <w:spacing w:before="0" w:after="0"/>
              <w:jc w:val="center"/>
              <w:rPr/>
            </w:pPr>
            <w:r>
              <w:rPr/>
            </w:r>
          </w:p>
          <w:p>
            <w:pPr>
              <w:pStyle w:val="TableContents"/>
              <w:bidi w:val="0"/>
              <w:spacing w:before="0" w:after="0"/>
              <w:jc w:val="center"/>
              <w:rPr>
                <w:b/>
                <w:spacing w:val="0"/>
              </w:rPr>
            </w:pPr>
            <w:r>
              <w:rPr>
                <w:b/>
                <w:spacing w:val="0"/>
              </w:rPr>
              <w:t>Into Statement of Operations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16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Location/Amount of Gain (Loss)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 in</w:t>
            </w:r>
          </w:p>
          <w:p>
            <w:pPr>
              <w:pStyle w:val="TableContents"/>
              <w:bidi w:val="0"/>
              <w:spacing w:before="0" w:after="0"/>
              <w:jc w:val="center"/>
              <w:rPr/>
            </w:pPr>
            <w:r>
              <w:rPr/>
            </w:r>
          </w:p>
          <w:p>
            <w:pPr>
              <w:pStyle w:val="TableContents"/>
              <w:bidi w:val="0"/>
              <w:spacing w:before="0" w:after="0"/>
              <w:jc w:val="center"/>
              <w:rPr>
                <w:b/>
                <w:spacing w:val="0"/>
              </w:rPr>
            </w:pPr>
            <w:r>
              <w:rPr>
                <w:b/>
                <w:spacing w:val="0"/>
              </w:rPr>
              <w:t>Statement of Operations on Derivatives</w:t>
            </w:r>
          </w:p>
        </w:tc>
        <w:tc>
          <w:tcPr>
            <w:tcW w:w="75" w:type="dxa"/>
            <w:tcBorders/>
            <w:vAlign w:val="center"/>
          </w:tcPr>
          <w:p>
            <w:pPr>
              <w:pStyle w:val="TableContents"/>
              <w:bidi w:val="0"/>
              <w:spacing w:before="0" w:after="0"/>
              <w:jc w:val="left"/>
              <w:rPr>
                <w:spacing w:val="0"/>
              </w:rPr>
            </w:pPr>
            <w:r>
              <w:rPr>
                <w:spacing w:val="0"/>
              </w:rPr>
              <w:t> </w:t>
            </w:r>
          </w:p>
        </w:tc>
      </w:tr>
      <w:tr>
        <w:trPr/>
        <w:tc>
          <w:tcPr>
            <w:tcW w:w="995" w:type="dxa"/>
            <w:tcBorders/>
            <w:vAlign w:val="center"/>
          </w:tcPr>
          <w:p>
            <w:pPr>
              <w:pStyle w:val="TableContents"/>
              <w:bidi w:val="0"/>
              <w:spacing w:before="0" w:after="283"/>
              <w:jc w:val="left"/>
              <w:rPr/>
            </w:pPr>
            <w:r>
              <w:rPr/>
            </w:r>
          </w:p>
        </w:tc>
        <w:tc>
          <w:tcPr>
            <w:tcW w:w="120" w:type="dxa"/>
            <w:tcBorders/>
            <w:vAlign w:val="center"/>
          </w:tcPr>
          <w:p>
            <w:pPr>
              <w:pStyle w:val="TableContents"/>
              <w:bidi w:val="0"/>
              <w:spacing w:before="0" w:after="0"/>
              <w:jc w:val="left"/>
              <w:rPr>
                <w:spacing w:val="0"/>
              </w:rPr>
            </w:pPr>
            <w:r>
              <w:rPr>
                <w:spacing w:val="0"/>
              </w:rPr>
              <w:t>  </w:t>
            </w:r>
          </w:p>
        </w:tc>
        <w:tc>
          <w:tcPr>
            <w:tcW w:w="23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br/>
              <w:t>June 30,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35"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br/>
              <w:t>June 30,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775"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br/>
              <w:t>June 30,</w:t>
            </w:r>
          </w:p>
        </w:tc>
        <w:tc>
          <w:tcPr>
            <w:tcW w:w="75" w:type="dxa"/>
            <w:tcBorders/>
            <w:vAlign w:val="center"/>
          </w:tcPr>
          <w:p>
            <w:pPr>
              <w:pStyle w:val="TableContents"/>
              <w:bidi w:val="0"/>
              <w:spacing w:before="0" w:after="0"/>
              <w:jc w:val="left"/>
              <w:rPr>
                <w:spacing w:val="0"/>
              </w:rPr>
            </w:pPr>
            <w:r>
              <w:rPr>
                <w:spacing w:val="0"/>
              </w:rPr>
              <w:t> </w:t>
            </w:r>
          </w:p>
        </w:tc>
      </w:tr>
      <w:tr>
        <w:trPr/>
        <w:tc>
          <w:tcPr>
            <w:tcW w:w="995" w:type="dxa"/>
            <w:tcBorders/>
            <w:vAlign w:val="center"/>
          </w:tcPr>
          <w:p>
            <w:pPr>
              <w:pStyle w:val="TableContents"/>
              <w:bidi w:val="0"/>
              <w:spacing w:before="0" w:after="283"/>
              <w:jc w:val="left"/>
              <w:rPr/>
            </w:pPr>
            <w:r>
              <w:rPr/>
            </w:r>
          </w:p>
        </w:tc>
        <w:tc>
          <w:tcPr>
            <w:tcW w:w="1232" w:type="dxa"/>
            <w:gridSpan w:val="3"/>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95" w:type="dxa"/>
            <w:tcBorders/>
            <w:vAlign w:val="center"/>
          </w:tcPr>
          <w:p>
            <w:pPr>
              <w:pStyle w:val="TableContents"/>
              <w:bidi w:val="0"/>
              <w:spacing w:before="0" w:after="0"/>
              <w:jc w:val="left"/>
              <w:rPr>
                <w:spacing w:val="0"/>
              </w:rPr>
            </w:pPr>
            <w:r>
              <w:rPr>
                <w:spacing w:val="0"/>
              </w:rPr>
              <w:t> </w:t>
            </w:r>
          </w:p>
        </w:tc>
        <w:tc>
          <w:tcPr>
            <w:tcW w:w="190" w:type="dxa"/>
            <w:tcBorders/>
            <w:vAlign w:val="center"/>
          </w:tcPr>
          <w:p>
            <w:pPr>
              <w:pStyle w:val="TableContents"/>
              <w:bidi w:val="0"/>
              <w:spacing w:before="0" w:after="0"/>
              <w:jc w:val="left"/>
              <w:rPr>
                <w:spacing w:val="0"/>
              </w:rPr>
            </w:pPr>
            <w:r>
              <w:rPr>
                <w:spacing w:val="0"/>
              </w:rPr>
              <w:t>  </w:t>
            </w:r>
          </w:p>
        </w:tc>
        <w:tc>
          <w:tcPr>
            <w:tcW w:w="94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35"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1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266" w:type="dxa"/>
            <w:tcBorders/>
            <w:vAlign w:val="center"/>
          </w:tcPr>
          <w:p>
            <w:pPr>
              <w:pStyle w:val="TableContents"/>
              <w:bidi w:val="0"/>
              <w:spacing w:before="0" w:after="0"/>
              <w:jc w:val="left"/>
              <w:rPr>
                <w:spacing w:val="0"/>
              </w:rPr>
            </w:pPr>
            <w:r>
              <w:rPr>
                <w:spacing w:val="0"/>
              </w:rPr>
              <w:t> </w:t>
            </w:r>
          </w:p>
        </w:tc>
        <w:tc>
          <w:tcPr>
            <w:tcW w:w="103" w:type="dxa"/>
            <w:tcBorders/>
            <w:vAlign w:val="center"/>
          </w:tcPr>
          <w:p>
            <w:pPr>
              <w:pStyle w:val="TableContents"/>
              <w:bidi w:val="0"/>
              <w:spacing w:before="0" w:after="0"/>
              <w:jc w:val="left"/>
              <w:rPr>
                <w:spacing w:val="0"/>
              </w:rPr>
            </w:pPr>
            <w:r>
              <w:rPr>
                <w:spacing w:val="0"/>
              </w:rPr>
              <w:t> </w:t>
            </w:r>
          </w:p>
        </w:tc>
        <w:tc>
          <w:tcPr>
            <w:tcW w:w="10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775"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6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314" w:type="dxa"/>
            <w:tcBorders/>
            <w:vAlign w:val="center"/>
          </w:tcPr>
          <w:p>
            <w:pPr>
              <w:pStyle w:val="TableContents"/>
              <w:bidi w:val="0"/>
              <w:spacing w:before="0" w:after="0"/>
              <w:jc w:val="left"/>
              <w:rPr>
                <w:spacing w:val="0"/>
              </w:rPr>
            </w:pPr>
            <w:r>
              <w:rPr>
                <w:spacing w:val="0"/>
              </w:rPr>
              <w:t> </w:t>
            </w:r>
          </w:p>
        </w:tc>
        <w:tc>
          <w:tcPr>
            <w:tcW w:w="121" w:type="dxa"/>
            <w:tcBorders/>
            <w:vAlign w:val="center"/>
          </w:tcPr>
          <w:p>
            <w:pPr>
              <w:pStyle w:val="TableContents"/>
              <w:bidi w:val="0"/>
              <w:spacing w:before="0" w:after="0"/>
              <w:jc w:val="left"/>
              <w:rPr>
                <w:spacing w:val="0"/>
              </w:rPr>
            </w:pPr>
            <w:r>
              <w:rPr>
                <w:spacing w:val="0"/>
              </w:rPr>
              <w:t> </w:t>
            </w:r>
          </w:p>
        </w:tc>
        <w:tc>
          <w:tcPr>
            <w:tcW w:w="81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0"/>
              <w:jc w:val="left"/>
              <w:rPr>
                <w:spacing w:val="0"/>
              </w:rPr>
            </w:pPr>
            <w:r>
              <w:rPr>
                <w:spacing w:val="0"/>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1,617</w:t>
            </w:r>
          </w:p>
        </w:tc>
        <w:tc>
          <w:tcPr>
            <w:tcW w:w="95"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(807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Net sales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576" w:type="dxa"/>
            <w:tcBorders/>
            <w:shd w:fill="CCEEFF" w:val="clear"/>
            <w:vAlign w:val="center"/>
          </w:tcPr>
          <w:p>
            <w:pPr>
              <w:pStyle w:val="TableContents"/>
              <w:bidi w:val="0"/>
              <w:spacing w:before="0" w:after="283"/>
              <w:jc w:val="right"/>
              <w:rPr/>
            </w:pPr>
            <w:r>
              <w:rPr/>
              <w:t>(79</w:t>
            </w:r>
          </w:p>
        </w:tc>
        <w:tc>
          <w:tcPr>
            <w:tcW w:w="26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(527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679" w:type="dxa"/>
            <w:tcBorders/>
            <w:shd w:fill="CCEEFF" w:val="clear"/>
            <w:vAlign w:val="center"/>
          </w:tcPr>
          <w:p>
            <w:pPr>
              <w:pStyle w:val="TableContents"/>
              <w:bidi w:val="0"/>
              <w:spacing w:before="0" w:after="283"/>
              <w:jc w:val="right"/>
              <w:rPr/>
            </w:pPr>
            <w:r>
              <w:rPr/>
              <w:t>(80</w:t>
            </w:r>
          </w:p>
        </w:tc>
        <w:tc>
          <w:tcPr>
            <w:tcW w:w="314"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530" w:type="dxa"/>
            <w:tcBorders/>
            <w:shd w:fill="CCEEFF" w:val="clear"/>
            <w:vAlign w:val="center"/>
          </w:tcPr>
          <w:p>
            <w:pPr>
              <w:pStyle w:val="TableContents"/>
              <w:bidi w:val="0"/>
              <w:spacing w:before="0" w:after="283"/>
              <w:jc w:val="right"/>
              <w:rPr/>
            </w:pPr>
            <w:r>
              <w:rPr/>
              <w:t>85</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jc w:val="left"/>
              <w:rPr>
                <w:bdr w:val="single" w:sz="2" w:space="1" w:color="000000"/>
              </w:rPr>
            </w:pPr>
            <w:r>
              <w:rPr>
                <w:bdr w:val="single" w:sz="2" w:space="1" w:color="000000"/>
              </w:rPr>
              <w:t> </w:t>
            </w:r>
          </w:p>
        </w:tc>
        <w:tc>
          <w:tcPr>
            <w:tcW w:w="890"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jc w:val="left"/>
              <w:rPr>
                <w:bdr w:val="single" w:sz="2" w:space="1" w:color="000000"/>
              </w:rPr>
            </w:pPr>
            <w:r>
              <w:rPr>
                <w:bdr w:val="single" w:sz="2" w:space="1" w:color="000000"/>
              </w:rPr>
              <w:t> </w:t>
            </w:r>
          </w:p>
        </w:tc>
        <w:tc>
          <w:tcPr>
            <w:tcW w:w="72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576" w:type="dxa"/>
            <w:tcBorders/>
            <w:vAlign w:val="center"/>
          </w:tcPr>
          <w:p>
            <w:pPr>
              <w:pStyle w:val="TableContents"/>
              <w:bidi w:val="0"/>
              <w:spacing w:before="0" w:after="0"/>
              <w:jc w:val="left"/>
              <w:rPr>
                <w:bdr w:val="single" w:sz="2" w:space="1" w:color="000000"/>
              </w:rPr>
            </w:pPr>
            <w:r>
              <w:rPr>
                <w:bdr w:val="single" w:sz="2" w:space="1" w:color="000000"/>
              </w:rPr>
              <w:t> </w:t>
            </w:r>
          </w:p>
        </w:tc>
        <w:tc>
          <w:tcPr>
            <w:tcW w:w="26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78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679" w:type="dxa"/>
            <w:tcBorders/>
            <w:vAlign w:val="center"/>
          </w:tcPr>
          <w:p>
            <w:pPr>
              <w:pStyle w:val="TableContents"/>
              <w:bidi w:val="0"/>
              <w:spacing w:before="0" w:after="0"/>
              <w:jc w:val="left"/>
              <w:rPr>
                <w:bdr w:val="single" w:sz="2" w:space="1" w:color="000000"/>
              </w:rPr>
            </w:pPr>
            <w:r>
              <w:rPr>
                <w:bdr w:val="single" w:sz="2" w:space="1" w:color="000000"/>
              </w:rPr>
              <w:t> </w:t>
            </w:r>
          </w:p>
        </w:tc>
        <w:tc>
          <w:tcPr>
            <w:tcW w:w="314"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53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right"/>
              <w:rPr/>
            </w:pPr>
            <w:r>
              <w:rPr/>
              <w:t>1,617</w:t>
            </w:r>
          </w:p>
        </w:tc>
        <w:tc>
          <w:tcPr>
            <w:tcW w:w="9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w:t>
            </w:r>
          </w:p>
        </w:tc>
        <w:tc>
          <w:tcPr>
            <w:tcW w:w="726" w:type="dxa"/>
            <w:tcBorders/>
            <w:vAlign w:val="center"/>
          </w:tcPr>
          <w:p>
            <w:pPr>
              <w:pStyle w:val="TableContents"/>
              <w:bidi w:val="0"/>
              <w:spacing w:before="0" w:after="283"/>
              <w:jc w:val="right"/>
              <w:rPr/>
            </w:pPr>
            <w:r>
              <w:rPr/>
              <w:t>(807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576" w:type="dxa"/>
            <w:tcBorders/>
            <w:vAlign w:val="center"/>
          </w:tcPr>
          <w:p>
            <w:pPr>
              <w:pStyle w:val="TableContents"/>
              <w:bidi w:val="0"/>
              <w:spacing w:before="0" w:after="283"/>
              <w:jc w:val="right"/>
              <w:rPr/>
            </w:pPr>
            <w:r>
              <w:rPr/>
              <w:t>(79</w:t>
            </w:r>
          </w:p>
        </w:tc>
        <w:tc>
          <w:tcPr>
            <w:tcW w:w="26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(527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679" w:type="dxa"/>
            <w:tcBorders/>
            <w:vAlign w:val="center"/>
          </w:tcPr>
          <w:p>
            <w:pPr>
              <w:pStyle w:val="TableContents"/>
              <w:bidi w:val="0"/>
              <w:spacing w:before="0" w:after="283"/>
              <w:jc w:val="right"/>
              <w:rPr/>
            </w:pPr>
            <w:r>
              <w:rPr/>
              <w:t>(80</w:t>
            </w:r>
          </w:p>
        </w:tc>
        <w:tc>
          <w:tcPr>
            <w:tcW w:w="314"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right"/>
              <w:rPr/>
            </w:pPr>
            <w:r>
              <w:rPr/>
              <w:t>85</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jc w:val="left"/>
              <w:rPr>
                <w:bdr w:val="double" w:sz="6" w:space="1" w:color="000000"/>
              </w:rPr>
            </w:pPr>
            <w:r>
              <w:rPr>
                <w:bdr w:val="double" w:sz="6" w:space="1" w:color="000000"/>
              </w:rPr>
              <w:t> </w:t>
            </w:r>
          </w:p>
        </w:tc>
        <w:tc>
          <w:tcPr>
            <w:tcW w:w="890"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jc w:val="left"/>
              <w:rPr>
                <w:bdr w:val="double" w:sz="6" w:space="1" w:color="000000"/>
              </w:rPr>
            </w:pPr>
            <w:r>
              <w:rPr>
                <w:bdr w:val="double" w:sz="6" w:space="1" w:color="000000"/>
              </w:rPr>
              <w:t> </w:t>
            </w:r>
          </w:p>
        </w:tc>
        <w:tc>
          <w:tcPr>
            <w:tcW w:w="72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double" w:sz="6" w:space="1" w:color="000000"/>
              </w:rPr>
            </w:pPr>
            <w:r>
              <w:rPr>
                <w:bdr w:val="double" w:sz="6" w:space="1" w:color="000000"/>
              </w:rPr>
              <w:t> </w:t>
            </w:r>
          </w:p>
        </w:tc>
        <w:tc>
          <w:tcPr>
            <w:tcW w:w="576" w:type="dxa"/>
            <w:tcBorders/>
            <w:vAlign w:val="center"/>
          </w:tcPr>
          <w:p>
            <w:pPr>
              <w:pStyle w:val="TableContents"/>
              <w:bidi w:val="0"/>
              <w:spacing w:before="0" w:after="0"/>
              <w:jc w:val="left"/>
              <w:rPr>
                <w:bdr w:val="double" w:sz="6" w:space="1" w:color="000000"/>
              </w:rPr>
            </w:pPr>
            <w:r>
              <w:rPr>
                <w:bdr w:val="double" w:sz="6" w:space="1" w:color="000000"/>
              </w:rPr>
              <w:t> </w:t>
            </w:r>
          </w:p>
        </w:tc>
        <w:tc>
          <w:tcPr>
            <w:tcW w:w="26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double" w:sz="6" w:space="1" w:color="000000"/>
              </w:rPr>
            </w:pPr>
            <w:r>
              <w:rPr>
                <w:bdr w:val="double" w:sz="6" w:space="1" w:color="000000"/>
              </w:rPr>
              <w:t> </w:t>
            </w:r>
          </w:p>
        </w:tc>
        <w:tc>
          <w:tcPr>
            <w:tcW w:w="78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679" w:type="dxa"/>
            <w:tcBorders/>
            <w:vAlign w:val="center"/>
          </w:tcPr>
          <w:p>
            <w:pPr>
              <w:pStyle w:val="TableContents"/>
              <w:bidi w:val="0"/>
              <w:spacing w:before="0" w:after="0"/>
              <w:jc w:val="left"/>
              <w:rPr>
                <w:bdr w:val="double" w:sz="6" w:space="1" w:color="000000"/>
              </w:rPr>
            </w:pPr>
            <w:r>
              <w:rPr>
                <w:bdr w:val="double" w:sz="6" w:space="1" w:color="000000"/>
              </w:rPr>
              <w:t> </w:t>
            </w:r>
          </w:p>
        </w:tc>
        <w:tc>
          <w:tcPr>
            <w:tcW w:w="314"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53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The following table summarizes the impact of derivative instruments on the consolidated statements of operations for the six months ended June 30, 2025 and 2024 (in thousands):</w:t>
            </w:r>
          </w:p>
        </w:tc>
      </w:tr>
      <w:tr>
        <w:trPr/>
        <w:tc>
          <w:tcPr>
            <w:tcW w:w="10205" w:type="dxa"/>
            <w:tcBorders/>
            <w:vAlign w:val="center"/>
          </w:tcPr>
          <w:p>
            <w:pPr>
              <w:pStyle w:val="TableContents"/>
              <w:bidi w:val="0"/>
              <w:spacing w:before="0" w:after="20"/>
              <w:jc w:val="left"/>
              <w:rPr/>
            </w:pPr>
            <w:r>
              <w:rPr/>
              <w:t> </w:t>
            </w:r>
          </w:p>
        </w:tc>
      </w:tr>
    </w:tbl>
    <w:tbl>
      <w:tblPr>
        <w:tblW w:w="10855" w:type="dxa"/>
        <w:jc w:val="left"/>
        <w:tblInd w:w="0" w:type="dxa"/>
        <w:tblLayout w:type="fixed"/>
        <w:tblCellMar>
          <w:top w:w="0" w:type="dxa"/>
          <w:left w:w="0" w:type="dxa"/>
          <w:bottom w:w="0" w:type="dxa"/>
          <w:right w:w="0" w:type="dxa"/>
        </w:tblCellMar>
      </w:tblPr>
      <w:tblGrid>
        <w:gridCol w:w="995"/>
        <w:gridCol w:w="120"/>
        <w:gridCol w:w="198"/>
        <w:gridCol w:w="793"/>
        <w:gridCol w:w="85"/>
        <w:gridCol w:w="170"/>
        <w:gridCol w:w="198"/>
        <w:gridCol w:w="901"/>
        <w:gridCol w:w="155"/>
        <w:gridCol w:w="60"/>
        <w:gridCol w:w="60"/>
        <w:gridCol w:w="875"/>
        <w:gridCol w:w="60"/>
        <w:gridCol w:w="120"/>
        <w:gridCol w:w="190"/>
        <w:gridCol w:w="618"/>
        <w:gridCol w:w="210"/>
        <w:gridCol w:w="81"/>
        <w:gridCol w:w="190"/>
        <w:gridCol w:w="621"/>
        <w:gridCol w:w="155"/>
        <w:gridCol w:w="60"/>
        <w:gridCol w:w="60"/>
        <w:gridCol w:w="1715"/>
        <w:gridCol w:w="60"/>
        <w:gridCol w:w="120"/>
        <w:gridCol w:w="220"/>
        <w:gridCol w:w="528"/>
        <w:gridCol w:w="244"/>
        <w:gridCol w:w="94"/>
        <w:gridCol w:w="220"/>
        <w:gridCol w:w="604"/>
        <w:gridCol w:w="75"/>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Derivatives in ASC</w:t>
            </w:r>
          </w:p>
          <w:p>
            <w:pPr>
              <w:pStyle w:val="TableContents"/>
              <w:bidi w:val="0"/>
              <w:spacing w:before="0" w:after="0"/>
              <w:jc w:val="left"/>
              <w:rPr>
                <w:rFonts w:ascii="Times New Roman" w:hAnsi="Times New Roman"/>
                <w:b/>
                <w:sz w:val="16"/>
              </w:rPr>
            </w:pPr>
            <w:r>
              <w:rPr>
                <w:rFonts w:ascii="Times New Roman" w:hAnsi="Times New Roman"/>
                <w:b/>
                <w:sz w:val="16"/>
              </w:rPr>
              <w:t>815 Cash Flow Hedging</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Relationships</w:t>
            </w:r>
          </w:p>
        </w:tc>
        <w:tc>
          <w:tcPr>
            <w:tcW w:w="120" w:type="dxa"/>
            <w:tcBorders/>
            <w:vAlign w:val="center"/>
          </w:tcPr>
          <w:p>
            <w:pPr>
              <w:pStyle w:val="TableContents"/>
              <w:bidi w:val="0"/>
              <w:spacing w:before="0" w:after="283"/>
              <w:jc w:val="left"/>
              <w:rPr/>
            </w:pPr>
            <w:r>
              <w:rPr/>
              <w:t>  </w:t>
            </w:r>
          </w:p>
        </w:tc>
        <w:tc>
          <w:tcPr>
            <w:tcW w:w="23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 of Gain (Loss)</w:t>
              <w:br/>
              <w:t>Recognized in</w:t>
              <w:br/>
              <w:t>AOCI on</w:t>
              <w:br/>
              <w:t>Derivatives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Location/Amount of</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Reclassified from AOCI</w:t>
            </w:r>
          </w:p>
          <w:p>
            <w:pPr>
              <w:pStyle w:val="TableContents"/>
              <w:bidi w:val="0"/>
              <w:spacing w:before="0" w:after="0"/>
              <w:jc w:val="center"/>
              <w:rPr/>
            </w:pPr>
            <w:r>
              <w:rPr/>
            </w:r>
          </w:p>
          <w:p>
            <w:pPr>
              <w:pStyle w:val="TableContents"/>
              <w:bidi w:val="0"/>
              <w:spacing w:before="0" w:after="0"/>
              <w:jc w:val="center"/>
              <w:rPr>
                <w:b/>
                <w:spacing w:val="0"/>
              </w:rPr>
            </w:pPr>
            <w:r>
              <w:rPr>
                <w:b/>
                <w:spacing w:val="0"/>
              </w:rPr>
              <w:t>Into Statement of Operations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6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Location/Amount of Gain (Loss)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 in</w:t>
            </w:r>
          </w:p>
          <w:p>
            <w:pPr>
              <w:pStyle w:val="TableContents"/>
              <w:bidi w:val="0"/>
              <w:spacing w:before="0" w:after="0"/>
              <w:jc w:val="center"/>
              <w:rPr/>
            </w:pPr>
            <w:r>
              <w:rPr/>
            </w:r>
          </w:p>
          <w:p>
            <w:pPr>
              <w:pStyle w:val="TableContents"/>
              <w:bidi w:val="0"/>
              <w:spacing w:before="0" w:after="0"/>
              <w:jc w:val="center"/>
              <w:rPr>
                <w:b/>
                <w:spacing w:val="0"/>
              </w:rPr>
            </w:pPr>
            <w:r>
              <w:rPr>
                <w:b/>
                <w:spacing w:val="0"/>
              </w:rPr>
              <w:t>Statement of Operations on Derivatives</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br/>
              <w:t>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br/>
              <w:t>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br/>
              <w:t>June 30,</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r>
          </w:p>
        </w:tc>
        <w:tc>
          <w:tcPr>
            <w:tcW w:w="120" w:type="dxa"/>
            <w:tcBorders/>
            <w:vAlign w:val="center"/>
          </w:tcPr>
          <w:p>
            <w:pPr>
              <w:pStyle w:val="TableContents"/>
              <w:bidi w:val="0"/>
              <w:spacing w:before="0" w:after="283"/>
              <w:jc w:val="left"/>
              <w:rPr/>
            </w:pPr>
            <w:r>
              <w:rPr/>
              <w:t>  </w:t>
            </w:r>
          </w:p>
        </w:tc>
        <w:tc>
          <w:tcPr>
            <w:tcW w:w="99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21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24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793" w:type="dxa"/>
            <w:tcBorders/>
            <w:shd w:fill="CCEEFF" w:val="clear"/>
            <w:vAlign w:val="center"/>
          </w:tcPr>
          <w:p>
            <w:pPr>
              <w:pStyle w:val="TableContents"/>
              <w:bidi w:val="0"/>
              <w:spacing w:before="0" w:after="283"/>
              <w:jc w:val="right"/>
              <w:rPr/>
            </w:pPr>
            <w:r>
              <w:rPr/>
              <w:t>1,753</w:t>
            </w:r>
          </w:p>
        </w:tc>
        <w:tc>
          <w:tcPr>
            <w:tcW w:w="8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901" w:type="dxa"/>
            <w:tcBorders/>
            <w:shd w:fill="CCEEFF" w:val="clear"/>
            <w:vAlign w:val="center"/>
          </w:tcPr>
          <w:p>
            <w:pPr>
              <w:pStyle w:val="TableContents"/>
              <w:bidi w:val="0"/>
              <w:spacing w:before="0" w:after="283"/>
              <w:jc w:val="right"/>
              <w:rPr/>
            </w:pPr>
            <w:r>
              <w:rPr/>
              <w:t>(1,412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Net sales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618" w:type="dxa"/>
            <w:tcBorders/>
            <w:shd w:fill="CCEEFF" w:val="clear"/>
            <w:vAlign w:val="center"/>
          </w:tcPr>
          <w:p>
            <w:pPr>
              <w:pStyle w:val="TableContents"/>
              <w:bidi w:val="0"/>
              <w:spacing w:before="0" w:after="283"/>
              <w:jc w:val="right"/>
              <w:rPr/>
            </w:pPr>
            <w:r>
              <w:rPr/>
              <w:t>(604</w:t>
            </w:r>
          </w:p>
        </w:tc>
        <w:tc>
          <w:tcPr>
            <w:tcW w:w="21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621" w:type="dxa"/>
            <w:tcBorders/>
            <w:shd w:fill="CCEEFF" w:val="clear"/>
            <w:vAlign w:val="center"/>
          </w:tcPr>
          <w:p>
            <w:pPr>
              <w:pStyle w:val="TableContents"/>
              <w:bidi w:val="0"/>
              <w:spacing w:before="0" w:after="283"/>
              <w:jc w:val="right"/>
              <w:rPr/>
            </w:pPr>
            <w:r>
              <w:rPr/>
              <w:t>(586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528" w:type="dxa"/>
            <w:tcBorders/>
            <w:shd w:fill="CCEEFF" w:val="clear"/>
            <w:vAlign w:val="center"/>
          </w:tcPr>
          <w:p>
            <w:pPr>
              <w:pStyle w:val="TableContents"/>
              <w:bidi w:val="0"/>
              <w:spacing w:before="0" w:after="283"/>
              <w:jc w:val="right"/>
              <w:rPr/>
            </w:pPr>
            <w:r>
              <w:rPr/>
              <w:t>(51</w:t>
            </w:r>
          </w:p>
        </w:tc>
        <w:tc>
          <w:tcPr>
            <w:tcW w:w="24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110</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793" w:type="dxa"/>
            <w:tcBorders/>
            <w:vAlign w:val="center"/>
          </w:tcPr>
          <w:p>
            <w:pPr>
              <w:pStyle w:val="TableContents"/>
              <w:bidi w:val="0"/>
              <w:spacing w:before="0" w:after="0"/>
              <w:jc w:val="left"/>
              <w:rPr>
                <w:bdr w:val="single" w:sz="2" w:space="1" w:color="000000"/>
              </w:rPr>
            </w:pPr>
            <w:r>
              <w:rPr>
                <w:bdr w:val="single" w:sz="2" w:space="1" w:color="000000"/>
              </w:rPr>
              <w:t> </w:t>
            </w:r>
          </w:p>
        </w:tc>
        <w:tc>
          <w:tcPr>
            <w:tcW w:w="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90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618" w:type="dxa"/>
            <w:tcBorders/>
            <w:vAlign w:val="center"/>
          </w:tcPr>
          <w:p>
            <w:pPr>
              <w:pStyle w:val="TableContents"/>
              <w:bidi w:val="0"/>
              <w:spacing w:before="0" w:after="0"/>
              <w:jc w:val="left"/>
              <w:rPr>
                <w:bdr w:val="single" w:sz="2" w:space="1" w:color="000000"/>
              </w:rPr>
            </w:pPr>
            <w:r>
              <w:rPr>
                <w:bdr w:val="single" w:sz="2" w:space="1" w:color="000000"/>
              </w:rPr>
              <w:t> </w:t>
            </w:r>
          </w:p>
        </w:tc>
        <w:tc>
          <w:tcPr>
            <w:tcW w:w="21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62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single" w:sz="2" w:space="1" w:color="000000"/>
              </w:rPr>
            </w:pPr>
            <w:r>
              <w:rPr>
                <w:bdr w:val="single" w:sz="2" w:space="1" w:color="000000"/>
              </w:rPr>
              <w:t> </w:t>
            </w:r>
          </w:p>
        </w:tc>
        <w:tc>
          <w:tcPr>
            <w:tcW w:w="528" w:type="dxa"/>
            <w:tcBorders/>
            <w:vAlign w:val="center"/>
          </w:tcPr>
          <w:p>
            <w:pPr>
              <w:pStyle w:val="TableContents"/>
              <w:bidi w:val="0"/>
              <w:spacing w:before="0" w:after="0"/>
              <w:jc w:val="left"/>
              <w:rPr>
                <w:bdr w:val="single" w:sz="2" w:space="1" w:color="000000"/>
              </w:rPr>
            </w:pPr>
            <w:r>
              <w:rPr>
                <w:bdr w:val="single" w:sz="2" w:space="1" w:color="000000"/>
              </w:rPr>
              <w:t> </w:t>
            </w:r>
          </w:p>
        </w:tc>
        <w:tc>
          <w:tcPr>
            <w:tcW w:w="24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1,753</w:t>
            </w:r>
          </w:p>
        </w:tc>
        <w:tc>
          <w:tcPr>
            <w:tcW w:w="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901" w:type="dxa"/>
            <w:tcBorders/>
            <w:vAlign w:val="center"/>
          </w:tcPr>
          <w:p>
            <w:pPr>
              <w:pStyle w:val="TableContents"/>
              <w:bidi w:val="0"/>
              <w:spacing w:before="0" w:after="283"/>
              <w:jc w:val="right"/>
              <w:rPr/>
            </w:pPr>
            <w:r>
              <w:rPr/>
              <w:t>(1,412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618" w:type="dxa"/>
            <w:tcBorders/>
            <w:vAlign w:val="center"/>
          </w:tcPr>
          <w:p>
            <w:pPr>
              <w:pStyle w:val="TableContents"/>
              <w:bidi w:val="0"/>
              <w:spacing w:before="0" w:after="283"/>
              <w:jc w:val="right"/>
              <w:rPr/>
            </w:pPr>
            <w:r>
              <w:rPr/>
              <w:t>(604</w:t>
            </w:r>
          </w:p>
        </w:tc>
        <w:tc>
          <w:tcPr>
            <w:tcW w:w="21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621" w:type="dxa"/>
            <w:tcBorders/>
            <w:vAlign w:val="center"/>
          </w:tcPr>
          <w:p>
            <w:pPr>
              <w:pStyle w:val="TableContents"/>
              <w:bidi w:val="0"/>
              <w:spacing w:before="0" w:after="283"/>
              <w:jc w:val="right"/>
              <w:rPr/>
            </w:pPr>
            <w:r>
              <w:rPr/>
              <w:t>(586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528" w:type="dxa"/>
            <w:tcBorders/>
            <w:vAlign w:val="center"/>
          </w:tcPr>
          <w:p>
            <w:pPr>
              <w:pStyle w:val="TableContents"/>
              <w:bidi w:val="0"/>
              <w:spacing w:before="0" w:after="283"/>
              <w:jc w:val="right"/>
              <w:rPr/>
            </w:pPr>
            <w:r>
              <w:rPr/>
              <w:t>(51</w:t>
            </w:r>
          </w:p>
        </w:tc>
        <w:tc>
          <w:tcPr>
            <w:tcW w:w="24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604" w:type="dxa"/>
            <w:tcBorders/>
            <w:vAlign w:val="center"/>
          </w:tcPr>
          <w:p>
            <w:pPr>
              <w:pStyle w:val="TableContents"/>
              <w:bidi w:val="0"/>
              <w:spacing w:before="0" w:after="283"/>
              <w:jc w:val="right"/>
              <w:rPr/>
            </w:pPr>
            <w:r>
              <w:rPr/>
              <w:t>110</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double" w:sz="6" w:space="1" w:color="000000"/>
              </w:rPr>
            </w:pPr>
            <w:r>
              <w:rPr>
                <w:bdr w:val="double" w:sz="6" w:space="1" w:color="000000"/>
              </w:rPr>
              <w:t> </w:t>
            </w:r>
          </w:p>
        </w:tc>
        <w:tc>
          <w:tcPr>
            <w:tcW w:w="793" w:type="dxa"/>
            <w:tcBorders/>
            <w:vAlign w:val="center"/>
          </w:tcPr>
          <w:p>
            <w:pPr>
              <w:pStyle w:val="TableContents"/>
              <w:bidi w:val="0"/>
              <w:spacing w:before="0" w:after="0"/>
              <w:jc w:val="left"/>
              <w:rPr>
                <w:bdr w:val="double" w:sz="6" w:space="1" w:color="000000"/>
              </w:rPr>
            </w:pPr>
            <w:r>
              <w:rPr>
                <w:bdr w:val="double" w:sz="6" w:space="1" w:color="000000"/>
              </w:rPr>
              <w:t> </w:t>
            </w:r>
          </w:p>
        </w:tc>
        <w:tc>
          <w:tcPr>
            <w:tcW w:w="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double" w:sz="6" w:space="1" w:color="000000"/>
              </w:rPr>
            </w:pPr>
            <w:r>
              <w:rPr>
                <w:bdr w:val="double" w:sz="6" w:space="1" w:color="000000"/>
              </w:rPr>
              <w:t> </w:t>
            </w:r>
          </w:p>
        </w:tc>
        <w:tc>
          <w:tcPr>
            <w:tcW w:w="90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double" w:sz="6" w:space="1" w:color="000000"/>
              </w:rPr>
            </w:pPr>
            <w:r>
              <w:rPr>
                <w:bdr w:val="double" w:sz="6" w:space="1" w:color="000000"/>
              </w:rPr>
              <w:t> </w:t>
            </w:r>
          </w:p>
        </w:tc>
        <w:tc>
          <w:tcPr>
            <w:tcW w:w="618" w:type="dxa"/>
            <w:tcBorders/>
            <w:vAlign w:val="center"/>
          </w:tcPr>
          <w:p>
            <w:pPr>
              <w:pStyle w:val="TableContents"/>
              <w:bidi w:val="0"/>
              <w:spacing w:before="0" w:after="0"/>
              <w:jc w:val="left"/>
              <w:rPr>
                <w:bdr w:val="double" w:sz="6" w:space="1" w:color="000000"/>
              </w:rPr>
            </w:pPr>
            <w:r>
              <w:rPr>
                <w:bdr w:val="double" w:sz="6" w:space="1" w:color="000000"/>
              </w:rPr>
              <w:t> </w:t>
            </w:r>
          </w:p>
        </w:tc>
        <w:tc>
          <w:tcPr>
            <w:tcW w:w="21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double" w:sz="6" w:space="1" w:color="000000"/>
              </w:rPr>
            </w:pPr>
            <w:r>
              <w:rPr>
                <w:bdr w:val="double" w:sz="6" w:space="1" w:color="000000"/>
              </w:rPr>
              <w:t> </w:t>
            </w:r>
          </w:p>
        </w:tc>
        <w:tc>
          <w:tcPr>
            <w:tcW w:w="62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double" w:sz="6" w:space="1" w:color="000000"/>
              </w:rPr>
            </w:pPr>
            <w:r>
              <w:rPr>
                <w:bdr w:val="double" w:sz="6" w:space="1" w:color="000000"/>
              </w:rPr>
              <w:t> </w:t>
            </w:r>
          </w:p>
        </w:tc>
        <w:tc>
          <w:tcPr>
            <w:tcW w:w="528" w:type="dxa"/>
            <w:tcBorders/>
            <w:vAlign w:val="center"/>
          </w:tcPr>
          <w:p>
            <w:pPr>
              <w:pStyle w:val="TableContents"/>
              <w:bidi w:val="0"/>
              <w:spacing w:before="0" w:after="0"/>
              <w:jc w:val="left"/>
              <w:rPr>
                <w:bdr w:val="double" w:sz="6" w:space="1" w:color="000000"/>
              </w:rPr>
            </w:pPr>
            <w:r>
              <w:rPr>
                <w:bdr w:val="double" w:sz="6" w:space="1" w:color="000000"/>
              </w:rPr>
              <w:t> </w:t>
            </w:r>
          </w:p>
        </w:tc>
        <w:tc>
          <w:tcPr>
            <w:tcW w:w="24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2025, the amount expected to be reclassified from accumulated other comprehensive income into earnings within the next 12 months is $1,391 thousand.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set aside a cash deposit to the counterparty, Standard Chartered Bank Korea Limited (“SC”), as required for the zero cost collar contracts. This cash deposit is recorded as hedge collateral on the consolidated balance sheets. Cash deposits as of June 30, 2025 and December 31, 2024 are as follows (in thousands): </w:t>
      </w:r>
    </w:p>
    <w:p>
      <w:pPr>
        <w:pStyle w:val="TextBody"/>
        <w:bidi w:val="0"/>
        <w:spacing w:before="0" w:after="0"/>
        <w:jc w:val="left"/>
        <w:rPr/>
      </w:pPr>
      <w:r>
        <w:rPr/>
        <w:t> </w:t>
      </w:r>
    </w:p>
    <w:tbl>
      <w:tblPr>
        <w:tblW w:w="3705" w:type="dxa"/>
        <w:jc w:val="left"/>
        <w:tblInd w:w="0" w:type="dxa"/>
        <w:tblLayout w:type="fixed"/>
        <w:tblCellMar>
          <w:top w:w="0" w:type="dxa"/>
          <w:left w:w="0" w:type="dxa"/>
          <w:bottom w:w="0" w:type="dxa"/>
          <w:right w:w="0" w:type="dxa"/>
        </w:tblCellMar>
      </w:tblPr>
      <w:tblGrid>
        <w:gridCol w:w="1040"/>
        <w:gridCol w:w="120"/>
        <w:gridCol w:w="306"/>
        <w:gridCol w:w="569"/>
        <w:gridCol w:w="60"/>
        <w:gridCol w:w="120"/>
        <w:gridCol w:w="283"/>
        <w:gridCol w:w="1132"/>
        <w:gridCol w:w="7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Counterparty</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w:t>
            </w:r>
          </w:p>
        </w:tc>
        <w:tc>
          <w:tcPr>
            <w:tcW w:w="12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p>
        </w:tc>
        <w:tc>
          <w:tcPr>
            <w:tcW w:w="56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1,000</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0"/>
              <w:jc w:val="left"/>
              <w:rPr>
                <w:bdr w:val="single" w:sz="2" w:space="1" w:color="000000"/>
              </w:rPr>
            </w:pPr>
            <w:r>
              <w:rPr>
                <w:bdr w:val="single" w:sz="2" w:space="1" w:color="000000"/>
              </w:rPr>
              <w:t> </w:t>
            </w:r>
          </w:p>
        </w:tc>
        <w:tc>
          <w:tcPr>
            <w:tcW w:w="56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w:t>
            </w:r>
          </w:p>
        </w:tc>
        <w:tc>
          <w:tcPr>
            <w:tcW w:w="56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1,000</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0"/>
              <w:jc w:val="left"/>
              <w:rPr>
                <w:bdr w:val="double" w:sz="6" w:space="1" w:color="000000"/>
              </w:rPr>
            </w:pPr>
            <w:r>
              <w:rPr>
                <w:bdr w:val="double" w:sz="6" w:space="1" w:color="000000"/>
              </w:rPr>
              <w:t> </w:t>
            </w:r>
          </w:p>
        </w:tc>
        <w:tc>
          <w:tcPr>
            <w:tcW w:w="56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is required to deposit additional cash collateral with Nomura Financial Investment (Korea) Co., Ltd. (“NFIK”) for any exposure in excess of $500 thousand, but no such exposure existed as of June 30, 2025. As of December 31, 2024, $1,080 thousand of additional cash collateral were required by NFIK and recorded as hedge collateral on the consolidated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These zero cost collar contracts may be terminated by the counterparties if the Company’s total cash and cash equivalents is less than $30,000 thousand at the end of a fiscal quarter, unless a waiver is obtained.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9. Fair Value Measurements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2025, the following table represents the Company’s assets and liabilities measured at fair value on a recurring basis and the basis for that measurement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45"/>
        <w:gridCol w:w="120"/>
        <w:gridCol w:w="437"/>
        <w:gridCol w:w="1188"/>
        <w:gridCol w:w="60"/>
        <w:gridCol w:w="120"/>
        <w:gridCol w:w="380"/>
        <w:gridCol w:w="1035"/>
        <w:gridCol w:w="60"/>
        <w:gridCol w:w="120"/>
        <w:gridCol w:w="318"/>
        <w:gridCol w:w="1382"/>
        <w:gridCol w:w="60"/>
        <w:gridCol w:w="120"/>
        <w:gridCol w:w="316"/>
        <w:gridCol w:w="859"/>
        <w:gridCol w:w="60"/>
        <w:gridCol w:w="120"/>
        <w:gridCol w:w="268"/>
        <w:gridCol w:w="1162"/>
        <w:gridCol w:w="75"/>
      </w:tblGrid>
      <w:tr>
        <w:trPr/>
        <w:tc>
          <w:tcPr>
            <w:tcW w:w="1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Carrying Value</w:t>
              <w:br/>
              <w:t>June 30,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br/>
              <w:t>Measurement</w:t>
              <w:br/>
              <w:t>June 30,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Quoted Prices in</w:t>
              <w:br/>
              <w:t>Active Markets</w:t>
              <w:br/>
              <w:t>for Identical</w:t>
              <w:br/>
              <w:t>Asset/Liability</w:t>
              <w:b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Other</w:t>
              <w:br/>
              <w:t>Observable</w:t>
              <w:br/>
              <w:t>Inputs</w:t>
              <w:b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Unobservable</w:t>
              <w:br/>
              <w:t>Inputs</w:t>
              <w:br/>
              <w:t>(Level 3)</w:t>
            </w:r>
          </w:p>
        </w:tc>
        <w:tc>
          <w:tcPr>
            <w:tcW w:w="75" w:type="dxa"/>
            <w:tcBorders/>
            <w:vAlign w:val="center"/>
          </w:tcPr>
          <w:p>
            <w:pPr>
              <w:pStyle w:val="TableContents"/>
              <w:bidi w:val="0"/>
              <w:spacing w:before="0" w:after="283"/>
              <w:jc w:val="left"/>
              <w:rPr/>
            </w:pPr>
            <w:r>
              <w:rPr/>
              <w:t> </w:t>
            </w:r>
          </w:p>
        </w:tc>
      </w:tr>
      <w:tr>
        <w:trPr/>
        <w:tc>
          <w:tcPr>
            <w:tcW w:w="1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sz w:val="4"/>
                <w:szCs w:val="4"/>
              </w:rPr>
            </w:pPr>
            <w:r>
              <w:rPr>
                <w:sz w:val="4"/>
                <w:szCs w:val="4"/>
              </w:rPr>
            </w:r>
          </w:p>
        </w:tc>
        <w:tc>
          <w:tcPr>
            <w:tcW w:w="11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10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sz w:val="4"/>
                <w:szCs w:val="4"/>
              </w:rPr>
            </w:pPr>
            <w:r>
              <w:rPr>
                <w:sz w:val="4"/>
                <w:szCs w:val="4"/>
              </w:rPr>
            </w:r>
          </w:p>
        </w:tc>
        <w:tc>
          <w:tcPr>
            <w:tcW w:w="138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8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assets</w:t>
            </w:r>
          </w:p>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w:t>
            </w:r>
          </w:p>
        </w:tc>
        <w:tc>
          <w:tcPr>
            <w:tcW w:w="1188" w:type="dxa"/>
            <w:tcBorders/>
            <w:vAlign w:val="center"/>
          </w:tcPr>
          <w:p>
            <w:pPr>
              <w:pStyle w:val="TableContents"/>
              <w:bidi w:val="0"/>
              <w:spacing w:before="0" w:after="283"/>
              <w:jc w:val="right"/>
              <w:rPr/>
            </w:pPr>
            <w:r>
              <w:rPr/>
              <w:t>354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w:t>
            </w:r>
          </w:p>
        </w:tc>
        <w:tc>
          <w:tcPr>
            <w:tcW w:w="1035" w:type="dxa"/>
            <w:tcBorders/>
            <w:vAlign w:val="center"/>
          </w:tcPr>
          <w:p>
            <w:pPr>
              <w:pStyle w:val="TableContents"/>
              <w:bidi w:val="0"/>
              <w:spacing w:before="0" w:after="283"/>
              <w:jc w:val="right"/>
              <w:rPr/>
            </w:pPr>
            <w:r>
              <w:rPr/>
              <w:t>354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859" w:type="dxa"/>
            <w:tcBorders/>
            <w:vAlign w:val="center"/>
          </w:tcPr>
          <w:p>
            <w:pPr>
              <w:pStyle w:val="TableContents"/>
              <w:bidi w:val="0"/>
              <w:spacing w:before="0" w:after="283"/>
              <w:jc w:val="right"/>
              <w:rPr/>
            </w:pPr>
            <w:r>
              <w:rPr/>
              <w:t>354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sz w:val="4"/>
                <w:szCs w:val="4"/>
              </w:rPr>
            </w:pPr>
            <w:r>
              <w:rPr>
                <w:sz w:val="4"/>
                <w:szCs w:val="4"/>
              </w:rPr>
            </w:r>
          </w:p>
        </w:tc>
        <w:tc>
          <w:tcPr>
            <w:tcW w:w="11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10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sz w:val="4"/>
                <w:szCs w:val="4"/>
              </w:rPr>
            </w:pPr>
            <w:r>
              <w:rPr>
                <w:sz w:val="4"/>
                <w:szCs w:val="4"/>
              </w:rPr>
            </w:r>
          </w:p>
        </w:tc>
        <w:tc>
          <w:tcPr>
            <w:tcW w:w="138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8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w:t>
            </w:r>
          </w:p>
        </w:tc>
        <w:tc>
          <w:tcPr>
            <w:tcW w:w="1188" w:type="dxa"/>
            <w:tcBorders/>
            <w:vAlign w:val="center"/>
          </w:tcPr>
          <w:p>
            <w:pPr>
              <w:pStyle w:val="TableContents"/>
              <w:bidi w:val="0"/>
              <w:spacing w:before="0" w:after="283"/>
              <w:jc w:val="right"/>
              <w:rPr/>
            </w:pPr>
            <w:r>
              <w:rPr/>
              <w:t>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w:t>
            </w:r>
          </w:p>
        </w:tc>
        <w:tc>
          <w:tcPr>
            <w:tcW w:w="1035" w:type="dxa"/>
            <w:tcBorders/>
            <w:vAlign w:val="center"/>
          </w:tcPr>
          <w:p>
            <w:pPr>
              <w:pStyle w:val="TableContents"/>
              <w:bidi w:val="0"/>
              <w:spacing w:before="0" w:after="283"/>
              <w:jc w:val="right"/>
              <w:rPr/>
            </w:pPr>
            <w:r>
              <w:rPr/>
              <w:t>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859" w:type="dxa"/>
            <w:tcBorders/>
            <w:vAlign w:val="center"/>
          </w:tcPr>
          <w:p>
            <w:pPr>
              <w:pStyle w:val="TableContents"/>
              <w:bidi w:val="0"/>
              <w:spacing w:before="0" w:after="283"/>
              <w:jc w:val="right"/>
              <w:rPr/>
            </w:pPr>
            <w:r>
              <w:rPr/>
              <w:t>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following table represents the Company’s liabilities measured at fair value on a recurring basis and the basis for that measurement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1"/>
        <w:gridCol w:w="120"/>
        <w:gridCol w:w="391"/>
        <w:gridCol w:w="1564"/>
        <w:gridCol w:w="60"/>
        <w:gridCol w:w="120"/>
        <w:gridCol w:w="391"/>
        <w:gridCol w:w="1564"/>
        <w:gridCol w:w="60"/>
        <w:gridCol w:w="120"/>
        <w:gridCol w:w="328"/>
        <w:gridCol w:w="1425"/>
        <w:gridCol w:w="60"/>
        <w:gridCol w:w="120"/>
        <w:gridCol w:w="235"/>
        <w:gridCol w:w="940"/>
        <w:gridCol w:w="60"/>
        <w:gridCol w:w="120"/>
        <w:gridCol w:w="268"/>
        <w:gridCol w:w="1162"/>
        <w:gridCol w:w="76"/>
      </w:tblGrid>
      <w:tr>
        <w:trPr/>
        <w:tc>
          <w:tcPr>
            <w:tcW w:w="10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02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Carrying Value</w:t>
              <w:br/>
              <w:t>December 31, 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br/>
              <w:t>Measurement</w:t>
              <w:br/>
              <w:t>December 31, 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Quoted Prices in</w:t>
              <w:br/>
              <w:t>Active Markets</w:t>
              <w:br/>
              <w:t>for Identical</w:t>
              <w:br/>
              <w:t>Liability (Level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Other</w:t>
              <w:br/>
              <w:t>Observable</w:t>
              <w:br/>
              <w:t>Inputs</w:t>
              <w:b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Unobservable</w:t>
              <w:br/>
              <w:t>Inputs</w:t>
              <w:br/>
              <w:t>(Level 3)</w:t>
            </w:r>
          </w:p>
        </w:tc>
        <w:tc>
          <w:tcPr>
            <w:tcW w:w="76" w:type="dxa"/>
            <w:tcBorders/>
            <w:vAlign w:val="center"/>
          </w:tcPr>
          <w:p>
            <w:pPr>
              <w:pStyle w:val="TableContents"/>
              <w:bidi w:val="0"/>
              <w:spacing w:before="0" w:after="283"/>
              <w:jc w:val="left"/>
              <w:rPr/>
            </w:pPr>
            <w:r>
              <w:rPr/>
              <w:t> </w:t>
            </w:r>
          </w:p>
        </w:tc>
      </w:tr>
      <w:tr>
        <w:trPr/>
        <w:tc>
          <w:tcPr>
            <w:tcW w:w="10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sz w:val="4"/>
                <w:szCs w:val="4"/>
              </w:rPr>
            </w:pPr>
            <w:r>
              <w:rPr>
                <w:sz w:val="4"/>
                <w:szCs w:val="4"/>
              </w:rPr>
            </w:r>
          </w:p>
        </w:tc>
        <w:tc>
          <w:tcPr>
            <w:tcW w:w="15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sz w:val="4"/>
                <w:szCs w:val="4"/>
              </w:rPr>
            </w:pPr>
            <w:r>
              <w:rPr>
                <w:sz w:val="4"/>
                <w:szCs w:val="4"/>
              </w:rPr>
            </w:r>
          </w:p>
        </w:tc>
        <w:tc>
          <w:tcPr>
            <w:tcW w:w="15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14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10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w:t>
            </w:r>
          </w:p>
        </w:tc>
        <w:tc>
          <w:tcPr>
            <w:tcW w:w="1564" w:type="dxa"/>
            <w:tcBorders/>
            <w:vAlign w:val="center"/>
          </w:tcPr>
          <w:p>
            <w:pPr>
              <w:pStyle w:val="TableContents"/>
              <w:bidi w:val="0"/>
              <w:spacing w:before="0" w:after="283"/>
              <w:jc w:val="right"/>
              <w:rPr/>
            </w:pPr>
            <w:r>
              <w:rPr/>
              <w:t>1,956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w:t>
            </w:r>
          </w:p>
        </w:tc>
        <w:tc>
          <w:tcPr>
            <w:tcW w:w="1564" w:type="dxa"/>
            <w:tcBorders/>
            <w:vAlign w:val="center"/>
          </w:tcPr>
          <w:p>
            <w:pPr>
              <w:pStyle w:val="TableContents"/>
              <w:bidi w:val="0"/>
              <w:spacing w:before="0" w:after="283"/>
              <w:jc w:val="right"/>
              <w:rPr/>
            </w:pPr>
            <w:r>
              <w:rPr/>
              <w:t>1,956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4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right"/>
              <w:rPr/>
            </w:pPr>
            <w:r>
              <w:rPr/>
              <w:t>1,956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 The carrying value of the Company’s outstanding Term Loan and CAPEX Loan approximates its fair value because its interest rate reflects the market rate for the respective periods. The fair value of this debt is categorized within Level 2 of the fair value hierarchy.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10. Accrued Severance Benefits </w:t>
      </w:r>
    </w:p>
    <w:p>
      <w:pPr>
        <w:pStyle w:val="TextBody"/>
        <w:bidi w:val="0"/>
        <w:spacing w:before="120" w:after="0"/>
        <w:jc w:val="left"/>
        <w:rPr>
          <w:rFonts w:ascii="Times New Roman" w:hAnsi="Times New Roman"/>
          <w:sz w:val="20"/>
        </w:rPr>
      </w:pPr>
      <w:r>
        <w:rPr>
          <w:rFonts w:ascii="Times New Roman" w:hAnsi="Times New Roman"/>
          <w:sz w:val="20"/>
        </w:rPr>
        <w:t xml:space="preserve">The majority of accrued severance benefits are for employees in the Company’s Korean subsidiaries. Pursuant to the Employee Retirement Benefit Security Act of Korea, eligible employees and executive officers with one or more years of service are entitled to severance benefits upon the termination of their employment based on their length of service and rate of pay. As of June 30, 2025, 96% of all employees of the Company were eligible for severance benefits. </w:t>
      </w:r>
    </w:p>
    <w:p>
      <w:pPr>
        <w:pStyle w:val="TextBody"/>
        <w:bidi w:val="0"/>
        <w:spacing w:before="240" w:after="0"/>
        <w:jc w:val="left"/>
        <w:rPr>
          <w:rFonts w:ascii="Times New Roman" w:hAnsi="Times New Roman"/>
          <w:sz w:val="20"/>
        </w:rPr>
      </w:pPr>
      <w:r>
        <w:rPr>
          <w:rFonts w:ascii="Times New Roman" w:hAnsi="Times New Roman"/>
          <w:sz w:val="20"/>
        </w:rPr>
        <w:t xml:space="preserve">Changes in accrued severance benefits are as follows (in thousands): </w:t>
      </w:r>
    </w:p>
    <w:p>
      <w:pPr>
        <w:pStyle w:val="TextBody"/>
        <w:bidi w:val="0"/>
        <w:spacing w:before="0" w:after="0"/>
        <w:jc w:val="left"/>
        <w:rPr/>
      </w:pPr>
      <w:r>
        <w:rPr/>
        <w:t> </w:t>
      </w:r>
    </w:p>
    <w:tbl>
      <w:tblPr>
        <w:tblW w:w="10485" w:type="dxa"/>
        <w:jc w:val="left"/>
        <w:tblInd w:w="0" w:type="dxa"/>
        <w:tblLayout w:type="fixed"/>
        <w:tblCellMar>
          <w:top w:w="0" w:type="dxa"/>
          <w:left w:w="0" w:type="dxa"/>
          <w:bottom w:w="0" w:type="dxa"/>
          <w:right w:w="0" w:type="dxa"/>
        </w:tblCellMar>
      </w:tblPr>
      <w:tblGrid>
        <w:gridCol w:w="1130"/>
        <w:gridCol w:w="120"/>
        <w:gridCol w:w="345"/>
        <w:gridCol w:w="1865"/>
        <w:gridCol w:w="155"/>
        <w:gridCol w:w="120"/>
        <w:gridCol w:w="298"/>
        <w:gridCol w:w="1612"/>
        <w:gridCol w:w="155"/>
        <w:gridCol w:w="120"/>
        <w:gridCol w:w="345"/>
        <w:gridCol w:w="1865"/>
        <w:gridCol w:w="155"/>
        <w:gridCol w:w="120"/>
        <w:gridCol w:w="298"/>
        <w:gridCol w:w="1612"/>
        <w:gridCol w:w="170"/>
      </w:tblGrid>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r>
          </w:p>
        </w:tc>
        <w:tc>
          <w:tcPr>
            <w:tcW w:w="17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9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 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9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 2024</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46,886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45,594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44,484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45,932</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661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2,175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1,565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2,970</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Severance payments</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(9,518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(9,843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(478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(1,362</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adjustments</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3,552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3,655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(1,373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(3,342</w:t>
            </w:r>
          </w:p>
        </w:tc>
        <w:tc>
          <w:tcPr>
            <w:tcW w:w="17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0"/>
              <w:jc w:val="left"/>
              <w:rPr>
                <w:bdr w:val="single" w:sz="2" w:space="1" w:color="000000"/>
              </w:rPr>
            </w:pPr>
            <w:r>
              <w:rPr>
                <w:bdr w:val="single" w:sz="2" w:space="1" w:color="000000"/>
              </w:rPr>
              <w:t> </w:t>
            </w:r>
          </w:p>
        </w:tc>
        <w:tc>
          <w:tcPr>
            <w:tcW w:w="161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0"/>
              <w:jc w:val="left"/>
              <w:rPr>
                <w:bdr w:val="single" w:sz="2" w:space="1" w:color="000000"/>
              </w:rPr>
            </w:pPr>
            <w:r>
              <w:rPr>
                <w:bdr w:val="single" w:sz="2" w:space="1" w:color="000000"/>
              </w:rPr>
              <w:t> </w:t>
            </w:r>
          </w:p>
        </w:tc>
        <w:tc>
          <w:tcPr>
            <w:tcW w:w="161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41,581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41,581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44,198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44,198</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Cumulative contributions to severance insurance deposit accounts</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(27,313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(27,313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(28,412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(28,412</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 National Pension Fund</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(27</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0"/>
              <w:jc w:val="left"/>
              <w:rPr>
                <w:bdr w:val="single" w:sz="2" w:space="1" w:color="000000"/>
              </w:rPr>
            </w:pPr>
            <w:r>
              <w:rPr>
                <w:bdr w:val="single" w:sz="2" w:space="1" w:color="000000"/>
              </w:rPr>
              <w:t> </w:t>
            </w:r>
          </w:p>
        </w:tc>
        <w:tc>
          <w:tcPr>
            <w:tcW w:w="161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0"/>
              <w:jc w:val="left"/>
              <w:rPr>
                <w:bdr w:val="single" w:sz="2" w:space="1" w:color="000000"/>
              </w:rPr>
            </w:pPr>
            <w:r>
              <w:rPr>
                <w:bdr w:val="single" w:sz="2" w:space="1" w:color="000000"/>
              </w:rPr>
              <w:t> </w:t>
            </w:r>
          </w:p>
        </w:tc>
        <w:tc>
          <w:tcPr>
            <w:tcW w:w="161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severance benefits, net</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283"/>
              <w:jc w:val="right"/>
              <w:rPr/>
            </w:pPr>
            <w:r>
              <w:rPr/>
              <w:t>14,248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283"/>
              <w:jc w:val="right"/>
              <w:rPr/>
            </w:pPr>
            <w:r>
              <w:rPr/>
              <w:t>14,248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283"/>
              <w:jc w:val="right"/>
              <w:rPr/>
            </w:pPr>
            <w:r>
              <w:rPr/>
              <w:t>15,759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283"/>
              <w:jc w:val="right"/>
              <w:rPr/>
            </w:pPr>
            <w:r>
              <w:rPr/>
              <w:t>15,759</w:t>
            </w:r>
          </w:p>
        </w:tc>
        <w:tc>
          <w:tcPr>
            <w:tcW w:w="17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double" w:sz="6" w:space="1" w:color="000000"/>
              </w:rPr>
            </w:pPr>
            <w:r>
              <w:rPr>
                <w:bdr w:val="double" w:sz="6" w:space="1" w:color="000000"/>
              </w:rPr>
              <w:t> </w:t>
            </w:r>
          </w:p>
        </w:tc>
        <w:tc>
          <w:tcPr>
            <w:tcW w:w="186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0"/>
              <w:jc w:val="left"/>
              <w:rPr>
                <w:bdr w:val="double" w:sz="6" w:space="1" w:color="000000"/>
              </w:rPr>
            </w:pPr>
            <w:r>
              <w:rPr>
                <w:bdr w:val="double" w:sz="6" w:space="1" w:color="000000"/>
              </w:rPr>
              <w:t> </w:t>
            </w:r>
          </w:p>
        </w:tc>
        <w:tc>
          <w:tcPr>
            <w:tcW w:w="161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double" w:sz="6" w:space="1" w:color="000000"/>
              </w:rPr>
            </w:pPr>
            <w:r>
              <w:rPr>
                <w:bdr w:val="double" w:sz="6" w:space="1" w:color="000000"/>
              </w:rPr>
              <w:t> </w:t>
            </w:r>
          </w:p>
        </w:tc>
        <w:tc>
          <w:tcPr>
            <w:tcW w:w="186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0"/>
              <w:jc w:val="left"/>
              <w:rPr>
                <w:bdr w:val="double" w:sz="6" w:space="1" w:color="000000"/>
              </w:rPr>
            </w:pPr>
            <w:r>
              <w:rPr>
                <w:bdr w:val="double" w:sz="6" w:space="1" w:color="000000"/>
              </w:rPr>
              <w:t> </w:t>
            </w:r>
          </w:p>
        </w:tc>
        <w:tc>
          <w:tcPr>
            <w:tcW w:w="161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severance benefits funded through the Company’s National Pension Fund have been and will be used exclusively for payment of severance benefits to eligible employees. These amounts have been deducted from the accrued severance benefit balance. </w:t>
      </w:r>
    </w:p>
    <w:p>
      <w:pPr>
        <w:pStyle w:val="TextBody"/>
        <w:bidi w:val="0"/>
        <w:spacing w:before="240" w:after="0"/>
        <w:jc w:val="left"/>
        <w:rPr>
          <w:rFonts w:ascii="Times New Roman" w:hAnsi="Times New Roman"/>
          <w:sz w:val="20"/>
        </w:rPr>
      </w:pPr>
      <w:r>
        <w:rPr>
          <w:rFonts w:ascii="Times New Roman" w:hAnsi="Times New Roman"/>
          <w:sz w:val="20"/>
        </w:rPr>
        <w:t xml:space="preserve">Beginning in July 2018, the Company contributes to certain severance insurance deposit accounts a certain percentage of severance benefits that are accrued for eligible employees for their services from January 1, 2018 pursuant to Employee Retirement Benefit Security Act of Korea.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liable to pay the following future benefits to its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non-executive</w:t>
      </w:r>
    </w:p>
    <w:p>
      <w:pPr>
        <w:pStyle w:val="TextBody"/>
        <w:bidi w:val="0"/>
        <w:spacing w:before="240" w:after="0"/>
        <w:jc w:val="left"/>
        <w:rPr>
          <w:rFonts w:ascii="Times New Roman" w:hAnsi="Times New Roman"/>
          <w:sz w:val="20"/>
        </w:rPr>
      </w:pPr>
      <w:r>
        <w:rPr>
          <w:rFonts w:ascii="Times New Roman" w:hAnsi="Times New Roman"/>
          <w:sz w:val="20"/>
        </w:rPr>
        <w:t xml:space="preserve">employees upon their normal retirement age (in thousands): </w:t>
      </w:r>
    </w:p>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1070"/>
        <w:gridCol w:w="120"/>
        <w:gridCol w:w="308"/>
        <w:gridCol w:w="1497"/>
        <w:gridCol w:w="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Severance benefit</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98</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497" w:type="dxa"/>
            <w:tcBorders/>
            <w:vAlign w:val="center"/>
          </w:tcPr>
          <w:p>
            <w:pPr>
              <w:pStyle w:val="TableContents"/>
              <w:bidi w:val="0"/>
              <w:spacing w:before="0" w:after="283"/>
              <w:jc w:val="right"/>
              <w:rPr/>
            </w:pPr>
            <w:r>
              <w:rPr/>
              <w:t>557</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110</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497" w:type="dxa"/>
            <w:tcBorders/>
            <w:vAlign w:val="center"/>
          </w:tcPr>
          <w:p>
            <w:pPr>
              <w:pStyle w:val="TableContents"/>
              <w:bidi w:val="0"/>
              <w:spacing w:before="0" w:after="283"/>
              <w:jc w:val="right"/>
              <w:rPr/>
            </w:pPr>
            <w:r>
              <w:rPr/>
              <w:t>2,287</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2,727</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2031 – 2036</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497" w:type="dxa"/>
            <w:tcBorders/>
            <w:vAlign w:val="center"/>
          </w:tcPr>
          <w:p>
            <w:pPr>
              <w:pStyle w:val="TableContents"/>
              <w:bidi w:val="0"/>
              <w:spacing w:before="0" w:after="283"/>
              <w:jc w:val="right"/>
              <w:rPr/>
            </w:pPr>
            <w:r>
              <w:rPr/>
              <w:t>17,914</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amounts were determined based on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non-executive</w:t>
      </w:r>
    </w:p>
    <w:p>
      <w:pPr>
        <w:pStyle w:val="TextBody"/>
        <w:bidi w:val="0"/>
        <w:spacing w:before="240" w:after="0"/>
        <w:jc w:val="left"/>
        <w:rPr>
          <w:rFonts w:ascii="Times New Roman" w:hAnsi="Times New Roman"/>
          <w:sz w:val="20"/>
        </w:rPr>
      </w:pPr>
      <w:r>
        <w:rPr>
          <w:rFonts w:ascii="Times New Roman" w:hAnsi="Times New Roman"/>
          <w:sz w:val="20"/>
        </w:rPr>
        <w:t xml:space="preserve">employees’ current salary rates and the number of service years that will be accumulated upon their retirement dates. These amounts do not include amounts that might be paid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non-executive</w:t>
      </w:r>
    </w:p>
    <w:p>
      <w:pPr>
        <w:pStyle w:val="TextBody"/>
        <w:bidi w:val="0"/>
        <w:spacing w:before="240" w:after="0"/>
        <w:jc w:val="left"/>
        <w:rPr>
          <w:rFonts w:ascii="Times New Roman" w:hAnsi="Times New Roman"/>
          <w:sz w:val="20"/>
        </w:rPr>
      </w:pPr>
      <w:r>
        <w:rPr>
          <w:rFonts w:ascii="Times New Roman" w:hAnsi="Times New Roman"/>
          <w:sz w:val="20"/>
        </w:rPr>
        <w:t xml:space="preserve">employees that will cease working with the Company before their normal retirement ages. </w:t>
      </w:r>
    </w:p>
    <w:p>
      <w:pPr>
        <w:pStyle w:val="TextBody"/>
        <w:bidi w:val="0"/>
        <w:spacing w:before="240" w:after="0"/>
        <w:jc w:val="left"/>
        <w:rPr>
          <w:rFonts w:ascii="Times New Roman" w:hAnsi="Times New Roman"/>
          <w:sz w:val="20"/>
        </w:rPr>
      </w:pPr>
      <w:r>
        <w:rPr>
          <w:rFonts w:ascii="Times New Roman" w:hAnsi="Times New Roman"/>
          <w:sz w:val="20"/>
        </w:rPr>
        <w:t xml:space="preserve">Korea’s mandatory retirement age is 60 years of age or older under the Employment Promotion for the Aged Act. The Company sets the retirement age of employees at 60.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11. Long-Term Borrowings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Term Loan </w:t>
      </w:r>
    </w:p>
    <w:p>
      <w:pPr>
        <w:pStyle w:val="TextBody"/>
        <w:bidi w:val="0"/>
        <w:spacing w:before="120" w:after="0"/>
        <w:jc w:val="left"/>
        <w:rPr>
          <w:rFonts w:ascii="Times New Roman" w:hAnsi="Times New Roman"/>
          <w:sz w:val="20"/>
        </w:rPr>
      </w:pPr>
      <w:r>
        <w:rPr>
          <w:rFonts w:ascii="Times New Roman" w:hAnsi="Times New Roman"/>
          <w:sz w:val="20"/>
        </w:rPr>
        <w:t xml:space="preserve">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Kun-Pledge</w:t>
      </w:r>
    </w:p>
    <w:p>
      <w:pPr>
        <w:pStyle w:val="TextBody"/>
        <w:bidi w:val="0"/>
        <w:spacing w:before="120" w:after="0"/>
        <w:jc w:val="left"/>
        <w:rPr>
          <w:rFonts w:ascii="Times New Roman" w:hAnsi="Times New Roman"/>
          <w:sz w:val="20"/>
        </w:rPr>
      </w:pPr>
      <w:r>
        <w:rPr>
          <w:rFonts w:ascii="Times New Roman" w:hAnsi="Times New Roman"/>
          <w:sz w:val="20"/>
        </w:rPr>
        <w:t xml:space="preserve">(Mortgage) Agreement (the “Pledge Agreement”) with KDB pursuant to which MSK pledged its real property and buildings located in Gumi, Korea (“Fab 3 properties”) in favor of KDB. </w:t>
      </w:r>
    </w:p>
    <w:p>
      <w:pPr>
        <w:pStyle w:val="TextBody"/>
        <w:bidi w:val="0"/>
        <w:spacing w:before="240" w:after="0"/>
        <w:jc w:val="left"/>
        <w:rPr>
          <w:rFonts w:ascii="Times New Roman" w:hAnsi="Times New Roman"/>
          <w:sz w:val="20"/>
        </w:rPr>
      </w:pPr>
      <w:r>
        <w:rPr>
          <w:rFonts w:ascii="Times New Roman" w:hAnsi="Times New Roman"/>
          <w:sz w:val="20"/>
        </w:rPr>
        <w:t xml:space="preserve">The Loan Agreement provides for a working capital term loan (the “Term Loan”) of KRW 40,000,000,000 (approximately $29,835 thousand based on the KRW/USD exchange rate of 1,340.7:1 as of March 26, 2024 as quoted by KEB Hana Bank), which was funded in full to MSK on March 26, 2024. </w:t>
      </w:r>
    </w:p>
    <w:p>
      <w:pPr>
        <w:pStyle w:val="TextBody"/>
        <w:bidi w:val="0"/>
        <w:spacing w:before="240" w:after="0"/>
        <w:jc w:val="left"/>
        <w:rPr>
          <w:rFonts w:ascii="Times New Roman" w:hAnsi="Times New Roman"/>
          <w:sz w:val="20"/>
        </w:rPr>
      </w:pPr>
      <w:r>
        <w:rPr>
          <w:rFonts w:ascii="Times New Roman" w:hAnsi="Times New Roman"/>
          <w:sz w:val="20"/>
        </w:rPr>
        <w:t xml:space="preserve">The Term Loan bears interest at a variable rate equal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3-month</w:t>
      </w:r>
    </w:p>
    <w:p>
      <w:pPr>
        <w:pStyle w:val="TextBody"/>
        <w:bidi w:val="0"/>
        <w:spacing w:before="240" w:after="0"/>
        <w:jc w:val="left"/>
        <w:rPr>
          <w:rFonts w:ascii="Times New Roman" w:hAnsi="Times New Roman"/>
          <w:sz w:val="20"/>
        </w:rPr>
      </w:pPr>
      <w:r>
        <w:rPr>
          <w:rFonts w:ascii="Times New Roman" w:hAnsi="Times New Roman"/>
          <w:sz w:val="20"/>
        </w:rPr>
        <w:t xml:space="preserve">CD rate quoted by KDB, plus 1.21%, which rate is adjusted quarterly. The initial interest rate on the Term Loan was 4.86% per annum. The Term Loan requires monthly interest-only payments and matures on March 26, 2027, at which time the full principal balance will be due and payable. All obligations of MSK under the Loan Agreement and the Term Loan are secured by the Fab 3 properties pursuant to the Pledge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2025, approximately $29,490 thousand aggregate principal amount of the Term Loan was outstanding.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CAPEX Loans </w:t>
      </w:r>
    </w:p>
    <w:p>
      <w:pPr>
        <w:pStyle w:val="TextBody"/>
        <w:bidi w:val="0"/>
        <w:spacing w:before="120" w:after="0"/>
        <w:jc w:val="left"/>
        <w:rPr>
          <w:rFonts w:ascii="Times New Roman" w:hAnsi="Times New Roman"/>
          <w:sz w:val="20"/>
        </w:rPr>
      </w:pPr>
      <w:r>
        <w:rPr>
          <w:rFonts w:ascii="Times New Roman" w:hAnsi="Times New Roman"/>
          <w:sz w:val="20"/>
        </w:rPr>
        <w:t xml:space="preserve">On December 16, 2024, MSK executed a Standard Credit Agreement (as amended) (together with its General Terms and Conditions, the “Equipment Financing Credit Agreement”) with KDB. In connection with the Equipment Financing Credit Agreement, on December 8, 2024, MSK also amended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Kun-Pledge</w:t>
      </w:r>
    </w:p>
    <w:p>
      <w:pPr>
        <w:pStyle w:val="TextBody"/>
        <w:bidi w:val="0"/>
        <w:spacing w:before="120" w:after="0"/>
        <w:jc w:val="left"/>
        <w:rPr>
          <w:rFonts w:ascii="Times New Roman" w:hAnsi="Times New Roman"/>
          <w:sz w:val="20"/>
        </w:rPr>
      </w:pPr>
      <w:r>
        <w:rPr>
          <w:rFonts w:ascii="Times New Roman" w:hAnsi="Times New Roman"/>
          <w:sz w:val="20"/>
        </w:rPr>
        <w:t xml:space="preserve">Agreement (the “Equipment Pledge Agreement”) with KDB, originally executed on or about March 26, 2024, to increase the maximum secured amount and to expand the scope of collateral to include certain machinery and equipment owned by MSK, which are located in its fabrication facility located in Gumi, Korea (“Fab 3 machinery and equipment”). </w:t>
      </w:r>
    </w:p>
    <w:p>
      <w:pPr>
        <w:pStyle w:val="TextBody"/>
        <w:bidi w:val="0"/>
        <w:spacing w:before="240" w:after="0"/>
        <w:jc w:val="left"/>
        <w:rPr>
          <w:rFonts w:ascii="Times New Roman" w:hAnsi="Times New Roman"/>
          <w:sz w:val="20"/>
        </w:rPr>
      </w:pPr>
      <w:r>
        <w:rPr>
          <w:rFonts w:ascii="Times New Roman" w:hAnsi="Times New Roman"/>
          <w:sz w:val="20"/>
        </w:rPr>
        <w:t xml:space="preserve">The Equipment Financing Credit Agreement provides for loans for MSK’s capital expenditures (the “CAPEX Loans”) up to an aggregate of KRW 38,000,000,000 ($26,523 thousand based on the KRW/USD exchange rate of 1,432.7:1 as of December 16, 2024 as quoted by KEB Hana Bank), which will be funded directly to capital expenditure supply vendors by KDB upon the submission of a request form by MSK with the necessary evidence such as purchase agreement, invoice and other documentation,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CAPEX Loans will bear interest at a fixed rate quoted by the treasury bond market yield (a six-year Korea treasury bill rate). CAPEX Loans mature in ten years from the initial loan disbursement date (the “Maturity Date”), with an initial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two-year</w:t>
      </w:r>
    </w:p>
    <w:p>
      <w:pPr>
        <w:pStyle w:val="TextBody"/>
        <w:bidi w:val="0"/>
        <w:spacing w:before="240" w:after="0"/>
        <w:jc w:val="left"/>
        <w:rPr>
          <w:rFonts w:ascii="Times New Roman" w:hAnsi="Times New Roman"/>
          <w:sz w:val="20"/>
        </w:rPr>
      </w:pPr>
      <w:r>
        <w:rPr>
          <w:rFonts w:ascii="Times New Roman" w:hAnsi="Times New Roman"/>
          <w:sz w:val="20"/>
        </w:rPr>
        <w:t xml:space="preserve">(measured from the first loan disbursement date) interest-only payment period during which only interest is paid monthly, followed by eight years of amortizing payments where the principal is repaid in equal installments every three months and interest is paid monthly. The Equipment Financing Credit Agreement contains customary representations of MSK in connection with the execution of the agreement and with each borrowing of CAPEX Loans and customary terms and conditions for a secured equipment financing loan of this type in Korea. All obligations of MSK under the Equipment Financing Credit Agreement and CAPEX Loans are secured by certain Fab 3 machinery and equipment pursuant to the Equipment Pledge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2025, approximately $7,018 thousand aggregate principal amount of the CAPEX Loans was outstanding, which bears interest at 2.68% per annum and matures on June 26, 2035. </w:t>
      </w:r>
    </w:p>
    <w:p>
      <w:pPr>
        <w:pStyle w:val="TextBody"/>
        <w:bidi w:val="0"/>
        <w:spacing w:before="360" w:after="0"/>
        <w:jc w:val="left"/>
        <w:rPr>
          <w:rFonts w:ascii="Times New Roman" w:hAnsi="Times New Roman"/>
          <w:b/>
          <w:sz w:val="20"/>
        </w:rPr>
      </w:pPr>
      <w:r>
        <w:rPr>
          <w:rFonts w:ascii="Times New Roman" w:hAnsi="Times New Roman"/>
          <w:b/>
          <w:sz w:val="20"/>
        </w:rPr>
        <w:t xml:space="preserve">12. Foreign </w:t>
      </w:r>
    </w:p>
    <w:p>
      <w:pPr>
        <w:pStyle w:val="TextBody"/>
        <w:bidi w:val="0"/>
        <w:spacing w:before="360" w:after="0"/>
        <w:jc w:val="left"/>
        <w:rPr>
          <w:rFonts w:ascii="Times New Roman" w:hAnsi="Times New Roman"/>
          <w:b/>
          <w:sz w:val="20"/>
        </w:rPr>
      </w:pPr>
      <w:r>
        <w:rPr>
          <w:rFonts w:ascii="Times New Roman" w:hAnsi="Times New Roman"/>
          <w:b/>
          <w:sz w:val="20"/>
        </w:rPr>
        <w:t xml:space="preserve">Currency </w:t>
      </w:r>
    </w:p>
    <w:p>
      <w:pPr>
        <w:pStyle w:val="TextBody"/>
        <w:bidi w:val="0"/>
        <w:spacing w:before="360" w:after="0"/>
        <w:jc w:val="left"/>
        <w:rPr>
          <w:rFonts w:ascii="Times New Roman" w:hAnsi="Times New Roman"/>
          <w:b/>
          <w:sz w:val="20"/>
        </w:rPr>
      </w:pPr>
      <w:r>
        <w:rPr>
          <w:rFonts w:ascii="Times New Roman" w:hAnsi="Times New Roman"/>
          <w:b/>
          <w:sz w:val="20"/>
        </w:rPr>
        <w:t xml:space="preserve">Gain (Loss), Net </w:t>
      </w:r>
    </w:p>
    <w:p>
      <w:pPr>
        <w:pStyle w:val="TextBody"/>
        <w:bidi w:val="0"/>
        <w:spacing w:before="120" w:after="0"/>
        <w:jc w:val="left"/>
        <w:rPr>
          <w:rFonts w:ascii="Times New Roman" w:hAnsi="Times New Roman"/>
          <w:sz w:val="20"/>
        </w:rPr>
      </w:pPr>
      <w:r>
        <w:rPr>
          <w:rFonts w:ascii="Times New Roman" w:hAnsi="Times New Roman"/>
          <w:sz w:val="20"/>
        </w:rPr>
        <w:t xml:space="preserve">Net foreign currency gain or loss includes </w:t>
      </w:r>
    </w:p>
    <w:p>
      <w:pPr>
        <w:pStyle w:val="TextBody"/>
        <w:bidi w:val="0"/>
        <w:spacing w:before="120" w:after="0"/>
        <w:jc w:val="left"/>
        <w:rPr>
          <w:rFonts w:ascii="Times New Roman" w:hAnsi="Times New Roman"/>
          <w:sz w:val="20"/>
        </w:rPr>
      </w:pPr>
      <w:r>
        <w:rPr>
          <w:rFonts w:ascii="Times New Roman" w:hAnsi="Times New Roman"/>
          <w:sz w:val="20"/>
        </w:rPr>
        <w:t>non-cash</w:t>
      </w:r>
    </w:p>
    <w:p>
      <w:pPr>
        <w:pStyle w:val="TextBody"/>
        <w:bidi w:val="0"/>
        <w:spacing w:before="120" w:after="0"/>
        <w:jc w:val="left"/>
        <w:rPr>
          <w:rFonts w:ascii="Times New Roman" w:hAnsi="Times New Roman"/>
          <w:sz w:val="20"/>
        </w:rPr>
      </w:pPr>
      <w:r>
        <w:rPr>
          <w:rFonts w:ascii="Times New Roman" w:hAnsi="Times New Roman"/>
          <w:sz w:val="20"/>
        </w:rPr>
        <w:t xml:space="preserve">translation gain or loss associated with intercompany balances. A substantial portion of the Company’s net foreign currency gain or loss is </w:t>
      </w:r>
    </w:p>
    <w:p>
      <w:pPr>
        <w:pStyle w:val="TextBody"/>
        <w:bidi w:val="0"/>
        <w:spacing w:before="120" w:after="0"/>
        <w:jc w:val="left"/>
        <w:rPr>
          <w:rFonts w:ascii="Times New Roman" w:hAnsi="Times New Roman"/>
          <w:sz w:val="20"/>
        </w:rPr>
      </w:pPr>
      <w:r>
        <w:rPr>
          <w:rFonts w:ascii="Times New Roman" w:hAnsi="Times New Roman"/>
          <w:sz w:val="20"/>
        </w:rPr>
        <w:t>non-cash</w:t>
      </w:r>
    </w:p>
    <w:p>
      <w:pPr>
        <w:pStyle w:val="TextBody"/>
        <w:bidi w:val="0"/>
        <w:spacing w:before="120" w:after="0"/>
        <w:jc w:val="left"/>
        <w:rPr>
          <w:rFonts w:ascii="Times New Roman" w:hAnsi="Times New Roman"/>
          <w:sz w:val="20"/>
        </w:rPr>
      </w:pPr>
      <w:r>
        <w:rPr>
          <w:rFonts w:ascii="Times New Roman" w:hAnsi="Times New Roman"/>
          <w:sz w:val="20"/>
        </w:rPr>
        <w:t xml:space="preserve">translation gain or loss associated with intercompany long-term loans to MSK, the Company’s Korean subsidiary. The loans are denominated in U.S. dollars and are affected by changes in the exchange rate between the Korean won and the U.S. dollar. As of June 30, 2025 and December 31, 2024, the outstanding intercompany loan balances including accrued interest between MSK and the Dutch subsidiary were $241,695 thousand and $257,670 thousand, respectively. The Korean won to U.S. dollar exchange rates were 1,356.4:1 and 1,470.0:1 using the first base rate as of June 30, 2025 and December 31, 2024, respectively, as quoted by the KEB Hana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13. Income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Taxes</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subsidiaries file income tax returns in Korea, Japan, Taiwan, the U.S. and in various other jurisdictions. The Company is subject to income 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non-income</w:t>
      </w:r>
    </w:p>
    <w:p>
      <w:pPr>
        <w:pStyle w:val="TextBody"/>
        <w:bidi w:val="0"/>
        <w:spacing w:before="120" w:after="0"/>
        <w:jc w:val="left"/>
        <w:rPr>
          <w:rFonts w:ascii="Times New Roman" w:hAnsi="Times New Roman"/>
          <w:sz w:val="20"/>
        </w:rPr>
      </w:pPr>
      <w:r>
        <w:rPr>
          <w:rFonts w:ascii="Times New Roman" w:hAnsi="Times New Roman"/>
          <w:sz w:val="20"/>
        </w:rPr>
        <w:t xml:space="preserve">tax examinations by tax authorities of these jurisdictions for all open tax years. </w:t>
      </w:r>
    </w:p>
    <w:p>
      <w:pPr>
        <w:pStyle w:val="TextBody"/>
        <w:bidi w:val="0"/>
        <w:spacing w:before="240" w:after="0"/>
        <w:jc w:val="left"/>
        <w:rPr>
          <w:rFonts w:ascii="Times New Roman" w:hAnsi="Times New Roman"/>
          <w:sz w:val="20"/>
        </w:rPr>
      </w:pPr>
      <w:r>
        <w:rPr>
          <w:rFonts w:ascii="Times New Roman" w:hAnsi="Times New Roman"/>
          <w:sz w:val="20"/>
        </w:rPr>
        <w:t xml:space="preserve">For the three and six months ended June 30, 2025, the Company recorded an income tax benefit of $4,136 thousand and $4,537 thousand, primarily related to its primary operating entity in Korea based on the estimated taxable loss for the respective period, including loss recognized in connection with the shutdown of the discontinued Display business during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For the three and six months ended June 30, 2024, the Company recorded an income tax benefit of $5,385 thousand and $3,480 thousand, primarily due to the estimated taxable loss for the respective period from its primary operating entity in Korea for continuing operations. </w:t>
      </w:r>
    </w:p>
    <w:p>
      <w:pPr>
        <w:pStyle w:val="TextBody"/>
        <w:bidi w:val="0"/>
        <w:spacing w:before="240" w:after="0"/>
        <w:jc w:val="left"/>
        <w:rPr>
          <w:rFonts w:ascii="Times New Roman" w:hAnsi="Times New Roman"/>
          <w:sz w:val="20"/>
        </w:rPr>
      </w:pPr>
      <w:r>
        <w:rPr>
          <w:rFonts w:ascii="Times New Roman" w:hAnsi="Times New Roman"/>
          <w:sz w:val="20"/>
        </w:rPr>
        <w:t xml:space="preserve">On July 4, 2025, the One Big Beautiful Bill Act (“OBBBA”) was enacted, which includes permanent extensions of most expiring Tax Cuts and Jobs Act provisions and international tax changes. The Company is still evaluating the potential impacts of the OBBBA on its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14. Geographic and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Other </w:t>
      </w:r>
    </w:p>
    <w:p>
      <w:pPr>
        <w:pStyle w:val="TextBody"/>
        <w:bidi w:val="0"/>
        <w:spacing w:before="0" w:after="0"/>
        <w:jc w:val="left"/>
        <w:rPr>
          <w:rFonts w:ascii="Times New Roman" w:hAnsi="Times New Roman"/>
          <w:b/>
          <w:sz w:val="20"/>
        </w:rPr>
      </w:pPr>
      <w:r>
        <w:rPr>
          <w:rFonts w:ascii="Times New Roman" w:hAnsi="Times New Roman"/>
          <w:b/>
          <w:sz w:val="20"/>
        </w:rPr>
        <w:t xml:space="preserve">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within a single operating segment, Power solutions business, and also separately reports transitional Fab 3 foundry services revenue and cost of sales. </w:t>
      </w:r>
    </w:p>
    <w:p>
      <w:pPr>
        <w:pStyle w:val="TextBody"/>
        <w:bidi w:val="0"/>
        <w:spacing w:before="240" w:after="0"/>
        <w:jc w:val="left"/>
        <w:rPr>
          <w:rFonts w:ascii="Times New Roman" w:hAnsi="Times New Roman"/>
          <w:sz w:val="20"/>
        </w:rPr>
      </w:pPr>
      <w:r>
        <w:rPr>
          <w:rFonts w:ascii="Times New Roman" w:hAnsi="Times New Roman"/>
          <w:sz w:val="20"/>
        </w:rPr>
        <w:t xml:space="preserve">The Chief Executive Officer, as the chief operating decision maker (“CODM”), organizes the Company and measures performance of two business lines of Power Analog Solutions and Power IC in the Power solutions business at the level of revenue and gross profit margin by comparing actual results against previously forecasted targets.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does not evaluate the performance of each business line using any information, such as asset or liability. </w:t>
      </w:r>
    </w:p>
    <w:p>
      <w:pPr>
        <w:pStyle w:val="TextBody"/>
        <w:bidi w:val="0"/>
        <w:spacing w:before="240" w:after="0"/>
        <w:jc w:val="left"/>
        <w:rPr>
          <w:rFonts w:ascii="Times New Roman" w:hAnsi="Times New Roman"/>
          <w:sz w:val="20"/>
        </w:rPr>
      </w:pPr>
      <w:r>
        <w:rPr>
          <w:rFonts w:ascii="Times New Roman" w:hAnsi="Times New Roman"/>
          <w:sz w:val="20"/>
        </w:rPr>
        <w:t xml:space="preserve">Revenues for the three months ended June 30, 2024 from its previous product categories have been reclassified in order to conform to the current period presentation as follows (in thousands): </w:t>
      </w:r>
    </w:p>
    <w:p>
      <w:pPr>
        <w:pStyle w:val="TextBody"/>
        <w:bidi w:val="0"/>
        <w:spacing w:before="0" w:after="0"/>
        <w:jc w:val="left"/>
        <w:rPr/>
      </w:pPr>
      <w:r>
        <w:rPr/>
        <w:t> </w:t>
      </w:r>
    </w:p>
    <w:tbl>
      <w:tblPr>
        <w:tblW w:w="7675" w:type="dxa"/>
        <w:jc w:val="left"/>
        <w:tblInd w:w="0" w:type="dxa"/>
        <w:tblLayout w:type="fixed"/>
        <w:tblCellMar>
          <w:top w:w="0" w:type="dxa"/>
          <w:left w:w="0" w:type="dxa"/>
          <w:bottom w:w="0" w:type="dxa"/>
          <w:right w:w="0" w:type="dxa"/>
        </w:tblCellMar>
      </w:tblPr>
      <w:tblGrid>
        <w:gridCol w:w="2000"/>
        <w:gridCol w:w="120"/>
        <w:gridCol w:w="140"/>
        <w:gridCol w:w="680"/>
        <w:gridCol w:w="60"/>
        <w:gridCol w:w="120"/>
        <w:gridCol w:w="154"/>
        <w:gridCol w:w="751"/>
        <w:gridCol w:w="60"/>
        <w:gridCol w:w="120"/>
        <w:gridCol w:w="187"/>
        <w:gridCol w:w="748"/>
        <w:gridCol w:w="60"/>
        <w:gridCol w:w="120"/>
        <w:gridCol w:w="256"/>
        <w:gridCol w:w="1024"/>
        <w:gridCol w:w="60"/>
        <w:gridCol w:w="120"/>
        <w:gridCol w:w="140"/>
        <w:gridCol w:w="680"/>
        <w:gridCol w:w="75"/>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40"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pPr>
            <w:r>
              <w:rPr/>
              <w:t>Power</w:t>
              <w:br/>
              <w:t>Analog</w:t>
              <w:br/>
              <w:t>Solutions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pPr>
            <w:r>
              <w:rPr/>
              <w:t>Power IC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Discontinued</w:t>
              <w:br/>
              <w:t>Operations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Mixed-Signal Solutions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11,595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4,824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6,771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11,595</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39,240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39,240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39,240</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75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74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02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50,835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39,240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4,824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6,771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50,835</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double" w:sz="6" w:space="1" w:color="000000"/>
              </w:rPr>
            </w:pPr>
            <w:r>
              <w:rPr>
                <w:bdr w:val="double" w:sz="6" w:space="1" w:color="000000"/>
              </w:rPr>
              <w:t> </w:t>
            </w:r>
          </w:p>
        </w:tc>
        <w:tc>
          <w:tcPr>
            <w:tcW w:w="75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74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jc w:val="left"/>
              <w:rPr>
                <w:bdr w:val="double" w:sz="6" w:space="1" w:color="000000"/>
              </w:rPr>
            </w:pPr>
            <w:r>
              <w:rPr>
                <w:bdr w:val="double" w:sz="6" w:space="1" w:color="000000"/>
              </w:rPr>
              <w:t> </w:t>
            </w:r>
          </w:p>
        </w:tc>
        <w:tc>
          <w:tcPr>
            <w:tcW w:w="102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Revenues for the six months ended June 30, 2024 from its previous product categories have been reclassified in order to conform to the current period presentation as follows (in thousands): </w:t>
      </w:r>
    </w:p>
    <w:p>
      <w:pPr>
        <w:pStyle w:val="TextBody"/>
        <w:bidi w:val="0"/>
        <w:spacing w:before="0" w:after="0"/>
        <w:jc w:val="left"/>
        <w:rPr/>
      </w:pPr>
      <w:r>
        <w:rPr/>
        <w:t> </w:t>
      </w:r>
    </w:p>
    <w:tbl>
      <w:tblPr>
        <w:tblW w:w="7675" w:type="dxa"/>
        <w:jc w:val="left"/>
        <w:tblInd w:w="0" w:type="dxa"/>
        <w:tblLayout w:type="fixed"/>
        <w:tblCellMar>
          <w:top w:w="0" w:type="dxa"/>
          <w:left w:w="0" w:type="dxa"/>
          <w:bottom w:w="0" w:type="dxa"/>
          <w:right w:w="0" w:type="dxa"/>
        </w:tblCellMar>
      </w:tblPr>
      <w:tblGrid>
        <w:gridCol w:w="2000"/>
        <w:gridCol w:w="120"/>
        <w:gridCol w:w="140"/>
        <w:gridCol w:w="680"/>
        <w:gridCol w:w="60"/>
        <w:gridCol w:w="120"/>
        <w:gridCol w:w="154"/>
        <w:gridCol w:w="751"/>
        <w:gridCol w:w="60"/>
        <w:gridCol w:w="120"/>
        <w:gridCol w:w="187"/>
        <w:gridCol w:w="748"/>
        <w:gridCol w:w="60"/>
        <w:gridCol w:w="120"/>
        <w:gridCol w:w="218"/>
        <w:gridCol w:w="1062"/>
        <w:gridCol w:w="60"/>
        <w:gridCol w:w="120"/>
        <w:gridCol w:w="140"/>
        <w:gridCol w:w="680"/>
        <w:gridCol w:w="75"/>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40"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pPr>
            <w:r>
              <w:rPr/>
              <w:t>Power</w:t>
              <w:br/>
              <w:t>Analog</w:t>
              <w:br/>
              <w:t>Solutions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pPr>
            <w:r>
              <w:rPr/>
              <w:t>Power IC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Discontinued</w:t>
              <w:br/>
              <w:t>Operations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Mixed-Signal Solutions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20,601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8,201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12,400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20,601</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75,775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75,775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75,775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75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74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06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96,376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75,775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8,201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12,400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96,376</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double" w:sz="6" w:space="1" w:color="000000"/>
              </w:rPr>
            </w:pPr>
            <w:r>
              <w:rPr>
                <w:bdr w:val="double" w:sz="6" w:space="1" w:color="000000"/>
              </w:rPr>
              <w:t> </w:t>
            </w:r>
          </w:p>
        </w:tc>
        <w:tc>
          <w:tcPr>
            <w:tcW w:w="75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74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double" w:sz="6" w:space="1" w:color="000000"/>
              </w:rPr>
            </w:pPr>
            <w:r>
              <w:rPr>
                <w:bdr w:val="double" w:sz="6" w:space="1" w:color="000000"/>
              </w:rPr>
              <w:t> </w:t>
            </w:r>
          </w:p>
        </w:tc>
        <w:tc>
          <w:tcPr>
            <w:tcW w:w="106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information relating to the operating segment, Power solutions business, as well as the transitional Fab 3 foundry services (in thousands). For financial information below gross profit, including operating income and expenses as well as other income and expenses, please refer to the Company’s consolidated statement of operations. </w:t>
      </w:r>
    </w:p>
    <w:p>
      <w:pPr>
        <w:pStyle w:val="TextBody"/>
        <w:bidi w:val="0"/>
        <w:spacing w:before="0" w:after="0"/>
        <w:jc w:val="left"/>
        <w:rPr/>
      </w:pPr>
      <w:r>
        <w:rPr/>
        <w:t> </w:t>
      </w:r>
    </w:p>
    <w:tbl>
      <w:tblPr>
        <w:tblW w:w="7419" w:type="dxa"/>
        <w:jc w:val="left"/>
        <w:tblInd w:w="0" w:type="dxa"/>
        <w:tblLayout w:type="fixed"/>
        <w:tblCellMar>
          <w:top w:w="0" w:type="dxa"/>
          <w:left w:w="0" w:type="dxa"/>
          <w:bottom w:w="0" w:type="dxa"/>
          <w:right w:w="0" w:type="dxa"/>
        </w:tblCellMar>
      </w:tblPr>
      <w:tblGrid>
        <w:gridCol w:w="2900"/>
        <w:gridCol w:w="120"/>
        <w:gridCol w:w="170"/>
        <w:gridCol w:w="825"/>
        <w:gridCol w:w="72"/>
        <w:gridCol w:w="145"/>
        <w:gridCol w:w="170"/>
        <w:gridCol w:w="825"/>
        <w:gridCol w:w="60"/>
        <w:gridCol w:w="120"/>
        <w:gridCol w:w="149"/>
        <w:gridCol w:w="726"/>
        <w:gridCol w:w="62"/>
        <w:gridCol w:w="125"/>
        <w:gridCol w:w="149"/>
        <w:gridCol w:w="726"/>
        <w:gridCol w:w="75"/>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25" w:type="dxa"/>
            <w:tcBorders/>
            <w:shd w:fill="CCEEFF" w:val="clear"/>
            <w:vAlign w:val="center"/>
          </w:tcPr>
          <w:p>
            <w:pPr>
              <w:pStyle w:val="TableContents"/>
              <w:bidi w:val="0"/>
              <w:spacing w:before="0" w:after="283"/>
              <w:jc w:val="left"/>
              <w:rPr>
                <w:sz w:val="4"/>
                <w:szCs w:val="4"/>
              </w:rPr>
            </w:pPr>
            <w:r>
              <w:rPr>
                <w:sz w:val="4"/>
                <w:szCs w:val="4"/>
              </w:rPr>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6"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solutions business</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42,261</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39,240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82,118</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75,775</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IC</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5,361</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4,824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10,226</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8,201</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825"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82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single" w:sz="2" w:space="1" w:color="000000"/>
              </w:rPr>
            </w:pPr>
            <w:r>
              <w:rPr>
                <w:bdr w:val="single" w:sz="2" w:space="1" w:color="000000"/>
              </w:rPr>
              <w:t> </w:t>
            </w:r>
          </w:p>
        </w:tc>
        <w:tc>
          <w:tcPr>
            <w:tcW w:w="726" w:type="dxa"/>
            <w:tcBorders/>
            <w:vAlign w:val="center"/>
          </w:tcPr>
          <w:p>
            <w:pPr>
              <w:pStyle w:val="TableContents"/>
              <w:bidi w:val="0"/>
              <w:spacing w:before="0" w:after="0"/>
              <w:jc w:val="left"/>
              <w:rPr>
                <w:bdr w:val="single" w:sz="2" w:space="1" w:color="000000"/>
              </w:rPr>
            </w:pPr>
            <w:r>
              <w:rPr>
                <w:bdr w:val="single" w:sz="2"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single" w:sz="2" w:space="1" w:color="000000"/>
              </w:rPr>
            </w:pPr>
            <w:r>
              <w:rPr>
                <w:bdr w:val="single" w:sz="2" w:space="1" w:color="000000"/>
              </w:rPr>
              <w:t> </w:t>
            </w:r>
          </w:p>
        </w:tc>
        <w:tc>
          <w:tcPr>
            <w:tcW w:w="72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Power solutions business</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47,622</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44,064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92,344</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83,976</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Transitional Fab 3 foundry services</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2,336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5,862</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825"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82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single" w:sz="2" w:space="1" w:color="000000"/>
              </w:rPr>
            </w:pPr>
            <w:r>
              <w:rPr>
                <w:bdr w:val="single" w:sz="2" w:space="1" w:color="000000"/>
              </w:rPr>
              <w:t> </w:t>
            </w:r>
          </w:p>
        </w:tc>
        <w:tc>
          <w:tcPr>
            <w:tcW w:w="726" w:type="dxa"/>
            <w:tcBorders/>
            <w:vAlign w:val="center"/>
          </w:tcPr>
          <w:p>
            <w:pPr>
              <w:pStyle w:val="TableContents"/>
              <w:bidi w:val="0"/>
              <w:spacing w:before="0" w:after="0"/>
              <w:jc w:val="left"/>
              <w:rPr>
                <w:bdr w:val="single" w:sz="2" w:space="1" w:color="000000"/>
              </w:rPr>
            </w:pPr>
            <w:r>
              <w:rPr>
                <w:bdr w:val="single" w:sz="2"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single" w:sz="2" w:space="1" w:color="000000"/>
              </w:rPr>
            </w:pPr>
            <w:r>
              <w:rPr>
                <w:bdr w:val="single" w:sz="2" w:space="1" w:color="000000"/>
              </w:rPr>
              <w:t> </w:t>
            </w:r>
          </w:p>
        </w:tc>
        <w:tc>
          <w:tcPr>
            <w:tcW w:w="72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47,622</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46,400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92,344</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89,838</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double" w:sz="6" w:space="1" w:color="000000"/>
              </w:rPr>
            </w:pPr>
            <w:r>
              <w:rPr>
                <w:bdr w:val="double" w:sz="6" w:space="1" w:color="000000"/>
              </w:rPr>
              <w:t> </w:t>
            </w:r>
          </w:p>
        </w:tc>
        <w:tc>
          <w:tcPr>
            <w:tcW w:w="825" w:type="dxa"/>
            <w:tcBorders/>
            <w:vAlign w:val="center"/>
          </w:tcPr>
          <w:p>
            <w:pPr>
              <w:pStyle w:val="TableContents"/>
              <w:bidi w:val="0"/>
              <w:spacing w:before="0" w:after="0"/>
              <w:jc w:val="left"/>
              <w:rPr>
                <w:bdr w:val="double" w:sz="6" w:space="1" w:color="000000"/>
              </w:rPr>
            </w:pPr>
            <w:r>
              <w:rPr>
                <w:bdr w:val="double" w:sz="6"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double" w:sz="6" w:space="1" w:color="000000"/>
              </w:rPr>
            </w:pPr>
            <w:r>
              <w:rPr>
                <w:bdr w:val="double" w:sz="6" w:space="1" w:color="000000"/>
              </w:rPr>
              <w:t> </w:t>
            </w:r>
          </w:p>
        </w:tc>
        <w:tc>
          <w:tcPr>
            <w:tcW w:w="82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726" w:type="dxa"/>
            <w:tcBorders/>
            <w:vAlign w:val="center"/>
          </w:tcPr>
          <w:p>
            <w:pPr>
              <w:pStyle w:val="TableContents"/>
              <w:bidi w:val="0"/>
              <w:spacing w:before="0" w:after="0"/>
              <w:jc w:val="left"/>
              <w:rPr>
                <w:bdr w:val="double" w:sz="6" w:space="1" w:color="000000"/>
              </w:rPr>
            </w:pPr>
            <w:r>
              <w:rPr>
                <w:bdr w:val="double" w:sz="6"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726"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7419" w:type="dxa"/>
        <w:jc w:val="left"/>
        <w:tblInd w:w="0" w:type="dxa"/>
        <w:tblLayout w:type="fixed"/>
        <w:tblCellMar>
          <w:top w:w="0" w:type="dxa"/>
          <w:left w:w="0" w:type="dxa"/>
          <w:bottom w:w="0" w:type="dxa"/>
          <w:right w:w="0" w:type="dxa"/>
        </w:tblCellMar>
      </w:tblPr>
      <w:tblGrid>
        <w:gridCol w:w="2900"/>
        <w:gridCol w:w="120"/>
        <w:gridCol w:w="170"/>
        <w:gridCol w:w="825"/>
        <w:gridCol w:w="72"/>
        <w:gridCol w:w="145"/>
        <w:gridCol w:w="170"/>
        <w:gridCol w:w="825"/>
        <w:gridCol w:w="60"/>
        <w:gridCol w:w="120"/>
        <w:gridCol w:w="148"/>
        <w:gridCol w:w="727"/>
        <w:gridCol w:w="62"/>
        <w:gridCol w:w="125"/>
        <w:gridCol w:w="147"/>
        <w:gridCol w:w="728"/>
        <w:gridCol w:w="75"/>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Cost of Sales</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25" w:type="dxa"/>
            <w:tcBorders/>
            <w:shd w:fill="CCEEFF" w:val="clear"/>
            <w:vAlign w:val="center"/>
          </w:tcPr>
          <w:p>
            <w:pPr>
              <w:pStyle w:val="TableContents"/>
              <w:bidi w:val="0"/>
              <w:spacing w:before="0" w:after="283"/>
              <w:jc w:val="left"/>
              <w:rPr>
                <w:sz w:val="4"/>
                <w:szCs w:val="4"/>
              </w:rPr>
            </w:pPr>
            <w:r>
              <w:rPr>
                <w:sz w:val="4"/>
                <w:szCs w:val="4"/>
              </w:rPr>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727"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72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solutions business</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34,552</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31,525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727" w:type="dxa"/>
            <w:tcBorders/>
            <w:shd w:fill="CCEEFF" w:val="clear"/>
            <w:vAlign w:val="center"/>
          </w:tcPr>
          <w:p>
            <w:pPr>
              <w:pStyle w:val="TableContents"/>
              <w:bidi w:val="0"/>
              <w:spacing w:before="0" w:after="283"/>
              <w:jc w:val="right"/>
              <w:rPr/>
            </w:pPr>
            <w:r>
              <w:rPr/>
              <w:t>67,309</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283"/>
              <w:jc w:val="right"/>
              <w:rPr/>
            </w:pPr>
            <w:r>
              <w:rPr/>
              <w:t>62,426</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IC</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3,358</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2,632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pPr>
            <w:r>
              <w:rPr/>
              <w:t>5,961</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4,599</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825"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82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jc w:val="left"/>
              <w:rPr>
                <w:bdr w:val="single" w:sz="2" w:space="1" w:color="000000"/>
              </w:rPr>
            </w:pPr>
            <w:r>
              <w:rPr>
                <w:bdr w:val="single" w:sz="2" w:space="1" w:color="000000"/>
              </w:rPr>
              <w:t> </w:t>
            </w:r>
          </w:p>
        </w:tc>
        <w:tc>
          <w:tcPr>
            <w:tcW w:w="727" w:type="dxa"/>
            <w:tcBorders/>
            <w:vAlign w:val="center"/>
          </w:tcPr>
          <w:p>
            <w:pPr>
              <w:pStyle w:val="TableContents"/>
              <w:bidi w:val="0"/>
              <w:spacing w:before="0" w:after="0"/>
              <w:jc w:val="left"/>
              <w:rPr>
                <w:bdr w:val="single" w:sz="2" w:space="1" w:color="000000"/>
              </w:rPr>
            </w:pPr>
            <w:r>
              <w:rPr>
                <w:bdr w:val="single" w:sz="2"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72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Power solutions business</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37,910</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34,157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73,270</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67,025</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Transitional Fab 3 foundry services</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2,457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6,668</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825"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82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jc w:val="left"/>
              <w:rPr>
                <w:bdr w:val="single" w:sz="2" w:space="1" w:color="000000"/>
              </w:rPr>
            </w:pPr>
            <w:r>
              <w:rPr>
                <w:bdr w:val="single" w:sz="2" w:space="1" w:color="000000"/>
              </w:rPr>
              <w:t> </w:t>
            </w:r>
          </w:p>
        </w:tc>
        <w:tc>
          <w:tcPr>
            <w:tcW w:w="727" w:type="dxa"/>
            <w:tcBorders/>
            <w:vAlign w:val="center"/>
          </w:tcPr>
          <w:p>
            <w:pPr>
              <w:pStyle w:val="TableContents"/>
              <w:bidi w:val="0"/>
              <w:spacing w:before="0" w:after="0"/>
              <w:jc w:val="left"/>
              <w:rPr>
                <w:bdr w:val="single" w:sz="2" w:space="1" w:color="000000"/>
              </w:rPr>
            </w:pPr>
            <w:r>
              <w:rPr>
                <w:bdr w:val="single" w:sz="2"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72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37,910</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36,614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727" w:type="dxa"/>
            <w:tcBorders/>
            <w:shd w:fill="CCEEFF" w:val="clear"/>
            <w:vAlign w:val="center"/>
          </w:tcPr>
          <w:p>
            <w:pPr>
              <w:pStyle w:val="TableContents"/>
              <w:bidi w:val="0"/>
              <w:spacing w:before="0" w:after="283"/>
              <w:jc w:val="right"/>
              <w:rPr/>
            </w:pPr>
            <w:r>
              <w:rPr/>
              <w:t>73,270</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283"/>
              <w:jc w:val="right"/>
              <w:rPr/>
            </w:pPr>
            <w:r>
              <w:rPr/>
              <w:t>73,693</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double" w:sz="6" w:space="1" w:color="000000"/>
              </w:rPr>
            </w:pPr>
            <w:r>
              <w:rPr>
                <w:bdr w:val="double" w:sz="6" w:space="1" w:color="000000"/>
              </w:rPr>
              <w:t> </w:t>
            </w:r>
          </w:p>
        </w:tc>
        <w:tc>
          <w:tcPr>
            <w:tcW w:w="825" w:type="dxa"/>
            <w:tcBorders/>
            <w:vAlign w:val="center"/>
          </w:tcPr>
          <w:p>
            <w:pPr>
              <w:pStyle w:val="TableContents"/>
              <w:bidi w:val="0"/>
              <w:spacing w:before="0" w:after="0"/>
              <w:jc w:val="left"/>
              <w:rPr>
                <w:bdr w:val="double" w:sz="6" w:space="1" w:color="000000"/>
              </w:rPr>
            </w:pPr>
            <w:r>
              <w:rPr>
                <w:bdr w:val="double" w:sz="6"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double" w:sz="6" w:space="1" w:color="000000"/>
              </w:rPr>
            </w:pPr>
            <w:r>
              <w:rPr>
                <w:bdr w:val="double" w:sz="6" w:space="1" w:color="000000"/>
              </w:rPr>
              <w:t> </w:t>
            </w:r>
          </w:p>
        </w:tc>
        <w:tc>
          <w:tcPr>
            <w:tcW w:w="82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jc w:val="left"/>
              <w:rPr>
                <w:bdr w:val="double" w:sz="6" w:space="1" w:color="000000"/>
              </w:rPr>
            </w:pPr>
            <w:r>
              <w:rPr>
                <w:bdr w:val="double" w:sz="6" w:space="1" w:color="000000"/>
              </w:rPr>
              <w:t> </w:t>
            </w:r>
          </w:p>
        </w:tc>
        <w:tc>
          <w:tcPr>
            <w:tcW w:w="727" w:type="dxa"/>
            <w:tcBorders/>
            <w:vAlign w:val="center"/>
          </w:tcPr>
          <w:p>
            <w:pPr>
              <w:pStyle w:val="TableContents"/>
              <w:bidi w:val="0"/>
              <w:spacing w:before="0" w:after="0"/>
              <w:jc w:val="left"/>
              <w:rPr>
                <w:bdr w:val="double" w:sz="6" w:space="1" w:color="000000"/>
              </w:rPr>
            </w:pPr>
            <w:r>
              <w:rPr>
                <w:bdr w:val="double" w:sz="6"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double" w:sz="6" w:space="1" w:color="000000"/>
              </w:rPr>
            </w:pPr>
            <w:r>
              <w:rPr>
                <w:bdr w:val="double" w:sz="6" w:space="1" w:color="000000"/>
              </w:rPr>
              <w:t> </w:t>
            </w:r>
          </w:p>
        </w:tc>
        <w:tc>
          <w:tcPr>
            <w:tcW w:w="728"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612" w:type="dxa"/>
        <w:jc w:val="left"/>
        <w:tblInd w:w="0" w:type="dxa"/>
        <w:tblLayout w:type="fixed"/>
        <w:tblCellMar>
          <w:top w:w="0" w:type="dxa"/>
          <w:left w:w="0" w:type="dxa"/>
          <w:bottom w:w="0" w:type="dxa"/>
          <w:right w:w="0" w:type="dxa"/>
        </w:tblCellMar>
      </w:tblPr>
      <w:tblGrid>
        <w:gridCol w:w="2900"/>
        <w:gridCol w:w="120"/>
        <w:gridCol w:w="195"/>
        <w:gridCol w:w="783"/>
        <w:gridCol w:w="83"/>
        <w:gridCol w:w="167"/>
        <w:gridCol w:w="195"/>
        <w:gridCol w:w="787"/>
        <w:gridCol w:w="155"/>
        <w:gridCol w:w="120"/>
        <w:gridCol w:w="149"/>
        <w:gridCol w:w="726"/>
        <w:gridCol w:w="62"/>
        <w:gridCol w:w="125"/>
        <w:gridCol w:w="149"/>
        <w:gridCol w:w="726"/>
        <w:gridCol w:w="170"/>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6"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solutions business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7,709</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7" w:type="dxa"/>
            <w:tcBorders/>
            <w:shd w:fill="CCEEFF" w:val="clear"/>
            <w:vAlign w:val="center"/>
          </w:tcPr>
          <w:p>
            <w:pPr>
              <w:pStyle w:val="TableContents"/>
              <w:bidi w:val="0"/>
              <w:spacing w:before="0" w:after="283"/>
              <w:jc w:val="right"/>
              <w:rPr/>
            </w:pPr>
            <w:r>
              <w:rPr/>
              <w:t>7,715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14,809</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13,349</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IC</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pPr>
            <w:r>
              <w:rPr/>
              <w:t>2,003</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2,192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4,265</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3,602</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783" w:type="dxa"/>
            <w:tcBorders/>
            <w:vAlign w:val="center"/>
          </w:tcPr>
          <w:p>
            <w:pPr>
              <w:pStyle w:val="TableContents"/>
              <w:bidi w:val="0"/>
              <w:spacing w:before="0" w:after="0"/>
              <w:jc w:val="left"/>
              <w:rPr>
                <w:bdr w:val="single" w:sz="2" w:space="1" w:color="000000"/>
              </w:rPr>
            </w:pPr>
            <w:r>
              <w:rPr>
                <w:bdr w:val="single" w:sz="2" w:space="1" w:color="000000"/>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78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single" w:sz="2" w:space="1" w:color="000000"/>
              </w:rPr>
            </w:pPr>
            <w:r>
              <w:rPr>
                <w:bdr w:val="single" w:sz="2" w:space="1" w:color="000000"/>
              </w:rPr>
              <w:t> </w:t>
            </w:r>
          </w:p>
        </w:tc>
        <w:tc>
          <w:tcPr>
            <w:tcW w:w="726" w:type="dxa"/>
            <w:tcBorders/>
            <w:vAlign w:val="center"/>
          </w:tcPr>
          <w:p>
            <w:pPr>
              <w:pStyle w:val="TableContents"/>
              <w:bidi w:val="0"/>
              <w:spacing w:before="0" w:after="0"/>
              <w:jc w:val="left"/>
              <w:rPr>
                <w:bdr w:val="single" w:sz="2" w:space="1" w:color="000000"/>
              </w:rPr>
            </w:pPr>
            <w:r>
              <w:rPr>
                <w:bdr w:val="single" w:sz="2"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single" w:sz="2" w:space="1" w:color="000000"/>
              </w:rPr>
            </w:pPr>
            <w:r>
              <w:rPr>
                <w:bdr w:val="single" w:sz="2" w:space="1" w:color="000000"/>
              </w:rPr>
              <w:t> </w:t>
            </w:r>
          </w:p>
        </w:tc>
        <w:tc>
          <w:tcPr>
            <w:tcW w:w="72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Power solutions business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9,712</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9,907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19,074</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16,951</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Transitional Fab 3 foundry services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(806</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783" w:type="dxa"/>
            <w:tcBorders/>
            <w:vAlign w:val="center"/>
          </w:tcPr>
          <w:p>
            <w:pPr>
              <w:pStyle w:val="TableContents"/>
              <w:bidi w:val="0"/>
              <w:spacing w:before="0" w:after="0"/>
              <w:jc w:val="left"/>
              <w:rPr>
                <w:bdr w:val="single" w:sz="2" w:space="1" w:color="000000"/>
              </w:rPr>
            </w:pPr>
            <w:r>
              <w:rPr>
                <w:bdr w:val="single" w:sz="2" w:space="1" w:color="000000"/>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78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single" w:sz="2" w:space="1" w:color="000000"/>
              </w:rPr>
            </w:pPr>
            <w:r>
              <w:rPr>
                <w:bdr w:val="single" w:sz="2" w:space="1" w:color="000000"/>
              </w:rPr>
              <w:t> </w:t>
            </w:r>
          </w:p>
        </w:tc>
        <w:tc>
          <w:tcPr>
            <w:tcW w:w="726" w:type="dxa"/>
            <w:tcBorders/>
            <w:vAlign w:val="center"/>
          </w:tcPr>
          <w:p>
            <w:pPr>
              <w:pStyle w:val="TableContents"/>
              <w:bidi w:val="0"/>
              <w:spacing w:before="0" w:after="0"/>
              <w:jc w:val="left"/>
              <w:rPr>
                <w:bdr w:val="single" w:sz="2" w:space="1" w:color="000000"/>
              </w:rPr>
            </w:pPr>
            <w:r>
              <w:rPr>
                <w:bdr w:val="single" w:sz="2"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single" w:sz="2" w:space="1" w:color="000000"/>
              </w:rPr>
            </w:pPr>
            <w:r>
              <w:rPr>
                <w:bdr w:val="single" w:sz="2" w:space="1" w:color="000000"/>
              </w:rPr>
              <w:t> </w:t>
            </w:r>
          </w:p>
        </w:tc>
        <w:tc>
          <w:tcPr>
            <w:tcW w:w="72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gross profit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9,712</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7" w:type="dxa"/>
            <w:tcBorders/>
            <w:shd w:fill="CCEEFF" w:val="clear"/>
            <w:vAlign w:val="center"/>
          </w:tcPr>
          <w:p>
            <w:pPr>
              <w:pStyle w:val="TableContents"/>
              <w:bidi w:val="0"/>
              <w:spacing w:before="0" w:after="283"/>
              <w:jc w:val="right"/>
              <w:rPr/>
            </w:pPr>
            <w:r>
              <w:rPr/>
              <w:t>9,786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19,074</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16,145</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783" w:type="dxa"/>
            <w:tcBorders/>
            <w:vAlign w:val="center"/>
          </w:tcPr>
          <w:p>
            <w:pPr>
              <w:pStyle w:val="TableContents"/>
              <w:bidi w:val="0"/>
              <w:spacing w:before="0" w:after="0"/>
              <w:jc w:val="left"/>
              <w:rPr>
                <w:bdr w:val="double" w:sz="6" w:space="1" w:color="000000"/>
              </w:rPr>
            </w:pPr>
            <w:r>
              <w:rPr>
                <w:bdr w:val="double" w:sz="6" w:space="1" w:color="000000"/>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78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726" w:type="dxa"/>
            <w:tcBorders/>
            <w:vAlign w:val="center"/>
          </w:tcPr>
          <w:p>
            <w:pPr>
              <w:pStyle w:val="TableContents"/>
              <w:bidi w:val="0"/>
              <w:spacing w:before="0" w:after="0"/>
              <w:jc w:val="left"/>
              <w:rPr>
                <w:bdr w:val="double" w:sz="6" w:space="1" w:color="000000"/>
              </w:rPr>
            </w:pPr>
            <w:r>
              <w:rPr>
                <w:bdr w:val="double" w:sz="6"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726"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following </w:t>
      </w:r>
    </w:p>
    <w:p>
      <w:pPr>
        <w:pStyle w:val="TextBody"/>
        <w:bidi w:val="0"/>
        <w:spacing w:before="240" w:after="0"/>
        <w:jc w:val="left"/>
        <w:rPr>
          <w:rFonts w:ascii="Times New Roman" w:hAnsi="Times New Roman"/>
          <w:sz w:val="20"/>
        </w:rPr>
      </w:pPr>
      <w:r>
        <w:rPr>
          <w:rFonts w:ascii="Times New Roman" w:hAnsi="Times New Roman"/>
          <w:sz w:val="20"/>
        </w:rPr>
        <w:t xml:space="preserve">is a summary of net sales – Power solutions business by geographic region, based on the location to which the products are billed (in thousands): </w:t>
      </w:r>
    </w:p>
    <w:p>
      <w:pPr>
        <w:pStyle w:val="TextBody"/>
        <w:bidi w:val="0"/>
        <w:spacing w:before="0" w:after="0"/>
        <w:jc w:val="left"/>
        <w:rPr/>
      </w:pPr>
      <w:r>
        <w:rPr/>
        <w:t> </w:t>
      </w:r>
    </w:p>
    <w:tbl>
      <w:tblPr>
        <w:tblW w:w="7032" w:type="dxa"/>
        <w:jc w:val="left"/>
        <w:tblInd w:w="0" w:type="dxa"/>
        <w:tblLayout w:type="fixed"/>
        <w:tblCellMar>
          <w:top w:w="0" w:type="dxa"/>
          <w:left w:w="0" w:type="dxa"/>
          <w:bottom w:w="0" w:type="dxa"/>
          <w:right w:w="0" w:type="dxa"/>
        </w:tblCellMar>
      </w:tblPr>
      <w:tblGrid>
        <w:gridCol w:w="2510"/>
        <w:gridCol w:w="120"/>
        <w:gridCol w:w="170"/>
        <w:gridCol w:w="825"/>
        <w:gridCol w:w="72"/>
        <w:gridCol w:w="145"/>
        <w:gridCol w:w="170"/>
        <w:gridCol w:w="828"/>
        <w:gridCol w:w="60"/>
        <w:gridCol w:w="120"/>
        <w:gridCol w:w="148"/>
        <w:gridCol w:w="727"/>
        <w:gridCol w:w="62"/>
        <w:gridCol w:w="125"/>
        <w:gridCol w:w="147"/>
        <w:gridCol w:w="728"/>
        <w:gridCol w:w="75"/>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22,721</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8" w:type="dxa"/>
            <w:tcBorders/>
            <w:shd w:fill="CCEEFF" w:val="clear"/>
            <w:vAlign w:val="center"/>
          </w:tcPr>
          <w:p>
            <w:pPr>
              <w:pStyle w:val="TableContents"/>
              <w:bidi w:val="0"/>
              <w:spacing w:before="0" w:after="283"/>
              <w:jc w:val="right"/>
              <w:rPr/>
            </w:pPr>
            <w:r>
              <w:rPr/>
              <w:t>19,883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727" w:type="dxa"/>
            <w:tcBorders/>
            <w:shd w:fill="CCEEFF" w:val="clear"/>
            <w:vAlign w:val="center"/>
          </w:tcPr>
          <w:p>
            <w:pPr>
              <w:pStyle w:val="TableContents"/>
              <w:bidi w:val="0"/>
              <w:spacing w:before="0" w:after="283"/>
              <w:jc w:val="right"/>
              <w:rPr/>
            </w:pPr>
            <w:r>
              <w:rPr/>
              <w:t>44,437</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283"/>
              <w:jc w:val="right"/>
              <w:rPr/>
            </w:pPr>
            <w:r>
              <w:rPr/>
              <w:t>36,974</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Asia Pacific (other than Korea)</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22,445</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22,601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pPr>
            <w:r>
              <w:rPr/>
              <w:t>43,437</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43,690</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1,470</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308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2,652</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646</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986</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1,272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pPr>
            <w:r>
              <w:rPr/>
              <w:t>1,818</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2,666</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825"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82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jc w:val="left"/>
              <w:rPr>
                <w:bdr w:val="single" w:sz="2" w:space="1" w:color="000000"/>
              </w:rPr>
            </w:pPr>
            <w:r>
              <w:rPr>
                <w:bdr w:val="single" w:sz="2" w:space="1" w:color="000000"/>
              </w:rPr>
              <w:t> </w:t>
            </w:r>
          </w:p>
        </w:tc>
        <w:tc>
          <w:tcPr>
            <w:tcW w:w="727" w:type="dxa"/>
            <w:tcBorders/>
            <w:vAlign w:val="center"/>
          </w:tcPr>
          <w:p>
            <w:pPr>
              <w:pStyle w:val="TableContents"/>
              <w:bidi w:val="0"/>
              <w:spacing w:before="0" w:after="0"/>
              <w:jc w:val="left"/>
              <w:rPr>
                <w:bdr w:val="single" w:sz="2" w:space="1" w:color="000000"/>
              </w:rPr>
            </w:pPr>
            <w:r>
              <w:rPr>
                <w:bdr w:val="single" w:sz="2"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72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47,622</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8" w:type="dxa"/>
            <w:tcBorders/>
            <w:shd w:fill="CCEEFF" w:val="clear"/>
            <w:vAlign w:val="center"/>
          </w:tcPr>
          <w:p>
            <w:pPr>
              <w:pStyle w:val="TableContents"/>
              <w:bidi w:val="0"/>
              <w:spacing w:before="0" w:after="283"/>
              <w:jc w:val="right"/>
              <w:rPr/>
            </w:pPr>
            <w:r>
              <w:rPr/>
              <w:t>44,064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727" w:type="dxa"/>
            <w:tcBorders/>
            <w:shd w:fill="CCEEFF" w:val="clear"/>
            <w:vAlign w:val="center"/>
          </w:tcPr>
          <w:p>
            <w:pPr>
              <w:pStyle w:val="TableContents"/>
              <w:bidi w:val="0"/>
              <w:spacing w:before="0" w:after="283"/>
              <w:jc w:val="right"/>
              <w:rPr/>
            </w:pPr>
            <w:r>
              <w:rPr/>
              <w:t>92,344</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283"/>
              <w:jc w:val="right"/>
              <w:rPr/>
            </w:pPr>
            <w:r>
              <w:rPr/>
              <w:t>83,976</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double" w:sz="6" w:space="1" w:color="000000"/>
              </w:rPr>
            </w:pPr>
            <w:r>
              <w:rPr>
                <w:bdr w:val="double" w:sz="6" w:space="1" w:color="000000"/>
              </w:rPr>
              <w:t> </w:t>
            </w:r>
          </w:p>
        </w:tc>
        <w:tc>
          <w:tcPr>
            <w:tcW w:w="825" w:type="dxa"/>
            <w:tcBorders/>
            <w:vAlign w:val="center"/>
          </w:tcPr>
          <w:p>
            <w:pPr>
              <w:pStyle w:val="TableContents"/>
              <w:bidi w:val="0"/>
              <w:spacing w:before="0" w:after="0"/>
              <w:jc w:val="left"/>
              <w:rPr>
                <w:bdr w:val="double" w:sz="6" w:space="1" w:color="000000"/>
              </w:rPr>
            </w:pPr>
            <w:r>
              <w:rPr>
                <w:bdr w:val="double" w:sz="6"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double" w:sz="6" w:space="1" w:color="000000"/>
              </w:rPr>
            </w:pPr>
            <w:r>
              <w:rPr>
                <w:bdr w:val="double" w:sz="6" w:space="1" w:color="000000"/>
              </w:rPr>
              <w:t> </w:t>
            </w:r>
          </w:p>
        </w:tc>
        <w:tc>
          <w:tcPr>
            <w:tcW w:w="82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jc w:val="left"/>
              <w:rPr>
                <w:bdr w:val="double" w:sz="6" w:space="1" w:color="000000"/>
              </w:rPr>
            </w:pPr>
            <w:r>
              <w:rPr>
                <w:bdr w:val="double" w:sz="6" w:space="1" w:color="000000"/>
              </w:rPr>
              <w:t> </w:t>
            </w:r>
          </w:p>
        </w:tc>
        <w:tc>
          <w:tcPr>
            <w:tcW w:w="727" w:type="dxa"/>
            <w:tcBorders/>
            <w:vAlign w:val="center"/>
          </w:tcPr>
          <w:p>
            <w:pPr>
              <w:pStyle w:val="TableContents"/>
              <w:bidi w:val="0"/>
              <w:spacing w:before="0" w:after="0"/>
              <w:jc w:val="left"/>
              <w:rPr>
                <w:bdr w:val="double" w:sz="6" w:space="1" w:color="000000"/>
              </w:rPr>
            </w:pPr>
            <w:r>
              <w:rPr>
                <w:bdr w:val="double" w:sz="6" w:space="1" w:color="000000"/>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double" w:sz="6" w:space="1" w:color="000000"/>
              </w:rPr>
            </w:pPr>
            <w:r>
              <w:rPr>
                <w:bdr w:val="double" w:sz="6" w:space="1" w:color="000000"/>
              </w:rPr>
              <w:t> </w:t>
            </w:r>
          </w:p>
        </w:tc>
        <w:tc>
          <w:tcPr>
            <w:tcW w:w="728"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June 30, 2025 and 2024, of the Company’s net sales – Power solutions business in Asia Pacific (other than Korea), net sales – Power solutions business in China and Hong Kong together represented 80.8% and 85.1%, respectively, and net sales – Power solutions business in Taiwan represented 10.7% and 7.8%, respectively. For the six months ended June 30, 2025 and 2024, of the Company’s net sales – Power solutions business in Asia Pacific (other than Korea), net sales – Power solutions business in China and Hong Kong represented 81.9% and 83.3%, respectively, and net sales – Power solutions business in Taiwan represented 11.0% and 9.8%, respectively. </w:t>
      </w:r>
    </w:p>
    <w:p>
      <w:pPr>
        <w:pStyle w:val="TextBody"/>
        <w:bidi w:val="0"/>
        <w:spacing w:before="240" w:after="0"/>
        <w:jc w:val="left"/>
        <w:rPr>
          <w:rFonts w:ascii="Times New Roman" w:hAnsi="Times New Roman"/>
          <w:sz w:val="20"/>
        </w:rPr>
      </w:pPr>
      <w:r>
        <w:rPr>
          <w:rFonts w:ascii="Times New Roman" w:hAnsi="Times New Roman"/>
          <w:sz w:val="20"/>
        </w:rPr>
        <w:t xml:space="preserve">Net sales from the Company’s top ten largest customers in the Power solutions business accounted for 74.4% and 74.0% for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three </w:t>
      </w:r>
    </w:p>
    <w:p>
      <w:pPr>
        <w:pStyle w:val="TextBody"/>
        <w:bidi w:val="0"/>
        <w:spacing w:before="240" w:after="0"/>
        <w:jc w:val="left"/>
        <w:rPr>
          <w:rFonts w:ascii="Times New Roman" w:hAnsi="Times New Roman"/>
          <w:sz w:val="20"/>
        </w:rPr>
      </w:pPr>
      <w:r>
        <w:rPr>
          <w:rFonts w:ascii="Times New Roman" w:hAnsi="Times New Roman"/>
          <w:sz w:val="20"/>
        </w:rPr>
        <w:t xml:space="preserve">months ended June 30, 2025 and 2024, respectively, and 74.0% and 72.6% for the six months ended June 30,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June 30, 2025, the Company had one customer that represented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29.4</w:t>
      </w:r>
    </w:p>
    <w:p>
      <w:pPr>
        <w:pStyle w:val="TextBody"/>
        <w:bidi w:val="0"/>
        <w:spacing w:before="240" w:after="0"/>
        <w:jc w:val="left"/>
        <w:rPr>
          <w:rFonts w:ascii="Times New Roman" w:hAnsi="Times New Roman"/>
          <w:sz w:val="20"/>
        </w:rPr>
      </w:pPr>
      <w:r>
        <w:rPr>
          <w:rFonts w:ascii="Times New Roman" w:hAnsi="Times New Roman"/>
          <w:sz w:val="20"/>
        </w:rPr>
        <w:t xml:space="preserve">% of net sales – Power solutions business. For the six months ended June 30, 2025, the Company had one customer that represented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31.1</w:t>
      </w:r>
    </w:p>
    <w:p>
      <w:pPr>
        <w:pStyle w:val="TextBody"/>
        <w:bidi w:val="0"/>
        <w:spacing w:before="240" w:after="0"/>
        <w:jc w:val="left"/>
        <w:rPr>
          <w:rFonts w:ascii="Times New Roman" w:hAnsi="Times New Roman"/>
          <w:sz w:val="20"/>
        </w:rPr>
      </w:pPr>
      <w:r>
        <w:rPr>
          <w:rFonts w:ascii="Times New Roman" w:hAnsi="Times New Roman"/>
          <w:sz w:val="20"/>
        </w:rPr>
        <w:t xml:space="preserve">% of its net sales – Power solutions business. For the three months ended June 30, 2024, the Company had two customers that represented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24.7</w:t>
      </w:r>
    </w:p>
    <w:p>
      <w:pPr>
        <w:pStyle w:val="TextBody"/>
        <w:bidi w:val="0"/>
        <w:spacing w:before="240" w:after="0"/>
        <w:jc w:val="left"/>
        <w:rPr>
          <w:rFonts w:ascii="Times New Roman" w:hAnsi="Times New Roman"/>
          <w:sz w:val="20"/>
        </w:rPr>
      </w:pPr>
      <w:r>
        <w:rPr>
          <w:rFonts w:ascii="Times New Roman" w:hAnsi="Times New Roman"/>
          <w:sz w:val="20"/>
        </w:rPr>
        <w:t xml:space="preserve">%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10.3</w:t>
      </w:r>
    </w:p>
    <w:p>
      <w:pPr>
        <w:pStyle w:val="TextBody"/>
        <w:bidi w:val="0"/>
        <w:spacing w:before="240" w:after="0"/>
        <w:jc w:val="left"/>
        <w:rPr>
          <w:rFonts w:ascii="Times New Roman" w:hAnsi="Times New Roman"/>
          <w:sz w:val="20"/>
        </w:rPr>
      </w:pPr>
      <w:r>
        <w:rPr>
          <w:rFonts w:ascii="Times New Roman" w:hAnsi="Times New Roman"/>
          <w:sz w:val="20"/>
        </w:rPr>
        <w:t xml:space="preserve">% of its net sales – Power solutions business, respectively. For the six months ended June 30, 2024, the Company had three customers that represented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26.3</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10.2</w:t>
      </w:r>
    </w:p>
    <w:p>
      <w:pPr>
        <w:pStyle w:val="TextBody"/>
        <w:bidi w:val="0"/>
        <w:spacing w:before="240" w:after="0"/>
        <w:jc w:val="left"/>
        <w:rPr>
          <w:rFonts w:ascii="Times New Roman" w:hAnsi="Times New Roman"/>
          <w:sz w:val="20"/>
        </w:rPr>
      </w:pPr>
      <w:r>
        <w:rPr>
          <w:rFonts w:ascii="Times New Roman" w:hAnsi="Times New Roman"/>
          <w:sz w:val="20"/>
        </w:rPr>
        <w:t xml:space="preserve">%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10.1</w:t>
      </w:r>
    </w:p>
    <w:p>
      <w:pPr>
        <w:pStyle w:val="TextBody"/>
        <w:bidi w:val="0"/>
        <w:spacing w:before="240" w:after="0"/>
        <w:jc w:val="left"/>
        <w:rPr>
          <w:rFonts w:ascii="Times New Roman" w:hAnsi="Times New Roman"/>
          <w:sz w:val="20"/>
        </w:rPr>
      </w:pPr>
      <w:r>
        <w:rPr>
          <w:rFonts w:ascii="Times New Roman" w:hAnsi="Times New Roman"/>
          <w:sz w:val="20"/>
        </w:rPr>
        <w:t xml:space="preserve">% of its net sales – Power solutions business,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2025, one customer of the Company’s Power solutions business accounted for 42.3% of its accounts receivable – Power solutions business. As of December 31, 2024, one customer of the Company’s Power solutions business accounted for 42.3% of its accounts receivable – Power solutions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15. Accumulated Other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Accumulated other comprehensive loss consists of the following as of June 30, 2025 and December 31, 2024, respectively (in thousands):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50"/>
        <w:gridCol w:w="120"/>
        <w:gridCol w:w="140"/>
        <w:gridCol w:w="755"/>
        <w:gridCol w:w="155"/>
        <w:gridCol w:w="120"/>
        <w:gridCol w:w="221"/>
        <w:gridCol w:w="1194"/>
        <w:gridCol w:w="170"/>
      </w:tblGrid>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(19,297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(20,927</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adjustments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(966</w:t>
            </w:r>
          </w:p>
        </w:tc>
        <w:tc>
          <w:tcPr>
            <w:tcW w:w="17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single" w:sz="2" w:space="1" w:color="000000"/>
              </w:rPr>
            </w:pPr>
            <w:r>
              <w:rPr>
                <w:bdr w:val="single" w:sz="2" w:space="1" w:color="000000"/>
              </w:rPr>
              <w:t> </w:t>
            </w:r>
          </w:p>
        </w:tc>
        <w:tc>
          <w:tcPr>
            <w:tcW w:w="1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(17,906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(21,893</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double" w:sz="6" w:space="1" w:color="000000"/>
              </w:rPr>
            </w:pPr>
            <w:r>
              <w:rPr>
                <w:bdr w:val="double" w:sz="6" w:space="1" w:color="000000"/>
              </w:rPr>
              <w:t> </w:t>
            </w:r>
          </w:p>
        </w:tc>
        <w:tc>
          <w:tcPr>
            <w:tcW w:w="119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Changes in accumulated other comprehensive loss for the three months ended June 30, 2025 and 2024 are as follows (in thousands): </w:t>
      </w:r>
    </w:p>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250"/>
        <w:gridCol w:w="1000"/>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Three Months Ended June 30, 2025</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translation</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Derivative</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(20,172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(305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(20,477</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1,617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1,877</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615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79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694</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income</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1,696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2,571</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(19,297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1,391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(17,906</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double" w:sz="6" w:space="1" w:color="000000"/>
              </w:rPr>
            </w:pPr>
            <w:r>
              <w:rPr>
                <w:bdr w:val="double" w:sz="6" w:space="1" w:color="000000"/>
              </w:rPr>
              <w:t> </w:t>
            </w:r>
          </w:p>
        </w:tc>
        <w:tc>
          <w:tcPr>
            <w:tcW w:w="10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185" w:type="dxa"/>
            <w:gridSpan w:val="4"/>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Three Months Ended June 30, 2024</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translation</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Derivative</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(18,845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(18,700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(807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(2,398</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527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527</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(280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(1,871</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(20,436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(20,571</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double" w:sz="6" w:space="1" w:color="000000"/>
              </w:rPr>
            </w:pPr>
            <w:r>
              <w:rPr>
                <w:bdr w:val="double" w:sz="6" w:space="1" w:color="000000"/>
              </w:rPr>
              <w:t> </w:t>
            </w:r>
          </w:p>
        </w:tc>
        <w:tc>
          <w:tcPr>
            <w:tcW w:w="10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Changes in accumulated other comprehensive loss for the six months ended June 30, 2025 and 2024 are as follows (in thousands): </w:t>
      </w:r>
    </w:p>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250"/>
        <w:gridCol w:w="1000"/>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Six Months Ended June 30, 2025</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translation</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Derivative</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(20,927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(966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(21,893</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1,753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2,768</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615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604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1,219</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income</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1,630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2,357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3,987</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(19,297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1,391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(17,906</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double" w:sz="6" w:space="1" w:color="000000"/>
              </w:rPr>
            </w:pPr>
            <w:r>
              <w:rPr>
                <w:bdr w:val="double" w:sz="6" w:space="1" w:color="000000"/>
              </w:rPr>
              <w:t> </w:t>
            </w:r>
          </w:p>
        </w:tc>
        <w:tc>
          <w:tcPr>
            <w:tcW w:w="10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225"/>
        <w:gridCol w:w="1025"/>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185" w:type="dxa"/>
            <w:gridSpan w:val="4"/>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Six Months Ended June 30, 2024</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translation</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Derivative</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(15,348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691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(14,657</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(5,088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(1,412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(6,500</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586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586</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(5,088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(826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(5,914</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(20,436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(20,571</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double" w:sz="6" w:space="1" w:color="000000"/>
              </w:rPr>
            </w:pPr>
            <w:r>
              <w:rPr>
                <w:bdr w:val="double" w:sz="6" w:space="1" w:color="000000"/>
              </w:rPr>
              <w:t> </w:t>
            </w:r>
          </w:p>
        </w:tc>
        <w:tc>
          <w:tcPr>
            <w:tcW w:w="102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three and six months ended June 30, 2025, the Company reclassified a $615 thousand of cumulative translation adjustment (CTA) from accumulated other comprehensive loss into loss in connection with the liquidation of MMS, the Company’s indirect wholly owned foreign subsidiary. </w:t>
      </w:r>
    </w:p>
    <w:p>
      <w:pPr>
        <w:pStyle w:val="TextBody"/>
        <w:bidi w:val="0"/>
        <w:spacing w:before="360" w:after="0"/>
        <w:jc w:val="left"/>
        <w:rPr>
          <w:rFonts w:ascii="Times New Roman" w:hAnsi="Times New Roman"/>
          <w:b/>
          <w:sz w:val="20"/>
        </w:rPr>
      </w:pPr>
      <w:r>
        <w:rPr>
          <w:rFonts w:ascii="Times New Roman" w:hAnsi="Times New Roman"/>
          <w:b/>
          <w:sz w:val="20"/>
        </w:rPr>
        <w:t xml:space="preserve">16. Stock Repurchase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On July 19, 2023, the Board of Directors authorized a $50 million stock buyback program. Purchases have been and will be made in the open market or in privately negotiated transactions, depending upon market conditions and other factors. </w:t>
      </w:r>
    </w:p>
    <w:p>
      <w:pPr>
        <w:pStyle w:val="TextBody"/>
        <w:bidi w:val="0"/>
        <w:spacing w:before="240" w:after="0"/>
        <w:jc w:val="left"/>
        <w:rPr>
          <w:rFonts w:ascii="Times New Roman" w:hAnsi="Times New Roman"/>
          <w:sz w:val="20"/>
        </w:rPr>
      </w:pPr>
      <w:r>
        <w:rPr>
          <w:rFonts w:ascii="Times New Roman" w:hAnsi="Times New Roman"/>
          <w:sz w:val="20"/>
        </w:rPr>
        <w:t xml:space="preserve">From August 2023 to December 2023, the Company repurchased 1,730,173 shares of its common stock in the open market for an aggregate purchase price of $13.6 million and a weighted average price per share of $7.84 under the stock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From January 2024 to December 2024, the Company repurchased 2,349,811 shares of its common stock in the open market for an aggregate purchase price of $11.8 million and a weighted average price per share of $5.04 under the stock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During the first half of 2025, the Company repurchased 1,025,669 shares of its common stock in the open market for an aggregate purchase price of $3.4 million and a weighted average price per share of $3.32 under the stock repurchase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17. Earnings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illustrates the computation of basic and diluted earnings (loss) per common share for the three and six months ended June 30, 2025 and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30"/>
        <w:gridCol w:w="120"/>
        <w:gridCol w:w="140"/>
        <w:gridCol w:w="1100"/>
        <w:gridCol w:w="155"/>
        <w:gridCol w:w="120"/>
        <w:gridCol w:w="140"/>
        <w:gridCol w:w="1100"/>
        <w:gridCol w:w="155"/>
        <w:gridCol w:w="120"/>
        <w:gridCol w:w="140"/>
        <w:gridCol w:w="1100"/>
        <w:gridCol w:w="155"/>
        <w:gridCol w:w="120"/>
        <w:gridCol w:w="140"/>
        <w:gridCol w:w="1100"/>
        <w:gridCol w:w="170"/>
      </w:tblGrid>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5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5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r>
          </w:p>
        </w:tc>
        <w:tc>
          <w:tcPr>
            <w:tcW w:w="17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17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85" w:type="dxa"/>
            <w:gridSpan w:val="14"/>
            <w:tcBorders/>
            <w:vAlign w:val="center"/>
          </w:tcPr>
          <w:p>
            <w:pPr>
              <w:pStyle w:val="TableContents"/>
              <w:bidi w:val="0"/>
              <w:spacing w:before="0" w:after="0"/>
              <w:jc w:val="center"/>
              <w:rPr>
                <w:b/>
                <w:spacing w:val="0"/>
              </w:rPr>
            </w:pPr>
            <w:r>
              <w:rPr>
                <w:b/>
                <w:spacing w:val="0"/>
              </w:rPr>
              <w:t>(In thousands of U.S. dollars, except share data)</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Basic earnings (loss) per common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8,486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(2,208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3,404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(16,492</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net of tax</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(8,163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(10,789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(11,959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(11,922</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(12,997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(8,555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(28,414</w:t>
            </w:r>
          </w:p>
        </w:tc>
        <w:tc>
          <w:tcPr>
            <w:tcW w:w="17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weighted average common stock outstanding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36,083,703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38,174,920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36,483,551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38,359,851</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Basic earnings (loss) per common share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Continuing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(0.43</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Discontinued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(0.31</w:t>
            </w:r>
          </w:p>
        </w:tc>
        <w:tc>
          <w:tcPr>
            <w:tcW w:w="17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(0.23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(0.74</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Diluted earnings (loss) per common share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8,486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(2,208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3,404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(16,492</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net of tax</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(8,163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(10,789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(11,959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(11,922</w:t>
            </w:r>
          </w:p>
        </w:tc>
        <w:tc>
          <w:tcPr>
            <w:tcW w:w="17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323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(12,997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(8,555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(28,414</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 weighted average common stock outstanding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36,083,703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38,174,920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36,483,551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38,359,851</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effect of dilutive equity awards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684,944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726,071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 weighted average common stock outstanding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36,768,647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38,174,920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37,209,622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38,359,851</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Diluted earnings (loss) per common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Continuing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(0.43</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Discontinued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(0.31</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(0.74</w:t>
            </w:r>
          </w:p>
        </w:tc>
        <w:tc>
          <w:tcPr>
            <w:tcW w:w="17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Diluted earnings (loss) per common share adjusts basic earnings (loss) per common share for the potentially dilutive impact of stock options and restricted stock units. As the Company has reported loss from continuing operations for the three and six months ended June 30, 2024, all potentially dilutive securities are antidilutive and accordingly not considered, therefore basic loss per common share equals diluted loss per common share.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outstanding instruments were excluded from the computation of diluted earnings (loss) per common share, as they have an anti-dilutive effect on the calculation: </w:t>
      </w:r>
    </w:p>
    <w:p>
      <w:pPr>
        <w:pStyle w:val="TextBody"/>
        <w:bidi w:val="0"/>
        <w:spacing w:before="0" w:after="0"/>
        <w:jc w:val="left"/>
        <w:rPr/>
      </w:pPr>
      <w:r>
        <w:rPr/>
        <w:t> </w:t>
      </w:r>
    </w:p>
    <w:tbl>
      <w:tblPr>
        <w:tblW w:w="6527" w:type="dxa"/>
        <w:jc w:val="left"/>
        <w:tblInd w:w="0" w:type="dxa"/>
        <w:tblLayout w:type="fixed"/>
        <w:tblCellMar>
          <w:top w:w="0" w:type="dxa"/>
          <w:left w:w="0" w:type="dxa"/>
          <w:bottom w:w="0" w:type="dxa"/>
          <w:right w:w="0" w:type="dxa"/>
        </w:tblCellMar>
      </w:tblPr>
      <w:tblGrid>
        <w:gridCol w:w="1850"/>
        <w:gridCol w:w="120"/>
        <w:gridCol w:w="63"/>
        <w:gridCol w:w="850"/>
        <w:gridCol w:w="63"/>
        <w:gridCol w:w="127"/>
        <w:gridCol w:w="63"/>
        <w:gridCol w:w="1041"/>
        <w:gridCol w:w="60"/>
        <w:gridCol w:w="120"/>
        <w:gridCol w:w="61"/>
        <w:gridCol w:w="814"/>
        <w:gridCol w:w="60"/>
        <w:gridCol w:w="120"/>
        <w:gridCol w:w="60"/>
        <w:gridCol w:w="980"/>
        <w:gridCol w:w="75"/>
      </w:tblGrid>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63"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Options</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464,065</w:t>
            </w:r>
          </w:p>
        </w:tc>
        <w:tc>
          <w:tcPr>
            <w:tcW w:w="6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757,158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464,065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757,158</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— </w:t>
            </w:r>
          </w:p>
        </w:tc>
        <w:tc>
          <w:tcPr>
            <w:tcW w:w="63"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right"/>
              <w:rPr/>
            </w:pPr>
            <w:r>
              <w:rPr/>
              <w:t>2,476,131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2,476,131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18. </w:t>
      </w:r>
    </w:p>
    <w:p>
      <w:pPr>
        <w:pStyle w:val="TextBody"/>
        <w:bidi w:val="0"/>
        <w:spacing w:before="0" w:after="0"/>
        <w:jc w:val="left"/>
        <w:rPr>
          <w:rFonts w:ascii="Times New Roman" w:hAnsi="Times New Roman"/>
          <w:b/>
          <w:sz w:val="20"/>
        </w:rPr>
      </w:pPr>
      <w:r>
        <w:rPr>
          <w:rFonts w:ascii="Times New Roman" w:hAnsi="Times New Roman"/>
          <w:b/>
          <w:sz w:val="20"/>
        </w:rPr>
        <w:t xml:space="preserve">Commitments </w:t>
      </w:r>
    </w:p>
    <w:p>
      <w:pPr>
        <w:pStyle w:val="TextBody"/>
        <w:bidi w:val="0"/>
        <w:spacing w:before="0" w:after="0"/>
        <w:jc w:val="left"/>
        <w:rPr>
          <w:rFonts w:ascii="Times New Roman" w:hAnsi="Times New Roman"/>
          <w:b/>
          <w:sz w:val="20"/>
        </w:rPr>
      </w:pPr>
      <w:r>
        <w:rPr>
          <w:rFonts w:ascii="Times New Roman" w:hAnsi="Times New Roman"/>
          <w:b/>
          <w:sz w:val="20"/>
        </w:rPr>
        <w:t xml:space="preserve">and Contingencies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Advances to Suppliers </w:t>
      </w:r>
    </w:p>
    <w:p>
      <w:pPr>
        <w:pStyle w:val="TextBody"/>
        <w:bidi w:val="0"/>
        <w:spacing w:before="120" w:after="0"/>
        <w:jc w:val="left"/>
        <w:rPr>
          <w:rFonts w:ascii="Times New Roman" w:hAnsi="Times New Roman"/>
          <w:sz w:val="20"/>
        </w:rPr>
      </w:pPr>
      <w:r>
        <w:rPr>
          <w:rFonts w:ascii="Times New Roman" w:hAnsi="Times New Roman"/>
          <w:sz w:val="20"/>
        </w:rPr>
        <w:t xml:space="preserve">The Company, from time to time, may make advances in form of prepayments or deposits to suppliers, including external foundries, to meet its planned production. The Company recorded advances of $565 thousand and $2,294 thousand as other current assets as of June 30, 2025 and December 31,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19. Subsequent Events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Derivative contracts </w:t>
      </w:r>
    </w:p>
    <w:p>
      <w:pPr>
        <w:pStyle w:val="TextBody"/>
        <w:bidi w:val="0"/>
        <w:spacing w:before="120" w:after="0"/>
        <w:jc w:val="left"/>
        <w:rPr>
          <w:rFonts w:ascii="Times New Roman" w:hAnsi="Times New Roman"/>
          <w:sz w:val="20"/>
        </w:rPr>
      </w:pPr>
      <w:r>
        <w:rPr>
          <w:rFonts w:ascii="Times New Roman" w:hAnsi="Times New Roman"/>
          <w:sz w:val="20"/>
        </w:rPr>
        <w:t xml:space="preserve">In July 2025, the Company and NFIK entered into derivative contracts of zero cost collars for the period from April 2026 to September 2026. The total notional amounts are $18,000 thousand.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Repurchase </w:t>
      </w:r>
    </w:p>
    <w:p>
      <w:pPr>
        <w:pStyle w:val="TextBody"/>
        <w:bidi w:val="0"/>
        <w:spacing w:before="120" w:after="0"/>
        <w:jc w:val="left"/>
        <w:rPr>
          <w:rFonts w:ascii="Times New Roman" w:hAnsi="Times New Roman"/>
          <w:sz w:val="20"/>
        </w:rPr>
      </w:pPr>
      <w:r>
        <w:rPr>
          <w:rFonts w:ascii="Times New Roman" w:hAnsi="Times New Roman"/>
          <w:sz w:val="20"/>
        </w:rPr>
        <w:t xml:space="preserve">In July 2025, the Company repurchased 30,005 shares of its common stock in the open market for an aggregate purchase price of $0.1 million and a weighted average price per share of $3.92 under the stock repurchase program.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FORWARD 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on Form 10-Q (this “Report”)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10-K for our fiscal year ended December 31, 2024 filed on March 14, 2025 (“2024 Form 10-K”).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 </w:t>
      </w:r>
    </w:p>
    <w:p>
      <w:pPr>
        <w:pStyle w:val="TextBody"/>
        <w:bidi w:val="0"/>
        <w:spacing w:before="240" w:after="0"/>
        <w:jc w:val="left"/>
        <w:rPr>
          <w:rFonts w:ascii="Times New Roman" w:hAnsi="Times New Roman"/>
          <w:sz w:val="20"/>
        </w:rPr>
      </w:pPr>
      <w:r>
        <w:rPr>
          <w:rFonts w:ascii="Times New Roman" w:hAnsi="Times New Roman"/>
          <w:sz w:val="20"/>
        </w:rPr>
        <w:t xml:space="preserve">Statements made in this Report, unless the context otherwise requires, that include the use of the terms “we,” “us,” “our” and “Magnachip” refer to Magnachip Semiconductor Corporation and its consolidated subsidiaries. The term “Korea” refers to the Republic of Korea or South Korea.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tbl>
      <w:tblPr>
        <w:tblW w:w="8260" w:type="dxa"/>
        <w:jc w:val="left"/>
        <w:tblInd w:w="0" w:type="dxa"/>
        <w:tblLayout w:type="fixed"/>
        <w:tblCellMar>
          <w:top w:w="0" w:type="dxa"/>
          <w:left w:w="0" w:type="dxa"/>
          <w:bottom w:w="0" w:type="dxa"/>
          <w:right w:w="0" w:type="dxa"/>
        </w:tblCellMar>
      </w:tblPr>
      <w:tblGrid>
        <w:gridCol w:w="725"/>
        <w:gridCol w:w="7535"/>
      </w:tblGrid>
      <w:tr>
        <w:trPr/>
        <w:tc>
          <w:tcPr>
            <w:tcW w:w="725" w:type="dxa"/>
            <w:tcBorders/>
            <w:vAlign w:val="center"/>
          </w:tcPr>
          <w:p>
            <w:pPr>
              <w:pStyle w:val="TableContents"/>
              <w:bidi w:val="0"/>
              <w:spacing w:before="0" w:after="283"/>
              <w:jc w:val="left"/>
              <w:rPr>
                <w:b/>
              </w:rPr>
            </w:pPr>
            <w:bookmarkStart w:id="4" w:name="toc913307_9"/>
            <w:bookmarkEnd w:id="4"/>
            <w:r>
              <w:rPr>
                <w:b/>
              </w:rPr>
              <w:t>Item 2.</w:t>
            </w:r>
          </w:p>
        </w:tc>
        <w:tc>
          <w:tcPr>
            <w:tcW w:w="75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Management’s Discussion and Analysis of Financial Condition and Results of Operations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The following discussion and analysis should be read in conjunction with the unaudited consolidated financial statements and the related notes included elsewhere in this Report.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designer and manufacturer of analog and mixed-signal power semiconductor platform solutions for various applications, including industrial, automotive, communication, consumer and computing. We have a proven record with approximately 45 years of operating history, a portfolio of approximately 1,000 registered patents and pending applications and extensive engineering and manufacturing process expertise. </w:t>
      </w:r>
    </w:p>
    <w:p>
      <w:pPr>
        <w:pStyle w:val="TextBody"/>
        <w:bidi w:val="0"/>
        <w:spacing w:before="240" w:after="0"/>
        <w:jc w:val="left"/>
        <w:rPr>
          <w:rFonts w:ascii="Times New Roman" w:hAnsi="Times New Roman"/>
          <w:sz w:val="20"/>
        </w:rPr>
      </w:pPr>
      <w:r>
        <w:rPr>
          <w:rFonts w:ascii="Times New Roman" w:hAnsi="Times New Roman"/>
          <w:sz w:val="20"/>
        </w:rPr>
        <w:t xml:space="preserve">We develop and manufacture Power discrete products and develop Power integrated circuit (“IC”) products. Power discrete products include metal oxide semiconductor field effect transistors (“MOSFETs”) and insulated-gate bipolar transistors (“IGBTs”) for a range of devices, including televisions, smartphones, mobile phones, wearable devices, desktop personal computers (“PCs”), notebook PCs, tablet PCs, servers, other consumer electronics, as well as automotive and industrial applications such as power suppliers, e-bikes, solar inverters, LED lighting and motor drives. Power IC products include AC-DC/DC-DC converters, LED drivers, regulators, power management integrated circuits (“PMICs”) and level shifter for a range of devices, including televisions, wearable devices, notebooks, tablet PCs and others consumer electronics, as well as automotive applications. </w:t>
      </w:r>
    </w:p>
    <w:p>
      <w:pPr>
        <w:pStyle w:val="TextBody"/>
        <w:bidi w:val="0"/>
        <w:spacing w:before="240" w:after="0"/>
        <w:jc w:val="left"/>
        <w:rPr>
          <w:rFonts w:ascii="Times New Roman" w:hAnsi="Times New Roman"/>
          <w:sz w:val="20"/>
        </w:rPr>
      </w:pPr>
      <w:r>
        <w:rPr>
          <w:rFonts w:ascii="Times New Roman" w:hAnsi="Times New Roman"/>
          <w:sz w:val="20"/>
        </w:rPr>
        <w:t xml:space="preserve">In 2024, the Power IC business was operated by Magnachip Mixed-Signal, Ltd. (“MMS”), which later transferred the business to Magnachip Semiconductor, Ltd. (“MSK”) effective January 1, 2025, pursuant to an intercompany business transfer agreement executed between MMS and MSK. The transfer was based on the mutual understanding that consolidating the Power IC and Power Analog Solutions businesses under a single company would create a more effective framework for expanding and strengthening the Company’s business for Power products. We refer to the Power Analog Solutions and Power IC businesses collectively as the Power solutions business. </w:t>
      </w:r>
    </w:p>
    <w:p>
      <w:pPr>
        <w:pStyle w:val="TextBody"/>
        <w:bidi w:val="0"/>
        <w:spacing w:before="240" w:after="0"/>
        <w:jc w:val="left"/>
        <w:rPr>
          <w:rFonts w:ascii="Times New Roman" w:hAnsi="Times New Roman"/>
          <w:sz w:val="20"/>
        </w:rPr>
      </w:pPr>
      <w:r>
        <w:rPr>
          <w:rFonts w:ascii="Times New Roman" w:hAnsi="Times New Roman"/>
          <w:sz w:val="20"/>
        </w:rPr>
        <w:t xml:space="preserve">On March 7, 2025, our Board of Directors authorized a strategy to transition into a pure-play Power company, focusing its investments on the Power Analog Solutions and Power IC businesses to enhance profitability and maximize shareholder value. As part of this strategy, we explored all strategic options including a sale, merger, joint venture, licensing, and wind-down for its Display business (Display IC products). However, we were not able to consummate any transaction following several months of discussions with several interested parties on terms that our Board of Directors believed were in the best interests of the Company and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Accordingly, on April 6, 2025, our Board of Directors unanimously approved the plan to shut down our Display business (the “Discontinued Business”), including the liquidation of MMS, our indirect wholly owned subsidiary that operated the Discontinued Business. For additional information regarding the announcement of our plan to shut down display business, </w:t>
      </w:r>
      <w:r>
        <w:rPr>
          <w:rFonts w:ascii="Times New Roman" w:hAnsi="Times New Roman"/>
          <w:i/>
          <w:sz w:val="20"/>
        </w:rPr>
        <w:t>see the Company’s Current Report on Form 8-K filed on April</w:t>
      </w:r>
      <w:r>
        <w:rPr>
          <w:rFonts w:ascii="Times New Roman" w:hAnsi="Times New Roman"/>
          <w:sz w:val="20"/>
        </w:rPr>
        <w:t> </w:t>
      </w:r>
      <w:r>
        <w:rPr>
          <w:rFonts w:ascii="Times New Roman" w:hAnsi="Times New Roman"/>
          <w:i/>
          <w:sz w:val="20"/>
        </w:rPr>
        <w:t>8, 2025</w:t>
      </w:r>
      <w:r>
        <w:rPr>
          <w:rFonts w:ascii="Times New Roman" w:hAnsi="Times New Roman"/>
          <w:sz w:val="20"/>
        </w:rPr>
        <w:t xml:space="preserve">. As a result of the Discontinued Business and the cessation of transitional Fab 3 foundry services, our results from continuing operations in future periods will consist solely of the Power solutions business. </w:t>
      </w:r>
    </w:p>
    <w:p>
      <w:pPr>
        <w:pStyle w:val="TextBody"/>
        <w:bidi w:val="0"/>
        <w:spacing w:before="240" w:after="0"/>
        <w:jc w:val="left"/>
        <w:rPr>
          <w:rFonts w:ascii="Times New Roman" w:hAnsi="Times New Roman"/>
          <w:sz w:val="20"/>
        </w:rPr>
      </w:pPr>
      <w:r>
        <w:rPr>
          <w:rFonts w:ascii="Times New Roman" w:hAnsi="Times New Roman"/>
          <w:sz w:val="20"/>
        </w:rPr>
        <w:t xml:space="preserve">Our wide variety of analog and mixed-signal power semiconductor products combined with our mature technology platform allow us to address multiple high-growth end markets and rapidly develop and introduce new products and services in response to market demands. Our design center in Korea and global manufacturing operations place us at the core of the global electronics device supply chain. We believe this enables us to quickly and efficiently respond to our customers’ needs, and allows us to better serve and capture additional demand from existing and new customers. Certain of our Power IC products are produced using an external foundry. Through a strategic cooperation with an external foundry, we manage to ensure outsourcing wafers at competitive price and produce quality products. </w:t>
      </w:r>
    </w:p>
    <w:p>
      <w:pPr>
        <w:pStyle w:val="TextBody"/>
        <w:bidi w:val="0"/>
        <w:spacing w:before="240" w:after="0"/>
        <w:jc w:val="left"/>
        <w:rPr>
          <w:rFonts w:ascii="Times New Roman" w:hAnsi="Times New Roman"/>
          <w:sz w:val="20"/>
        </w:rPr>
      </w:pPr>
      <w:r>
        <w:rPr>
          <w:rFonts w:ascii="Times New Roman" w:hAnsi="Times New Roman"/>
          <w:sz w:val="20"/>
        </w:rPr>
        <w:t xml:space="preserve">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 </w:t>
      </w:r>
    </w:p>
    <w:p>
      <w:pPr>
        <w:pStyle w:val="TextBody"/>
        <w:bidi w:val="0"/>
        <w:spacing w:before="240" w:after="0"/>
        <w:jc w:val="left"/>
        <w:rPr>
          <w:rFonts w:ascii="Times New Roman" w:hAnsi="Times New Roman"/>
          <w:sz w:val="20"/>
        </w:rPr>
      </w:pPr>
      <w:r>
        <w:rPr>
          <w:rFonts w:ascii="Times New Roman" w:hAnsi="Times New Roman"/>
          <w:sz w:val="20"/>
        </w:rPr>
        <w:t xml:space="preserve">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Demand for our products and services is driven by overall demand for industrial, automotive, communication, consumer and computing products and can be adversely affected by periods of weak consumer and enterprise spending or by market share losses by our customers.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Net sales for our Power Analog Solutions and Power IC business are driven by design wins in which we are selected by an electronics original equipment manufacturer (“OEM”) or other potential customer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 </w:t>
      </w:r>
    </w:p>
    <w:p>
      <w:pPr>
        <w:pStyle w:val="TextBody"/>
        <w:bidi w:val="0"/>
        <w:spacing w:before="240" w:after="0"/>
        <w:jc w:val="left"/>
        <w:rPr>
          <w:rFonts w:ascii="Times New Roman" w:hAnsi="Times New Roman"/>
          <w:sz w:val="20"/>
        </w:rPr>
      </w:pPr>
      <w:r>
        <w:rPr>
          <w:rFonts w:ascii="Times New Roman" w:hAnsi="Times New Roman"/>
          <w:sz w:val="20"/>
        </w:rPr>
        <w:t xml:space="preserve">In contrast to completely fabless semiconductor companies, our internal manufacturing capacity provides us with greater control over certain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internally manufactured products. However, having internal manufacturing capacity exposes us to the risk of under-utilization of manufacturing capacity that results in lower gross profit margins, particularly during downturns in the semiconductor industry. </w:t>
      </w:r>
    </w:p>
    <w:p>
      <w:pPr>
        <w:pStyle w:val="TextBody"/>
        <w:bidi w:val="0"/>
        <w:spacing w:before="240" w:after="0"/>
        <w:jc w:val="left"/>
        <w:rPr>
          <w:rFonts w:ascii="Times New Roman" w:hAnsi="Times New Roman"/>
          <w:sz w:val="20"/>
        </w:rPr>
      </w:pPr>
      <w:r>
        <w:rPr>
          <w:rFonts w:ascii="Times New Roman" w:hAnsi="Times New Roman"/>
          <w:sz w:val="20"/>
        </w:rPr>
        <w:t xml:space="preserve">Our Power Analog Solutions and Power IC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Power IC products which do require advanced technology and 8-inch wafer capacity. We believe this balanced capital investment strategy enables us to optimize our capital investments and facilitates more diversified product and service offerings. </w:t>
      </w:r>
    </w:p>
    <w:p>
      <w:pPr>
        <w:pStyle w:val="TextBody"/>
        <w:bidi w:val="0"/>
        <w:spacing w:before="240" w:after="0"/>
        <w:jc w:val="left"/>
        <w:rPr>
          <w:rFonts w:ascii="Times New Roman" w:hAnsi="Times New Roman"/>
          <w:sz w:val="20"/>
        </w:rPr>
      </w:pPr>
      <w:r>
        <w:rPr>
          <w:rFonts w:ascii="Times New Roman" w:hAnsi="Times New Roman"/>
          <w:sz w:val="20"/>
        </w:rPr>
        <w:t xml:space="preserve">By outsourcing manufacturing of Power IC products to an external foundry, we have been able to adapt dynamically to changing customer requirements and address growing markets without substantial capital investments by us. However, relying on an external foundry exposes us to the risk of being unable to secure manufacturing capacity, particularly during the global shortage of foundry services. Although we work to diversify the sourcing of external manufacturing, if these efforts are at any time unsuccessful, our ability to deliver products to our customers may be negatively impacted, which would adversely affect our relationship with customers and opportunities to secure new design-wins. </w:t>
      </w:r>
    </w:p>
    <w:p>
      <w:pPr>
        <w:pStyle w:val="TextBody"/>
        <w:bidi w:val="0"/>
        <w:spacing w:before="240" w:after="0"/>
        <w:jc w:val="left"/>
        <w:rPr>
          <w:rFonts w:ascii="Times New Roman" w:hAnsi="Times New Roman"/>
          <w:sz w:val="20"/>
        </w:rPr>
      </w:pPr>
      <w:r>
        <w:rPr>
          <w:rFonts w:ascii="Times New Roman" w:hAnsi="Times New Roman"/>
          <w:sz w:val="20"/>
        </w:rPr>
        <w:t xml:space="preserve">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Shut-Down of Display business </w:t>
      </w:r>
    </w:p>
    <w:p>
      <w:pPr>
        <w:pStyle w:val="TextBody"/>
        <w:bidi w:val="0"/>
        <w:spacing w:before="120" w:after="0"/>
        <w:jc w:val="left"/>
        <w:rPr>
          <w:rFonts w:ascii="Times New Roman" w:hAnsi="Times New Roman"/>
          <w:sz w:val="20"/>
        </w:rPr>
      </w:pPr>
      <w:r>
        <w:rPr>
          <w:rFonts w:ascii="Times New Roman" w:hAnsi="Times New Roman"/>
          <w:sz w:val="20"/>
        </w:rPr>
        <w:t xml:space="preserve">On March 7, 2025, our Board of Directors authorized a strategy to transition to a pure-play Power company, focusing its investments on the Power Analog Solutions and Power IC businesses to enhance profitability and maximize shareholder value. As part of this strategy, we explored all strategic options including a sale, merger, joint venture, licensing, and wind-down for its Display business (Display IC products). However, we were not able to consummate a transaction following several months of discussions with several interested parties on terms that our Board of Directors believed were in the best interests of the Company and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Accordingly, on April 6, 2025, our Board of Directors unanimously approved the plan to shut down our Display business (the “Discontinued Business”) by the end of the second quarter of 2025, including the liquidation of MMS, our indirect wholly owned subsidiary that operated the Discontinued Business. For additional information regarding the announcement of our plan to shut down display business, </w:t>
      </w:r>
      <w:r>
        <w:rPr>
          <w:rFonts w:ascii="Times New Roman" w:hAnsi="Times New Roman"/>
          <w:i/>
          <w:sz w:val="20"/>
        </w:rPr>
        <w:t>see the Company’s Current Report on Form 8-K filed on April</w:t>
      </w:r>
      <w:r>
        <w:rPr>
          <w:rFonts w:ascii="Times New Roman" w:hAnsi="Times New Roman"/>
          <w:sz w:val="20"/>
        </w:rPr>
        <w:t> </w:t>
      </w:r>
      <w:r>
        <w:rPr>
          <w:rFonts w:ascii="Times New Roman" w:hAnsi="Times New Roman"/>
          <w:i/>
          <w:sz w:val="20"/>
        </w:rPr>
        <w:t>8, 2025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Although we shut down our Display business, we continue to provide limited support for remaining customer obligations including the sale of “end of life” (“EOL”) Display products, which is being conducted by MSK. We have retained a small team to continue to support customers with respect to EOL Display products. The sale of EOL Display products and the potential monetization of the intellectual property assets of the Discontinued Business are currently expected to generate cash inflow of approximately $20 million over a period of approximately 2 years from the second half of 2025, depending upon customer demand and monetization efforts of the Display intellectual property assets. </w:t>
      </w:r>
    </w:p>
    <w:p>
      <w:pPr>
        <w:pStyle w:val="TextBody"/>
        <w:bidi w:val="0"/>
        <w:spacing w:before="240" w:after="0"/>
        <w:jc w:val="left"/>
        <w:rPr>
          <w:rFonts w:ascii="Times New Roman" w:hAnsi="Times New Roman"/>
          <w:sz w:val="20"/>
        </w:rPr>
      </w:pPr>
      <w:r>
        <w:rPr>
          <w:rFonts w:ascii="Times New Roman" w:hAnsi="Times New Roman"/>
          <w:sz w:val="20"/>
        </w:rPr>
        <w:t xml:space="preserve">The total estimated cash cost of the liquidation is approximately $12 to $15 million, which is expected to be offset by the cash inflow that may be generated as described above. The one-time liquidation cost is expected to consist of statutory severance and other employee-related costs, contract termination charges and other associated costs. Of this estimated total cash cost, we paid $6.5 million of statutory severance and other employee-related costs in the second quarter of 2025. Further, we originally expected to pay certain contract termination charges in full along with the statutory severance and other employee-related costs, but negotiated with the respective vendors for those contract termination charges totaling $6.5 million to be paid over the duration of the remaining existing contract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CAPEX Loans </w:t>
      </w:r>
    </w:p>
    <w:p>
      <w:pPr>
        <w:pStyle w:val="TextBody"/>
        <w:bidi w:val="0"/>
        <w:spacing w:before="120" w:after="0"/>
        <w:jc w:val="left"/>
        <w:rPr>
          <w:rFonts w:ascii="Times New Roman" w:hAnsi="Times New Roman"/>
          <w:sz w:val="20"/>
        </w:rPr>
      </w:pPr>
      <w:r>
        <w:rPr>
          <w:rFonts w:ascii="Times New Roman" w:hAnsi="Times New Roman"/>
          <w:sz w:val="20"/>
        </w:rPr>
        <w:t xml:space="preserve">On December 16, 2024, MSK executed a Standard Credit Agreement (as amended) (together with its General Terms and Conditions, the “Equipment Financing Credit Agreement”) with Korea Development Bank (“KDB”). In connection with the Equipment Financing Credit Agreement, on December 8, 2024, MSK amended the Kun-Pledge Agreement (the “Equipment Pledge Agreement”) with KDB, originally executed on or about March 26, 2024, to increase the maximum secured amount and to expand the scope of collateral to include certain machinery and equipment owned by MSK, which are located in its fabrication facility located in Gumi, Korea (“Fab 3 machinery and equipment”). </w:t>
      </w:r>
    </w:p>
    <w:p>
      <w:pPr>
        <w:pStyle w:val="TextBody"/>
        <w:bidi w:val="0"/>
        <w:spacing w:before="240" w:after="0"/>
        <w:jc w:val="left"/>
        <w:rPr>
          <w:rFonts w:ascii="Times New Roman" w:hAnsi="Times New Roman"/>
          <w:sz w:val="20"/>
        </w:rPr>
      </w:pPr>
      <w:r>
        <w:rPr>
          <w:rFonts w:ascii="Times New Roman" w:hAnsi="Times New Roman"/>
          <w:sz w:val="20"/>
        </w:rPr>
        <w:t xml:space="preserve">The Equipment Financing Credit Agreement provides for loans for MSK’s capital expenditures (the “CAPEX Loans”) up to an aggregate of KRW 38,000,000,000 ($26.5 million based on the KRW/USD exchange rate of 1,432.7:1 as of December 16, 2024 as quoted by KEB Hana Bank), which will be funded directly to capital expenditure supply vendors by KDB upon the submission of a request form by MSK with the necessary evidence such as purchase agreement, invoice and other documentation,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CAPEX Loans will bear interest at a fixed rate quoted by the treasury bond market yield (a six-year Korea treasury bill rate). CAPEX Loans mature in ten years from the initial loan disbursement date, with an initial two-year (measured from the first loan disbursement date) interest-only payment period during which only interest is paid monthly, followed by eight years of amortizing payments where the principal is repaid in equal installments every three months and interest is paid monthly. The Equipment Financing Credit Agreement contains customary representations of MSK in connection with the execution of the agreement and with each borrowing of CAPEX Loans and customary terms and conditions for a secured equipment financing loan of this type in Korea. All obligations of MSK under the Equipment Financing Credit Agreement and CAPEX Loans are secured by certain Fab 3 machinery and equipment pursuant to the Equipment Pledge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2025, approximately $7.0 million aggregate principal amount of the CAPEX Loans was outstanding, which bears interest at 2.68% per annum and matures on June 26, 2035.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Macroeconomic Industry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semiconductor industry continues to face a number of macroeconomic challenges, including rising inflation, increased interest rates, supply chain disruptions, inventory corrections, shifting customer and end-user demand, fluctuations in currency rates, and geopolitical tensions, including without limitation ongoing conflicts involving Russia and Ukraine, sustained military action and conflicts in the Middle East, and trade conflicts or trade wars (especially those between the United States and China) including those arising directly or indirectly from tariffs recently imposed by the United States, any one or more of which may cause (if they have not already caused) volatility and unpredictability in the supply chain or market for semiconductor products and end-user demand. The length and severity of these macroeconomic events and their overall impact on our business, results of operations and financial condition remain uncertain. </w:t>
      </w:r>
    </w:p>
    <w:p>
      <w:pPr>
        <w:pStyle w:val="TextBody"/>
        <w:bidi w:val="0"/>
        <w:spacing w:before="360" w:after="0"/>
        <w:jc w:val="left"/>
        <w:rPr>
          <w:rFonts w:ascii="Times New Roman" w:hAnsi="Times New Roman"/>
          <w:b/>
          <w:i/>
          <w:sz w:val="20"/>
        </w:rPr>
      </w:pPr>
      <w:r>
        <w:rPr>
          <w:rFonts w:ascii="Times New Roman" w:hAnsi="Times New Roman"/>
          <w:b/>
          <w:i/>
          <w:sz w:val="20"/>
        </w:rPr>
        <w:t xml:space="preserve">Developments in Export Control Regulations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2022, the Bureau of Industry and Security (BIS) of the U.S. Department of Commerce published changes to U.S. export control regulations (U.S. Export Regulations), including new restrictions on Chinese entities’ ability to obtain advanced computing chips, develop and maintain supercomputers, and manufacture advanced semiconductors. Further, on October 12, 2022, a new rule went into effect requiring U.S. persons to obtain a license prior to engaging in certain activities that could “support” certain end-uses and end-users, including those related to weapons of mass destruction. Additionally, on October 21, 2022, BIS brought into effect a series of new Foreign Direct Product (FDP) rules and various new controls on advanced computing items, significantly expanding the scope of items that are subject to export control under the U.S. Export Regulations. More recently, on October 25, 2023, BIS published additional rules, which went into effect on November 17, 2023 to expand, clarify, and correct the rules published in October 2022. A further corrected and clarified version of these rules went into effect on April 4, 2024. On January 16, 2025, BIS published amendments and clarifications of the U.S. Export Regulations which further tightened controls of advanced computing items. Based on our understanding of the U.S. Export Regulations and related rules currently in effect, we do not anticipate that they will have a material impact on our current business, but we will continue reviewing and assessing these rules and regulations and their potential impact on our business. Additional changes to the U.S. Export Regulations are expected, such as recently proposed rule changes that may expand restrictions on export transactions involving end users or end uses with military connections; but the scope or timing of such changes is uncertain. We will continue to monitor such developments, including potential additional trade restrictions, and other regulatory or policy changes by the U.S. and foreign governments.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Explanation and Reconciliation of Non-U.S. GAAP Measures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Adjusted EBITDA, Adjusted Operating Income (Loss) and Adjusted 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We use the terms Adjusted EBITDA, Adjusted Operating Income (Loss) and Adjusted Net Income (Loss) (including on a per share basis) in this Report. Adjusted EBITDA, as we define it, is a non-U.S. GAAP measure. We define Adjusted EBITDA for the periods indicated as EBITDA (as defined below), adjusted to exclude (i) equity-based compensation expense, (ii) foreign currency loss (gain), net, (iii) derivative valuation loss (gain), net and (iv) other charges. EBITDA for the periods indicated is defined as net income (loss) before interest income, interest expense, income tax benefit, net and depreciation and amortization. </w:t>
      </w:r>
    </w:p>
    <w:p>
      <w:pPr>
        <w:pStyle w:val="TextBody"/>
        <w:bidi w:val="0"/>
        <w:spacing w:before="240" w:after="0"/>
        <w:jc w:val="left"/>
        <w:rPr>
          <w:rFonts w:ascii="Times New Roman" w:hAnsi="Times New Roman"/>
          <w:sz w:val="20"/>
        </w:rPr>
      </w:pPr>
      <w:r>
        <w:rPr>
          <w:rFonts w:ascii="Times New Roman" w:hAnsi="Times New Roman"/>
          <w:sz w:val="20"/>
        </w:rPr>
        <w:t xml:space="preserve">See the footnotes to the table below for further information regarding these items. We present Adjusted EBITDA as a supplemental measure of our performance because: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is commonly requested and used by securities analysts, investors and other interested parties in the evaluation of a company as an enterprise level performance measure that eliminates the effects of financing, income taxes and the accounting effects of capital spending, as well as other one time or recurring items described above;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is useful for investors, among other reasons, to assess a company’s period-to-period core operating performance and to understand and assess the manner in which management analyzes operating performance.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use Adjusted EBITDA in a number of ways, including: </w:t>
      </w:r>
    </w:p>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planning purposes, including the preparation of our annual operating budget; </w:t>
            </w:r>
          </w:p>
        </w:tc>
      </w:tr>
    </w:tbl>
    <w:p>
      <w:pPr>
        <w:pStyle w:val="TextBody"/>
        <w:bidi w:val="0"/>
        <w:spacing w:before="0" w:after="0"/>
        <w:jc w:val="left"/>
        <w:rPr/>
      </w:pPr>
      <w:r>
        <w:rPr/>
        <w:t> </w:t>
      </w:r>
    </w:p>
    <w:tbl>
      <w:tblPr>
        <w:tblW w:w="6040" w:type="dxa"/>
        <w:jc w:val="left"/>
        <w:tblInd w:w="0" w:type="dxa"/>
        <w:tblLayout w:type="fixed"/>
        <w:tblCellMar>
          <w:top w:w="0" w:type="dxa"/>
          <w:left w:w="0" w:type="dxa"/>
          <w:bottom w:w="0" w:type="dxa"/>
          <w:right w:w="0" w:type="dxa"/>
        </w:tblCellMar>
      </w:tblPr>
      <w:tblGrid>
        <w:gridCol w:w="75"/>
        <w:gridCol w:w="110"/>
        <w:gridCol w:w="60"/>
        <w:gridCol w:w="5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evaluate the effectiveness of our enterprise level business strategies;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110"/>
        <w:gridCol w:w="60"/>
        <w:gridCol w:w="8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communications with our Board of Directors concerning our consolidated financial performance; and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75"/>
        <w:gridCol w:w="110"/>
        <w:gridCol w:w="6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certain of our compensation plans as a performance measure for determining incentive compensation payments.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(loss) from continuing operations or any other performance measure derived in accordance with U.S. GAAP, or as an alternative to cash flows from operating activities as a measure of liquidity. A reconciliation of income (loss) to Adjusted EBITDA from continuing operations is as follows: </w:t>
      </w:r>
    </w:p>
    <w:p>
      <w:pPr>
        <w:pStyle w:val="TextBody"/>
        <w:bidi w:val="0"/>
        <w:spacing w:before="0" w:after="0"/>
        <w:jc w:val="left"/>
        <w:rPr/>
      </w:pPr>
      <w:r>
        <w:rPr/>
        <w:t> </w:t>
      </w:r>
    </w:p>
    <w:tbl>
      <w:tblPr>
        <w:tblW w:w="10200" w:type="dxa"/>
        <w:jc w:val="left"/>
        <w:tblInd w:w="0" w:type="dxa"/>
        <w:tblLayout w:type="fixed"/>
        <w:tblCellMar>
          <w:top w:w="0" w:type="dxa"/>
          <w:left w:w="0" w:type="dxa"/>
          <w:bottom w:w="0" w:type="dxa"/>
          <w:right w:w="0" w:type="dxa"/>
        </w:tblCellMar>
      </w:tblPr>
      <w:tblGrid>
        <w:gridCol w:w="3785"/>
        <w:gridCol w:w="120"/>
        <w:gridCol w:w="315"/>
        <w:gridCol w:w="1160"/>
        <w:gridCol w:w="155"/>
        <w:gridCol w:w="120"/>
        <w:gridCol w:w="251"/>
        <w:gridCol w:w="924"/>
        <w:gridCol w:w="155"/>
        <w:gridCol w:w="120"/>
        <w:gridCol w:w="385"/>
        <w:gridCol w:w="1090"/>
        <w:gridCol w:w="155"/>
        <w:gridCol w:w="120"/>
        <w:gridCol w:w="251"/>
        <w:gridCol w:w="924"/>
        <w:gridCol w:w="170"/>
      </w:tblGrid>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June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w:t>
              <w:br/>
              <w:t>Ended</w:t>
              <w:br/>
              <w:t>June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June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w:t>
              <w:br/>
              <w:t>Ended</w:t>
              <w:br/>
              <w:t>June 30,</w:t>
              <w:br/>
              <w:t>2024</w:t>
            </w:r>
          </w:p>
        </w:tc>
        <w:tc>
          <w:tcPr>
            <w:tcW w:w="17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25" w:type="dxa"/>
            <w:gridSpan w:val="14"/>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8.5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(16.5</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(2.9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(4.3</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0.7</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benefit, net</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(5.4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(3.5</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3.7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7.4</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92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92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EBITDA from continuing operations</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924" w:type="dxa"/>
            <w:tcBorders/>
            <w:vAlign w:val="center"/>
          </w:tcPr>
          <w:p>
            <w:pPr>
              <w:pStyle w:val="TableContents"/>
              <w:bidi w:val="0"/>
              <w:spacing w:before="0" w:after="283"/>
              <w:jc w:val="right"/>
              <w:rPr/>
            </w:pPr>
            <w:r>
              <w:rPr/>
              <w:t>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283"/>
              <w:jc w:val="right"/>
              <w:rPr/>
            </w:pPr>
            <w:r>
              <w:rPr/>
              <w:t>(5.6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924" w:type="dxa"/>
            <w:tcBorders/>
            <w:vAlign w:val="center"/>
          </w:tcPr>
          <w:p>
            <w:pPr>
              <w:pStyle w:val="TableContents"/>
              <w:bidi w:val="0"/>
              <w:spacing w:before="0" w:after="283"/>
              <w:jc w:val="right"/>
              <w:rPr/>
            </w:pPr>
            <w:r>
              <w:rPr/>
              <w:t>(16.2</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expense(a)</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1.9</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loss (gain), net(b)</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(10.4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8.6</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valuation loss (gain), net(c)</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(0.1</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charges(d)</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92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92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 from continuing operations</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924" w:type="dxa"/>
            <w:tcBorders/>
            <w:vAlign w:val="center"/>
          </w:tcPr>
          <w:p>
            <w:pPr>
              <w:pStyle w:val="TableContents"/>
              <w:bidi w:val="0"/>
              <w:spacing w:before="0" w:after="283"/>
              <w:jc w:val="right"/>
              <w:rPr/>
            </w:pPr>
            <w:r>
              <w:rPr/>
              <w:t>(4.2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283"/>
              <w:jc w:val="right"/>
              <w:rPr/>
            </w:pPr>
            <w:r>
              <w:rPr/>
              <w:t>(1.0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924" w:type="dxa"/>
            <w:tcBorders/>
            <w:vAlign w:val="center"/>
          </w:tcPr>
          <w:p>
            <w:pPr>
              <w:pStyle w:val="TableContents"/>
              <w:bidi w:val="0"/>
              <w:spacing w:before="0" w:after="283"/>
              <w:jc w:val="right"/>
              <w:rPr/>
            </w:pPr>
            <w:r>
              <w:rPr/>
              <w:t>(5.8</w:t>
            </w:r>
          </w:p>
        </w:tc>
        <w:tc>
          <w:tcPr>
            <w:tcW w:w="17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double" w:sz="6" w:space="1" w:color="000000"/>
              </w:pBdr>
              <w:bidi w:val="0"/>
              <w:spacing w:before="0" w:after="0"/>
              <w:jc w:val="left"/>
              <w:rPr/>
            </w:pPr>
            <w:r>
              <w:rPr/>
              <w:t> </w:t>
            </w:r>
          </w:p>
        </w:tc>
        <w:tc>
          <w:tcPr>
            <w:tcW w:w="924"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double" w:sz="6" w:space="1" w:color="000000"/>
              </w:pBdr>
              <w:bidi w:val="0"/>
              <w:spacing w:before="0" w:after="0"/>
              <w:jc w:val="left"/>
              <w:rPr/>
            </w:pPr>
            <w:r>
              <w:rPr/>
              <w:t> </w:t>
            </w:r>
          </w:p>
        </w:tc>
        <w:tc>
          <w:tcPr>
            <w:tcW w:w="109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double" w:sz="6" w:space="1" w:color="000000"/>
              </w:pBdr>
              <w:bidi w:val="0"/>
              <w:spacing w:before="0" w:after="0"/>
              <w:jc w:val="left"/>
              <w:rPr/>
            </w:pPr>
            <w:r>
              <w:rPr/>
              <w:t> </w:t>
            </w:r>
          </w:p>
        </w:tc>
        <w:tc>
          <w:tcPr>
            <w:tcW w:w="924"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(b)</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(c)</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(d)</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three and six months ended June 30, 2025, this adjustment eliminates $0.5 million of one-time employee incentives and $0.3 million of certain executive separation benefit related accruals. As this adjustment meaningfully impacted our operating results and are not expected to represent an ongoing operating expense or income to us, we believe our operating performance results are more usefully compared if this adjustment is excluded.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Adjusted EBITDA has limitations as an analytical tool, and you should not consider it in isolation, or as a substitute for analysis of our results as reported under U.S. GAAP. Some of these limitations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our cash expenditures, or future requirements, for capital expenditures or contractual commitments;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changes in, or cash requirements for, our working capital needs;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the interest expense, or the cash requirements necessary to service interest or principal payments, on our debt;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although depreciation and amortization are non-cash charges, the assets being depreciated and amortized will often need to be replaced in the future, and Adjusted EBITDA does not reflect any cash requirements for such replacements;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consider the potentially dilutive impact of issuing equity-based compensation to our management team and employees;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the costs of holding certain assets and liabilities in foreign currencies;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 our industry may calculate Adjusted EBITDA differently than we do, limiting its usefulness as a comparative measure.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present Adjusted Operating Income (Loss) as supplemental measures of our performance. We prepare Adjusted Operating Income (Loss) by adjusting operating income (loss) to eliminate the impact of equity-based compensation expenses and other items that may be either one time or recurring that we do not consider to be indicative of our core ongoing operating performance. We believe that Adjusted Operating Income (Loss) is useful to investors to provide a supplemental way to understand our underlying operating performance and allows investors to monitor and understand changes in our ability to generate income (loss) from ongoing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Adjusted Operating Income (Loss) is not a measure defined in accordance with U.S. GAAP and should not be construed as an alternative to operating income (loss) or any other performance measure derived in accordance with U.S. GAAP. We encourage you to evaluate each adjustment and the reasons we consider them appropriate. Other companies in our industry may calculate Adjusted Operating Income (Loss) differently than we do, limiting its usefulness as a comparative measure. In addition, in evaluating Adjusted Operating Income (Loss), you should be aware that in the future we may incur expenses similar to the adjustments in this presentation. We define Adjusted Operating Income (Loss) for the periods indicated as operating income (loss) adjusted to exclude (i) equity-based compensation expense and (ii) other charges.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adjustments to operating loss that we make in order to calculate Adjusted Operating Loss for the periods indicated: </w:t>
      </w:r>
    </w:p>
    <w:p>
      <w:pPr>
        <w:pStyle w:val="TextBody"/>
        <w:bidi w:val="0"/>
        <w:spacing w:before="0" w:after="0"/>
        <w:jc w:val="left"/>
        <w:rPr/>
      </w:pPr>
      <w:r>
        <w:rPr/>
        <w:t> </w:t>
      </w:r>
    </w:p>
    <w:tbl>
      <w:tblPr>
        <w:tblW w:w="9630" w:type="dxa"/>
        <w:jc w:val="left"/>
        <w:tblInd w:w="0" w:type="dxa"/>
        <w:tblLayout w:type="fixed"/>
        <w:tblCellMar>
          <w:top w:w="0" w:type="dxa"/>
          <w:left w:w="0" w:type="dxa"/>
          <w:bottom w:w="0" w:type="dxa"/>
          <w:right w:w="0" w:type="dxa"/>
        </w:tblCellMar>
      </w:tblPr>
      <w:tblGrid>
        <w:gridCol w:w="3215"/>
        <w:gridCol w:w="120"/>
        <w:gridCol w:w="385"/>
        <w:gridCol w:w="1090"/>
        <w:gridCol w:w="155"/>
        <w:gridCol w:w="120"/>
        <w:gridCol w:w="251"/>
        <w:gridCol w:w="924"/>
        <w:gridCol w:w="155"/>
        <w:gridCol w:w="120"/>
        <w:gridCol w:w="385"/>
        <w:gridCol w:w="1090"/>
        <w:gridCol w:w="155"/>
        <w:gridCol w:w="120"/>
        <w:gridCol w:w="251"/>
        <w:gridCol w:w="924"/>
        <w:gridCol w:w="170"/>
      </w:tblGrid>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June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w:t>
              <w:br/>
              <w:t>Ended</w:t>
              <w:br/>
              <w:t>June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June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w:t>
              <w:br/>
              <w:t>Ended</w:t>
              <w:br/>
              <w:t>June 30,</w:t>
              <w:br/>
              <w:t>2024</w:t>
            </w:r>
          </w:p>
        </w:tc>
        <w:tc>
          <w:tcPr>
            <w:tcW w:w="17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25" w:type="dxa"/>
            <w:gridSpan w:val="14"/>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(13.7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(15.1</w:t>
            </w:r>
          </w:p>
        </w:tc>
        <w:tc>
          <w:tcPr>
            <w:tcW w:w="17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expense(a)</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1.9</w:t>
            </w:r>
          </w:p>
        </w:tc>
        <w:tc>
          <w:tcPr>
            <w:tcW w:w="17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charges(b)</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92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92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Operating Loss</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(5.6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(11.0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(13.2</w:t>
            </w:r>
          </w:p>
        </w:tc>
        <w:tc>
          <w:tcPr>
            <w:tcW w:w="17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double" w:sz="6" w:space="1" w:color="000000"/>
              </w:pBdr>
              <w:bidi w:val="0"/>
              <w:spacing w:before="0" w:after="0"/>
              <w:jc w:val="left"/>
              <w:rPr/>
            </w:pPr>
            <w:r>
              <w:rPr/>
              <w:t> </w:t>
            </w:r>
          </w:p>
        </w:tc>
        <w:tc>
          <w:tcPr>
            <w:tcW w:w="109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double" w:sz="6" w:space="1" w:color="000000"/>
              </w:pBdr>
              <w:bidi w:val="0"/>
              <w:spacing w:before="0" w:after="0"/>
              <w:jc w:val="left"/>
              <w:rPr/>
            </w:pPr>
            <w:r>
              <w:rPr/>
              <w:t> </w:t>
            </w:r>
          </w:p>
        </w:tc>
        <w:tc>
          <w:tcPr>
            <w:tcW w:w="924"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double" w:sz="6" w:space="1" w:color="000000"/>
              </w:pBdr>
              <w:bidi w:val="0"/>
              <w:spacing w:before="0" w:after="0"/>
              <w:jc w:val="left"/>
              <w:rPr/>
            </w:pPr>
            <w:r>
              <w:rPr/>
              <w:t> </w:t>
            </w:r>
          </w:p>
        </w:tc>
        <w:tc>
          <w:tcPr>
            <w:tcW w:w="109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double" w:sz="6" w:space="1" w:color="000000"/>
              </w:pBdr>
              <w:bidi w:val="0"/>
              <w:spacing w:before="0" w:after="0"/>
              <w:jc w:val="left"/>
              <w:rPr/>
            </w:pPr>
            <w:r>
              <w:rPr/>
              <w:t> </w:t>
            </w:r>
          </w:p>
        </w:tc>
        <w:tc>
          <w:tcPr>
            <w:tcW w:w="924"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(b)</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three and six months ended June 30, 2025, this adjustment eliminates $0.5 million of one-time employee incentives and $0.3 million of certain executive separation benefit related accruals. As this adjustment meaningfully impacted our operating results and are not expected to represent an ongoing operating expense or income to us, we believe our operating performance results are more usefully compared if this adjustment is excluded.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present Adjusted Net Income (Loss) (including on a per share basis) as a further supplemental measure of our performance. We prepare Adjusted Net Income (Loss) (including on a per share basis) by adjusting net income (loss) to eliminate the impact of a number of non-cash expenses and other items that may be either one time or recurring that we do not consider to be indicative of our core ongoing operating performance. We believe that Adjusted Net Income (Loss) (including on a per share basis) is particularly useful because it reflects the impact of our asset base and capital structure on our operating performance. We present Adjusted Net Income (Loss) (including on a per share basis) for a number of reasons,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use Adjusted Net Income (Loss)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reporting Adjusted Net Income (Loss)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Adjusted Net Income (Loss) (including on a per share basis) is not a measure defined in accordance with U.S. GAAP and should not be construed as an alternative to income (loss) from continuing operations or any other performance measure derived in accordance with U.S. GAAP, or as an alternative to cash flows from operating activities as a measure of liquidity. We encourage you to evaluate each adjustment and the reasons we consider them appropriate. Other companies in our industry may calculate Adjusted Net Income (Loss) (including on a per share basis) differently than we do, limiting its usefulness as a comparative measure. In addition, in evaluating Adjusted Net Income (Loss) (including on a per share basis), you should be aware that in the future we may incur expenses similar to the adjustments in this presentation. We define Adjusted Net Income (Loss) (including on a per share basis); for the periods indicated as net income (loss), adjusted to exclude (i) equity-based compensation expense, (ii) foreign currency loss (gain), net, (iii) derivative valuation loss (gain), net, (iv) other charges and (v) income tax effect on non-GAAP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adjustments to income (loss) from continuing operations that we make in order to calculate Adjusted Income (Loss) (including on a per share basis) from continuing operations for the periods indicated: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60"/>
        <w:gridCol w:w="120"/>
        <w:gridCol w:w="166"/>
        <w:gridCol w:w="1309"/>
        <w:gridCol w:w="155"/>
        <w:gridCol w:w="120"/>
        <w:gridCol w:w="140"/>
        <w:gridCol w:w="1100"/>
        <w:gridCol w:w="155"/>
        <w:gridCol w:w="120"/>
        <w:gridCol w:w="166"/>
        <w:gridCol w:w="1309"/>
        <w:gridCol w:w="155"/>
        <w:gridCol w:w="120"/>
        <w:gridCol w:w="140"/>
        <w:gridCol w:w="1100"/>
        <w:gridCol w:w="170"/>
      </w:tblGrid>
      <w:tr>
        <w:trPr/>
        <w:tc>
          <w:tcPr>
            <w:tcW w:w="3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June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w:t>
              <w:br/>
              <w:t>Ended</w:t>
              <w:br/>
              <w:t>June 30,</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June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w:t>
              <w:br/>
              <w:t>Ended</w:t>
              <w:br/>
              <w:t>June 30,</w:t>
              <w:br/>
              <w:t>2024</w:t>
            </w:r>
          </w:p>
        </w:tc>
        <w:tc>
          <w:tcPr>
            <w:tcW w:w="170" w:type="dxa"/>
            <w:tcBorders/>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55" w:type="dxa"/>
            <w:gridSpan w:val="14"/>
            <w:tcBorders/>
            <w:vAlign w:val="center"/>
          </w:tcPr>
          <w:p>
            <w:pPr>
              <w:pStyle w:val="TableContents"/>
              <w:bidi w:val="0"/>
              <w:spacing w:before="0" w:after="283"/>
              <w:jc w:val="center"/>
              <w:rPr>
                <w:b/>
              </w:rPr>
            </w:pPr>
            <w:r>
              <w:rPr>
                <w:b/>
              </w:rPr>
              <w:t>(Dollars in millions, except per share data)</w:t>
            </w:r>
          </w:p>
        </w:tc>
        <w:tc>
          <w:tcPr>
            <w:tcW w:w="170" w:type="dxa"/>
            <w:tcBorders/>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8.5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(16.5</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expense(a)</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loss (gain), net(b)</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8.6</w:t>
            </w:r>
          </w:p>
        </w:tc>
        <w:tc>
          <w:tcPr>
            <w:tcW w:w="170" w:type="dxa"/>
            <w:tcBorders/>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Derivative valuation loss (gain), net(c)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(0.1</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charges(d)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effect on non-GAAP adjustments(e)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30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30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Income (Loss) from continuing operations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(7.3</w:t>
            </w:r>
          </w:p>
        </w:tc>
        <w:tc>
          <w:tcPr>
            <w:tcW w:w="170" w:type="dxa"/>
            <w:tcBorders/>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double" w:sz="6" w:space="1" w:color="000000"/>
              </w:pBdr>
              <w:bidi w:val="0"/>
              <w:spacing w:before="0" w:after="0"/>
              <w:jc w:val="left"/>
              <w:rPr/>
            </w:pPr>
            <w:r>
              <w:rPr/>
              <w:t> </w:t>
            </w:r>
          </w:p>
        </w:tc>
        <w:tc>
          <w:tcPr>
            <w:tcW w:w="130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double" w:sz="6" w:space="1" w:color="000000"/>
              </w:pBdr>
              <w:bidi w:val="0"/>
              <w:spacing w:before="0" w:after="0"/>
              <w:jc w:val="left"/>
              <w:rPr/>
            </w:pPr>
            <w:r>
              <w:rPr/>
              <w:t> </w:t>
            </w:r>
          </w:p>
        </w:tc>
        <w:tc>
          <w:tcPr>
            <w:tcW w:w="130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Reported earnings (loss) per share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(0.43</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Reported earnings (loss) per share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(0.43</w:t>
            </w:r>
          </w:p>
        </w:tc>
        <w:tc>
          <w:tcPr>
            <w:tcW w:w="170" w:type="dxa"/>
            <w:tcBorders/>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36,083,703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36,483,551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38,174,920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38,359,851</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36,768,647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37,209,622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38,174,920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38,359,851</w:t>
            </w:r>
          </w:p>
        </w:tc>
        <w:tc>
          <w:tcPr>
            <w:tcW w:w="170" w:type="dxa"/>
            <w:tcBorders/>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earnings (loss) per share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(0.19</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earnings (loss) per share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(0.19</w:t>
            </w:r>
          </w:p>
        </w:tc>
        <w:tc>
          <w:tcPr>
            <w:tcW w:w="170" w:type="dxa"/>
            <w:tcBorders/>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36,083,703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36,483,551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38,174,920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38,359,851</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36,083,703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36,483,551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38,529,789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38,359,851</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(b)</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(c)</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(d)</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three and six months ended June 30, 2025, this adjustment eliminates $0.5 million of one-time employee incentives and $0.3 million of certain executive separation benefit related accruals. As this adjustment meaningfully impacted our operating results and are not expected to represent an ongoing operating expense or income to us, we believe our operating performance results are more usefully compared if this adjustment is excluded.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(e)</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six months ended June 30, 2025 and 2024, income tax effect on non-GAAP adjustments were calculated by calculating the tax expense of each jurisdiction with or without the non-GAAP adjustments. For the six months ended June 30, 2025, income tax effect on non-GAAP adjustments related to our Korean subsidiary was negative $2.3 million. For six months ended June 30, 2024, income tax effect on non-GAAP adjustments related to our Korean subsidiary and the U.S. parent entity were negative $1.7 million and positive $0.5 million, respectively.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believe that all adjustments to income (loss) from continuing operations used to calculate Adjusted Net Income (Loss) from continuing operations was applied consistently to the periods presented. </w:t>
      </w:r>
    </w:p>
    <w:p>
      <w:pPr>
        <w:pStyle w:val="TextBody"/>
        <w:bidi w:val="0"/>
        <w:spacing w:before="120" w:after="0"/>
        <w:jc w:val="left"/>
        <w:rPr>
          <w:rFonts w:ascii="Times New Roman" w:hAnsi="Times New Roman"/>
          <w:sz w:val="20"/>
        </w:rPr>
      </w:pPr>
      <w:r>
        <w:rPr>
          <w:rFonts w:ascii="Times New Roman" w:hAnsi="Times New Roman"/>
          <w:sz w:val="20"/>
        </w:rPr>
        <w:t xml:space="preserve">Adjusted Net Income (Loss) has limitations as an analytical tool, and you should not consider it in isolation, or as a substitute for analysis of our results as reported under U.S. GAAP. Some of these limitations are: </w:t>
      </w:r>
    </w:p>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(Loss) does not reflect changes in, or cash requirements for, our working capital needs;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(Loss) does not consider the potentially dilutive impact of issuing equity-based compensation to our management team and employees;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(Loss) does not reflect the costs of holding certain assets and liabilities in foreign currencies;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 our industry may calculate Adjusted Net Income (Loss) differently than we do, limiting its usefulness as a comparative measure.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Because of these limitations, Adjusted Net Income (Loss) should not be considered as a measure of profitability of our business. We compensate for these limitations by relying primarily on our U.S. GAAP results and using Adjusted Net Income (Loss) only as a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Factors Affecting Our Results of Operations </w:t>
      </w:r>
    </w:p>
    <w:p>
      <w:pPr>
        <w:pStyle w:val="TextBody"/>
        <w:bidi w:val="0"/>
        <w:spacing w:before="120" w:after="0"/>
        <w:jc w:val="left"/>
        <w:rPr>
          <w:rFonts w:ascii="Times New Roman" w:hAnsi="Times New Roman"/>
          <w:sz w:val="20"/>
        </w:rPr>
      </w:pPr>
      <w:r>
        <w:rPr>
          <w:rFonts w:ascii="Times New Roman" w:hAnsi="Times New Roman"/>
          <w:b/>
          <w:i/>
          <w:sz w:val="20"/>
        </w:rPr>
        <w:t>Net</w:t>
      </w:r>
      <w:r>
        <w:rPr>
          <w:rFonts w:ascii="Times New Roman" w:hAnsi="Times New Roman"/>
          <w:sz w:val="20"/>
        </w:rPr>
        <w:t xml:space="preserve"> </w:t>
      </w:r>
      <w:r>
        <w:rPr>
          <w:rFonts w:ascii="Times New Roman" w:hAnsi="Times New Roman"/>
          <w:b/>
          <w:i/>
          <w:sz w:val="20"/>
        </w:rPr>
        <w:t>Sales.</w:t>
      </w:r>
      <w:r>
        <w:rPr>
          <w:rFonts w:ascii="Times New Roman" w:hAnsi="Times New Roman"/>
          <w:sz w:val="20"/>
        </w:rPr>
        <w:t xml:space="preserve"> We derive substantially all of our sales (net of sales returns and allowances) from our Power solutions business. Our product inventory is primarily located in Korea and is available for drop shipment globally. Outside of Korea, we maintain limited product inventory, and our sales representatives generally relay orders to our fabrication facility in Korea for fulfillment. We have strategically located our sales offices near concentrations of major customers. Our sales offices are located in Korea, Japan, Taiwan and Greater China. Our network of authorized agents and distributors is in the United States, Europe and the Asia Pacific region. </w:t>
      </w:r>
    </w:p>
    <w:p>
      <w:pPr>
        <w:pStyle w:val="TextBody"/>
        <w:bidi w:val="0"/>
        <w:spacing w:before="240" w:after="0"/>
        <w:jc w:val="left"/>
        <w:rPr>
          <w:rFonts w:ascii="Times New Roman" w:hAnsi="Times New Roman"/>
          <w:sz w:val="20"/>
        </w:rPr>
      </w:pPr>
      <w:r>
        <w:rPr>
          <w:rFonts w:ascii="Times New Roman" w:hAnsi="Times New Roman"/>
          <w:sz w:val="20"/>
        </w:rPr>
        <w:t xml:space="preserve">We recognize revenue when a customer obtains control of the product, which is generally upon product shipment, delivery at the customer’s location or upon customer acceptance, depending on the terms of the arrangement. For the six months ended June 30, 2025 and 2024, we sold products to 163 and 135 customers, respectively, and our net sales to our ten largest customers represented 74% and 73% of our net sales – Power solutions business, respectively. </w:t>
      </w:r>
    </w:p>
    <w:p>
      <w:pPr>
        <w:pStyle w:val="TextBody"/>
        <w:bidi w:val="0"/>
        <w:spacing w:before="240" w:after="0"/>
        <w:jc w:val="left"/>
        <w:rPr>
          <w:rFonts w:ascii="Times New Roman" w:hAnsi="Times New Roman"/>
          <w:sz w:val="20"/>
        </w:rPr>
      </w:pPr>
      <w:r>
        <w:rPr>
          <w:rFonts w:ascii="Times New Roman" w:hAnsi="Times New Roman"/>
          <w:b/>
          <w:i/>
          <w:sz w:val="20"/>
        </w:rPr>
        <w:t>Gross Profit.</w:t>
      </w:r>
      <w:r>
        <w:rPr>
          <w:rFonts w:ascii="Times New Roman" w:hAnsi="Times New Roman"/>
          <w:sz w:val="20"/>
        </w:rPr>
        <w:t xml:space="preserve"> Our overall gross profit generally fluctuates as a result of changes in overall sales volumes and in the average selling prices of our 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 </w:t>
      </w:r>
    </w:p>
    <w:p>
      <w:pPr>
        <w:pStyle w:val="TextBody"/>
        <w:bidi w:val="0"/>
        <w:spacing w:before="240" w:after="0"/>
        <w:jc w:val="left"/>
        <w:rPr>
          <w:rFonts w:ascii="Times New Roman" w:hAnsi="Times New Roman"/>
          <w:sz w:val="20"/>
        </w:rPr>
      </w:pPr>
      <w:r>
        <w:rPr>
          <w:rFonts w:ascii="Times New Roman" w:hAnsi="Times New Roman"/>
          <w:b/>
          <w:i/>
          <w:sz w:val="20"/>
        </w:rPr>
        <w:t>Average</w:t>
      </w:r>
      <w:r>
        <w:rPr>
          <w:rFonts w:ascii="Times New Roman" w:hAnsi="Times New Roman"/>
          <w:sz w:val="20"/>
        </w:rPr>
        <w:t xml:space="preserve"> </w:t>
      </w: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Prices (“ASP”).</w:t>
      </w:r>
      <w:r>
        <w:rPr>
          <w:rFonts w:ascii="Times New Roman" w:hAnsi="Times New Roman"/>
          <w:sz w:val="20"/>
        </w:rPr>
        <w:t xml:space="preserve"> Average selling prices for our products tend to be highest at the time of introduction of new products which utilize the 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 </w:t>
      </w:r>
    </w:p>
    <w:p>
      <w:pPr>
        <w:pStyle w:val="TextBody"/>
        <w:bidi w:val="0"/>
        <w:spacing w:before="240" w:after="0"/>
        <w:jc w:val="left"/>
        <w:rPr>
          <w:rFonts w:ascii="Times New Roman" w:hAnsi="Times New Roman"/>
          <w:sz w:val="20"/>
        </w:rPr>
      </w:pPr>
      <w:r>
        <w:rPr>
          <w:rFonts w:ascii="Times New Roman" w:hAnsi="Times New Roman"/>
          <w:b/>
          <w:i/>
          <w:sz w:val="20"/>
        </w:rPr>
        <w:t>Material Costs.</w:t>
      </w:r>
      <w:r>
        <w:rPr>
          <w:rFonts w:ascii="Times New Roman" w:hAnsi="Times New Roman"/>
          <w:sz w:val="20"/>
        </w:rPr>
        <w:t xml:space="preserve"> Our material costs consist of costs of raw materials, such as silicon wafers, chemicals, gases and tape and packaging supplies. We use processes that require specialized raw materials, such as silicon wafers, that are generally available from a limited number of suppliers. If demand increases or supplies decrease, the costs of our raw materials could increase significantly. </w:t>
      </w:r>
    </w:p>
    <w:p>
      <w:pPr>
        <w:pStyle w:val="TextBody"/>
        <w:bidi w:val="0"/>
        <w:spacing w:before="240" w:after="0"/>
        <w:jc w:val="left"/>
        <w:rPr>
          <w:rFonts w:ascii="Times New Roman" w:hAnsi="Times New Roman"/>
          <w:sz w:val="20"/>
        </w:rPr>
      </w:pPr>
      <w:r>
        <w:rPr>
          <w:rFonts w:ascii="Times New Roman" w:hAnsi="Times New Roman"/>
          <w:b/>
          <w:i/>
          <w:sz w:val="20"/>
        </w:rPr>
        <w:t>Labor</w:t>
      </w:r>
      <w:r>
        <w:rPr>
          <w:rFonts w:ascii="Times New Roman" w:hAnsi="Times New Roman"/>
          <w:sz w:val="20"/>
        </w:rPr>
        <w:t xml:space="preserve"> </w:t>
      </w:r>
      <w:r>
        <w:rPr>
          <w:rFonts w:ascii="Times New Roman" w:hAnsi="Times New Roman"/>
          <w:b/>
          <w:i/>
          <w:sz w:val="20"/>
        </w:rPr>
        <w:t>Costs.</w:t>
      </w:r>
      <w:r>
        <w:rPr>
          <w:rFonts w:ascii="Times New Roman" w:hAnsi="Times New Roman"/>
          <w:sz w:val="20"/>
        </w:rPr>
        <w:t xml:space="preserve"> A significant portion of our employees are located in Korea. Under Korean labor laws, most employees and certain executive officers with one or more years of service are entitled to severance benefits upon the termination of their employment based on their length of service and rate of pay. As of June 30, 2025, 96% of our employees were eligible for severance benefits. </w:t>
      </w:r>
    </w:p>
    <w:p>
      <w:pPr>
        <w:pStyle w:val="TextBody"/>
        <w:bidi w:val="0"/>
        <w:spacing w:before="240" w:after="0"/>
        <w:jc w:val="left"/>
        <w:rPr>
          <w:rFonts w:ascii="Times New Roman" w:hAnsi="Times New Roman"/>
          <w:sz w:val="20"/>
        </w:rPr>
      </w:pPr>
      <w:r>
        <w:rPr>
          <w:rFonts w:ascii="Times New Roman" w:hAnsi="Times New Roman"/>
          <w:b/>
          <w:i/>
          <w:sz w:val="20"/>
        </w:rPr>
        <w:t>Depreciation Expense.</w:t>
      </w:r>
      <w:r>
        <w:rPr>
          <w:rFonts w:ascii="Times New Roman" w:hAnsi="Times New Roman"/>
          <w:sz w:val="20"/>
        </w:rPr>
        <w:t xml:space="preserve"> We periodically evaluate the carrying values of long-lived assets, including property, plant and equipment and intangible assets, as well as the related depreciation periods. We depreciated our property, plant and equipment using the straight-line method over the estimated useful lives of our assets. Depreciation rates vary from 30-40 years on buildings to 3-12 years for certain equipment and assets. Our evaluation of carrying values is based on various analyses including cash flow and profitability projections. If our projections indicate that future undiscounted cash flows are not sufficient to recover the carrying value of the related long-lived assets, the carrying value of the assets is impaired and will be reduced, with the reduction charged to expense so that the carrying value is equal to fair value. </w:t>
      </w:r>
    </w:p>
    <w:p>
      <w:pPr>
        <w:pStyle w:val="TextBody"/>
        <w:bidi w:val="0"/>
        <w:spacing w:before="240" w:after="0"/>
        <w:jc w:val="left"/>
        <w:rPr>
          <w:rFonts w:ascii="Times New Roman" w:hAnsi="Times New Roman"/>
          <w:sz w:val="20"/>
        </w:rPr>
      </w:pP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We sell our products worldwide through a direct sales force as well as a network of sales agents and representatives to OEMs, 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 </w:t>
      </w:r>
    </w:p>
    <w:p>
      <w:pPr>
        <w:pStyle w:val="TextBody"/>
        <w:bidi w:val="0"/>
        <w:spacing w:before="240" w:after="0"/>
        <w:jc w:val="left"/>
        <w:rPr>
          <w:rFonts w:ascii="Times New Roman" w:hAnsi="Times New Roman"/>
          <w:sz w:val="20"/>
        </w:rPr>
      </w:pPr>
      <w:r>
        <w:rPr>
          <w:rFonts w:ascii="Times New Roman" w:hAnsi="Times New Roman"/>
          <w:b/>
          <w:i/>
          <w:sz w:val="20"/>
        </w:rPr>
        <w:t>General</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Administrative</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General and administrative expenses consist of the costs of various corporate operations, including finance, legal, human resources and other administrative functions. These expenses primarily consist of payroll-related expenses, consulting and other professional fees and office facility-related expenses. </w:t>
      </w:r>
    </w:p>
    <w:p>
      <w:pPr>
        <w:pStyle w:val="TextBody"/>
        <w:bidi w:val="0"/>
        <w:spacing w:before="240" w:after="0"/>
        <w:jc w:val="left"/>
        <w:rPr>
          <w:rFonts w:ascii="Times New Roman" w:hAnsi="Times New Roman"/>
          <w:sz w:val="20"/>
        </w:rPr>
      </w:pPr>
      <w:r>
        <w:rPr>
          <w:rFonts w:ascii="Times New Roman" w:hAnsi="Times New Roman"/>
          <w:b/>
          <w:i/>
          <w:sz w:val="20"/>
        </w:rPr>
        <w:t>Research</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Development.</w:t>
      </w:r>
      <w:r>
        <w:rPr>
          <w:rFonts w:ascii="Times New Roman" w:hAnsi="Times New Roman"/>
          <w:sz w:val="20"/>
        </w:rPr>
        <w:t xml:space="preserve"> The rapid technological change and product obsolescence that characterize our industry require us to make 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Power IC business are material and design-related costs for Power IC products. Power IC uses standard BCD process technologies which can be sourced from multiple foundries. The majority of research and development expenses of our Power discrete business are certain equipment, material and design-related costs for Power discrete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Impact of Foreign Currency Exchange Rates on Reported Results of Operations.</w:t>
      </w:r>
      <w:r>
        <w:rPr>
          <w:rFonts w:ascii="Times New Roman" w:hAnsi="Times New Roman"/>
          <w:sz w:val="20"/>
        </w:rPr>
        <w:t xml:space="preserve"> Historically, a portion of our revenues and cost of sales and greater than the majority of our operating expenses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one of our Korean subsidiaries, Magnachip Semiconductor, Ltd. or MSK, which is denominated in U.S. dollars. As of June 30, 2025, the outstanding intercompany loan balance including accrued interest between MSK and our Dutch subsidiary was $241.7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engage in exchange rate hedging activities in an effort to mitigate the impact of exchange rate fluctuations. Our Korean subsidiary, Magnachip Semiconductor, Ltd.,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 </w:t>
      </w:r>
    </w:p>
    <w:p>
      <w:pPr>
        <w:pStyle w:val="TextBody"/>
        <w:bidi w:val="0"/>
        <w:spacing w:before="240" w:after="0"/>
        <w:jc w:val="left"/>
        <w:rPr>
          <w:rFonts w:ascii="Times New Roman" w:hAnsi="Times New Roman"/>
          <w:sz w:val="20"/>
        </w:rPr>
      </w:pPr>
      <w:r>
        <w:rPr>
          <w:rFonts w:ascii="Times New Roman" w:hAnsi="Times New Roman"/>
          <w:b/>
          <w:i/>
          <w:sz w:val="20"/>
        </w:rPr>
        <w:t>Foreign Currency Gain or Loss.</w:t>
      </w:r>
      <w:r>
        <w:rPr>
          <w:rFonts w:ascii="Times New Roman" w:hAnsi="Times New Roman"/>
          <w:sz w:val="20"/>
        </w:rPr>
        <w:t xml:space="preserve"> Foreign currency translation gains or losses on transactions by us or our subsidiaries in a currency other than our or our subsidiaries’ functional currency are included in foreign currency gain (loss), net in our consolidated statements of operations. A substantial portion of this net foreign currency gain or loss relates to non-cash translation gain or loss related to the principal balance of intercompany balances at our Korean subsidiary, Magnachip Semiconductor, Ltd., that are denominated in U.S. dollars. This gain or loss results from fluctuations in the exchange rate between the Korean won and U.S. dollar. </w:t>
      </w:r>
    </w:p>
    <w:p>
      <w:pPr>
        <w:pStyle w:val="TextBody"/>
        <w:bidi w:val="0"/>
        <w:spacing w:before="240" w:after="0"/>
        <w:jc w:val="left"/>
        <w:rPr>
          <w:rFonts w:ascii="Times New Roman" w:hAnsi="Times New Roman"/>
          <w:sz w:val="20"/>
        </w:rPr>
      </w:pPr>
      <w:r>
        <w:rPr>
          <w:rFonts w:ascii="Times New Roman" w:hAnsi="Times New Roman"/>
          <w:b/>
          <w:i/>
          <w:sz w:val="20"/>
        </w:rPr>
        <w:t>Income Taxes.</w:t>
      </w:r>
      <w:r>
        <w:rPr>
          <w:rFonts w:ascii="Times New Roman" w:hAnsi="Times New Roman"/>
          <w:sz w:val="20"/>
        </w:rPr>
        <w:t xml:space="preserve"> We record our income taxes in each of the tax jurisdictions in which we operate. This process involves using an asset and liability 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income-or non-income-based tax examinations by tax authorities of the U.S., Korea and multiple other foreign jurisdictions for all open tax years. Significant estimates and judgments are required in determining our worldwide provision for income-or non-income based taxes. Some of these estimates are based on interpretations of existing tax laws or regulations. The ultimate amount of tax liability may be uncertain as a result. </w:t>
      </w:r>
    </w:p>
    <w:p>
      <w:pPr>
        <w:pStyle w:val="TextBody"/>
        <w:bidi w:val="0"/>
        <w:spacing w:before="240" w:after="0"/>
        <w:jc w:val="left"/>
        <w:rPr>
          <w:rFonts w:ascii="Times New Roman" w:hAnsi="Times New Roman"/>
          <w:sz w:val="20"/>
        </w:rPr>
      </w:pPr>
      <w:r>
        <w:rPr>
          <w:rFonts w:ascii="Times New Roman" w:hAnsi="Times New Roman"/>
          <w:b/>
          <w:i/>
          <w:sz w:val="20"/>
        </w:rPr>
        <w:t>Capital</w:t>
      </w:r>
      <w:r>
        <w:rPr>
          <w:rFonts w:ascii="Times New Roman" w:hAnsi="Times New Roman"/>
          <w:sz w:val="20"/>
        </w:rPr>
        <w:t xml:space="preserve"> </w:t>
      </w:r>
      <w:r>
        <w:rPr>
          <w:rFonts w:ascii="Times New Roman" w:hAnsi="Times New Roman"/>
          <w:b/>
          <w:i/>
          <w:sz w:val="20"/>
        </w:rPr>
        <w:t>Expenditures.</w:t>
      </w:r>
      <w:r>
        <w:rPr>
          <w:rFonts w:ascii="Times New Roman" w:hAnsi="Times New Roman"/>
          <w:sz w:val="20"/>
        </w:rPr>
        <w:t xml:space="preserve"> We primarily invest in manufacturing equipment, software design tools and other tangible assets mainly for fabrication 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 </w:t>
      </w:r>
    </w:p>
    <w:p>
      <w:pPr>
        <w:pStyle w:val="TextBody"/>
        <w:bidi w:val="0"/>
        <w:spacing w:before="240" w:after="0"/>
        <w:jc w:val="left"/>
        <w:rPr>
          <w:rFonts w:ascii="Times New Roman" w:hAnsi="Times New Roman"/>
          <w:sz w:val="20"/>
        </w:rPr>
      </w:pPr>
      <w:r>
        <w:rPr>
          <w:rFonts w:ascii="Times New Roman" w:hAnsi="Times New Roman"/>
          <w:b/>
          <w:i/>
          <w:sz w:val="20"/>
        </w:rPr>
        <w:t>Inventories.</w:t>
      </w:r>
      <w:r>
        <w:rPr>
          <w:rFonts w:ascii="Times New Roman" w:hAnsi="Times New Roman"/>
          <w:sz w:val="20"/>
        </w:rPr>
        <w:t xml:space="preserve"> We monitor our inventory levels in light of product development changes and market expectations. We may be required to take 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 Comparison of Three Months Ended June 30,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consolidated results of operations for the three months ended June 30, 2025 and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8"/>
        <w:gridCol w:w="120"/>
        <w:gridCol w:w="218"/>
        <w:gridCol w:w="687"/>
        <w:gridCol w:w="242"/>
        <w:gridCol w:w="93"/>
        <w:gridCol w:w="152"/>
        <w:gridCol w:w="1443"/>
        <w:gridCol w:w="275"/>
        <w:gridCol w:w="60"/>
        <w:gridCol w:w="207"/>
        <w:gridCol w:w="763"/>
        <w:gridCol w:w="229"/>
        <w:gridCol w:w="88"/>
        <w:gridCol w:w="152"/>
        <w:gridCol w:w="1443"/>
        <w:gridCol w:w="275"/>
        <w:gridCol w:w="60"/>
        <w:gridCol w:w="207"/>
        <w:gridCol w:w="653"/>
        <w:gridCol w:w="170"/>
      </w:tblGrid>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6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br/>
              <w:t>Amount</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47"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Power solutions business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687" w:type="dxa"/>
            <w:tcBorders/>
            <w:vAlign w:val="center"/>
          </w:tcPr>
          <w:p>
            <w:pPr>
              <w:pStyle w:val="TableContents"/>
              <w:bidi w:val="0"/>
              <w:spacing w:before="0" w:after="283"/>
              <w:jc w:val="right"/>
              <w:rPr/>
            </w:pPr>
            <w:r>
              <w:rPr/>
              <w:t>47.6</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763" w:type="dxa"/>
            <w:tcBorders/>
            <w:vAlign w:val="center"/>
          </w:tcPr>
          <w:p>
            <w:pPr>
              <w:pStyle w:val="TableContents"/>
              <w:bidi w:val="0"/>
              <w:spacing w:before="0" w:after="283"/>
              <w:jc w:val="right"/>
              <w:rPr/>
            </w:pPr>
            <w:r>
              <w:rPr/>
              <w:t>44.1</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95.0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653" w:type="dxa"/>
            <w:tcBorders/>
            <w:vAlign w:val="center"/>
          </w:tcPr>
          <w:p>
            <w:pPr>
              <w:pStyle w:val="TableContents"/>
              <w:bidi w:val="0"/>
              <w:spacing w:before="0" w:after="283"/>
              <w:jc w:val="right"/>
              <w:rPr/>
            </w:pPr>
            <w:r>
              <w:rPr/>
              <w:t>3.6</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2.3</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(2.3</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47.6</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46.4</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1.2</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Power solutions business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37.9</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79.6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34.2</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73.6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3.8</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2.5</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5.3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(2.5</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37.9</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79.6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36.6</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78.9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1.3</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9.7</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9.8</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(0.1</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9.3</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19.6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9.7</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21.0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(0.4</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7.0</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14.7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5.8</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1.2</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charges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0.8</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0.8</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(7.4</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(15.6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(5.7</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(12.3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(1.7</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1.3</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2.8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2.1</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4.6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(0.8</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(0.4</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(0.5</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0.1</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gain (loss), net</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10.8</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22.7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(3.6</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14.4</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0.1</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0.1</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(0.1</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11.8</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24.8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(1.9</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(4.0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13.7</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 before income tax benefit, net</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4.4</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(7.6</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11.9</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benefit, net</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(4.1</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(8.7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(5.4</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1.2</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8.5</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17.8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(2.2</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(4.8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10.7</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net of tax</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(8.2</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(17.1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(10.8</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(23.3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2.6</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687" w:type="dxa"/>
            <w:tcBorders/>
            <w:shd w:fill="CCEEFF" w:val="clear"/>
            <w:vAlign w:val="center"/>
          </w:tcPr>
          <w:p>
            <w:pPr>
              <w:pStyle w:val="TableContents"/>
              <w:bidi w:val="0"/>
              <w:spacing w:before="0" w:after="283"/>
              <w:jc w:val="right"/>
              <w:rPr/>
            </w:pPr>
            <w:r>
              <w:rPr/>
              <w:t>0.3</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(13.0</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13.3</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double" w:sz="6" w:space="1" w:color="000000"/>
              </w:pBdr>
              <w:bidi w:val="0"/>
              <w:spacing w:before="0" w:after="0"/>
              <w:jc w:val="left"/>
              <w:rPr/>
            </w:pPr>
            <w:r>
              <w:rPr/>
              <w:t> </w:t>
            </w:r>
          </w:p>
        </w:tc>
        <w:tc>
          <w:tcPr>
            <w:tcW w:w="687" w:type="dxa"/>
            <w:tcBorders/>
            <w:vAlign w:val="center"/>
          </w:tcPr>
          <w:p>
            <w:pPr>
              <w:pStyle w:val="TableContents"/>
              <w:pBdr>
                <w:top w:val="double" w:sz="6"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double" w:sz="6" w:space="1" w:color="000000"/>
              </w:pBdr>
              <w:bidi w:val="0"/>
              <w:spacing w:before="0" w:after="0"/>
              <w:jc w:val="left"/>
              <w:rPr/>
            </w:pPr>
            <w:r>
              <w:rPr/>
              <w:t> </w:t>
            </w:r>
          </w:p>
        </w:tc>
        <w:tc>
          <w:tcPr>
            <w:tcW w:w="763" w:type="dxa"/>
            <w:tcBorders/>
            <w:vAlign w:val="center"/>
          </w:tcPr>
          <w:p>
            <w:pPr>
              <w:pStyle w:val="TableContents"/>
              <w:pBdr>
                <w:top w:val="double" w:sz="6"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double" w:sz="6" w:space="1" w:color="000000"/>
              </w:pBdr>
              <w:bidi w:val="0"/>
              <w:spacing w:before="0" w:after="0"/>
              <w:jc w:val="left"/>
              <w:rPr/>
            </w:pPr>
            <w:r>
              <w:rPr/>
              <w:t> </w:t>
            </w:r>
          </w:p>
        </w:tc>
        <w:tc>
          <w:tcPr>
            <w:tcW w:w="653"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3"/>
        <w:gridCol w:w="120"/>
        <w:gridCol w:w="224"/>
        <w:gridCol w:w="704"/>
        <w:gridCol w:w="96"/>
        <w:gridCol w:w="192"/>
        <w:gridCol w:w="154"/>
        <w:gridCol w:w="1441"/>
        <w:gridCol w:w="275"/>
        <w:gridCol w:w="60"/>
        <w:gridCol w:w="224"/>
        <w:gridCol w:w="704"/>
        <w:gridCol w:w="96"/>
        <w:gridCol w:w="192"/>
        <w:gridCol w:w="154"/>
        <w:gridCol w:w="1441"/>
        <w:gridCol w:w="275"/>
        <w:gridCol w:w="60"/>
        <w:gridCol w:w="225"/>
        <w:gridCol w:w="635"/>
        <w:gridCol w:w="170"/>
      </w:tblGrid>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br/>
              <w:t>Amount</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52"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7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Power solutions business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42.3</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88.7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39.2</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84.6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3.0</w:t>
            </w:r>
          </w:p>
        </w:tc>
        <w:tc>
          <w:tcPr>
            <w:tcW w:w="170"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IC</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5.4</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4.8</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0.5</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Power solutions business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47.6</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44.1</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95.0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w:t>
            </w:r>
          </w:p>
        </w:tc>
        <w:tc>
          <w:tcPr>
            <w:tcW w:w="170"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2.3</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(2.3</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47.6</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46.4</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1.2</w:t>
            </w:r>
          </w:p>
        </w:tc>
        <w:tc>
          <w:tcPr>
            <w:tcW w:w="170"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900"/>
        <w:gridCol w:w="120"/>
        <w:gridCol w:w="271"/>
        <w:gridCol w:w="620"/>
        <w:gridCol w:w="116"/>
        <w:gridCol w:w="232"/>
        <w:gridCol w:w="116"/>
        <w:gridCol w:w="855"/>
        <w:gridCol w:w="275"/>
        <w:gridCol w:w="60"/>
        <w:gridCol w:w="247"/>
        <w:gridCol w:w="698"/>
        <w:gridCol w:w="274"/>
        <w:gridCol w:w="106"/>
        <w:gridCol w:w="113"/>
        <w:gridCol w:w="837"/>
        <w:gridCol w:w="275"/>
        <w:gridCol w:w="60"/>
        <w:gridCol w:w="225"/>
        <w:gridCol w:w="635"/>
        <w:gridCol w:w="170"/>
      </w:tblGrid>
      <w:tr>
        <w:trPr/>
        <w:tc>
          <w:tcPr>
            <w:tcW w:w="3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pBdr>
                <w:bottom w:val="single" w:sz="8"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Net 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74"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Net 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br/>
              <w:t>Amount</w:t>
            </w:r>
          </w:p>
        </w:tc>
        <w:tc>
          <w:tcPr>
            <w:tcW w:w="170" w:type="dxa"/>
            <w:tcBorders/>
            <w:vAlign w:val="center"/>
          </w:tcPr>
          <w:p>
            <w:pPr>
              <w:pStyle w:val="TableContents"/>
              <w:bidi w:val="0"/>
              <w:spacing w:before="0" w:after="283"/>
              <w:jc w:val="left"/>
              <w:rPr/>
            </w:pPr>
            <w:r>
              <w:rPr/>
              <w:t> </w:t>
            </w:r>
          </w:p>
        </w:tc>
      </w:tr>
      <w:tr>
        <w:trPr/>
        <w:tc>
          <w:tcPr>
            <w:tcW w:w="3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15"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3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20" w:type="dxa"/>
            <w:tcBorders/>
            <w:shd w:fill="CCEEFF" w:val="clear"/>
            <w:vAlign w:val="center"/>
          </w:tcPr>
          <w:p>
            <w:pPr>
              <w:pStyle w:val="TableContents"/>
              <w:bidi w:val="0"/>
              <w:spacing w:before="0" w:after="283"/>
              <w:jc w:val="left"/>
              <w:rPr>
                <w:sz w:val="4"/>
                <w:szCs w:val="4"/>
              </w:rPr>
            </w:pPr>
            <w:r>
              <w:rPr>
                <w:sz w:val="4"/>
                <w:szCs w:val="4"/>
              </w:rPr>
            </w:r>
          </w:p>
        </w:tc>
        <w:tc>
          <w:tcPr>
            <w:tcW w:w="116"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sz w:val="4"/>
                <w:szCs w:val="4"/>
              </w:rPr>
            </w:pPr>
            <w:r>
              <w:rPr>
                <w:sz w:val="4"/>
                <w:szCs w:val="4"/>
              </w:rPr>
            </w:r>
          </w:p>
        </w:tc>
        <w:tc>
          <w:tcPr>
            <w:tcW w:w="85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698"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06"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Power solutions business</w:t>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7.7</w:t>
            </w:r>
          </w:p>
        </w:tc>
        <w:tc>
          <w:tcPr>
            <w:tcW w:w="11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18.2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698" w:type="dxa"/>
            <w:tcBorders/>
            <w:shd w:fill="CCEEFF" w:val="clear"/>
            <w:vAlign w:val="center"/>
          </w:tcPr>
          <w:p>
            <w:pPr>
              <w:pStyle w:val="TableContents"/>
              <w:bidi w:val="0"/>
              <w:spacing w:before="0" w:after="283"/>
              <w:jc w:val="right"/>
              <w:rPr/>
            </w:pPr>
            <w:r>
              <w:rPr/>
              <w:t>7.7</w:t>
            </w:r>
          </w:p>
        </w:tc>
        <w:tc>
          <w:tcPr>
            <w:tcW w:w="274"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19.7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(0.0</w:t>
            </w:r>
          </w:p>
        </w:tc>
        <w:tc>
          <w:tcPr>
            <w:tcW w:w="170" w:type="dxa"/>
            <w:tcBorders/>
            <w:shd w:fill="CCEEFF" w:val="clear"/>
            <w:vAlign w:val="center"/>
          </w:tcPr>
          <w:p>
            <w:pPr>
              <w:pStyle w:val="TableContents"/>
              <w:bidi w:val="0"/>
              <w:spacing w:before="0" w:after="283"/>
              <w:jc w:val="left"/>
              <w:rPr/>
            </w:pPr>
            <w:r>
              <w:rPr/>
              <w:t>) </w:t>
            </w:r>
          </w:p>
        </w:tc>
      </w:tr>
      <w:tr>
        <w:trPr/>
        <w:tc>
          <w:tcPr>
            <w:tcW w:w="3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IC</w:t>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2.0</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right"/>
              <w:rPr/>
            </w:pPr>
            <w:r>
              <w:rPr/>
              <w:t>37.4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right"/>
              <w:rPr/>
            </w:pPr>
            <w:r>
              <w:rPr/>
              <w:t>2.2</w:t>
            </w:r>
          </w:p>
        </w:tc>
        <w:tc>
          <w:tcPr>
            <w:tcW w:w="274"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45.5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(0.2</w:t>
            </w:r>
          </w:p>
        </w:tc>
        <w:tc>
          <w:tcPr>
            <w:tcW w:w="170" w:type="dxa"/>
            <w:tcBorders/>
            <w:vAlign w:val="center"/>
          </w:tcPr>
          <w:p>
            <w:pPr>
              <w:pStyle w:val="TableContents"/>
              <w:bidi w:val="0"/>
              <w:spacing w:before="0" w:after="283"/>
              <w:jc w:val="left"/>
              <w:rPr/>
            </w:pPr>
            <w:r>
              <w:rPr/>
              <w:t>) </w:t>
            </w:r>
          </w:p>
        </w:tc>
      </w:tr>
      <w:tr>
        <w:trPr/>
        <w:tc>
          <w:tcPr>
            <w:tcW w:w="3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pBdr>
                <w:top w:val="single" w:sz="2" w:space="1" w:color="000000"/>
              </w:pBdr>
              <w:bidi w:val="0"/>
              <w:spacing w:before="0" w:after="0"/>
              <w:jc w:val="left"/>
              <w:rPr/>
            </w:pPr>
            <w:r>
              <w:rPr/>
              <w:t> </w:t>
            </w:r>
          </w:p>
        </w:tc>
        <w:tc>
          <w:tcPr>
            <w:tcW w:w="620" w:type="dxa"/>
            <w:tcBorders/>
            <w:vAlign w:val="center"/>
          </w:tcPr>
          <w:p>
            <w:pPr>
              <w:pStyle w:val="TableContents"/>
              <w:pBdr>
                <w:top w:val="single" w:sz="2"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single" w:sz="2" w:space="1" w:color="000000"/>
              </w:pBdr>
              <w:bidi w:val="0"/>
              <w:spacing w:before="0" w:after="0"/>
              <w:jc w:val="left"/>
              <w:rPr/>
            </w:pPr>
            <w:r>
              <w:rPr/>
              <w:t> </w:t>
            </w:r>
          </w:p>
        </w:tc>
        <w:tc>
          <w:tcPr>
            <w:tcW w:w="698" w:type="dxa"/>
            <w:tcBorders/>
            <w:vAlign w:val="center"/>
          </w:tcPr>
          <w:p>
            <w:pPr>
              <w:pStyle w:val="TableContents"/>
              <w:pBdr>
                <w:top w:val="single" w:sz="2" w:space="1" w:color="000000"/>
              </w:pBdr>
              <w:bidi w:val="0"/>
              <w:spacing w:before="0" w:after="0"/>
              <w:jc w:val="left"/>
              <w:rPr/>
            </w:pPr>
            <w:r>
              <w:rPr/>
              <w:t> </w:t>
            </w:r>
          </w:p>
        </w:tc>
        <w:tc>
          <w:tcPr>
            <w:tcW w:w="274"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Power solutions business</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9.7</w:t>
            </w:r>
          </w:p>
        </w:tc>
        <w:tc>
          <w:tcPr>
            <w:tcW w:w="11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20.4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pPr>
            <w:r>
              <w:rPr/>
              <w:t>9.9</w:t>
            </w:r>
          </w:p>
        </w:tc>
        <w:tc>
          <w:tcPr>
            <w:tcW w:w="274"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(0.2</w:t>
            </w:r>
          </w:p>
        </w:tc>
        <w:tc>
          <w:tcPr>
            <w:tcW w:w="170" w:type="dxa"/>
            <w:tcBorders/>
            <w:shd w:fill="CCEEFF" w:val="clear"/>
            <w:vAlign w:val="center"/>
          </w:tcPr>
          <w:p>
            <w:pPr>
              <w:pStyle w:val="TableContents"/>
              <w:bidi w:val="0"/>
              <w:spacing w:before="0" w:after="283"/>
              <w:jc w:val="left"/>
              <w:rPr/>
            </w:pPr>
            <w:r>
              <w:rPr/>
              <w:t>) </w:t>
            </w:r>
          </w:p>
        </w:tc>
      </w:tr>
      <w:tr>
        <w:trPr/>
        <w:tc>
          <w:tcPr>
            <w:tcW w:w="3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transitional Fab 3 foundry services</w:t>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right"/>
              <w:rPr/>
            </w:pPr>
            <w:r>
              <w:rPr/>
              <w:t>(0.1</w:t>
            </w:r>
          </w:p>
        </w:tc>
        <w:tc>
          <w:tcPr>
            <w:tcW w:w="274"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(5.2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0.1</w:t>
            </w:r>
          </w:p>
        </w:tc>
        <w:tc>
          <w:tcPr>
            <w:tcW w:w="170" w:type="dxa"/>
            <w:tcBorders/>
            <w:vAlign w:val="center"/>
          </w:tcPr>
          <w:p>
            <w:pPr>
              <w:pStyle w:val="TableContents"/>
              <w:bidi w:val="0"/>
              <w:spacing w:before="0" w:after="283"/>
              <w:jc w:val="left"/>
              <w:rPr/>
            </w:pPr>
            <w:r>
              <w:rPr/>
              <w:t> </w:t>
            </w:r>
          </w:p>
        </w:tc>
      </w:tr>
      <w:tr>
        <w:trPr/>
        <w:tc>
          <w:tcPr>
            <w:tcW w:w="3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pBdr>
                <w:top w:val="single" w:sz="2" w:space="1" w:color="000000"/>
              </w:pBdr>
              <w:bidi w:val="0"/>
              <w:spacing w:before="0" w:after="0"/>
              <w:jc w:val="left"/>
              <w:rPr/>
            </w:pPr>
            <w:r>
              <w:rPr/>
              <w:t> </w:t>
            </w:r>
          </w:p>
        </w:tc>
        <w:tc>
          <w:tcPr>
            <w:tcW w:w="620" w:type="dxa"/>
            <w:tcBorders/>
            <w:vAlign w:val="center"/>
          </w:tcPr>
          <w:p>
            <w:pPr>
              <w:pStyle w:val="TableContents"/>
              <w:pBdr>
                <w:top w:val="single" w:sz="2"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single" w:sz="2" w:space="1" w:color="000000"/>
              </w:pBdr>
              <w:bidi w:val="0"/>
              <w:spacing w:before="0" w:after="0"/>
              <w:jc w:val="left"/>
              <w:rPr/>
            </w:pPr>
            <w:r>
              <w:rPr/>
              <w:t> </w:t>
            </w:r>
          </w:p>
        </w:tc>
        <w:tc>
          <w:tcPr>
            <w:tcW w:w="698" w:type="dxa"/>
            <w:tcBorders/>
            <w:vAlign w:val="center"/>
          </w:tcPr>
          <w:p>
            <w:pPr>
              <w:pStyle w:val="TableContents"/>
              <w:pBdr>
                <w:top w:val="single" w:sz="2" w:space="1" w:color="000000"/>
              </w:pBdr>
              <w:bidi w:val="0"/>
              <w:spacing w:before="0" w:after="0"/>
              <w:jc w:val="left"/>
              <w:rPr/>
            </w:pPr>
            <w:r>
              <w:rPr/>
              <w:t> </w:t>
            </w:r>
          </w:p>
        </w:tc>
        <w:tc>
          <w:tcPr>
            <w:tcW w:w="274"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gross profit</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9.7</w:t>
            </w:r>
          </w:p>
        </w:tc>
        <w:tc>
          <w:tcPr>
            <w:tcW w:w="11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20.4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698" w:type="dxa"/>
            <w:tcBorders/>
            <w:shd w:fill="CCEEFF" w:val="clear"/>
            <w:vAlign w:val="center"/>
          </w:tcPr>
          <w:p>
            <w:pPr>
              <w:pStyle w:val="TableContents"/>
              <w:bidi w:val="0"/>
              <w:spacing w:before="0" w:after="283"/>
              <w:jc w:val="right"/>
              <w:rPr/>
            </w:pPr>
            <w:r>
              <w:rPr/>
              <w:t>9.8</w:t>
            </w:r>
          </w:p>
        </w:tc>
        <w:tc>
          <w:tcPr>
            <w:tcW w:w="274"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(0.1</w:t>
            </w:r>
          </w:p>
        </w:tc>
        <w:tc>
          <w:tcPr>
            <w:tcW w:w="170" w:type="dxa"/>
            <w:tcBorders/>
            <w:shd w:fill="CCEEFF" w:val="clear"/>
            <w:vAlign w:val="center"/>
          </w:tcPr>
          <w:p>
            <w:pPr>
              <w:pStyle w:val="TableContents"/>
              <w:bidi w:val="0"/>
              <w:spacing w:before="0" w:after="283"/>
              <w:jc w:val="left"/>
              <w:rPr/>
            </w:pPr>
            <w:r>
              <w:rPr/>
              <w:t>) </w:t>
            </w:r>
          </w:p>
        </w:tc>
      </w:tr>
      <w:tr>
        <w:trPr/>
        <w:tc>
          <w:tcPr>
            <w:tcW w:w="3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pBdr>
                <w:top w:val="double" w:sz="6" w:space="1" w:color="000000"/>
              </w:pBdr>
              <w:bidi w:val="0"/>
              <w:spacing w:before="0" w:after="0"/>
              <w:jc w:val="left"/>
              <w:rPr/>
            </w:pPr>
            <w:r>
              <w:rPr/>
              <w:t> </w:t>
            </w:r>
          </w:p>
        </w:tc>
        <w:tc>
          <w:tcPr>
            <w:tcW w:w="620" w:type="dxa"/>
            <w:tcBorders/>
            <w:vAlign w:val="center"/>
          </w:tcPr>
          <w:p>
            <w:pPr>
              <w:pStyle w:val="TableContents"/>
              <w:pBdr>
                <w:top w:val="double" w:sz="6"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double" w:sz="6" w:space="1" w:color="000000"/>
              </w:pBdr>
              <w:bidi w:val="0"/>
              <w:spacing w:before="0" w:after="0"/>
              <w:jc w:val="left"/>
              <w:rPr/>
            </w:pPr>
            <w:r>
              <w:rPr/>
              <w:t> </w:t>
            </w:r>
          </w:p>
        </w:tc>
        <w:tc>
          <w:tcPr>
            <w:tcW w:w="698" w:type="dxa"/>
            <w:tcBorders/>
            <w:vAlign w:val="center"/>
          </w:tcPr>
          <w:p>
            <w:pPr>
              <w:pStyle w:val="TableContents"/>
              <w:pBdr>
                <w:top w:val="double" w:sz="6" w:space="1" w:color="000000"/>
              </w:pBdr>
              <w:bidi w:val="0"/>
              <w:spacing w:before="0" w:after="0"/>
              <w:jc w:val="left"/>
              <w:rPr/>
            </w:pPr>
            <w:r>
              <w:rPr/>
              <w:t> </w:t>
            </w:r>
          </w:p>
        </w:tc>
        <w:tc>
          <w:tcPr>
            <w:tcW w:w="274"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Total revenues were $47.6 million for the three months ended June 30, 2025, a $1.2 million, or 2.6%, increase compared to $46.4 million for the three months ended June 30, 2024. This increase was primarily due to an increase in revenue related to our Power solutions business as described below. </w:t>
      </w:r>
    </w:p>
    <w:p>
      <w:pPr>
        <w:pStyle w:val="TextBody"/>
        <w:bidi w:val="0"/>
        <w:spacing w:before="240" w:after="0"/>
        <w:jc w:val="left"/>
        <w:rPr>
          <w:rFonts w:ascii="Times New Roman" w:hAnsi="Times New Roman"/>
          <w:sz w:val="20"/>
        </w:rPr>
      </w:pPr>
      <w:r>
        <w:rPr>
          <w:rFonts w:ascii="Times New Roman" w:hAnsi="Times New Roman"/>
          <w:b/>
          <w:i/>
          <w:sz w:val="20"/>
        </w:rPr>
        <w:t>The Power solutions business.</w:t>
      </w:r>
      <w:r>
        <w:rPr>
          <w:rFonts w:ascii="Times New Roman" w:hAnsi="Times New Roman"/>
          <w:sz w:val="20"/>
        </w:rPr>
        <w:t xml:space="preserve"> Net sales from our Power solutions business were $47.6 million for the three months ended June 30, 2025, a $3.6 million, or 8.1%, increase compared to $44.1 million for the three months ended June 30, 2024. The increase in net sales from our Power solutions business line was attributable to a higher demand for power products such as MOSFETs, including high-end MOSFETs in the communication and computing applications. A higher demand for our Power IC products, primarily for LED televisions and OLED IT devices, also had a favorable impact on net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Total gross profit was $9.7 million for the three months ended June 30, 2025 compared to $9.8 million the three months ended June 30, 2024, a $0.1 million, or 0.8%, decrease. Gross profit as a percentage of net sales for the three months ended June 30, 2025 decreased to 20.4% compared to 21.1% for the three months ended June 30, 2024. The decrease in gross profit and gross profit as a percentage of net sales was primarily due to our Power solutions business as further described below. </w:t>
      </w:r>
    </w:p>
    <w:p>
      <w:pPr>
        <w:pStyle w:val="TextBody"/>
        <w:bidi w:val="0"/>
        <w:spacing w:before="240" w:after="0"/>
        <w:jc w:val="left"/>
        <w:rPr>
          <w:rFonts w:ascii="Times New Roman" w:hAnsi="Times New Roman"/>
          <w:sz w:val="20"/>
        </w:rPr>
      </w:pPr>
      <w:r>
        <w:rPr>
          <w:rFonts w:ascii="Times New Roman" w:hAnsi="Times New Roman"/>
          <w:b/>
          <w:i/>
          <w:sz w:val="20"/>
        </w:rPr>
        <w:t>The Power solutions business.</w:t>
      </w:r>
      <w:r>
        <w:rPr>
          <w:rFonts w:ascii="Times New Roman" w:hAnsi="Times New Roman"/>
          <w:sz w:val="20"/>
        </w:rPr>
        <w:t xml:space="preserve"> Gross profit from our Power solutions business was $9.7 million for the three months ended June 30, 2025, which represented a $0.2 million, or 2.0%, decrease from gross profit of $9.9 million for the three months ended June 30, 2024. Gross profit as a percentage of net sales for the three months ended June 30, 2025 decreased to 20.4% compared to 22.5% for the three months ended June 30, 2024. The year-over-year decrease in gross profit as a percentage of net sales was primarily attributable to an unfavorable product mix primarily relating to ASP erosion due to increased pricing pressure on our older generation products, particularly in China.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Net Sales – Power solutions business by Geographic Region </w:t>
      </w:r>
    </w:p>
    <w:p>
      <w:pPr>
        <w:pStyle w:val="TextBody"/>
        <w:bidi w:val="0"/>
        <w:spacing w:before="120" w:after="0"/>
        <w:jc w:val="left"/>
        <w:rPr>
          <w:rFonts w:ascii="Times New Roman" w:hAnsi="Times New Roman"/>
          <w:sz w:val="20"/>
        </w:rPr>
      </w:pPr>
      <w:r>
        <w:rPr>
          <w:rFonts w:ascii="Times New Roman" w:hAnsi="Times New Roman"/>
          <w:sz w:val="20"/>
        </w:rPr>
        <w:t xml:space="preserve">We report net sales – Power solutions business by geographic region based on the location to which the products are billed. The following table sets forth our net sales – Power solutions business by geographic region and the percentage of total net sales – Power solutions business represented by each geographic region for the three months ended June 30, 2025 and 2024: </w:t>
      </w:r>
    </w:p>
    <w:p>
      <w:pPr>
        <w:pStyle w:val="TextBody"/>
        <w:bidi w:val="0"/>
        <w:spacing w:before="0" w:after="0"/>
        <w:jc w:val="left"/>
        <w:rPr/>
      </w:pPr>
      <w:r>
        <w:rPr/>
        <w:t> </w:t>
      </w:r>
    </w:p>
    <w:tbl>
      <w:tblPr>
        <w:tblW w:w="9022" w:type="dxa"/>
        <w:jc w:val="left"/>
        <w:tblInd w:w="0" w:type="dxa"/>
        <w:tblLayout w:type="fixed"/>
        <w:tblCellMar>
          <w:top w:w="0" w:type="dxa"/>
          <w:left w:w="0" w:type="dxa"/>
          <w:bottom w:w="0" w:type="dxa"/>
          <w:right w:w="0" w:type="dxa"/>
        </w:tblCellMar>
      </w:tblPr>
      <w:tblGrid>
        <w:gridCol w:w="2510"/>
        <w:gridCol w:w="120"/>
        <w:gridCol w:w="224"/>
        <w:gridCol w:w="704"/>
        <w:gridCol w:w="96"/>
        <w:gridCol w:w="192"/>
        <w:gridCol w:w="109"/>
        <w:gridCol w:w="1021"/>
        <w:gridCol w:w="275"/>
        <w:gridCol w:w="60"/>
        <w:gridCol w:w="224"/>
        <w:gridCol w:w="704"/>
        <w:gridCol w:w="96"/>
        <w:gridCol w:w="192"/>
        <w:gridCol w:w="109"/>
        <w:gridCol w:w="1021"/>
        <w:gridCol w:w="275"/>
        <w:gridCol w:w="60"/>
        <w:gridCol w:w="225"/>
        <w:gridCol w:w="635"/>
        <w:gridCol w:w="170"/>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Net Sales –</w:t>
              <w:br/>
              <w:t>Power</w:t>
              <w:br/>
              <w:t>solutions</w:t>
              <w:b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Net Sales –</w:t>
              <w:br/>
              <w:t>Power</w:t>
              <w:br/>
              <w:t>solutions</w:t>
              <w:b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br/>
              <w:t>Amount</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22"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22.7</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47.7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19.9</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45.1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2.8</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Asia Pacific (other than Korea)</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22.4</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47.1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22.6</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51.3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(0.2</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1.5</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3.1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0.3</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1.0</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1.3</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2.9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(0.3</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single" w:sz="2" w:space="1" w:color="000000"/>
              </w:pBdr>
              <w:bidi w:val="0"/>
              <w:spacing w:before="0" w:after="0"/>
              <w:jc w:val="left"/>
              <w:rPr/>
            </w:pPr>
            <w:r>
              <w:rPr/>
              <w:t> </w:t>
            </w:r>
          </w:p>
        </w:tc>
        <w:tc>
          <w:tcPr>
            <w:tcW w:w="102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single" w:sz="2" w:space="1" w:color="000000"/>
              </w:pBdr>
              <w:bidi w:val="0"/>
              <w:spacing w:before="0" w:after="0"/>
              <w:jc w:val="left"/>
              <w:rPr/>
            </w:pPr>
            <w:r>
              <w:rPr/>
              <w:t> </w:t>
            </w:r>
          </w:p>
        </w:tc>
        <w:tc>
          <w:tcPr>
            <w:tcW w:w="102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47.6</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44.1</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3.6</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double" w:sz="6" w:space="1" w:color="000000"/>
              </w:pBdr>
              <w:bidi w:val="0"/>
              <w:spacing w:before="0" w:after="0"/>
              <w:jc w:val="left"/>
              <w:rPr/>
            </w:pPr>
            <w:r>
              <w:rPr/>
              <w:t> </w:t>
            </w:r>
          </w:p>
        </w:tc>
        <w:tc>
          <w:tcPr>
            <w:tcW w:w="102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double" w:sz="6" w:space="1" w:color="000000"/>
              </w:pBdr>
              <w:bidi w:val="0"/>
              <w:spacing w:before="0" w:after="0"/>
              <w:jc w:val="left"/>
              <w:rPr/>
            </w:pPr>
            <w:r>
              <w:rPr/>
              <w:t> </w:t>
            </w:r>
          </w:p>
        </w:tc>
        <w:tc>
          <w:tcPr>
            <w:tcW w:w="102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 – Power solutions business in Korea increased from $19.9 million for the three months ended June 30, 2024 to $22.7 million for the three months ended June 30, 2025, or by $2.8 million, or 14.3%, primarily due to a higher demand for power products such as MOSFETs, primarily for smartphone applications. A higher demand for our Power IC products, primarily for LED televisions and OLED IT devices, also had a favorable impact on net sales. </w:t>
      </w:r>
    </w:p>
    <w:p>
      <w:pPr>
        <w:pStyle w:val="TextBody"/>
        <w:bidi w:val="0"/>
        <w:spacing w:before="240" w:after="0"/>
        <w:jc w:val="left"/>
        <w:rPr>
          <w:rFonts w:ascii="Times New Roman" w:hAnsi="Times New Roman"/>
          <w:sz w:val="20"/>
        </w:rPr>
      </w:pPr>
      <w:r>
        <w:rPr>
          <w:rFonts w:ascii="Times New Roman" w:hAnsi="Times New Roman"/>
          <w:sz w:val="20"/>
        </w:rPr>
        <w:t xml:space="preserve">Net sales – Power solutions business in Asia Pacific (other than Korea) were $22.4 million for the three months ended June 30, 2025, which remained almost flat, compared to $22.6 million for the three months ended June 30,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General</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Administrative</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Selling, general and administrative expenses were $9.3 million, or 19.6% of total revenues, for the three months ended June 30, 2025, compared to $9.7 million, or 21.0% of total revenues, for the three months ended June 30, 2024. The decrease of $0.4 million, or 4.3%, was primarily attributable to a decrease in professional fees mainly comprised of legal and consulting fees. </w:t>
      </w:r>
    </w:p>
    <w:p>
      <w:pPr>
        <w:pStyle w:val="TextBody"/>
        <w:bidi w:val="0"/>
        <w:spacing w:before="240" w:after="0"/>
        <w:jc w:val="left"/>
        <w:rPr>
          <w:rFonts w:ascii="Times New Roman" w:hAnsi="Times New Roman"/>
          <w:sz w:val="20"/>
        </w:rPr>
      </w:pPr>
      <w:r>
        <w:rPr>
          <w:rFonts w:ascii="Times New Roman" w:hAnsi="Times New Roman"/>
          <w:b/>
          <w:i/>
          <w:sz w:val="20"/>
        </w:rPr>
        <w:t>Research</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Development</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Research and development expenses were $7.0 million, or 14.7% of total revenues, for the three months ended June 30, 2025, compared to $5.8 million, or 12.4% of total revenues, for the three months ended June 30, 2024. The increase of $1.2 million, or 20.9%, was primarily attributable to higher personnel costs resulting from the increased headcount of research and development staff and an increase in material costs for power products based on the timing of development activities. </w:t>
      </w:r>
    </w:p>
    <w:p>
      <w:pPr>
        <w:pStyle w:val="TextBody"/>
        <w:bidi w:val="0"/>
        <w:spacing w:before="240" w:after="0"/>
        <w:jc w:val="left"/>
        <w:rPr>
          <w:rFonts w:ascii="Times New Roman" w:hAnsi="Times New Roman"/>
          <w:sz w:val="20"/>
        </w:rPr>
      </w:pPr>
      <w:r>
        <w:rPr>
          <w:rFonts w:ascii="Times New Roman" w:hAnsi="Times New Roman"/>
          <w:b/>
          <w:i/>
          <w:sz w:val="20"/>
        </w:rPr>
        <w:t>Other Charges.</w:t>
      </w:r>
      <w:r>
        <w:rPr>
          <w:rFonts w:ascii="Times New Roman" w:hAnsi="Times New Roman"/>
          <w:sz w:val="20"/>
        </w:rPr>
        <w:t xml:space="preserve"> For the three months ended June 30, 2025, we recorded $0.5 million of one-time employee incentives and $0.3 million of certain executive separation benefit related accruals.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operating loss of $7.4 million was recorded for the three months ended June 30, 2025 compared to operating loss of $5.7 million for the three months ended June 30, 2024. As discussed above, the increase in operating loss of $1.7 million resulted primarily from a $1.2 million increase in research and development expenses, a $0.8 million increase in other charges and a $0.1 million decrease in gross profit, which was offset in part by a $0.4 million decrease in selling, general and administrative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Other Income (Expense) </w:t>
      </w:r>
    </w:p>
    <w:p>
      <w:pPr>
        <w:pStyle w:val="TextBody"/>
        <w:bidi w:val="0"/>
        <w:spacing w:before="12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Income.</w:t>
      </w:r>
      <w:r>
        <w:rPr>
          <w:rFonts w:ascii="Times New Roman" w:hAnsi="Times New Roman"/>
          <w:sz w:val="20"/>
        </w:rPr>
        <w:t xml:space="preserve"> Interest income was $1.3 million and $2.1 million for the three months ended June 30, 2025 and 2024, respectively. </w:t>
      </w:r>
    </w:p>
    <w:p>
      <w:pPr>
        <w:pStyle w:val="TextBody"/>
        <w:bidi w:val="0"/>
        <w:spacing w:before="24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Expense.</w:t>
      </w:r>
      <w:r>
        <w:rPr>
          <w:rFonts w:ascii="Times New Roman" w:hAnsi="Times New Roman"/>
          <w:sz w:val="20"/>
        </w:rPr>
        <w:t xml:space="preserve"> Interest expense was $0.4 million and $0.5 million for the three months ended June 30, 2025 and 2024, respectively. </w:t>
      </w:r>
    </w:p>
    <w:p>
      <w:pPr>
        <w:pStyle w:val="TextBody"/>
        <w:bidi w:val="0"/>
        <w:spacing w:before="240" w:after="0"/>
        <w:jc w:val="left"/>
        <w:rPr>
          <w:rFonts w:ascii="Times New Roman" w:hAnsi="Times New Roman"/>
          <w:sz w:val="20"/>
        </w:rPr>
      </w:pPr>
      <w:r>
        <w:rPr>
          <w:rFonts w:ascii="Times New Roman" w:hAnsi="Times New Roman"/>
          <w:b/>
          <w:i/>
          <w:sz w:val="20"/>
        </w:rPr>
        <w:t>Foreign</w:t>
      </w:r>
      <w:r>
        <w:rPr>
          <w:rFonts w:ascii="Times New Roman" w:hAnsi="Times New Roman"/>
          <w:sz w:val="20"/>
        </w:rPr>
        <w:t xml:space="preserve"> </w:t>
      </w:r>
      <w:r>
        <w:rPr>
          <w:rFonts w:ascii="Times New Roman" w:hAnsi="Times New Roman"/>
          <w:b/>
          <w:i/>
          <w:sz w:val="20"/>
        </w:rPr>
        <w:t>Currency Gain (Loss),</w:t>
      </w:r>
      <w:r>
        <w:rPr>
          <w:rFonts w:ascii="Times New Roman" w:hAnsi="Times New Roman"/>
          <w:sz w:val="20"/>
        </w:rPr>
        <w:t xml:space="preserve"> </w:t>
      </w:r>
      <w:r>
        <w:rPr>
          <w:rFonts w:ascii="Times New Roman" w:hAnsi="Times New Roman"/>
          <w:b/>
          <w:i/>
          <w:sz w:val="20"/>
        </w:rPr>
        <w:t>Net.</w:t>
      </w:r>
      <w:r>
        <w:rPr>
          <w:rFonts w:ascii="Times New Roman" w:hAnsi="Times New Roman"/>
          <w:sz w:val="20"/>
        </w:rPr>
        <w:t xml:space="preserve"> Net foreign currency gain for the three months ended June 30, 2025 was $10.8 million compared to net foreign currency loss of $3.6 million for the three months ended June 30, 2024. The net foreign currency gain for the three months ended June 30, 2025 was due to the appreciation in value of the Korean won relative to the U.S. dollar during the period. The net foreign currency loss for the three months ended June 30, 2024 was due to the depreciation in value of the Korean won relative to the U.S. dollar during the period. </w:t>
      </w:r>
    </w:p>
    <w:p>
      <w:pPr>
        <w:pStyle w:val="TextBody"/>
        <w:bidi w:val="0"/>
        <w:spacing w:before="240" w:after="0"/>
        <w:jc w:val="left"/>
        <w:rPr>
          <w:rFonts w:ascii="Times New Roman" w:hAnsi="Times New Roman"/>
          <w:sz w:val="20"/>
        </w:rPr>
      </w:pPr>
      <w:r>
        <w:rPr>
          <w:rFonts w:ascii="Times New Roman" w:hAnsi="Times New Roman"/>
          <w:sz w:val="20"/>
        </w:rPr>
        <w:t xml:space="preserve">A substantial portion of our net foreign currency gain or loss is non-cash translation gain or loss associated with intercompany long-term loans to one of our Korean subsidiaries, which are denominated in U.S. dollars, and are affected by changes in the exchange rate between the Korean won and the U.S. dollar. As of June 30, 2025 and 2024, the outstanding intercompany loan balances, including accrued interest between our Korean subsidiary, Magnachip Semiconductor, Ltd., and our Dutch subsidiary, were $241.7 million and $261.5 million, respectively. Foreign currency translation gain or loss from intercompany balances were included in determining our consolidated net income (loss) since the intercompany balances were not considered long-term investments in nature because management intended to settle these intercompany balances at their respective maturity 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Benefit, Net </w:t>
      </w:r>
    </w:p>
    <w:p>
      <w:pPr>
        <w:pStyle w:val="TextBody"/>
        <w:bidi w:val="0"/>
        <w:spacing w:before="120" w:after="0"/>
        <w:jc w:val="left"/>
        <w:rPr>
          <w:rFonts w:ascii="Times New Roman" w:hAnsi="Times New Roman"/>
          <w:sz w:val="20"/>
        </w:rPr>
      </w:pPr>
      <w:r>
        <w:rPr>
          <w:rFonts w:ascii="Times New Roman" w:hAnsi="Times New Roman"/>
          <w:sz w:val="20"/>
        </w:rPr>
        <w:t xml:space="preserve">Income tax benefit was $4.1 million for the three months ended June 30, 2025, which was primarily attributable to the estimated taxable loss in our Korean subsidiary for the respective period, including loss recognized in connection with the shutdown of the discontinued Display business during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Income tax benefit was $5.4 million for the three months ended June 30, 2024, which was primarily due to the estimated taxable loss for the respective period from its primary operating entity in Korea for continuing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(Loss) from Continuing Operations </w:t>
      </w:r>
    </w:p>
    <w:p>
      <w:pPr>
        <w:pStyle w:val="TextBody"/>
        <w:bidi w:val="0"/>
        <w:spacing w:before="120" w:after="0"/>
        <w:jc w:val="left"/>
        <w:rPr>
          <w:rFonts w:ascii="Times New Roman" w:hAnsi="Times New Roman"/>
          <w:sz w:val="20"/>
        </w:rPr>
      </w:pPr>
      <w:r>
        <w:rPr>
          <w:rFonts w:ascii="Times New Roman" w:hAnsi="Times New Roman"/>
          <w:sz w:val="20"/>
        </w:rPr>
        <w:t xml:space="preserve">Income from continuing operations for the three months ended June 30, 2025 was $8.5 million compared to loss from continuing operations of $2.2 million for the three months ended June 30, 2024. The $10.7 million improvement in results from continuing operations was primarily attributable to a $14.4 million improvement in net foreign currency gain or loss, which was offset in part by a $1.7 million increase in operating loss and a $1.2 million decrease in income tax benefit.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from Discontinued Operations, Net of Tax </w:t>
      </w:r>
    </w:p>
    <w:p>
      <w:pPr>
        <w:pStyle w:val="TextBody"/>
        <w:bidi w:val="0"/>
        <w:spacing w:before="120" w:after="0"/>
        <w:jc w:val="left"/>
        <w:rPr>
          <w:rFonts w:ascii="Times New Roman" w:hAnsi="Times New Roman"/>
          <w:sz w:val="20"/>
        </w:rPr>
      </w:pPr>
      <w:r>
        <w:rPr>
          <w:rFonts w:ascii="Times New Roman" w:hAnsi="Times New Roman"/>
          <w:sz w:val="20"/>
        </w:rPr>
        <w:t xml:space="preserve">Loss from discontinued operations, net of tax for the three months ended June 30, 2025 was $8.2 million, compared to loss from discontinued operations, net of tax of $10.8 million for the three months ended June 30, 2024. The $2.6 million improvement in loss from discontinued operations, net of tax primarily resulted from a $3.6 million decrease in income tax expense, which was offset in part by a $0.4 million increase in operating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a net income of $0.3 million was recorded for the three months ended June 30, 2025 compared to a net loss of $13.0 million for the three months ended June 30, 2024. As discussed above, the improvement in net loss of $13.3 million primarily resulted from a $10.7 million increase in income from continuing operations and a $2.6 million decrease in loss from discontinued operations, net of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 Comparison of Six Months Ended June 30,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consolidated results of operations for the six months ended June 30, 2025 and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7"/>
        <w:gridCol w:w="120"/>
        <w:gridCol w:w="183"/>
        <w:gridCol w:w="677"/>
        <w:gridCol w:w="198"/>
        <w:gridCol w:w="76"/>
        <w:gridCol w:w="152"/>
        <w:gridCol w:w="1443"/>
        <w:gridCol w:w="275"/>
        <w:gridCol w:w="60"/>
        <w:gridCol w:w="183"/>
        <w:gridCol w:w="677"/>
        <w:gridCol w:w="198"/>
        <w:gridCol w:w="76"/>
        <w:gridCol w:w="152"/>
        <w:gridCol w:w="1443"/>
        <w:gridCol w:w="275"/>
        <w:gridCol w:w="60"/>
        <w:gridCol w:w="207"/>
        <w:gridCol w:w="653"/>
        <w:gridCol w:w="170"/>
      </w:tblGrid>
      <w:tr>
        <w:trPr/>
        <w:tc>
          <w:tcPr>
            <w:tcW w:w="29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2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92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br/>
              <w:t>Amount</w:t>
            </w:r>
          </w:p>
        </w:tc>
        <w:tc>
          <w:tcPr>
            <w:tcW w:w="170" w:type="dxa"/>
            <w:tcBorders/>
            <w:vAlign w:val="center"/>
          </w:tcPr>
          <w:p>
            <w:pPr>
              <w:pStyle w:val="TableContents"/>
              <w:bidi w:val="0"/>
              <w:spacing w:before="0" w:after="283"/>
              <w:jc w:val="left"/>
              <w:rPr/>
            </w:pPr>
            <w:r>
              <w:rPr/>
              <w:t> </w:t>
            </w:r>
          </w:p>
        </w:tc>
      </w:tr>
      <w:tr>
        <w:trPr/>
        <w:tc>
          <w:tcPr>
            <w:tcW w:w="292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88"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92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Power solutions business</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677" w:type="dxa"/>
            <w:tcBorders/>
            <w:vAlign w:val="center"/>
          </w:tcPr>
          <w:p>
            <w:pPr>
              <w:pStyle w:val="TableContents"/>
              <w:bidi w:val="0"/>
              <w:spacing w:before="0" w:after="283"/>
              <w:jc w:val="right"/>
              <w:rPr/>
            </w:pPr>
            <w:r>
              <w:rPr/>
              <w:t>92.3</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677" w:type="dxa"/>
            <w:tcBorders/>
            <w:vAlign w:val="center"/>
          </w:tcPr>
          <w:p>
            <w:pPr>
              <w:pStyle w:val="TableContents"/>
              <w:bidi w:val="0"/>
              <w:spacing w:before="0" w:after="283"/>
              <w:jc w:val="right"/>
              <w:rPr/>
            </w:pPr>
            <w:r>
              <w:rPr/>
              <w:t>84.0</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93.5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653" w:type="dxa"/>
            <w:tcBorders/>
            <w:vAlign w:val="center"/>
          </w:tcPr>
          <w:p>
            <w:pPr>
              <w:pStyle w:val="TableContents"/>
              <w:bidi w:val="0"/>
              <w:spacing w:before="0" w:after="283"/>
              <w:jc w:val="right"/>
              <w:rPr/>
            </w:pPr>
            <w:r>
              <w:rPr/>
              <w:t>8.4</w:t>
            </w:r>
          </w:p>
        </w:tc>
        <w:tc>
          <w:tcPr>
            <w:tcW w:w="170" w:type="dxa"/>
            <w:tcBorders/>
            <w:vAlign w:val="center"/>
          </w:tcPr>
          <w:p>
            <w:pPr>
              <w:pStyle w:val="TableContents"/>
              <w:bidi w:val="0"/>
              <w:spacing w:before="0" w:after="283"/>
              <w:jc w:val="left"/>
              <w:rPr/>
            </w:pPr>
            <w:r>
              <w:rPr/>
              <w:t> </w:t>
            </w:r>
          </w:p>
        </w:tc>
      </w:tr>
      <w:tr>
        <w:trPr/>
        <w:tc>
          <w:tcPr>
            <w:tcW w:w="292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5.9</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6.5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(5.9</w:t>
            </w:r>
          </w:p>
        </w:tc>
        <w:tc>
          <w:tcPr>
            <w:tcW w:w="170" w:type="dxa"/>
            <w:tcBorders/>
            <w:shd w:fill="CCEEFF" w:val="clear"/>
            <w:vAlign w:val="center"/>
          </w:tcPr>
          <w:p>
            <w:pPr>
              <w:pStyle w:val="TableContents"/>
              <w:bidi w:val="0"/>
              <w:spacing w:before="0" w:after="283"/>
              <w:jc w:val="left"/>
              <w:rPr/>
            </w:pPr>
            <w:r>
              <w:rPr/>
              <w:t>) </w:t>
            </w:r>
          </w:p>
        </w:tc>
      </w:tr>
      <w:tr>
        <w:trPr/>
        <w:tc>
          <w:tcPr>
            <w:tcW w:w="29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92.3</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89.8</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2.5</w:t>
            </w:r>
          </w:p>
        </w:tc>
        <w:tc>
          <w:tcPr>
            <w:tcW w:w="170" w:type="dxa"/>
            <w:tcBorders/>
            <w:vAlign w:val="center"/>
          </w:tcPr>
          <w:p>
            <w:pPr>
              <w:pStyle w:val="TableContents"/>
              <w:bidi w:val="0"/>
              <w:spacing w:before="0" w:after="283"/>
              <w:jc w:val="left"/>
              <w:rPr/>
            </w:pPr>
            <w:r>
              <w:rPr/>
              <w:t> </w:t>
            </w:r>
          </w:p>
        </w:tc>
      </w:tr>
      <w:tr>
        <w:trPr/>
        <w:tc>
          <w:tcPr>
            <w:tcW w:w="292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Power solutions business</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73.3</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79.3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67.0</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74.6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6.2</w:t>
            </w:r>
          </w:p>
        </w:tc>
        <w:tc>
          <w:tcPr>
            <w:tcW w:w="170" w:type="dxa"/>
            <w:tcBorders/>
            <w:vAlign w:val="center"/>
          </w:tcPr>
          <w:p>
            <w:pPr>
              <w:pStyle w:val="TableContents"/>
              <w:bidi w:val="0"/>
              <w:spacing w:before="0" w:after="283"/>
              <w:jc w:val="left"/>
              <w:rPr/>
            </w:pPr>
            <w:r>
              <w:rPr/>
              <w:t> </w:t>
            </w:r>
          </w:p>
        </w:tc>
      </w:tr>
      <w:tr>
        <w:trPr/>
        <w:tc>
          <w:tcPr>
            <w:tcW w:w="292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6.7</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7.4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(6.7</w:t>
            </w:r>
          </w:p>
        </w:tc>
        <w:tc>
          <w:tcPr>
            <w:tcW w:w="170" w:type="dxa"/>
            <w:tcBorders/>
            <w:shd w:fill="CCEEFF" w:val="clear"/>
            <w:vAlign w:val="center"/>
          </w:tcPr>
          <w:p>
            <w:pPr>
              <w:pStyle w:val="TableContents"/>
              <w:bidi w:val="0"/>
              <w:spacing w:before="0" w:after="283"/>
              <w:jc w:val="left"/>
              <w:rPr/>
            </w:pPr>
            <w:r>
              <w:rPr/>
              <w:t>) </w:t>
            </w:r>
          </w:p>
        </w:tc>
      </w:tr>
      <w:tr>
        <w:trPr/>
        <w:tc>
          <w:tcPr>
            <w:tcW w:w="29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73.3</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79.3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73.7</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82.0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(0.4</w:t>
            </w:r>
          </w:p>
        </w:tc>
        <w:tc>
          <w:tcPr>
            <w:tcW w:w="170" w:type="dxa"/>
            <w:tcBorders/>
            <w:vAlign w:val="center"/>
          </w:tcPr>
          <w:p>
            <w:pPr>
              <w:pStyle w:val="TableContents"/>
              <w:bidi w:val="0"/>
              <w:spacing w:before="0" w:after="283"/>
              <w:jc w:val="left"/>
              <w:rPr/>
            </w:pPr>
            <w:r>
              <w:rPr/>
              <w:t>) </w:t>
            </w:r>
          </w:p>
        </w:tc>
      </w:tr>
      <w:tr>
        <w:trPr/>
        <w:tc>
          <w:tcPr>
            <w:tcW w:w="29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2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19.1</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16.1</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2.9</w:t>
            </w:r>
          </w:p>
        </w:tc>
        <w:tc>
          <w:tcPr>
            <w:tcW w:w="170" w:type="dxa"/>
            <w:tcBorders/>
            <w:shd w:fill="CCEEFF" w:val="clear"/>
            <w:vAlign w:val="center"/>
          </w:tcPr>
          <w:p>
            <w:pPr>
              <w:pStyle w:val="TableContents"/>
              <w:bidi w:val="0"/>
              <w:spacing w:before="0" w:after="283"/>
              <w:jc w:val="left"/>
              <w:rPr/>
            </w:pPr>
            <w:r>
              <w:rPr/>
              <w:t> </w:t>
            </w:r>
          </w:p>
        </w:tc>
      </w:tr>
      <w:tr>
        <w:trPr/>
        <w:tc>
          <w:tcPr>
            <w:tcW w:w="2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19.0</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20.6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19.3</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21.5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(0.2</w:t>
            </w:r>
          </w:p>
        </w:tc>
        <w:tc>
          <w:tcPr>
            <w:tcW w:w="170" w:type="dxa"/>
            <w:tcBorders/>
            <w:vAlign w:val="center"/>
          </w:tcPr>
          <w:p>
            <w:pPr>
              <w:pStyle w:val="TableContents"/>
              <w:bidi w:val="0"/>
              <w:spacing w:before="0" w:after="283"/>
              <w:jc w:val="left"/>
              <w:rPr/>
            </w:pPr>
            <w:r>
              <w:rPr/>
              <w:t>) </w:t>
            </w:r>
          </w:p>
        </w:tc>
      </w:tr>
      <w:tr>
        <w:trPr/>
        <w:tc>
          <w:tcPr>
            <w:tcW w:w="292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12.9</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12.0</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0.9</w:t>
            </w:r>
          </w:p>
        </w:tc>
        <w:tc>
          <w:tcPr>
            <w:tcW w:w="170" w:type="dxa"/>
            <w:tcBorders/>
            <w:shd w:fill="CCEEFF" w:val="clear"/>
            <w:vAlign w:val="center"/>
          </w:tcPr>
          <w:p>
            <w:pPr>
              <w:pStyle w:val="TableContents"/>
              <w:bidi w:val="0"/>
              <w:spacing w:before="0" w:after="283"/>
              <w:jc w:val="left"/>
              <w:rPr/>
            </w:pPr>
            <w:r>
              <w:rPr/>
              <w:t> </w:t>
            </w:r>
          </w:p>
        </w:tc>
      </w:tr>
      <w:tr>
        <w:trPr/>
        <w:tc>
          <w:tcPr>
            <w:tcW w:w="2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charges</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0.8</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0.8</w:t>
            </w:r>
          </w:p>
        </w:tc>
        <w:tc>
          <w:tcPr>
            <w:tcW w:w="170" w:type="dxa"/>
            <w:tcBorders/>
            <w:vAlign w:val="center"/>
          </w:tcPr>
          <w:p>
            <w:pPr>
              <w:pStyle w:val="TableContents"/>
              <w:bidi w:val="0"/>
              <w:spacing w:before="0" w:after="283"/>
              <w:jc w:val="left"/>
              <w:rPr/>
            </w:pPr>
            <w:r>
              <w:rPr/>
              <w:t> </w:t>
            </w:r>
          </w:p>
        </w:tc>
      </w:tr>
      <w:tr>
        <w:trPr/>
        <w:tc>
          <w:tcPr>
            <w:tcW w:w="29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2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(13.7</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(14.9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(15.1</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(16.8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1.4</w:t>
            </w:r>
          </w:p>
        </w:tc>
        <w:tc>
          <w:tcPr>
            <w:tcW w:w="170" w:type="dxa"/>
            <w:tcBorders/>
            <w:shd w:fill="CCEEFF" w:val="clear"/>
            <w:vAlign w:val="center"/>
          </w:tcPr>
          <w:p>
            <w:pPr>
              <w:pStyle w:val="TableContents"/>
              <w:bidi w:val="0"/>
              <w:spacing w:before="0" w:after="283"/>
              <w:jc w:val="left"/>
              <w:rPr/>
            </w:pPr>
            <w:r>
              <w:rPr/>
              <w:t> </w:t>
            </w:r>
          </w:p>
        </w:tc>
      </w:tr>
      <w:tr>
        <w:trPr/>
        <w:tc>
          <w:tcPr>
            <w:tcW w:w="2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2.9</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4.3</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(1.4</w:t>
            </w:r>
          </w:p>
        </w:tc>
        <w:tc>
          <w:tcPr>
            <w:tcW w:w="170" w:type="dxa"/>
            <w:tcBorders/>
            <w:vAlign w:val="center"/>
          </w:tcPr>
          <w:p>
            <w:pPr>
              <w:pStyle w:val="TableContents"/>
              <w:bidi w:val="0"/>
              <w:spacing w:before="0" w:after="283"/>
              <w:jc w:val="left"/>
              <w:rPr/>
            </w:pPr>
            <w:r>
              <w:rPr/>
              <w:t>) </w:t>
            </w:r>
          </w:p>
        </w:tc>
      </w:tr>
      <w:tr>
        <w:trPr/>
        <w:tc>
          <w:tcPr>
            <w:tcW w:w="292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(0.9</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(0.7</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(0.2</w:t>
            </w:r>
          </w:p>
        </w:tc>
        <w:tc>
          <w:tcPr>
            <w:tcW w:w="170" w:type="dxa"/>
            <w:tcBorders/>
            <w:shd w:fill="CCEEFF" w:val="clear"/>
            <w:vAlign w:val="center"/>
          </w:tcPr>
          <w:p>
            <w:pPr>
              <w:pStyle w:val="TableContents"/>
              <w:bidi w:val="0"/>
              <w:spacing w:before="0" w:after="283"/>
              <w:jc w:val="left"/>
              <w:rPr/>
            </w:pPr>
            <w:r>
              <w:rPr/>
              <w:t>) </w:t>
            </w:r>
          </w:p>
        </w:tc>
      </w:tr>
      <w:tr>
        <w:trPr/>
        <w:tc>
          <w:tcPr>
            <w:tcW w:w="2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gain (loss), net</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10.4</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(8.6</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(9.6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19.0</w:t>
            </w:r>
          </w:p>
        </w:tc>
        <w:tc>
          <w:tcPr>
            <w:tcW w:w="170" w:type="dxa"/>
            <w:tcBorders/>
            <w:vAlign w:val="center"/>
          </w:tcPr>
          <w:p>
            <w:pPr>
              <w:pStyle w:val="TableContents"/>
              <w:bidi w:val="0"/>
              <w:spacing w:before="0" w:after="283"/>
              <w:jc w:val="left"/>
              <w:rPr/>
            </w:pPr>
            <w:r>
              <w:rPr/>
              <w:t> </w:t>
            </w:r>
          </w:p>
        </w:tc>
      </w:tr>
      <w:tr>
        <w:trPr/>
        <w:tc>
          <w:tcPr>
            <w:tcW w:w="292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0.2</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0.2</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0.0</w:t>
            </w:r>
          </w:p>
        </w:tc>
        <w:tc>
          <w:tcPr>
            <w:tcW w:w="170" w:type="dxa"/>
            <w:tcBorders/>
            <w:shd w:fill="CCEEFF" w:val="clear"/>
            <w:vAlign w:val="center"/>
          </w:tcPr>
          <w:p>
            <w:pPr>
              <w:pStyle w:val="TableContents"/>
              <w:bidi w:val="0"/>
              <w:spacing w:before="0" w:after="283"/>
              <w:jc w:val="left"/>
              <w:rPr/>
            </w:pPr>
            <w:r>
              <w:rPr/>
              <w:t> </w:t>
            </w:r>
          </w:p>
        </w:tc>
      </w:tr>
      <w:tr>
        <w:trPr/>
        <w:tc>
          <w:tcPr>
            <w:tcW w:w="29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12.6</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13.6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(4.9</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(5.4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17.5</w:t>
            </w:r>
          </w:p>
        </w:tc>
        <w:tc>
          <w:tcPr>
            <w:tcW w:w="170" w:type="dxa"/>
            <w:tcBorders/>
            <w:vAlign w:val="center"/>
          </w:tcPr>
          <w:p>
            <w:pPr>
              <w:pStyle w:val="TableContents"/>
              <w:bidi w:val="0"/>
              <w:spacing w:before="0" w:after="283"/>
              <w:jc w:val="left"/>
              <w:rPr/>
            </w:pPr>
            <w:r>
              <w:rPr/>
              <w:t> </w:t>
            </w:r>
          </w:p>
        </w:tc>
      </w:tr>
      <w:tr>
        <w:trPr/>
        <w:tc>
          <w:tcPr>
            <w:tcW w:w="29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2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continuing operations before income tax benefit</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(1.1</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(20.0</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(22.2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18.8</w:t>
            </w:r>
          </w:p>
        </w:tc>
        <w:tc>
          <w:tcPr>
            <w:tcW w:w="170" w:type="dxa"/>
            <w:tcBorders/>
            <w:shd w:fill="CCEEFF" w:val="clear"/>
            <w:vAlign w:val="center"/>
          </w:tcPr>
          <w:p>
            <w:pPr>
              <w:pStyle w:val="TableContents"/>
              <w:bidi w:val="0"/>
              <w:spacing w:before="0" w:after="283"/>
              <w:jc w:val="left"/>
              <w:rPr/>
            </w:pPr>
            <w:r>
              <w:rPr/>
              <w:t> </w:t>
            </w:r>
          </w:p>
        </w:tc>
      </w:tr>
      <w:tr>
        <w:trPr/>
        <w:tc>
          <w:tcPr>
            <w:tcW w:w="2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benefit, net</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(4.5</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(4.9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(3.5</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(3.9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(1.1</w:t>
            </w:r>
          </w:p>
        </w:tc>
        <w:tc>
          <w:tcPr>
            <w:tcW w:w="170" w:type="dxa"/>
            <w:tcBorders/>
            <w:vAlign w:val="center"/>
          </w:tcPr>
          <w:p>
            <w:pPr>
              <w:pStyle w:val="TableContents"/>
              <w:bidi w:val="0"/>
              <w:spacing w:before="0" w:after="283"/>
              <w:jc w:val="left"/>
              <w:rPr/>
            </w:pPr>
            <w:r>
              <w:rPr/>
              <w:t>) </w:t>
            </w:r>
          </w:p>
        </w:tc>
      </w:tr>
      <w:tr>
        <w:trPr/>
        <w:tc>
          <w:tcPr>
            <w:tcW w:w="29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2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3.4</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3.7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(16.5</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(18.4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19.9</w:t>
            </w:r>
          </w:p>
        </w:tc>
        <w:tc>
          <w:tcPr>
            <w:tcW w:w="170" w:type="dxa"/>
            <w:tcBorders/>
            <w:shd w:fill="CCEEFF" w:val="clear"/>
            <w:vAlign w:val="center"/>
          </w:tcPr>
          <w:p>
            <w:pPr>
              <w:pStyle w:val="TableContents"/>
              <w:bidi w:val="0"/>
              <w:spacing w:before="0" w:after="283"/>
              <w:jc w:val="left"/>
              <w:rPr/>
            </w:pPr>
            <w:r>
              <w:rPr/>
              <w:t> </w:t>
            </w:r>
          </w:p>
        </w:tc>
      </w:tr>
      <w:tr>
        <w:trPr/>
        <w:tc>
          <w:tcPr>
            <w:tcW w:w="2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net of tax</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(12.0</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(11.9</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(0.0</w:t>
            </w:r>
          </w:p>
        </w:tc>
        <w:tc>
          <w:tcPr>
            <w:tcW w:w="170" w:type="dxa"/>
            <w:tcBorders/>
            <w:vAlign w:val="center"/>
          </w:tcPr>
          <w:p>
            <w:pPr>
              <w:pStyle w:val="TableContents"/>
              <w:bidi w:val="0"/>
              <w:spacing w:before="0" w:after="283"/>
              <w:jc w:val="left"/>
              <w:rPr/>
            </w:pPr>
            <w:r>
              <w:rPr/>
              <w:t>) </w:t>
            </w:r>
          </w:p>
        </w:tc>
      </w:tr>
      <w:tr>
        <w:trPr/>
        <w:tc>
          <w:tcPr>
            <w:tcW w:w="29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2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(8.6</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(9.3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(28.4</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(31.6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19.9</w:t>
            </w:r>
          </w:p>
        </w:tc>
        <w:tc>
          <w:tcPr>
            <w:tcW w:w="170" w:type="dxa"/>
            <w:tcBorders/>
            <w:shd w:fill="CCEEFF" w:val="clear"/>
            <w:vAlign w:val="center"/>
          </w:tcPr>
          <w:p>
            <w:pPr>
              <w:pStyle w:val="TableContents"/>
              <w:bidi w:val="0"/>
              <w:spacing w:before="0" w:after="283"/>
              <w:jc w:val="left"/>
              <w:rPr/>
            </w:pPr>
            <w:r>
              <w:rPr/>
              <w:t> </w:t>
            </w:r>
          </w:p>
        </w:tc>
      </w:tr>
      <w:tr>
        <w:trPr/>
        <w:tc>
          <w:tcPr>
            <w:tcW w:w="29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677" w:type="dxa"/>
            <w:tcBorders/>
            <w:vAlign w:val="center"/>
          </w:tcPr>
          <w:p>
            <w:pPr>
              <w:pStyle w:val="TableContents"/>
              <w:pBdr>
                <w:top w:val="double" w:sz="6"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677" w:type="dxa"/>
            <w:tcBorders/>
            <w:vAlign w:val="center"/>
          </w:tcPr>
          <w:p>
            <w:pPr>
              <w:pStyle w:val="TableContents"/>
              <w:pBdr>
                <w:top w:val="double" w:sz="6"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double" w:sz="6" w:space="1" w:color="000000"/>
              </w:pBdr>
              <w:bidi w:val="0"/>
              <w:spacing w:before="0" w:after="0"/>
              <w:jc w:val="left"/>
              <w:rPr/>
            </w:pPr>
            <w:r>
              <w:rPr/>
              <w:t> </w:t>
            </w:r>
          </w:p>
        </w:tc>
        <w:tc>
          <w:tcPr>
            <w:tcW w:w="653"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7"/>
        <w:gridCol w:w="120"/>
        <w:gridCol w:w="207"/>
        <w:gridCol w:w="653"/>
        <w:gridCol w:w="83"/>
        <w:gridCol w:w="166"/>
        <w:gridCol w:w="153"/>
        <w:gridCol w:w="1442"/>
        <w:gridCol w:w="275"/>
        <w:gridCol w:w="60"/>
        <w:gridCol w:w="207"/>
        <w:gridCol w:w="653"/>
        <w:gridCol w:w="83"/>
        <w:gridCol w:w="166"/>
        <w:gridCol w:w="153"/>
        <w:gridCol w:w="1442"/>
        <w:gridCol w:w="275"/>
        <w:gridCol w:w="60"/>
        <w:gridCol w:w="225"/>
        <w:gridCol w:w="635"/>
        <w:gridCol w:w="170"/>
      </w:tblGrid>
      <w:tr>
        <w:trPr/>
        <w:tc>
          <w:tcPr>
            <w:tcW w:w="29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7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97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br/>
              <w:t>Amount</w:t>
            </w:r>
          </w:p>
        </w:tc>
        <w:tc>
          <w:tcPr>
            <w:tcW w:w="170" w:type="dxa"/>
            <w:tcBorders/>
            <w:vAlign w:val="center"/>
          </w:tcPr>
          <w:p>
            <w:pPr>
              <w:pStyle w:val="TableContents"/>
              <w:bidi w:val="0"/>
              <w:spacing w:before="0" w:after="283"/>
              <w:jc w:val="left"/>
              <w:rPr/>
            </w:pPr>
            <w:r>
              <w:rPr/>
              <w:t> </w:t>
            </w:r>
          </w:p>
        </w:tc>
      </w:tr>
      <w:tr>
        <w:trPr/>
        <w:tc>
          <w:tcPr>
            <w:tcW w:w="297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38"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97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44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44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Power solutions business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7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82.1</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88.9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75.8</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84.3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6.3</w:t>
            </w:r>
          </w:p>
        </w:tc>
        <w:tc>
          <w:tcPr>
            <w:tcW w:w="170" w:type="dxa"/>
            <w:tcBorders/>
            <w:shd w:fill="CCEEFF" w:val="clear"/>
            <w:vAlign w:val="center"/>
          </w:tcPr>
          <w:p>
            <w:pPr>
              <w:pStyle w:val="TableContents"/>
              <w:bidi w:val="0"/>
              <w:spacing w:before="0" w:after="283"/>
              <w:jc w:val="left"/>
              <w:rPr/>
            </w:pPr>
            <w:r>
              <w:rPr/>
              <w:t> </w:t>
            </w:r>
          </w:p>
        </w:tc>
      </w:tr>
      <w:tr>
        <w:trPr/>
        <w:tc>
          <w:tcPr>
            <w:tcW w:w="2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IC</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10.2</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11.1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8.2</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9.1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2.0</w:t>
            </w:r>
          </w:p>
        </w:tc>
        <w:tc>
          <w:tcPr>
            <w:tcW w:w="170" w:type="dxa"/>
            <w:tcBorders/>
            <w:vAlign w:val="center"/>
          </w:tcPr>
          <w:p>
            <w:pPr>
              <w:pStyle w:val="TableContents"/>
              <w:bidi w:val="0"/>
              <w:spacing w:before="0" w:after="283"/>
              <w:jc w:val="left"/>
              <w:rPr/>
            </w:pPr>
            <w:r>
              <w:rPr/>
              <w:t> </w:t>
            </w:r>
          </w:p>
        </w:tc>
      </w:tr>
      <w:tr>
        <w:trPr/>
        <w:tc>
          <w:tcPr>
            <w:tcW w:w="29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7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Power solutions business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92.3</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84.0</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93.5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8.4</w:t>
            </w:r>
          </w:p>
        </w:tc>
        <w:tc>
          <w:tcPr>
            <w:tcW w:w="170" w:type="dxa"/>
            <w:tcBorders/>
            <w:shd w:fill="CCEEFF" w:val="clear"/>
            <w:vAlign w:val="center"/>
          </w:tcPr>
          <w:p>
            <w:pPr>
              <w:pStyle w:val="TableContents"/>
              <w:bidi w:val="0"/>
              <w:spacing w:before="0" w:after="283"/>
              <w:jc w:val="left"/>
              <w:rPr/>
            </w:pPr>
            <w:r>
              <w:rPr/>
              <w:t> </w:t>
            </w:r>
          </w:p>
        </w:tc>
      </w:tr>
      <w:tr>
        <w:trPr/>
        <w:tc>
          <w:tcPr>
            <w:tcW w:w="2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5.9</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(5.9</w:t>
            </w:r>
          </w:p>
        </w:tc>
        <w:tc>
          <w:tcPr>
            <w:tcW w:w="170" w:type="dxa"/>
            <w:tcBorders/>
            <w:vAlign w:val="center"/>
          </w:tcPr>
          <w:p>
            <w:pPr>
              <w:pStyle w:val="TableContents"/>
              <w:bidi w:val="0"/>
              <w:spacing w:before="0" w:after="283"/>
              <w:jc w:val="left"/>
              <w:rPr/>
            </w:pPr>
            <w:r>
              <w:rPr/>
              <w:t>) </w:t>
            </w:r>
          </w:p>
        </w:tc>
      </w:tr>
      <w:tr>
        <w:trPr/>
        <w:tc>
          <w:tcPr>
            <w:tcW w:w="29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7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92.3</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89.8</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2.5</w:t>
            </w:r>
          </w:p>
        </w:tc>
        <w:tc>
          <w:tcPr>
            <w:tcW w:w="170" w:type="dxa"/>
            <w:tcBorders/>
            <w:shd w:fill="CCEEFF" w:val="clear"/>
            <w:vAlign w:val="center"/>
          </w:tcPr>
          <w:p>
            <w:pPr>
              <w:pStyle w:val="TableContents"/>
              <w:bidi w:val="0"/>
              <w:spacing w:before="0" w:after="283"/>
              <w:jc w:val="left"/>
              <w:rPr/>
            </w:pPr>
            <w:r>
              <w:rPr/>
              <w:t> </w:t>
            </w:r>
          </w:p>
        </w:tc>
      </w:tr>
      <w:tr>
        <w:trPr/>
        <w:tc>
          <w:tcPr>
            <w:tcW w:w="29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double" w:sz="6" w:space="1" w:color="000000"/>
              </w:pBdr>
              <w:bidi w:val="0"/>
              <w:spacing w:before="0" w:after="0"/>
              <w:jc w:val="left"/>
              <w:rPr/>
            </w:pPr>
            <w:r>
              <w:rPr/>
              <w:t> </w:t>
            </w:r>
          </w:p>
        </w:tc>
        <w:tc>
          <w:tcPr>
            <w:tcW w:w="653" w:type="dxa"/>
            <w:tcBorders/>
            <w:vAlign w:val="center"/>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double" w:sz="6" w:space="1" w:color="000000"/>
              </w:pBdr>
              <w:bidi w:val="0"/>
              <w:spacing w:before="0" w:after="0"/>
              <w:jc w:val="left"/>
              <w:rPr/>
            </w:pPr>
            <w:r>
              <w:rPr/>
              <w:t> </w:t>
            </w:r>
          </w:p>
        </w:tc>
        <w:tc>
          <w:tcPr>
            <w:tcW w:w="653" w:type="dxa"/>
            <w:tcBorders/>
            <w:vAlign w:val="center"/>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tbl>
      <w:tblPr>
        <w:tblW w:w="9912" w:type="dxa"/>
        <w:jc w:val="left"/>
        <w:tblInd w:w="0" w:type="dxa"/>
        <w:tblLayout w:type="fixed"/>
        <w:tblCellMar>
          <w:top w:w="0" w:type="dxa"/>
          <w:left w:w="0" w:type="dxa"/>
          <w:bottom w:w="0" w:type="dxa"/>
          <w:right w:w="0" w:type="dxa"/>
        </w:tblCellMar>
      </w:tblPr>
      <w:tblGrid>
        <w:gridCol w:w="3980"/>
        <w:gridCol w:w="120"/>
        <w:gridCol w:w="212"/>
        <w:gridCol w:w="666"/>
        <w:gridCol w:w="90"/>
        <w:gridCol w:w="181"/>
        <w:gridCol w:w="112"/>
        <w:gridCol w:w="838"/>
        <w:gridCol w:w="275"/>
        <w:gridCol w:w="60"/>
        <w:gridCol w:w="207"/>
        <w:gridCol w:w="653"/>
        <w:gridCol w:w="215"/>
        <w:gridCol w:w="83"/>
        <w:gridCol w:w="98"/>
        <w:gridCol w:w="852"/>
        <w:gridCol w:w="275"/>
        <w:gridCol w:w="60"/>
        <w:gridCol w:w="261"/>
        <w:gridCol w:w="599"/>
        <w:gridCol w:w="75"/>
      </w:tblGrid>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Net 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15"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Net 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br/>
              <w:t>Amount</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37" w:type="dxa"/>
            <w:gridSpan w:val="18"/>
            <w:tcBorders/>
            <w:vAlign w:val="center"/>
          </w:tcPr>
          <w:p>
            <w:pPr>
              <w:pStyle w:val="TableContents"/>
              <w:bidi w:val="0"/>
              <w:spacing w:before="0" w:after="283"/>
              <w:jc w:val="center"/>
              <w:rPr>
                <w:b/>
              </w:rPr>
            </w:pPr>
            <w:r>
              <w:rPr>
                <w:b/>
              </w:rPr>
              <w:t>(Dollars in millions)</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666"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83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Power solutions business</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14.8</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18.0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13.3</w:t>
            </w:r>
          </w:p>
        </w:tc>
        <w:tc>
          <w:tcPr>
            <w:tcW w:w="21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17.6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599" w:type="dxa"/>
            <w:tcBorders/>
            <w:shd w:fill="CCEEFF" w:val="clear"/>
            <w:vAlign w:val="center"/>
          </w:tcPr>
          <w:p>
            <w:pPr>
              <w:pStyle w:val="TableContents"/>
              <w:bidi w:val="0"/>
              <w:spacing w:before="0" w:after="283"/>
              <w:jc w:val="right"/>
              <w:rPr/>
            </w:pPr>
            <w:r>
              <w:rPr/>
              <w:t>1.5</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IC</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4.3</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right"/>
              <w:rPr/>
            </w:pPr>
            <w:r>
              <w:rPr/>
              <w:t>41.7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3.6</w:t>
            </w:r>
          </w:p>
        </w:tc>
        <w:tc>
          <w:tcPr>
            <w:tcW w:w="215"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43.9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right"/>
              <w:rPr/>
            </w:pPr>
            <w:r>
              <w:rPr/>
              <w:t>0.7</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pBdr>
                <w:top w:val="single" w:sz="2" w:space="1" w:color="000000"/>
              </w:pBdr>
              <w:bidi w:val="0"/>
              <w:spacing w:before="0" w:after="0"/>
              <w:jc w:val="left"/>
              <w:rPr/>
            </w:pPr>
            <w:r>
              <w:rPr/>
              <w:t> </w:t>
            </w:r>
          </w:p>
        </w:tc>
        <w:tc>
          <w:tcPr>
            <w:tcW w:w="666" w:type="dxa"/>
            <w:tcBorders/>
            <w:vAlign w:val="center"/>
          </w:tcPr>
          <w:p>
            <w:pPr>
              <w:pStyle w:val="TableContents"/>
              <w:pBdr>
                <w:top w:val="single" w:sz="2" w:space="1" w:color="000000"/>
              </w:pBdr>
              <w:bidi w:val="0"/>
              <w:spacing w:before="0" w:after="0"/>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pBdr>
                <w:top w:val="single" w:sz="2" w:space="1" w:color="000000"/>
              </w:pBdr>
              <w:bidi w:val="0"/>
              <w:spacing w:before="0" w:after="0"/>
              <w:jc w:val="left"/>
              <w:rPr/>
            </w:pPr>
            <w:r>
              <w:rPr/>
              <w:t> </w:t>
            </w:r>
          </w:p>
        </w:tc>
        <w:tc>
          <w:tcPr>
            <w:tcW w:w="599"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Power solutions business</w:t>
            </w:r>
          </w:p>
        </w:tc>
        <w:tc>
          <w:tcPr>
            <w:tcW w:w="12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19.1</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20.7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17.0</w:t>
            </w:r>
          </w:p>
        </w:tc>
        <w:tc>
          <w:tcPr>
            <w:tcW w:w="21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20.2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2.1</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transitional Fab 3 foundry services</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(0.8</w:t>
            </w:r>
          </w:p>
        </w:tc>
        <w:tc>
          <w:tcPr>
            <w:tcW w:w="215"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(13.7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right"/>
              <w:rPr/>
            </w:pPr>
            <w:r>
              <w:rPr/>
              <w:t>0.8</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pBdr>
                <w:top w:val="single" w:sz="2" w:space="1" w:color="000000"/>
              </w:pBdr>
              <w:bidi w:val="0"/>
              <w:spacing w:before="0" w:after="0"/>
              <w:jc w:val="left"/>
              <w:rPr/>
            </w:pPr>
            <w:r>
              <w:rPr/>
              <w:t> </w:t>
            </w:r>
          </w:p>
        </w:tc>
        <w:tc>
          <w:tcPr>
            <w:tcW w:w="666" w:type="dxa"/>
            <w:tcBorders/>
            <w:vAlign w:val="center"/>
          </w:tcPr>
          <w:p>
            <w:pPr>
              <w:pStyle w:val="TableContents"/>
              <w:pBdr>
                <w:top w:val="single" w:sz="2" w:space="1" w:color="000000"/>
              </w:pBdr>
              <w:bidi w:val="0"/>
              <w:spacing w:before="0" w:after="0"/>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pBdr>
                <w:top w:val="single" w:sz="2" w:space="1" w:color="000000"/>
              </w:pBdr>
              <w:bidi w:val="0"/>
              <w:spacing w:before="0" w:after="0"/>
              <w:jc w:val="left"/>
              <w:rPr/>
            </w:pPr>
            <w:r>
              <w:rPr/>
              <w:t> </w:t>
            </w:r>
          </w:p>
        </w:tc>
        <w:tc>
          <w:tcPr>
            <w:tcW w:w="599"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gross profit</w:t>
            </w:r>
          </w:p>
        </w:tc>
        <w:tc>
          <w:tcPr>
            <w:tcW w:w="12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19.1</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20.7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16.1</w:t>
            </w:r>
          </w:p>
        </w:tc>
        <w:tc>
          <w:tcPr>
            <w:tcW w:w="21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18.0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599" w:type="dxa"/>
            <w:tcBorders/>
            <w:shd w:fill="CCEEFF" w:val="clear"/>
            <w:vAlign w:val="center"/>
          </w:tcPr>
          <w:p>
            <w:pPr>
              <w:pStyle w:val="TableContents"/>
              <w:bidi w:val="0"/>
              <w:spacing w:before="0" w:after="283"/>
              <w:jc w:val="right"/>
              <w:rPr/>
            </w:pPr>
            <w:r>
              <w:rPr/>
              <w:t>2.9</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pBdr>
                <w:top w:val="double" w:sz="6" w:space="1" w:color="000000"/>
              </w:pBdr>
              <w:bidi w:val="0"/>
              <w:spacing w:before="0" w:after="0"/>
              <w:jc w:val="left"/>
              <w:rPr/>
            </w:pPr>
            <w:r>
              <w:rPr/>
              <w:t> </w:t>
            </w:r>
          </w:p>
        </w:tc>
        <w:tc>
          <w:tcPr>
            <w:tcW w:w="666" w:type="dxa"/>
            <w:tcBorders/>
            <w:vAlign w:val="center"/>
          </w:tcPr>
          <w:p>
            <w:pPr>
              <w:pStyle w:val="TableContents"/>
              <w:pBdr>
                <w:top w:val="double" w:sz="6" w:space="1" w:color="000000"/>
              </w:pBdr>
              <w:bidi w:val="0"/>
              <w:spacing w:before="0" w:after="0"/>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double" w:sz="6" w:space="1" w:color="000000"/>
              </w:pBdr>
              <w:bidi w:val="0"/>
              <w:spacing w:before="0" w:after="0"/>
              <w:jc w:val="left"/>
              <w:rPr/>
            </w:pPr>
            <w:r>
              <w:rPr/>
              <w:t> </w:t>
            </w:r>
          </w:p>
        </w:tc>
        <w:tc>
          <w:tcPr>
            <w:tcW w:w="653" w:type="dxa"/>
            <w:tcBorders/>
            <w:vAlign w:val="center"/>
          </w:tcPr>
          <w:p>
            <w:pPr>
              <w:pStyle w:val="TableContents"/>
              <w:pBdr>
                <w:top w:val="double" w:sz="6"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pBdr>
                <w:top w:val="double" w:sz="6" w:space="1" w:color="000000"/>
              </w:pBdr>
              <w:bidi w:val="0"/>
              <w:spacing w:before="0" w:after="0"/>
              <w:jc w:val="left"/>
              <w:rPr/>
            </w:pPr>
            <w:r>
              <w:rPr/>
              <w:t> </w:t>
            </w:r>
          </w:p>
        </w:tc>
        <w:tc>
          <w:tcPr>
            <w:tcW w:w="599"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Total revenues were $92.3 million for the six months ended June 30, 2025, a $2.5 million, or 2.8%, increase compared to $89.8 million for the six months ended June 30, 2024. This increase was primarily due to an increase in revenue related to our Power solutions business as described below. </w:t>
      </w:r>
    </w:p>
    <w:p>
      <w:pPr>
        <w:pStyle w:val="TextBody"/>
        <w:bidi w:val="0"/>
        <w:spacing w:before="240" w:after="0"/>
        <w:jc w:val="left"/>
        <w:rPr>
          <w:rFonts w:ascii="Times New Roman" w:hAnsi="Times New Roman"/>
          <w:sz w:val="20"/>
        </w:rPr>
      </w:pPr>
      <w:r>
        <w:rPr>
          <w:rFonts w:ascii="Times New Roman" w:hAnsi="Times New Roman"/>
          <w:b/>
          <w:i/>
          <w:sz w:val="20"/>
        </w:rPr>
        <w:t>The Power solutions business.</w:t>
      </w:r>
      <w:r>
        <w:rPr>
          <w:rFonts w:ascii="Times New Roman" w:hAnsi="Times New Roman"/>
          <w:sz w:val="20"/>
        </w:rPr>
        <w:t xml:space="preserve"> Net sales from our Power solutions business were $92.3 million for the six months ended June 30, 2025, an $8.4 million, or 10.0%, increase compared to $84.0 million for the six months ended June 30, 2024. The increase in net sales from our Power solutions business line was attributable to a higher demand for power products such as MOSFETs in the communication applications. A higher demand for our Power IC products, primarily for LED televisions and OLED IT devices, also had a favorable impact on net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Total gross profit was $19.1 million for the six months ended June 30, 2025 compared to $16.1 million for the six months ended June 30, 2024, a $2.9 million, or 18.1%, increase. Gross profit as a percentage of net sales for the six months ended June 30, 2025 increased to 20.7% compared to 18.0% for the six months ended June 30, 2024. The increase in gross profit and gross profit as a percentage of net sales was primarily due to our Power solutions business as further described below. </w:t>
      </w:r>
    </w:p>
    <w:p>
      <w:pPr>
        <w:pStyle w:val="TextBody"/>
        <w:bidi w:val="0"/>
        <w:spacing w:before="240" w:after="0"/>
        <w:jc w:val="left"/>
        <w:rPr>
          <w:rFonts w:ascii="Times New Roman" w:hAnsi="Times New Roman"/>
          <w:sz w:val="20"/>
        </w:rPr>
      </w:pPr>
      <w:r>
        <w:rPr>
          <w:rFonts w:ascii="Times New Roman" w:hAnsi="Times New Roman"/>
          <w:b/>
          <w:i/>
          <w:sz w:val="20"/>
        </w:rPr>
        <w:t>The Power solutions business.</w:t>
      </w:r>
      <w:r>
        <w:rPr>
          <w:rFonts w:ascii="Times New Roman" w:hAnsi="Times New Roman"/>
          <w:sz w:val="20"/>
        </w:rPr>
        <w:t xml:space="preserve"> Gross profit from our Power solutions business was $19.1 million for the six months ended June 30, 2025, which represented a $2.1 million, or 12.5%, increase from gross profit of $17.0 million for the six months ended June 30, 2024. Gross profit as a percentage of net sales for the six months ended June 30, 2025 increased to 20.7% compared to 20.2% for the six months ended June 30, 2024. The year-over-year increase in gross profit as a percentage of net sales was primarily attributable to the appreciation in value of U.S. dollar against the Korean Won in the first quarter of 2025, which was offset in part by an unfavorable product mix primarily relating to ASP erosion due to increased pricing pressure on our older generation products, particularly in China.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Net Sales – Power solutions business by Geographic Region </w:t>
      </w:r>
    </w:p>
    <w:p>
      <w:pPr>
        <w:pStyle w:val="TextBody"/>
        <w:bidi w:val="0"/>
        <w:spacing w:before="120" w:after="0"/>
        <w:jc w:val="left"/>
        <w:rPr>
          <w:rFonts w:ascii="Times New Roman" w:hAnsi="Times New Roman"/>
          <w:sz w:val="20"/>
        </w:rPr>
      </w:pPr>
      <w:r>
        <w:rPr>
          <w:rFonts w:ascii="Times New Roman" w:hAnsi="Times New Roman"/>
          <w:sz w:val="20"/>
        </w:rPr>
        <w:t xml:space="preserve">We report net sales – Power solutions business by geographic region based on the location to which the products are billed. The following table sets forth our net sales – Power solutions business by geographic region and the percentage of total net sales – Power solutions business represented by each geographic region for the six months ended June 30, 2025 and 2024: </w:t>
      </w:r>
    </w:p>
    <w:p>
      <w:pPr>
        <w:pStyle w:val="TextBody"/>
        <w:bidi w:val="0"/>
        <w:spacing w:before="0" w:after="0"/>
        <w:jc w:val="left"/>
        <w:rPr/>
      </w:pPr>
      <w:r>
        <w:rPr/>
        <w:t> </w:t>
      </w:r>
    </w:p>
    <w:tbl>
      <w:tblPr>
        <w:tblW w:w="8808" w:type="dxa"/>
        <w:jc w:val="left"/>
        <w:tblInd w:w="0" w:type="dxa"/>
        <w:tblLayout w:type="fixed"/>
        <w:tblCellMar>
          <w:top w:w="0" w:type="dxa"/>
          <w:left w:w="0" w:type="dxa"/>
          <w:bottom w:w="0" w:type="dxa"/>
          <w:right w:w="0" w:type="dxa"/>
        </w:tblCellMar>
      </w:tblPr>
      <w:tblGrid>
        <w:gridCol w:w="2510"/>
        <w:gridCol w:w="120"/>
        <w:gridCol w:w="207"/>
        <w:gridCol w:w="653"/>
        <w:gridCol w:w="83"/>
        <w:gridCol w:w="166"/>
        <w:gridCol w:w="109"/>
        <w:gridCol w:w="1021"/>
        <w:gridCol w:w="275"/>
        <w:gridCol w:w="60"/>
        <w:gridCol w:w="207"/>
        <w:gridCol w:w="653"/>
        <w:gridCol w:w="83"/>
        <w:gridCol w:w="166"/>
        <w:gridCol w:w="109"/>
        <w:gridCol w:w="1021"/>
        <w:gridCol w:w="275"/>
        <w:gridCol w:w="60"/>
        <w:gridCol w:w="225"/>
        <w:gridCol w:w="635"/>
        <w:gridCol w:w="170"/>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Net Sales –</w:t>
              <w:br/>
              <w:t>Power</w:t>
              <w:br/>
              <w:t>solutions</w:t>
              <w:b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Net Sales –</w:t>
              <w:br/>
              <w:t>Power</w:t>
              <w:br/>
              <w:t>solutions</w:t>
              <w:b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br/>
              <w:t>Amount</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08"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44.4</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48.1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37.0</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7.5</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Asia Pacific (other than Korea)</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43.4</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47.0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43.7</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52.0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(0.3</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2.7</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0.6</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1.8</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2.7</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3.2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(0.8</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single" w:sz="2" w:space="1" w:color="000000"/>
              </w:pBdr>
              <w:bidi w:val="0"/>
              <w:spacing w:before="0" w:after="0"/>
              <w:jc w:val="left"/>
              <w:rPr/>
            </w:pPr>
            <w:r>
              <w:rPr/>
              <w:t> </w:t>
            </w:r>
          </w:p>
        </w:tc>
        <w:tc>
          <w:tcPr>
            <w:tcW w:w="102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single" w:sz="2" w:space="1" w:color="000000"/>
              </w:pBdr>
              <w:bidi w:val="0"/>
              <w:spacing w:before="0" w:after="0"/>
              <w:jc w:val="left"/>
              <w:rPr/>
            </w:pPr>
            <w:r>
              <w:rPr/>
              <w:t> </w:t>
            </w:r>
          </w:p>
        </w:tc>
        <w:tc>
          <w:tcPr>
            <w:tcW w:w="102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92.3</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84.0</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8.4</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double" w:sz="6" w:space="1" w:color="000000"/>
              </w:pBdr>
              <w:bidi w:val="0"/>
              <w:spacing w:before="0" w:after="0"/>
              <w:jc w:val="left"/>
              <w:rPr/>
            </w:pPr>
            <w:r>
              <w:rPr/>
              <w:t> </w:t>
            </w:r>
          </w:p>
        </w:tc>
        <w:tc>
          <w:tcPr>
            <w:tcW w:w="653" w:type="dxa"/>
            <w:tcBorders/>
            <w:vAlign w:val="center"/>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double" w:sz="6" w:space="1" w:color="000000"/>
              </w:pBdr>
              <w:bidi w:val="0"/>
              <w:spacing w:before="0" w:after="0"/>
              <w:jc w:val="left"/>
              <w:rPr/>
            </w:pPr>
            <w:r>
              <w:rPr/>
              <w:t> </w:t>
            </w:r>
          </w:p>
        </w:tc>
        <w:tc>
          <w:tcPr>
            <w:tcW w:w="102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double" w:sz="6" w:space="1" w:color="000000"/>
              </w:pBdr>
              <w:bidi w:val="0"/>
              <w:spacing w:before="0" w:after="0"/>
              <w:jc w:val="left"/>
              <w:rPr/>
            </w:pPr>
            <w:r>
              <w:rPr/>
              <w:t> </w:t>
            </w:r>
          </w:p>
        </w:tc>
        <w:tc>
          <w:tcPr>
            <w:tcW w:w="653" w:type="dxa"/>
            <w:tcBorders/>
            <w:vAlign w:val="center"/>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double" w:sz="6" w:space="1" w:color="000000"/>
              </w:pBdr>
              <w:bidi w:val="0"/>
              <w:spacing w:before="0" w:after="0"/>
              <w:jc w:val="left"/>
              <w:rPr/>
            </w:pPr>
            <w:r>
              <w:rPr/>
              <w:t> </w:t>
            </w:r>
          </w:p>
        </w:tc>
        <w:tc>
          <w:tcPr>
            <w:tcW w:w="102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 – Power solutions business in Korea increased from $37.0 million for the six months ended June 30, 2024 to $44.4 million for the six months ended June 30, 2025, or by $7.5 million, or 20.2%, primarily due to a higher demand for power products such as MOSFETs, primarily for smartphone applications. A higher demand for our Power IC products, primarily for LED televisions and OLED IT devices, also had a favorable impact on net sales. </w:t>
      </w:r>
    </w:p>
    <w:p>
      <w:pPr>
        <w:pStyle w:val="TextBody"/>
        <w:bidi w:val="0"/>
        <w:spacing w:before="240" w:after="0"/>
        <w:jc w:val="left"/>
        <w:rPr>
          <w:rFonts w:ascii="Times New Roman" w:hAnsi="Times New Roman"/>
          <w:sz w:val="20"/>
        </w:rPr>
      </w:pPr>
      <w:r>
        <w:rPr>
          <w:rFonts w:ascii="Times New Roman" w:hAnsi="Times New Roman"/>
          <w:sz w:val="20"/>
        </w:rPr>
        <w:t xml:space="preserve">Net sales – Power solutions business in Asia Pacific (other than Korea) were $43.4 million for the six months ended June 30, 2025, which remained almost flat, compared to $43.7 million for the six months ended June 30,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General</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Administrative</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Selling, general and administrative expenses were $19.0 million, or 20.6% of total revenues, for the six months ended June 30, 2025, compared to $19.3 million, or 21.5% of total revenues, for the six months ended June 30, 2024. The decrease of $0.2 million, or 1.2%, was primarily attributable to a decrease in professional fees mainly comprised of legal and consulting fees, which was offset in part by a net increase in employee compensation and certain benefit related charges. </w:t>
      </w:r>
    </w:p>
    <w:p>
      <w:pPr>
        <w:pStyle w:val="TextBody"/>
        <w:bidi w:val="0"/>
        <w:spacing w:before="240" w:after="0"/>
        <w:jc w:val="left"/>
        <w:rPr>
          <w:rFonts w:ascii="Times New Roman" w:hAnsi="Times New Roman"/>
          <w:sz w:val="20"/>
        </w:rPr>
      </w:pPr>
      <w:r>
        <w:rPr>
          <w:rFonts w:ascii="Times New Roman" w:hAnsi="Times New Roman"/>
          <w:b/>
          <w:i/>
          <w:sz w:val="20"/>
        </w:rPr>
        <w:t>Research</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Development</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Research and development expenses were $12.9 million, or 14.0% of total revenues, for the six months ended June 30, 2025, compared to $12.0 million, or 13.3% of total revenues, for the six months ended June 30, 2024. The increase of $0.9 million, or 7.8%, was primarily attributable to higher personnel costs resulting from the increased headcount of research and development staff. </w:t>
      </w:r>
    </w:p>
    <w:p>
      <w:pPr>
        <w:pStyle w:val="TextBody"/>
        <w:bidi w:val="0"/>
        <w:spacing w:before="240" w:after="0"/>
        <w:jc w:val="left"/>
        <w:rPr>
          <w:rFonts w:ascii="Times New Roman" w:hAnsi="Times New Roman"/>
          <w:sz w:val="20"/>
        </w:rPr>
      </w:pPr>
      <w:r>
        <w:rPr>
          <w:rFonts w:ascii="Times New Roman" w:hAnsi="Times New Roman"/>
          <w:b/>
          <w:i/>
          <w:sz w:val="20"/>
        </w:rPr>
        <w:t>Other Charges.</w:t>
      </w:r>
      <w:r>
        <w:rPr>
          <w:rFonts w:ascii="Times New Roman" w:hAnsi="Times New Roman"/>
          <w:sz w:val="20"/>
        </w:rPr>
        <w:t xml:space="preserve"> For the six months ended June 30, 2025, we recorded $0.5 million of one-time employee incentives and $0.3 million of certain executive separation benefit related accruals.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operating loss of $13.7 million was recorded for the six months ended June 30, 2025 compared to operating loss of $15.1 million for the six months ended June 30, 2024. As discussed above, the improvement in operating loss of $1.4 million resulted primarily from a $2.9 million increase in gross profit and a $0.2 million decrease in selling, general and administrative expenses, which was offset in part by a $0.9 million increase in research and development expenses, and a $0.8 million increase in other charges.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(Expense) </w:t>
      </w:r>
    </w:p>
    <w:p>
      <w:pPr>
        <w:pStyle w:val="TextBody"/>
        <w:bidi w:val="0"/>
        <w:spacing w:before="12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Income.</w:t>
      </w:r>
      <w:r>
        <w:rPr>
          <w:rFonts w:ascii="Times New Roman" w:hAnsi="Times New Roman"/>
          <w:sz w:val="20"/>
        </w:rPr>
        <w:t xml:space="preserve"> Interest income was $2.9 million and $4.3 million for the six months ended June 30, 2025 and 2024, respectively. </w:t>
      </w:r>
    </w:p>
    <w:p>
      <w:pPr>
        <w:pStyle w:val="TextBody"/>
        <w:bidi w:val="0"/>
        <w:spacing w:before="24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Expense.</w:t>
      </w:r>
      <w:r>
        <w:rPr>
          <w:rFonts w:ascii="Times New Roman" w:hAnsi="Times New Roman"/>
          <w:sz w:val="20"/>
        </w:rPr>
        <w:t xml:space="preserve"> Interest expense was $0.9 million and $0.7 million for the six months ended June 30, 2025 and 2024, respectively. The increase of $0.2 million, or 26.6%, was primarily due to the Term Loan that we executed in March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Foreign</w:t>
      </w:r>
      <w:r>
        <w:rPr>
          <w:rFonts w:ascii="Times New Roman" w:hAnsi="Times New Roman"/>
          <w:sz w:val="20"/>
        </w:rPr>
        <w:t xml:space="preserve"> </w:t>
      </w:r>
      <w:r>
        <w:rPr>
          <w:rFonts w:ascii="Times New Roman" w:hAnsi="Times New Roman"/>
          <w:b/>
          <w:i/>
          <w:sz w:val="20"/>
        </w:rPr>
        <w:t>Currency Gain (Loss),</w:t>
      </w:r>
      <w:r>
        <w:rPr>
          <w:rFonts w:ascii="Times New Roman" w:hAnsi="Times New Roman"/>
          <w:sz w:val="20"/>
        </w:rPr>
        <w:t xml:space="preserve"> </w:t>
      </w:r>
      <w:r>
        <w:rPr>
          <w:rFonts w:ascii="Times New Roman" w:hAnsi="Times New Roman"/>
          <w:b/>
          <w:i/>
          <w:sz w:val="20"/>
        </w:rPr>
        <w:t>Net.</w:t>
      </w:r>
      <w:r>
        <w:rPr>
          <w:rFonts w:ascii="Times New Roman" w:hAnsi="Times New Roman"/>
          <w:sz w:val="20"/>
        </w:rPr>
        <w:t xml:space="preserve"> Net foreign currency gain for the six months ended June 30, 2025 was $10.4 million compared to net foreign currency loss of $8.6 million for the six months ended June 30, 2024. The net foreign currency gain for the six months ended June 30, 2025 was due to the appreciation in value of the Korean won relative to the U.S. dollar during the period. The net foreign currency loss for the six months ended June 30, 2024 was due to the depreciation in value of the Korean won relative to the U.S. dollar during the period. </w:t>
      </w:r>
    </w:p>
    <w:p>
      <w:pPr>
        <w:pStyle w:val="TextBody"/>
        <w:bidi w:val="0"/>
        <w:spacing w:before="240" w:after="0"/>
        <w:jc w:val="left"/>
        <w:rPr>
          <w:rFonts w:ascii="Times New Roman" w:hAnsi="Times New Roman"/>
          <w:sz w:val="20"/>
        </w:rPr>
      </w:pPr>
      <w:r>
        <w:rPr>
          <w:rFonts w:ascii="Times New Roman" w:hAnsi="Times New Roman"/>
          <w:sz w:val="20"/>
        </w:rPr>
        <w:t xml:space="preserve">A substantial portion of our net foreign currency gain or loss is non-cash translation gain or loss associated with intercompany long-term loans to one of our Korean subsidiaries, which are denominated in U.S. dollars, and are affected by changes in the exchange rate between the Korean won and the U.S. dollar. As of June 30, 2025 and 2024, the outstanding intercompany loan balances, including accrued interest between our Korean subsidiary, Magnachip Semiconductor, Ltd., and our Dutch subsidiary, were $241.7 million and $261.5 million, respectively. Foreign currency translation gain or loss from intercompany balances were included in determining our consolidated net income (loss) since the intercompany balances were not considered long-term investments in nature because management intended to settle these intercompany balances at their respective maturity 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Benefit, Net </w:t>
      </w:r>
    </w:p>
    <w:p>
      <w:pPr>
        <w:pStyle w:val="TextBody"/>
        <w:bidi w:val="0"/>
        <w:spacing w:before="120" w:after="0"/>
        <w:jc w:val="left"/>
        <w:rPr>
          <w:rFonts w:ascii="Times New Roman" w:hAnsi="Times New Roman"/>
          <w:sz w:val="20"/>
        </w:rPr>
      </w:pPr>
      <w:r>
        <w:rPr>
          <w:rFonts w:ascii="Times New Roman" w:hAnsi="Times New Roman"/>
          <w:sz w:val="20"/>
        </w:rPr>
        <w:t xml:space="preserve">Income tax benefit was $4.5 million for the six months ended June 30, 2025, which was primarily attributable to the estimated taxable loss in our Korean subsidiary for the respective period, including loss recognized in connection with the shutdown of the discontinued Display business during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Income tax benefit was $3.5 million for the six months ended June 30, 2024, which was primarily due to the estimated taxable loss for the respective period from its primary operating entity in Korea for continuing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(Loss) from Continuing Operations </w:t>
      </w:r>
    </w:p>
    <w:p>
      <w:pPr>
        <w:pStyle w:val="TextBody"/>
        <w:bidi w:val="0"/>
        <w:spacing w:before="120" w:after="0"/>
        <w:jc w:val="left"/>
        <w:rPr>
          <w:rFonts w:ascii="Times New Roman" w:hAnsi="Times New Roman"/>
          <w:sz w:val="20"/>
        </w:rPr>
      </w:pPr>
      <w:r>
        <w:rPr>
          <w:rFonts w:ascii="Times New Roman" w:hAnsi="Times New Roman"/>
          <w:sz w:val="20"/>
        </w:rPr>
        <w:t xml:space="preserve">Income from continuing operations for the six months ended June 30, 2025 was $3.4 million compared to loss from continuing operations of $16.5 million for the six months ended June 30, 2024. The $19.9 million improvement in results from continuing operations was primarily attributable to a $19.0 million improvement in net foreign currency gain or loss, a $1.4 million decrease in operating loss and a $1.1 million increase in income tax benefit, which was offset in part by a $1.4 million decrease in interest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from Discontinued Operations, Net of Tax </w:t>
      </w:r>
    </w:p>
    <w:p>
      <w:pPr>
        <w:pStyle w:val="TextBody"/>
        <w:bidi w:val="0"/>
        <w:spacing w:before="120" w:after="0"/>
        <w:jc w:val="left"/>
        <w:rPr>
          <w:rFonts w:ascii="Times New Roman" w:hAnsi="Times New Roman"/>
          <w:sz w:val="20"/>
        </w:rPr>
      </w:pPr>
      <w:r>
        <w:rPr>
          <w:rFonts w:ascii="Times New Roman" w:hAnsi="Times New Roman"/>
          <w:sz w:val="20"/>
        </w:rPr>
        <w:t xml:space="preserve">Loss from discontinued operations, net of tax for the six months ended June 30, 2025 was $12.0 million, which remained almost flat, compared to loss from discontinued operations, net of tax of $11.9 million for the six months ended June 30,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a net loss of $8.6 million was recorded for the six months ended June 30, 2025 compared to a net loss of $28.4 million for the six months ended June 30, 2024. As discussed above, the improvement in net loss of $19.9 million primarily resulted from a $19.9 million decrease in loss from continuing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Our principal capital requirements are to fund sales and marketing, invest in research and development and capital equipment, to make debt service payments and to fund working capital needs. We calculate working capital as current assets less current liabilities.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sources of liquidity are our cash, cash equivalents, cash flows from operations and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June 30, 2025, we did not have any accounts payable on extended terms or payment deferment with our vendors. </w:t>
      </w:r>
    </w:p>
    <w:p>
      <w:pPr>
        <w:pStyle w:val="TextBody"/>
        <w:bidi w:val="0"/>
        <w:spacing w:before="240" w:after="0"/>
        <w:jc w:val="left"/>
        <w:rPr>
          <w:rFonts w:ascii="Times New Roman" w:hAnsi="Times New Roman"/>
          <w:sz w:val="20"/>
        </w:rPr>
      </w:pPr>
      <w:r>
        <w:rPr>
          <w:rFonts w:ascii="Times New Roman" w:hAnsi="Times New Roman"/>
          <w:sz w:val="20"/>
        </w:rPr>
        <w:t xml:space="preserve">As of June 29, 2018, our Korean subsidiary, Magnachip Semiconductor, Ltd. (“MSK”), entered into an arrangement whereby it (i) acquired a water treatment facility from SK hynix for $4.2 million to support our fabrication facility in Gumi, Korea, and (ii) subsequently sold the water treatment facility for $4.2 million to a third party management company that we engaged to run the facility for a 10-year term beginning July 1, 2018. As of June 30, 2025, the outstanding obligation of this arrangement is approximately $12.9 million for remaining service term through 2028. </w:t>
      </w:r>
    </w:p>
    <w:p>
      <w:pPr>
        <w:pStyle w:val="TextBody"/>
        <w:bidi w:val="0"/>
        <w:spacing w:before="240" w:after="0"/>
        <w:jc w:val="left"/>
        <w:rPr>
          <w:rFonts w:ascii="Times New Roman" w:hAnsi="Times New Roman"/>
          <w:sz w:val="20"/>
        </w:rPr>
      </w:pPr>
      <w:r>
        <w:rPr>
          <w:rFonts w:ascii="Times New Roman" w:hAnsi="Times New Roman"/>
          <w:sz w:val="20"/>
        </w:rPr>
        <w:t xml:space="preserve">On March 26, 2024, MSK executed a Standard Credit Agreement (together with its General Terms and Conditions, the “Loan Agreement”) with Korea Development Bank (“KDB”). The Loan Agreement provides for a working capital term loan (the “Term Loan”) of KRW 40,000,000,000 (approximately $29.5 million based on the KRW/USD exchange rate of 1,356.4:1 as of June 30, 2025 as quoted by KEB Hana Bank). The Term Loan requires monthly interest-only payments and matures on March 26, 2027, at which time the full principal balance will be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On June 26, 2025, under its existing Equipment Financing Credit Agreement with KDB, MSK entered into a CAPEX Loan of KRW 9,520,000,000 (approximately $7.0 million based on the KRW/USD exchange rate of 1,356.4:1 as of June 30, 2025 as quoted by KEB Hana Bank). The CAPEX Loan requires monthly interest-only payments, with principal repayments deferred for an initial two-year period and amortized over the subsequent eight years, and matures on June 26, 2035.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2025, cash and cash equivalents held by MSK were $102.5 million, which represents 90% of our total cash and cash equivalents on a consolidated basis. We currently believe that we will have sufficient cash reserves from cash on hand and expected cash from operations to fund our operations as well as capital expenditures for the next 12 months and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Working Capital </w:t>
      </w:r>
    </w:p>
    <w:p>
      <w:pPr>
        <w:pStyle w:val="TextBody"/>
        <w:bidi w:val="0"/>
        <w:spacing w:before="120" w:after="0"/>
        <w:jc w:val="left"/>
        <w:rPr>
          <w:rFonts w:ascii="Times New Roman" w:hAnsi="Times New Roman"/>
          <w:sz w:val="20"/>
        </w:rPr>
      </w:pPr>
      <w:r>
        <w:rPr>
          <w:rFonts w:ascii="Times New Roman" w:hAnsi="Times New Roman"/>
          <w:sz w:val="20"/>
        </w:rPr>
        <w:t xml:space="preserve">Our working capital balance as of June 30, 2025 was $156.5 million compared to $173.0 million as of December 31, 2024. The decrease in working capital balance was mainly attributable to a $25.3 million decrease in cash and cash equivalents resulted primarily from a $6.5 million of severance and other employee-related costs in connection with the liquidation of MMS, and continued execution of capital expenditures and stock repurchase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outflow used in operating activities totaled $29.8 million for the six months ended June 30, 2025, compared to $5.1 million of cash outflow used in operating activities for the six months ended June 30, 2024. The net operating cash outflow for the six months ended June 30, 2025 reflects our net loss of $8.6 million, as adjusted favorably by $0.3 million, which mainly consisted of depreciation and amortization, provision for severance benefits, provision for inventory reserves, net foreign currency gain and stock-based compensation, and net unfavorable impact of $21.5 million from changes in operating assets and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outflow used in investing activities totaled $7.7 million for the six months ended June 30, 2025, compared to $33.1 million of cash outflow used in investing activities for the six months ended June 30, 2024. The $25.4 million decrease in cash outflow was primarily attributable to a $30.0 million of investment in short-term financial instruments in the first half of 2024, a $2.8 million of net decrease in hedge collateral and $2.8 million decrease in net payment of guarantee deposits, which was offset in part by a $10.5 million increase in purchase of property, plant and equipment.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Cash Flows from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inflow provided by financing activities totaled $2.6 million for the six months ended June 30, 2025, compared to $22.9 million of cash inflow provided by financing activities for the six months ended June 30, 2024. The financing cash inflow for the six months ended June 30, 2025 was primarily attributable to the $7.0 million of proceeds received from the CAPEX Loan with KDB, which was offset in part by a payment of $3.5 million for the repurchases of our common stock pursuant to our stock repurchase program and a payment of $0.5 million for the repurchase of our common stock to satisfy tax withholding obligations in connection with the vesting of restricted stock units. The financing cash inflow for the six months ended June 30, 2024 was primarily attributable to the $30.1 million of proceeds received from the Term Loan with KDB, which was offset in part by a payment of $6.3 million for the repurchases of our common stock pursuant to our stock repurchase program and a payment of $0.5 million for the repurchase of our common stock to satisfy tax withholding obligations in connection with the vesting of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cash flow information associated with our discontinued operation, please see “Item 1. Financial Statements and Supplementary Data – Notes to Consolidated Financial Statements – Note 2 – Discontinued Operations” included elsewhere in this Report.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We routinely make capital expenditures for fabrication facility maintenance, enhancement of our existing facility and reinforcement of our global research and development capability. For the six months ended June 30, 2025, capital expenditures for property, plant and equipment were $12.1 million, a $10.5 million, or 671.6%, increase from $1.6 million for the six months ended June 30, 2024. The capital expenditures for the six months ended June 30, 2025 and 2024 were related to meeting our customer demand and supporting technology and facility improvement at our fabrication facility. </w:t>
      </w:r>
    </w:p>
    <w:p>
      <w:pPr>
        <w:pStyle w:val="TextBody"/>
        <w:bidi w:val="0"/>
        <w:spacing w:before="240" w:after="0"/>
        <w:jc w:val="left"/>
        <w:rPr>
          <w:rFonts w:ascii="Times New Roman" w:hAnsi="Times New Roman"/>
          <w:sz w:val="20"/>
        </w:rPr>
      </w:pPr>
      <w:r>
        <w:rPr>
          <w:rFonts w:ascii="Times New Roman" w:hAnsi="Times New Roman"/>
          <w:sz w:val="20"/>
        </w:rPr>
        <w:t xml:space="preserve">Looking ahead, we expect the capital expenditures for the year ending December 31, 2025 to be in the range of $32 to $34 million, of which $12.1 million was incurred through June 30, 2025. The $32 to $34 million range includes approximately $20 to $22 million planned for new investments into our fabrication facility located in Gumi, Korea. The capital expenditures for 2025 will be partially funded through the $26.5 million Equipment Financing Credit Agreement, which is specifically designated for equipment purchases or upgrades in our Gumi fabrication facility. Of the $12.1 million of capital expenditures incurred in the first half of 2025, $7.0 million was funded by Equipment Financing Credit Agreement. These new investments in the Gumi fabrication facility are expected to drive development of new generation products, and upgrade new tools to optimize product mix and improve gross profit margin in the near future and the longer-term.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significant accounting policies, which are described further in Note 1 to our consolidated financial statements in our Annual Report on Form 10-K for our fiscal year ended December 31, 2024, or our 2024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 </w:t>
      </w:r>
    </w:p>
    <w:p>
      <w:pPr>
        <w:pStyle w:val="TextBody"/>
        <w:bidi w:val="0"/>
        <w:spacing w:before="240" w:after="0"/>
        <w:jc w:val="left"/>
        <w:rPr>
          <w:rFonts w:ascii="Times New Roman" w:hAnsi="Times New Roman"/>
          <w:sz w:val="20"/>
        </w:rPr>
      </w:pPr>
      <w:r>
        <w:rPr>
          <w:rFonts w:ascii="Times New Roman" w:hAnsi="Times New Roman"/>
          <w:sz w:val="20"/>
        </w:rPr>
        <w:t xml:space="preserve">A description of our critical accounting policies that involve significant management judgement appears in our 2024 Form 10-K, under “Management’s Discussion and Analysis of Financial Conditions and Reports of Operations—Critical Accounting Policies and Estimates.” There have been no other material changes to our critical accounting policies and estimates as compared to our critical accounting policies and estimates included in our 2024 Form 10-K.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tbl>
      <w:tblPr>
        <w:tblW w:w="1675" w:type="dxa"/>
        <w:jc w:val="left"/>
        <w:tblInd w:w="0" w:type="dxa"/>
        <w:tblLayout w:type="fixed"/>
        <w:tblCellMar>
          <w:top w:w="0" w:type="dxa"/>
          <w:left w:w="0" w:type="dxa"/>
          <w:bottom w:w="0" w:type="dxa"/>
          <w:right w:w="0" w:type="dxa"/>
        </w:tblCellMar>
      </w:tblPr>
      <w:tblGrid>
        <w:gridCol w:w="725"/>
        <w:gridCol w:w="950"/>
      </w:tblGrid>
      <w:tr>
        <w:trPr/>
        <w:tc>
          <w:tcPr>
            <w:tcW w:w="725" w:type="dxa"/>
            <w:tcBorders/>
            <w:vAlign w:val="center"/>
          </w:tcPr>
          <w:p>
            <w:pPr>
              <w:pStyle w:val="TableContents"/>
              <w:bidi w:val="0"/>
              <w:spacing w:before="0" w:after="283"/>
              <w:jc w:val="left"/>
              <w:rPr>
                <w:b/>
              </w:rPr>
            </w:pPr>
            <w:bookmarkStart w:id="5" w:name="toc913307_10"/>
            <w:bookmarkEnd w:id="5"/>
            <w:r>
              <w:rPr>
                <w:b/>
              </w:rPr>
              <w:t>Item 3.</w:t>
            </w:r>
          </w:p>
        </w:tc>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[Reserved</w:t>
            </w:r>
            <w:r>
              <w:rPr>
                <w:rFonts w:ascii="Times New Roman" w:hAnsi="Times New Roman"/>
                <w:b/>
                <w:sz w:val="20"/>
              </w:rPr>
              <w:t xml:space="preserve">] </w:t>
            </w:r>
          </w:p>
        </w:tc>
      </w:tr>
    </w:tbl>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725"/>
        <w:gridCol w:w="2180"/>
      </w:tblGrid>
      <w:tr>
        <w:trPr/>
        <w:tc>
          <w:tcPr>
            <w:tcW w:w="725" w:type="dxa"/>
            <w:tcBorders/>
            <w:vAlign w:val="center"/>
          </w:tcPr>
          <w:p>
            <w:pPr>
              <w:pStyle w:val="TableContents"/>
              <w:bidi w:val="0"/>
              <w:spacing w:before="0" w:after="283"/>
              <w:jc w:val="left"/>
              <w:rPr>
                <w:b/>
              </w:rPr>
            </w:pPr>
            <w:bookmarkStart w:id="6" w:name="toc913307_11"/>
            <w:bookmarkEnd w:id="6"/>
            <w:r>
              <w:rPr>
                <w:b/>
              </w:rPr>
              <w:t>Item 4.</w:t>
            </w:r>
          </w:p>
        </w:tc>
        <w:tc>
          <w:tcPr>
            <w:tcW w:w="21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Controls and Procedures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Evaluation of 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preparation of this Report, we carried out an evaluation under the supervision of and with the participation of our management, including our Chief Executive Officer and Chief Financial Officer, as of June 30, 2025,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June 30,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There were no changes in our internal control over financial reporting during the quarter ended June 30, 2025 that have materially affected, or are reasonably likely to materially affect, our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7" w:name="toc913307_12"/>
      <w:bookmarkEnd w:id="7"/>
      <w:r>
        <w:rPr>
          <w:rFonts w:ascii="Times New Roman" w:hAnsi="Times New Roman"/>
          <w:b/>
          <w:sz w:val="20"/>
        </w:rPr>
        <w:t xml:space="preserve">PART II. OTHER INFORMATION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725"/>
        <w:gridCol w:w="1655"/>
      </w:tblGrid>
      <w:tr>
        <w:trPr/>
        <w:tc>
          <w:tcPr>
            <w:tcW w:w="725" w:type="dxa"/>
            <w:tcBorders/>
            <w:vAlign w:val="center"/>
          </w:tcPr>
          <w:p>
            <w:pPr>
              <w:pStyle w:val="TableContents"/>
              <w:bidi w:val="0"/>
              <w:spacing w:before="0" w:after="283"/>
              <w:jc w:val="left"/>
              <w:rPr>
                <w:b/>
              </w:rPr>
            </w:pPr>
            <w:bookmarkStart w:id="8" w:name="toc913307_13"/>
            <w:bookmarkEnd w:id="8"/>
            <w:r>
              <w:rPr>
                <w:b/>
              </w:rPr>
              <w:t>Item 1.</w:t>
            </w:r>
          </w:p>
        </w:tc>
        <w:tc>
          <w:tcPr>
            <w:tcW w:w="16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Legal Proceedings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a discussion of legal proceedings, see “Part I, Item 3. Legal Proceedings” of our 2024 Form 10-K. </w:t>
      </w:r>
    </w:p>
    <w:p>
      <w:pPr>
        <w:pStyle w:val="TextBody"/>
        <w:bidi w:val="0"/>
        <w:spacing w:before="240" w:after="0"/>
        <w:jc w:val="left"/>
        <w:rPr>
          <w:rFonts w:ascii="Times New Roman" w:hAnsi="Times New Roman"/>
          <w:sz w:val="20"/>
        </w:rPr>
      </w:pPr>
      <w:r>
        <w:rPr>
          <w:rFonts w:ascii="Times New Roman" w:hAnsi="Times New Roman"/>
          <w:sz w:val="20"/>
        </w:rPr>
        <w:t xml:space="preserve">See also “Item 1A. Risk Factors” in this Report and “Part I, Item 1A. Risk Factors” of our 2024 Form 10-K for additional information. </w:t>
      </w:r>
    </w:p>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905"/>
        <w:gridCol w:w="1145"/>
      </w:tblGrid>
      <w:tr>
        <w:trPr/>
        <w:tc>
          <w:tcPr>
            <w:tcW w:w="905" w:type="dxa"/>
            <w:tcBorders/>
            <w:vAlign w:val="center"/>
          </w:tcPr>
          <w:p>
            <w:pPr>
              <w:pStyle w:val="TableContents"/>
              <w:bidi w:val="0"/>
              <w:spacing w:before="0" w:after="283"/>
              <w:jc w:val="left"/>
              <w:rPr>
                <w:b/>
              </w:rPr>
            </w:pPr>
            <w:bookmarkStart w:id="9" w:name="toc913307_14"/>
            <w:bookmarkEnd w:id="9"/>
            <w:r>
              <w:rPr>
                <w:b/>
              </w:rPr>
              <w:t>Item 1A.</w:t>
            </w:r>
          </w:p>
        </w:tc>
        <w:tc>
          <w:tcPr>
            <w:tcW w:w="1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Risk Factors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risks and uncertainties, any of which could have a significant or material adverse effect on our business, financial condition, liquidity or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other information contained in this Report and the other reports and materials the Company files with the SEC, investors should carefully consider the risk factors disclosed in Part I, Item 1A of our 2024 Form 10-K as well as in our subsequent filings with the SEC. The risks described herein and therein are not the only ones we face.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no material changes to the risk factors disclosed in Part I, Item 1A of our 2024 Form 10-K.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tbl>
      <w:tblPr>
        <w:tblW w:w="5845" w:type="dxa"/>
        <w:jc w:val="left"/>
        <w:tblInd w:w="0" w:type="dxa"/>
        <w:tblLayout w:type="fixed"/>
        <w:tblCellMar>
          <w:top w:w="0" w:type="dxa"/>
          <w:left w:w="0" w:type="dxa"/>
          <w:bottom w:w="0" w:type="dxa"/>
          <w:right w:w="0" w:type="dxa"/>
        </w:tblCellMar>
      </w:tblPr>
      <w:tblGrid>
        <w:gridCol w:w="725"/>
        <w:gridCol w:w="5120"/>
      </w:tblGrid>
      <w:tr>
        <w:trPr/>
        <w:tc>
          <w:tcPr>
            <w:tcW w:w="725" w:type="dxa"/>
            <w:tcBorders/>
            <w:vAlign w:val="center"/>
          </w:tcPr>
          <w:p>
            <w:pPr>
              <w:pStyle w:val="TableContents"/>
              <w:bidi w:val="0"/>
              <w:spacing w:before="0" w:after="283"/>
              <w:jc w:val="left"/>
              <w:rPr>
                <w:b/>
              </w:rPr>
            </w:pPr>
            <w:bookmarkStart w:id="10" w:name="toc913307_15"/>
            <w:bookmarkEnd w:id="10"/>
            <w:r>
              <w:rPr>
                <w:b/>
              </w:rPr>
              <w:t>Item 2.</w:t>
            </w:r>
          </w:p>
        </w:tc>
        <w:tc>
          <w:tcPr>
            <w:tcW w:w="51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and Use of Proceeds.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monthly activity related to our repurchases of common stock for the quarter ended June 30, 2025. </w:t>
      </w:r>
    </w:p>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1100"/>
        <w:gridCol w:w="120"/>
        <w:gridCol w:w="102"/>
        <w:gridCol w:w="1373"/>
        <w:gridCol w:w="60"/>
        <w:gridCol w:w="120"/>
        <w:gridCol w:w="258"/>
        <w:gridCol w:w="812"/>
        <w:gridCol w:w="60"/>
        <w:gridCol w:w="120"/>
        <w:gridCol w:w="131"/>
        <w:gridCol w:w="1749"/>
        <w:gridCol w:w="60"/>
        <w:gridCol w:w="120"/>
        <w:gridCol w:w="367"/>
        <w:gridCol w:w="1783"/>
        <w:gridCol w:w="75"/>
      </w:tblGrid>
      <w:tr>
        <w:trPr/>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Number</w:t>
              <w:br/>
              <w:t>of Shares</w:t>
              <w:br/>
              <w:t>Purchased(1)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w:t>
              <w:br/>
              <w:t>Price Paid</w:t>
              <w:br/>
              <w:t>per Share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Number</w:t>
              <w:br/>
              <w:t>of Shares</w:t>
              <w:br/>
              <w:t>Purchased as Part</w:t>
              <w:br/>
              <w:t>of Publicly</w:t>
              <w:br/>
              <w:t>Announced Plans</w:t>
              <w:br/>
              <w:t>or Programs(2)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Approximate dollar</w:t>
              <w:br/>
              <w:t>value of Shares that</w:t>
              <w:br/>
              <w:t>may yet be</w:t>
              <w:br/>
              <w:t>Purchased under the</w:t>
              <w:br/>
              <w:t>Plans or Programs</w:t>
              <w:br/>
              <w:t>(in thousands)(2)</w:t>
            </w:r>
          </w:p>
        </w:tc>
        <w:tc>
          <w:tcPr>
            <w:tcW w:w="75"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April 2025</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612,184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3.02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612,184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783" w:type="dxa"/>
            <w:tcBorders/>
            <w:shd w:fill="CCEEFF" w:val="clear"/>
            <w:vAlign w:val="center"/>
          </w:tcPr>
          <w:p>
            <w:pPr>
              <w:pStyle w:val="TableContents"/>
              <w:bidi w:val="0"/>
              <w:spacing w:before="0" w:after="283"/>
              <w:jc w:val="right"/>
              <w:rPr/>
            </w:pPr>
            <w:r>
              <w:rPr/>
              <w:t>21,639</w:t>
            </w:r>
          </w:p>
        </w:tc>
        <w:tc>
          <w:tcPr>
            <w:tcW w:w="75"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May 2025(1)</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2,723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3.28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w:t>
            </w:r>
          </w:p>
        </w:tc>
        <w:tc>
          <w:tcPr>
            <w:tcW w:w="1783" w:type="dxa"/>
            <w:tcBorders/>
            <w:vAlign w:val="center"/>
          </w:tcPr>
          <w:p>
            <w:pPr>
              <w:pStyle w:val="TableContents"/>
              <w:bidi w:val="0"/>
              <w:spacing w:before="0" w:after="283"/>
              <w:jc w:val="right"/>
              <w:rPr/>
            </w:pPr>
            <w:r>
              <w:rPr/>
              <w:t>21,639</w:t>
            </w:r>
          </w:p>
        </w:tc>
        <w:tc>
          <w:tcPr>
            <w:tcW w:w="75"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June 2025</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116,650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3.87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116,650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783" w:type="dxa"/>
            <w:tcBorders/>
            <w:shd w:fill="CCEEFF" w:val="clear"/>
            <w:vAlign w:val="center"/>
          </w:tcPr>
          <w:p>
            <w:pPr>
              <w:pStyle w:val="TableContents"/>
              <w:bidi w:val="0"/>
              <w:spacing w:before="0" w:after="283"/>
              <w:jc w:val="right"/>
              <w:rPr/>
            </w:pPr>
            <w:r>
              <w:rPr/>
              <w:t>21,188</w:t>
            </w:r>
          </w:p>
        </w:tc>
        <w:tc>
          <w:tcPr>
            <w:tcW w:w="75"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37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pBdr>
                <w:top w:val="single" w:sz="2" w:space="1" w:color="000000"/>
              </w:pBdr>
              <w:bidi w:val="0"/>
              <w:spacing w:before="0" w:after="0"/>
              <w:jc w:val="left"/>
              <w:rPr/>
            </w:pPr>
            <w:r>
              <w:rPr/>
              <w:t> </w:t>
            </w:r>
          </w:p>
        </w:tc>
        <w:tc>
          <w:tcPr>
            <w:tcW w:w="81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pBdr>
                <w:top w:val="single" w:sz="2" w:space="1" w:color="000000"/>
              </w:pBdr>
              <w:bidi w:val="0"/>
              <w:spacing w:before="0" w:after="0"/>
              <w:jc w:val="left"/>
              <w:rPr/>
            </w:pPr>
            <w:r>
              <w:rPr/>
              <w:t> </w:t>
            </w:r>
          </w:p>
        </w:tc>
        <w:tc>
          <w:tcPr>
            <w:tcW w:w="174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pBdr>
                <w:top w:val="single" w:sz="2" w:space="1" w:color="000000"/>
              </w:pBdr>
              <w:bidi w:val="0"/>
              <w:spacing w:before="0" w:after="0"/>
              <w:jc w:val="left"/>
              <w:rPr/>
            </w:pPr>
            <w:r>
              <w:rPr/>
              <w:t> </w:t>
            </w:r>
          </w:p>
        </w:tc>
        <w:tc>
          <w:tcPr>
            <w:tcW w:w="1783"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731,557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3.16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728,834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w:t>
            </w:r>
          </w:p>
        </w:tc>
        <w:tc>
          <w:tcPr>
            <w:tcW w:w="1783" w:type="dxa"/>
            <w:tcBorders/>
            <w:vAlign w:val="center"/>
          </w:tcPr>
          <w:p>
            <w:pPr>
              <w:pStyle w:val="TableContents"/>
              <w:bidi w:val="0"/>
              <w:spacing w:before="0" w:after="283"/>
              <w:jc w:val="right"/>
              <w:rPr/>
            </w:pPr>
            <w:r>
              <w:rPr/>
              <w:t>21,188</w:t>
            </w:r>
          </w:p>
        </w:tc>
        <w:tc>
          <w:tcPr>
            <w:tcW w:w="7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double" w:sz="6" w:space="1" w:color="000000"/>
              </w:pBdr>
              <w:bidi w:val="0"/>
              <w:spacing w:before="0" w:after="0"/>
              <w:jc w:val="left"/>
              <w:rPr/>
            </w:pPr>
            <w:r>
              <w:rPr/>
              <w:t> </w:t>
            </w:r>
          </w:p>
        </w:tc>
        <w:tc>
          <w:tcPr>
            <w:tcW w:w="1373"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pBdr>
                <w:top w:val="double" w:sz="6" w:space="1" w:color="000000"/>
              </w:pBdr>
              <w:bidi w:val="0"/>
              <w:spacing w:before="0" w:after="0"/>
              <w:jc w:val="left"/>
              <w:rPr/>
            </w:pPr>
            <w:r>
              <w:rPr/>
              <w:t> </w:t>
            </w:r>
          </w:p>
        </w:tc>
        <w:tc>
          <w:tcPr>
            <w:tcW w:w="81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pBdr>
                <w:top w:val="double" w:sz="6" w:space="1" w:color="000000"/>
              </w:pBdr>
              <w:bidi w:val="0"/>
              <w:spacing w:before="0" w:after="0"/>
              <w:jc w:val="left"/>
              <w:rPr/>
            </w:pPr>
            <w:r>
              <w:rPr/>
              <w:t> </w:t>
            </w:r>
          </w:p>
        </w:tc>
        <w:tc>
          <w:tcPr>
            <w:tcW w:w="174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pBdr>
                <w:top w:val="double" w:sz="6" w:space="1" w:color="000000"/>
              </w:pBdr>
              <w:bidi w:val="0"/>
              <w:spacing w:before="0" w:after="0"/>
              <w:jc w:val="left"/>
              <w:rPr/>
            </w:pPr>
            <w:r>
              <w:rPr/>
              <w:t> </w:t>
            </w:r>
          </w:p>
        </w:tc>
        <w:tc>
          <w:tcPr>
            <w:tcW w:w="1783"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2,723 shares withheld to satisfy tax withholding obligations in connection with the vesting of restricted stock units issued under our equity incentive plans.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July 19, 2023, the Company’s Board of Directors authorized a $50 million stock buyback program. Purchases have been and will be made in the open market or through privately negotiated transactions, depending upon market conditions and other factors. In connection with the repurchase program, the Company established a stock trading plan with Needham &amp; Company, LLC in accordance with Rule 10b5-1 under the Exchange Act. </w:t>
            </w:r>
          </w:p>
        </w:tc>
      </w:tr>
    </w:tbl>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725"/>
        <w:gridCol w:w="2735"/>
      </w:tblGrid>
      <w:tr>
        <w:trPr/>
        <w:tc>
          <w:tcPr>
            <w:tcW w:w="725" w:type="dxa"/>
            <w:tcBorders/>
            <w:vAlign w:val="center"/>
          </w:tcPr>
          <w:p>
            <w:pPr>
              <w:pStyle w:val="TableContents"/>
              <w:bidi w:val="0"/>
              <w:spacing w:before="0" w:after="283"/>
              <w:jc w:val="left"/>
              <w:rPr>
                <w:b/>
              </w:rPr>
            </w:pPr>
            <w:bookmarkStart w:id="11" w:name="toc913307_16"/>
            <w:bookmarkEnd w:id="11"/>
            <w:r>
              <w:rPr>
                <w:b/>
              </w:rPr>
              <w:t>Item 3.</w:t>
            </w:r>
          </w:p>
        </w:tc>
        <w:tc>
          <w:tcPr>
            <w:tcW w:w="2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Defaults Upon Senior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725"/>
        <w:gridCol w:w="2090"/>
      </w:tblGrid>
      <w:tr>
        <w:trPr/>
        <w:tc>
          <w:tcPr>
            <w:tcW w:w="725" w:type="dxa"/>
            <w:tcBorders/>
            <w:vAlign w:val="center"/>
          </w:tcPr>
          <w:p>
            <w:pPr>
              <w:pStyle w:val="TableContents"/>
              <w:bidi w:val="0"/>
              <w:spacing w:before="0" w:after="283"/>
              <w:jc w:val="left"/>
              <w:rPr>
                <w:b/>
              </w:rPr>
            </w:pPr>
            <w:bookmarkStart w:id="12" w:name="toc913307_17"/>
            <w:bookmarkEnd w:id="12"/>
            <w:r>
              <w:rPr>
                <w:b/>
              </w:rPr>
              <w:t>Item 4.</w:t>
            </w:r>
          </w:p>
        </w:tc>
        <w:tc>
          <w:tcPr>
            <w:tcW w:w="20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Mine Safety Disclosures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tbl>
      <w:tblPr>
        <w:tblW w:w="2380" w:type="dxa"/>
        <w:jc w:val="left"/>
        <w:tblInd w:w="0" w:type="dxa"/>
        <w:tblLayout w:type="fixed"/>
        <w:tblCellMar>
          <w:top w:w="0" w:type="dxa"/>
          <w:left w:w="0" w:type="dxa"/>
          <w:bottom w:w="0" w:type="dxa"/>
          <w:right w:w="0" w:type="dxa"/>
        </w:tblCellMar>
      </w:tblPr>
      <w:tblGrid>
        <w:gridCol w:w="725"/>
        <w:gridCol w:w="1655"/>
      </w:tblGrid>
      <w:tr>
        <w:trPr/>
        <w:tc>
          <w:tcPr>
            <w:tcW w:w="725" w:type="dxa"/>
            <w:tcBorders/>
            <w:vAlign w:val="center"/>
          </w:tcPr>
          <w:p>
            <w:pPr>
              <w:pStyle w:val="TableContents"/>
              <w:bidi w:val="0"/>
              <w:spacing w:before="0" w:after="0"/>
              <w:jc w:val="left"/>
              <w:rPr>
                <w:b/>
                <w:spacing w:val="0"/>
              </w:rPr>
            </w:pPr>
            <w:bookmarkStart w:id="13" w:name="toc913307_18"/>
            <w:bookmarkEnd w:id="13"/>
            <w:r>
              <w:rPr>
                <w:b/>
                <w:spacing w:val="0"/>
              </w:rPr>
              <w:t>Item 5.</w:t>
            </w:r>
          </w:p>
        </w:tc>
        <w:tc>
          <w:tcPr>
            <w:tcW w:w="16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Information </w:t>
            </w:r>
          </w:p>
        </w:tc>
      </w:tr>
    </w:tbl>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Securities Trading Plans of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During our last fiscal quarter, no director or officer, as defined in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16a-1(f),</w:t>
      </w:r>
    </w:p>
    <w:p>
      <w:pPr>
        <w:pStyle w:val="TextBody"/>
        <w:bidi w:val="0"/>
        <w:spacing w:before="120" w:after="0"/>
        <w:jc w:val="left"/>
        <w:rPr>
          <w:rFonts w:ascii="Times New Roman" w:hAnsi="Times New Roman"/>
          <w:sz w:val="20"/>
        </w:rPr>
      </w:pPr>
      <w:r>
        <w:rPr>
          <w:rFonts w:ascii="Times New Roman" w:hAnsi="Times New Roman"/>
          <w:sz w:val="20"/>
        </w:rPr>
        <w:t xml:space="preserve">adopted or terminated a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10b5-1</w:t>
      </w:r>
    </w:p>
    <w:p>
      <w:pPr>
        <w:pStyle w:val="TextBody"/>
        <w:bidi w:val="0"/>
        <w:spacing w:before="120" w:after="0"/>
        <w:jc w:val="left"/>
        <w:rPr>
          <w:rFonts w:ascii="Times New Roman" w:hAnsi="Times New Roman"/>
          <w:sz w:val="20"/>
        </w:rPr>
      </w:pPr>
      <w:r>
        <w:rPr>
          <w:rFonts w:ascii="Times New Roman" w:hAnsi="Times New Roman"/>
          <w:sz w:val="20"/>
        </w:rPr>
        <w:t xml:space="preserve">trading arrangement” or a </w:t>
      </w:r>
    </w:p>
    <w:p>
      <w:pPr>
        <w:pStyle w:val="TextBody"/>
        <w:bidi w:val="0"/>
        <w:spacing w:before="120" w:after="0"/>
        <w:jc w:val="left"/>
        <w:rPr>
          <w:spacing w:val="0"/>
        </w:rPr>
      </w:pPr>
      <w:r>
        <w:rPr>
          <w:spacing w:val="0"/>
        </w:rPr>
        <w:t>“</w:t>
      </w:r>
      <w:r>
        <w:rPr>
          <w:rFonts w:ascii="Times New Roman" w:hAnsi="Times New Roman"/>
          <w:spacing w:val="0"/>
          <w:sz w:val="20"/>
        </w:rPr>
        <w:t>non-Rule</w:t>
      </w:r>
    </w:p>
    <w:p>
      <w:pPr>
        <w:pStyle w:val="TextBody"/>
        <w:bidi w:val="0"/>
        <w:spacing w:before="120" w:after="0"/>
        <w:jc w:val="left"/>
        <w:rPr>
          <w:rFonts w:ascii="Times New Roman" w:hAnsi="Times New Roman"/>
          <w:spacing w:val="0"/>
          <w:sz w:val="20"/>
        </w:rPr>
      </w:pPr>
      <w:r>
        <w:rPr>
          <w:rFonts w:ascii="Times New Roman" w:hAnsi="Times New Roman"/>
          <w:spacing w:val="0"/>
          <w:sz w:val="20"/>
        </w:rPr>
        <w:t>10b5-1</w:t>
      </w:r>
    </w:p>
    <w:p>
      <w:pPr>
        <w:pStyle w:val="TextBody"/>
        <w:bidi w:val="0"/>
        <w:spacing w:before="120" w:after="0"/>
        <w:jc w:val="left"/>
        <w:rPr>
          <w:rFonts w:ascii="Times New Roman" w:hAnsi="Times New Roman"/>
          <w:sz w:val="20"/>
        </w:rPr>
      </w:pPr>
      <w:r>
        <w:rPr>
          <w:rFonts w:ascii="Times New Roman" w:hAnsi="Times New Roman"/>
          <w:sz w:val="20"/>
        </w:rPr>
        <w:t xml:space="preserve">trading arrangement,” each as defined in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Item 408.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Voluntary Resignation Program </w:t>
      </w:r>
    </w:p>
    <w:p>
      <w:pPr>
        <w:pStyle w:val="TextBody"/>
        <w:bidi w:val="0"/>
        <w:spacing w:before="120" w:after="0"/>
        <w:jc w:val="left"/>
        <w:rPr>
          <w:rFonts w:ascii="Times New Roman" w:hAnsi="Times New Roman"/>
          <w:sz w:val="20"/>
        </w:rPr>
      </w:pPr>
      <w:r>
        <w:rPr>
          <w:rFonts w:ascii="Times New Roman" w:hAnsi="Times New Roman"/>
          <w:sz w:val="20"/>
        </w:rPr>
        <w:t xml:space="preserve">As of August 1, 2025, we announced a voluntary resignation program (the “Program”) as part of our cost reduction initiatives to align our spending level with a strategy to become a pure-play power company. The shutdown of the Display business made some shared function headcount redundant because such functions had supported both the Display and Power businesses. Due to the voluntary nature of the Program, we are unable to provide an exact amount of the related financial impact at this time. However, the Program is expected to result in estimated annual savings in operating expenses of $2 to $3 million with the payback period of 1.5 years.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tbl>
      <w:tblPr>
        <w:tblW w:w="1555" w:type="dxa"/>
        <w:jc w:val="left"/>
        <w:tblInd w:w="0" w:type="dxa"/>
        <w:tblLayout w:type="fixed"/>
        <w:tblCellMar>
          <w:top w:w="0" w:type="dxa"/>
          <w:left w:w="0" w:type="dxa"/>
          <w:bottom w:w="0" w:type="dxa"/>
          <w:right w:w="0" w:type="dxa"/>
        </w:tblCellMar>
      </w:tblPr>
      <w:tblGrid>
        <w:gridCol w:w="725"/>
        <w:gridCol w:w="830"/>
      </w:tblGrid>
      <w:tr>
        <w:trPr/>
        <w:tc>
          <w:tcPr>
            <w:tcW w:w="725" w:type="dxa"/>
            <w:tcBorders/>
            <w:vAlign w:val="center"/>
          </w:tcPr>
          <w:p>
            <w:pPr>
              <w:pStyle w:val="TableContents"/>
              <w:bidi w:val="0"/>
              <w:spacing w:before="0" w:after="283"/>
              <w:jc w:val="left"/>
              <w:rPr>
                <w:b/>
              </w:rPr>
            </w:pPr>
            <w:bookmarkStart w:id="14" w:name="toc913307_19"/>
            <w:bookmarkEnd w:id="14"/>
            <w:r>
              <w:rPr>
                <w:b/>
              </w:rPr>
              <w:t>Item 6.</w:t>
            </w:r>
          </w:p>
        </w:tc>
        <w:tc>
          <w:tcPr>
            <w:tcW w:w="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31"/>
        <w:gridCol w:w="120"/>
        <w:gridCol w:w="9254"/>
      </w:tblGrid>
      <w:tr>
        <w:trPr/>
        <w:tc>
          <w:tcPr>
            <w:tcW w:w="8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54" w:type="dxa"/>
            <w:tcBorders/>
            <w:vAlign w:val="center"/>
          </w:tcPr>
          <w:p>
            <w:pPr>
              <w:pStyle w:val="TableContents"/>
              <w:bidi w:val="0"/>
              <w:spacing w:before="0" w:after="283"/>
              <w:jc w:val="left"/>
              <w:rPr>
                <w:sz w:val="4"/>
                <w:szCs w:val="4"/>
              </w:rPr>
            </w:pPr>
            <w:r>
              <w:rPr>
                <w:sz w:val="4"/>
                <w:szCs w:val="4"/>
              </w:rPr>
            </w:r>
          </w:p>
        </w:tc>
      </w:tr>
      <w:tr>
        <w:trPr/>
        <w:tc>
          <w:tcPr>
            <w:tcW w:w="831"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254"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9254" w:type="dxa"/>
            <w:tcBorders/>
            <w:vAlign w:val="center"/>
          </w:tcPr>
          <w:p>
            <w:pPr>
              <w:pStyle w:val="TableContents"/>
              <w:bidi w:val="0"/>
              <w:spacing w:before="0" w:after="283"/>
              <w:jc w:val="left"/>
              <w:rPr/>
            </w:pPr>
            <w:hyperlink w:anchor="d913307dex101.htm">
              <w:r>
                <w:rPr>
                  <w:rStyle w:val="InternetLink"/>
                </w:rPr>
                <w:t xml:space="preserve">Amendment to Employment Agreement, dated April 28, 2025, by and among Magnachip Semiconductor Corporation, Magnachip Semiconductor, Ltd., and Young-Joon Kim. </w:t>
              </w:r>
            </w:hyperlink>
          </w:p>
        </w:tc>
      </w:tr>
      <w:tr>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vAlign w:val="center"/>
          </w:tcPr>
          <w:p>
            <w:pPr>
              <w:pStyle w:val="TableContents"/>
              <w:bidi w:val="0"/>
              <w:spacing w:before="0" w:after="283"/>
              <w:jc w:val="left"/>
              <w:rPr/>
            </w:pPr>
            <w:r>
              <w:rPr/>
              <w:t> </w:t>
            </w:r>
            <w:r>
              <w:rPr/>
              <w:t>10.2#*</w:t>
            </w:r>
          </w:p>
        </w:tc>
        <w:tc>
          <w:tcPr>
            <w:tcW w:w="120" w:type="dxa"/>
            <w:tcBorders/>
            <w:vAlign w:val="center"/>
          </w:tcPr>
          <w:p>
            <w:pPr>
              <w:pStyle w:val="TableContents"/>
              <w:bidi w:val="0"/>
              <w:spacing w:before="0" w:after="283"/>
              <w:jc w:val="left"/>
              <w:rPr/>
            </w:pPr>
            <w:r>
              <w:rPr/>
              <w:t>  </w:t>
            </w:r>
          </w:p>
        </w:tc>
        <w:tc>
          <w:tcPr>
            <w:tcW w:w="9254" w:type="dxa"/>
            <w:tcBorders/>
            <w:vAlign w:val="center"/>
          </w:tcPr>
          <w:p>
            <w:pPr>
              <w:pStyle w:val="TableContents"/>
              <w:bidi w:val="0"/>
              <w:spacing w:before="0" w:after="283"/>
              <w:jc w:val="left"/>
              <w:rPr/>
            </w:pPr>
            <w:hyperlink w:anchor="d913307dex102.htm">
              <w:r>
                <w:rPr>
                  <w:rStyle w:val="InternetLink"/>
                </w:rPr>
                <w:t xml:space="preserve">Amended and Restated Executive Service Agreement, dated April 28, 2025, by and among Magnachip Semiconductor Corporation, Magnachip Semiconductor, Ltd., and Shin Young Park. </w:t>
              </w:r>
            </w:hyperlink>
          </w:p>
        </w:tc>
      </w:tr>
      <w:tr>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vAlign w:val="center"/>
          </w:tcPr>
          <w:p>
            <w:pPr>
              <w:pStyle w:val="TableContents"/>
              <w:bidi w:val="0"/>
              <w:spacing w:before="0" w:after="283"/>
              <w:jc w:val="left"/>
              <w:rPr/>
            </w:pPr>
            <w:r>
              <w:rPr/>
              <w:t> </w:t>
            </w:r>
            <w:r>
              <w:rPr/>
              <w:t>10.3#*</w:t>
            </w:r>
          </w:p>
        </w:tc>
        <w:tc>
          <w:tcPr>
            <w:tcW w:w="120" w:type="dxa"/>
            <w:tcBorders/>
            <w:vAlign w:val="center"/>
          </w:tcPr>
          <w:p>
            <w:pPr>
              <w:pStyle w:val="TableContents"/>
              <w:bidi w:val="0"/>
              <w:spacing w:before="0" w:after="283"/>
              <w:jc w:val="left"/>
              <w:rPr/>
            </w:pPr>
            <w:r>
              <w:rPr/>
              <w:t>  </w:t>
            </w:r>
          </w:p>
        </w:tc>
        <w:tc>
          <w:tcPr>
            <w:tcW w:w="9254" w:type="dxa"/>
            <w:tcBorders/>
            <w:vAlign w:val="center"/>
          </w:tcPr>
          <w:p>
            <w:pPr>
              <w:pStyle w:val="TableContents"/>
              <w:bidi w:val="0"/>
              <w:spacing w:before="0" w:after="283"/>
              <w:jc w:val="left"/>
              <w:rPr/>
            </w:pPr>
            <w:hyperlink w:anchor="d913307dex103.htm">
              <w:r>
                <w:rPr>
                  <w:rStyle w:val="InternetLink"/>
                </w:rPr>
                <w:t xml:space="preserve">Amendment to Employment Agreement, dated April 28, 2025, by and among Magnachip Semiconductor Corporation, Magnachip Semiconductor, Ltd., and Shin Young Park. </w:t>
              </w:r>
            </w:hyperlink>
          </w:p>
        </w:tc>
      </w:tr>
      <w:tr>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vAlign w:val="center"/>
          </w:tcPr>
          <w:p>
            <w:pPr>
              <w:pStyle w:val="TableContents"/>
              <w:bidi w:val="0"/>
              <w:spacing w:before="0" w:after="283"/>
              <w:jc w:val="left"/>
              <w:rPr/>
            </w:pPr>
            <w:r>
              <w:rPr/>
              <w:t> </w:t>
            </w:r>
            <w:r>
              <w:rPr/>
              <w:t>10.4#*</w:t>
            </w:r>
          </w:p>
        </w:tc>
        <w:tc>
          <w:tcPr>
            <w:tcW w:w="120" w:type="dxa"/>
            <w:tcBorders/>
            <w:vAlign w:val="center"/>
          </w:tcPr>
          <w:p>
            <w:pPr>
              <w:pStyle w:val="TableContents"/>
              <w:bidi w:val="0"/>
              <w:spacing w:before="0" w:after="283"/>
              <w:jc w:val="left"/>
              <w:rPr/>
            </w:pPr>
            <w:r>
              <w:rPr/>
              <w:t>  </w:t>
            </w:r>
          </w:p>
        </w:tc>
        <w:tc>
          <w:tcPr>
            <w:tcW w:w="9254" w:type="dxa"/>
            <w:tcBorders/>
            <w:vAlign w:val="center"/>
          </w:tcPr>
          <w:p>
            <w:pPr>
              <w:pStyle w:val="TableContents"/>
              <w:bidi w:val="0"/>
              <w:spacing w:before="0" w:after="283"/>
              <w:jc w:val="left"/>
              <w:rPr/>
            </w:pPr>
            <w:hyperlink w:anchor="d913307dex104.htm">
              <w:r>
                <w:rPr>
                  <w:rStyle w:val="InternetLink"/>
                </w:rPr>
                <w:t xml:space="preserve">Amended and Restated Director Compensation Policy, dated June 26, 2025. </w:t>
              </w:r>
            </w:hyperlink>
          </w:p>
        </w:tc>
      </w:tr>
      <w:tr>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vAlign w:val="center"/>
          </w:tcPr>
          <w:p>
            <w:pPr>
              <w:pStyle w:val="TableContents"/>
              <w:bidi w:val="0"/>
              <w:spacing w:before="0" w:after="283"/>
              <w:jc w:val="left"/>
              <w:rPr/>
            </w:pPr>
            <w:r>
              <w:rPr/>
              <w:t> </w:t>
            </w:r>
            <w:r>
              <w:rPr/>
              <w:t>31.1#</w:t>
            </w:r>
          </w:p>
        </w:tc>
        <w:tc>
          <w:tcPr>
            <w:tcW w:w="120" w:type="dxa"/>
            <w:tcBorders/>
            <w:vAlign w:val="center"/>
          </w:tcPr>
          <w:p>
            <w:pPr>
              <w:pStyle w:val="TableContents"/>
              <w:bidi w:val="0"/>
              <w:spacing w:before="0" w:after="283"/>
              <w:jc w:val="left"/>
              <w:rPr/>
            </w:pPr>
            <w:r>
              <w:rPr/>
              <w:t>  </w:t>
            </w:r>
          </w:p>
        </w:tc>
        <w:tc>
          <w:tcPr>
            <w:tcW w:w="9254" w:type="dxa"/>
            <w:tcBorders/>
            <w:vAlign w:val="center"/>
          </w:tcPr>
          <w:p>
            <w:pPr>
              <w:pStyle w:val="TableContents"/>
              <w:bidi w:val="0"/>
              <w:spacing w:before="0" w:after="283"/>
              <w:jc w:val="left"/>
              <w:rPr/>
            </w:pPr>
            <w:hyperlink w:anchor="d913307dex311.htm">
              <w:r>
                <w:rPr>
                  <w:rStyle w:val="InternetLink"/>
                </w:rPr>
                <w:t xml:space="preserve">Certification pursuant to Rule 13a-14(a) or Rule 15d-14(a) of the Securities Exchange Act of 1934 of the Principal Executive Officer. </w:t>
              </w:r>
            </w:hyperlink>
          </w:p>
        </w:tc>
      </w:tr>
      <w:tr>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vAlign w:val="center"/>
          </w:tcPr>
          <w:p>
            <w:pPr>
              <w:pStyle w:val="TableContents"/>
              <w:bidi w:val="0"/>
              <w:spacing w:before="0" w:after="283"/>
              <w:jc w:val="left"/>
              <w:rPr/>
            </w:pPr>
            <w:r>
              <w:rPr/>
              <w:t> </w:t>
            </w:r>
            <w:r>
              <w:rPr/>
              <w:t>31.2#</w:t>
            </w:r>
          </w:p>
        </w:tc>
        <w:tc>
          <w:tcPr>
            <w:tcW w:w="120" w:type="dxa"/>
            <w:tcBorders/>
            <w:vAlign w:val="center"/>
          </w:tcPr>
          <w:p>
            <w:pPr>
              <w:pStyle w:val="TableContents"/>
              <w:bidi w:val="0"/>
              <w:spacing w:before="0" w:after="283"/>
              <w:jc w:val="left"/>
              <w:rPr/>
            </w:pPr>
            <w:r>
              <w:rPr/>
              <w:t>  </w:t>
            </w:r>
          </w:p>
        </w:tc>
        <w:tc>
          <w:tcPr>
            <w:tcW w:w="9254" w:type="dxa"/>
            <w:tcBorders/>
            <w:vAlign w:val="center"/>
          </w:tcPr>
          <w:p>
            <w:pPr>
              <w:pStyle w:val="TableContents"/>
              <w:bidi w:val="0"/>
              <w:spacing w:before="0" w:after="283"/>
              <w:jc w:val="left"/>
              <w:rPr/>
            </w:pPr>
            <w:hyperlink w:anchor="d913307dex312.htm">
              <w:r>
                <w:rPr>
                  <w:rStyle w:val="InternetLink"/>
                </w:rPr>
                <w:t xml:space="preserve">Certification pursuant to Rule 13a-14(a) or Rule 15d-14(a) of the Securities Exchange Act of 1934 of the Principal Financial Officer. </w:t>
              </w:r>
            </w:hyperlink>
          </w:p>
        </w:tc>
      </w:tr>
      <w:tr>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vAlign w:val="center"/>
          </w:tcPr>
          <w:p>
            <w:pPr>
              <w:pStyle w:val="TableContents"/>
              <w:bidi w:val="0"/>
              <w:spacing w:before="0" w:after="283"/>
              <w:jc w:val="left"/>
              <w:rPr/>
            </w:pPr>
            <w:r>
              <w:rPr/>
              <w:t> </w:t>
            </w:r>
            <w:r>
              <w:rPr/>
              <w:t>32.1†</w:t>
            </w:r>
          </w:p>
        </w:tc>
        <w:tc>
          <w:tcPr>
            <w:tcW w:w="120" w:type="dxa"/>
            <w:tcBorders/>
            <w:vAlign w:val="center"/>
          </w:tcPr>
          <w:p>
            <w:pPr>
              <w:pStyle w:val="TableContents"/>
              <w:bidi w:val="0"/>
              <w:spacing w:before="0" w:after="283"/>
              <w:jc w:val="left"/>
              <w:rPr/>
            </w:pPr>
            <w:r>
              <w:rPr/>
              <w:t>  </w:t>
            </w:r>
          </w:p>
        </w:tc>
        <w:tc>
          <w:tcPr>
            <w:tcW w:w="9254" w:type="dxa"/>
            <w:tcBorders/>
            <w:vAlign w:val="center"/>
          </w:tcPr>
          <w:p>
            <w:pPr>
              <w:pStyle w:val="TableContents"/>
              <w:bidi w:val="0"/>
              <w:spacing w:before="0" w:after="283"/>
              <w:jc w:val="left"/>
              <w:rPr/>
            </w:pPr>
            <w:hyperlink w:anchor="d913307dex321.htm">
              <w:r>
                <w:rPr>
                  <w:rStyle w:val="InternetLink"/>
                </w:rPr>
                <w:t xml:space="preserve">Certification pursuant to 18 U.S.C. Section 1350, as adopted pursuant to Section 906 of the Sarbanes-Oxley Act of 2002, of the Principal Executive Officer. </w:t>
              </w:r>
            </w:hyperlink>
          </w:p>
        </w:tc>
      </w:tr>
      <w:tr>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vAlign w:val="center"/>
          </w:tcPr>
          <w:p>
            <w:pPr>
              <w:pStyle w:val="TableContents"/>
              <w:bidi w:val="0"/>
              <w:spacing w:before="0" w:after="283"/>
              <w:jc w:val="left"/>
              <w:rPr/>
            </w:pPr>
            <w:r>
              <w:rPr/>
              <w:t> </w:t>
            </w:r>
            <w:r>
              <w:rPr/>
              <w:t>32.2†</w:t>
            </w:r>
          </w:p>
        </w:tc>
        <w:tc>
          <w:tcPr>
            <w:tcW w:w="120" w:type="dxa"/>
            <w:tcBorders/>
            <w:vAlign w:val="center"/>
          </w:tcPr>
          <w:p>
            <w:pPr>
              <w:pStyle w:val="TableContents"/>
              <w:bidi w:val="0"/>
              <w:spacing w:before="0" w:after="283"/>
              <w:jc w:val="left"/>
              <w:rPr/>
            </w:pPr>
            <w:r>
              <w:rPr/>
              <w:t>  </w:t>
            </w:r>
          </w:p>
        </w:tc>
        <w:tc>
          <w:tcPr>
            <w:tcW w:w="9254" w:type="dxa"/>
            <w:tcBorders/>
            <w:vAlign w:val="center"/>
          </w:tcPr>
          <w:p>
            <w:pPr>
              <w:pStyle w:val="TableContents"/>
              <w:bidi w:val="0"/>
              <w:spacing w:before="0" w:after="283"/>
              <w:jc w:val="left"/>
              <w:rPr/>
            </w:pPr>
            <w:hyperlink w:anchor="d913307dex322.htm">
              <w:r>
                <w:rPr>
                  <w:rStyle w:val="InternetLink"/>
                </w:rPr>
                <w:t xml:space="preserve">Certification pursuant to 18 U.S.C. Section 1350, as adopted pursuant to Section 906 of the Sarbanes-Oxley Act of 2002, of the Principal Financial Officer. </w:t>
              </w:r>
            </w:hyperlink>
          </w:p>
        </w:tc>
      </w:tr>
      <w:tr>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254" w:type="dxa"/>
            <w:tcBorders/>
            <w:vAlign w:val="center"/>
          </w:tcPr>
          <w:p>
            <w:pPr>
              <w:pStyle w:val="TableContents"/>
              <w:bidi w:val="0"/>
              <w:spacing w:before="0" w:after="283"/>
              <w:jc w:val="left"/>
              <w:rPr/>
            </w:pPr>
            <w:r>
              <w:rPr/>
              <w:t>Inline XBRL Instance Document.</w:t>
            </w:r>
          </w:p>
        </w:tc>
      </w:tr>
      <w:tr>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254" w:type="dxa"/>
            <w:tcBorders/>
            <w:vAlign w:val="center"/>
          </w:tcPr>
          <w:p>
            <w:pPr>
              <w:pStyle w:val="TableContents"/>
              <w:bidi w:val="0"/>
              <w:spacing w:before="0" w:after="283"/>
              <w:jc w:val="left"/>
              <w:rPr/>
            </w:pPr>
            <w:r>
              <w:rPr/>
              <w:t>Inline XBRL Taxonomy Extension Schema Document.</w:t>
            </w:r>
          </w:p>
        </w:tc>
      </w:tr>
      <w:tr>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9254" w:type="dxa"/>
            <w:tcBorders/>
            <w:vAlign w:val="center"/>
          </w:tcPr>
          <w:p>
            <w:pPr>
              <w:pStyle w:val="TableContents"/>
              <w:bidi w:val="0"/>
              <w:spacing w:before="0" w:after="283"/>
              <w:jc w:val="left"/>
              <w:rPr/>
            </w:pPr>
            <w:r>
              <w:rPr/>
              <w:t>Inline XBRL Taxonomy Extension Calculation Linkbase Document.</w:t>
            </w:r>
          </w:p>
        </w:tc>
      </w:tr>
      <w:tr>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9254" w:type="dxa"/>
            <w:tcBorders/>
            <w:vAlign w:val="center"/>
          </w:tcPr>
          <w:p>
            <w:pPr>
              <w:pStyle w:val="TableContents"/>
              <w:bidi w:val="0"/>
              <w:spacing w:before="0" w:after="283"/>
              <w:jc w:val="left"/>
              <w:rPr/>
            </w:pPr>
            <w:r>
              <w:rPr/>
              <w:t>Inline XBRL Taxonomy Extension Definition Linkbase Document.</w:t>
            </w:r>
          </w:p>
        </w:tc>
      </w:tr>
      <w:tr>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9254" w:type="dxa"/>
            <w:tcBorders/>
            <w:vAlign w:val="center"/>
          </w:tcPr>
          <w:p>
            <w:pPr>
              <w:pStyle w:val="TableContents"/>
              <w:bidi w:val="0"/>
              <w:spacing w:before="0" w:after="283"/>
              <w:jc w:val="left"/>
              <w:rPr/>
            </w:pPr>
            <w:r>
              <w:rPr/>
              <w:t>Inline XBRL Taxonomy Extension Label Linkbase Document.</w:t>
            </w:r>
          </w:p>
        </w:tc>
      </w:tr>
      <w:tr>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9254" w:type="dxa"/>
            <w:tcBorders/>
            <w:vAlign w:val="center"/>
          </w:tcPr>
          <w:p>
            <w:pPr>
              <w:pStyle w:val="TableContents"/>
              <w:bidi w:val="0"/>
              <w:spacing w:before="0" w:after="283"/>
              <w:jc w:val="left"/>
              <w:rPr/>
            </w:pPr>
            <w:r>
              <w:rPr/>
              <w:t>Inline XBRL Taxonomy Extension Presentation Linkbase Document.</w:t>
            </w:r>
          </w:p>
        </w:tc>
      </w:tr>
      <w:tr>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54"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240" w:after="0"/>
        <w:jc w:val="left"/>
        <w:rPr>
          <w:rFonts w:ascii="Times New Roman" w:hAnsi="Times New Roman"/>
          <w:sz w:val="20"/>
        </w:rPr>
      </w:pPr>
      <w:r>
        <w:rPr>
          <w:rFonts w:ascii="Times New Roman" w:hAnsi="Times New Roman"/>
          <w:sz w:val="20"/>
        </w:rPr>
        <w:t xml:space="preserve">Footnotes: </w:t>
      </w:r>
    </w:p>
    <w:p>
      <w:pPr>
        <w:pStyle w:val="TextBody"/>
        <w:bidi w:val="0"/>
        <w:spacing w:before="0" w:after="0"/>
        <w:jc w:val="left"/>
        <w:rPr/>
      </w:pPr>
      <w:r>
        <w:rPr/>
        <w:t> </w:t>
      </w:r>
    </w:p>
    <w:tbl>
      <w:tblPr>
        <w:tblW w:w="1465" w:type="dxa"/>
        <w:jc w:val="left"/>
        <w:tblInd w:w="0" w:type="dxa"/>
        <w:tblLayout w:type="fixed"/>
        <w:tblCellMar>
          <w:top w:w="0" w:type="dxa"/>
          <w:left w:w="0" w:type="dxa"/>
          <w:bottom w:w="0" w:type="dxa"/>
          <w:right w:w="0" w:type="dxa"/>
        </w:tblCellMar>
      </w:tblPr>
      <w:tblGrid>
        <w:gridCol w:w="215"/>
        <w:gridCol w:w="1250"/>
      </w:tblGrid>
      <w:tr>
        <w:trPr/>
        <w:tc>
          <w:tcPr>
            <w:tcW w:w="21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1795" w:type="dxa"/>
        <w:jc w:val="left"/>
        <w:tblInd w:w="0" w:type="dxa"/>
        <w:tblLayout w:type="fixed"/>
        <w:tblCellMar>
          <w:top w:w="0" w:type="dxa"/>
          <w:left w:w="0" w:type="dxa"/>
          <w:bottom w:w="0" w:type="dxa"/>
          <w:right w:w="0" w:type="dxa"/>
        </w:tblCellMar>
      </w:tblPr>
      <w:tblGrid>
        <w:gridCol w:w="155"/>
        <w:gridCol w:w="1640"/>
      </w:tblGrid>
      <w:tr>
        <w:trPr/>
        <w:tc>
          <w:tcPr>
            <w:tcW w:w="155"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Furnished herewith </w:t>
            </w:r>
          </w:p>
        </w:tc>
      </w:tr>
    </w:tbl>
    <w:tbl>
      <w:tblPr>
        <w:tblW w:w="4900" w:type="dxa"/>
        <w:jc w:val="left"/>
        <w:tblInd w:w="0" w:type="dxa"/>
        <w:tblLayout w:type="fixed"/>
        <w:tblCellMar>
          <w:top w:w="0" w:type="dxa"/>
          <w:left w:w="0" w:type="dxa"/>
          <w:bottom w:w="0" w:type="dxa"/>
          <w:right w:w="0" w:type="dxa"/>
        </w:tblCellMar>
      </w:tblPr>
      <w:tblGrid>
        <w:gridCol w:w="155"/>
        <w:gridCol w:w="4745"/>
      </w:tblGrid>
      <w:tr>
        <w:trPr/>
        <w:tc>
          <w:tcPr>
            <w:tcW w:w="155"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Management contract, compensatory plan or arrangement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5" w:name="toc913307_20"/>
      <w:bookmarkEnd w:id="15"/>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7793"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503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3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5"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MAGNACHIP SEMICONDUCTOR CORPORATION</w:t>
            </w:r>
          </w:p>
          <w:p>
            <w:pPr>
              <w:pStyle w:val="TableContents"/>
              <w:bidi w:val="0"/>
              <w:spacing w:before="0" w:after="20"/>
              <w:jc w:val="left"/>
              <w:rPr>
                <w:rFonts w:ascii="Times New Roman" w:hAnsi="Times New Roman"/>
                <w:sz w:val="20"/>
              </w:rPr>
            </w:pPr>
            <w:r>
              <w:rPr>
                <w:rFonts w:ascii="Times New Roman" w:hAnsi="Times New Roman"/>
                <w:sz w:val="20"/>
              </w:rPr>
              <w:t>(Registrant)</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09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Dated: August 5,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Young-Joon Kim</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Young-Joon Kim</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09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Dated: August 5,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Shin Young Park</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 and Principal Accounting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p>
    <w:p>
      <w:pPr>
        <w:pStyle w:val="TextBody"/>
        <w:bidi w:val="0"/>
        <w:spacing w:before="0" w:after="0"/>
        <w:jc w:val="right"/>
        <w:rPr>
          <w:rFonts w:ascii="Times New Roman" w:hAnsi="Times New Roman"/>
          <w:b/>
          <w:sz w:val="20"/>
        </w:rPr>
      </w:pPr>
      <w:bookmarkStart w:id="16" w:name="d913307dex101.htm"/>
      <w:bookmarkStart w:id="17" w:name="ksd913307dex101"/>
      <w:bookmarkEnd w:id="16"/>
      <w:bookmarkEnd w:id="17"/>
      <w:r>
        <w:rPr>
          <w:rFonts w:ascii="Times New Roman" w:hAnsi="Times New Roman"/>
          <w:b/>
          <w:sz w:val="20"/>
        </w:rPr>
        <w:t xml:space="preserve">Exhibit 10.1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466975"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66975" cy="4953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April 28, 2025 </w:t>
      </w:r>
    </w:p>
    <w:p>
      <w:pPr>
        <w:pStyle w:val="TextBody"/>
        <w:bidi w:val="0"/>
        <w:spacing w:before="240" w:after="0"/>
        <w:jc w:val="left"/>
        <w:rPr>
          <w:rFonts w:ascii="Times New Roman" w:hAnsi="Times New Roman"/>
          <w:sz w:val="20"/>
        </w:rPr>
      </w:pPr>
      <w:r>
        <w:rPr>
          <w:rFonts w:ascii="Times New Roman" w:hAnsi="Times New Roman"/>
          <w:sz w:val="20"/>
        </w:rPr>
        <w:t xml:space="preserve">Mr. Young-Joon Kim </w:t>
      </w:r>
    </w:p>
    <w:p>
      <w:pPr>
        <w:pStyle w:val="TextBody"/>
        <w:bidi w:val="0"/>
        <w:spacing w:before="0" w:after="0"/>
        <w:jc w:val="left"/>
        <w:rPr>
          <w:rFonts w:ascii="Times New Roman" w:hAnsi="Times New Roman"/>
          <w:i/>
          <w:sz w:val="20"/>
        </w:rPr>
      </w:pPr>
      <w:r>
        <w:rPr>
          <w:rFonts w:ascii="Times New Roman" w:hAnsi="Times New Roman"/>
          <w:i/>
          <w:sz w:val="20"/>
        </w:rPr>
        <w:t xml:space="preserve">[address omitted]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rPr>
            </w:pPr>
            <w:r>
              <w:rPr>
                <w:b/>
              </w:rPr>
              <w:t>Re:</w:t>
            </w:r>
          </w:p>
        </w:tc>
        <w:tc>
          <w:tcPr>
            <w:tcW w:w="888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to Employment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Mr. Kim, </w:t>
      </w:r>
    </w:p>
    <w:p>
      <w:pPr>
        <w:pStyle w:val="TextBody"/>
        <w:bidi w:val="0"/>
        <w:spacing w:before="240" w:after="0"/>
        <w:jc w:val="left"/>
        <w:rPr>
          <w:rFonts w:ascii="Times New Roman" w:hAnsi="Times New Roman"/>
          <w:sz w:val="20"/>
        </w:rPr>
      </w:pPr>
      <w:r>
        <w:rPr>
          <w:rFonts w:ascii="Times New Roman" w:hAnsi="Times New Roman"/>
          <w:sz w:val="20"/>
        </w:rPr>
        <w:t>This letter (this </w:t>
      </w:r>
      <w:r>
        <w:rPr>
          <w:rFonts w:ascii="Times New Roman" w:hAnsi="Times New Roman"/>
          <w:sz w:val="20"/>
          <w:u w:val="single"/>
        </w:rPr>
        <w:t>Amendment</w:t>
      </w:r>
      <w:r>
        <w:rPr>
          <w:rFonts w:ascii="Times New Roman" w:hAnsi="Times New Roman"/>
          <w:sz w:val="20"/>
        </w:rPr>
        <w:t>) serves as a second amendment to your Employment Agreement, originally entered into on April 26, 2018 (the </w:t>
      </w:r>
      <w:r>
        <w:rPr>
          <w:rFonts w:ascii="Times New Roman" w:hAnsi="Times New Roman"/>
          <w:sz w:val="20"/>
          <w:u w:val="single"/>
        </w:rPr>
        <w:t>Original Agreement</w:t>
      </w:r>
      <w:r>
        <w:rPr>
          <w:rFonts w:ascii="Times New Roman" w:hAnsi="Times New Roman"/>
          <w:sz w:val="20"/>
        </w:rPr>
        <w:t>), as previously amended by the certain letter agreement dated September 3, 2018 (the </w:t>
      </w:r>
      <w:r>
        <w:rPr>
          <w:rFonts w:ascii="Times New Roman" w:hAnsi="Times New Roman"/>
          <w:sz w:val="20"/>
          <w:u w:val="single"/>
        </w:rPr>
        <w:t>First Amendment</w:t>
      </w:r>
      <w:r>
        <w:rPr>
          <w:rFonts w:ascii="Times New Roman" w:hAnsi="Times New Roman"/>
          <w:sz w:val="20"/>
        </w:rPr>
        <w:t>). The Original Agreement and the First Amendment are collectively referred to as the </w:t>
      </w:r>
      <w:r>
        <w:rPr>
          <w:rFonts w:ascii="Times New Roman" w:hAnsi="Times New Roman"/>
          <w:sz w:val="20"/>
          <w:u w:val="single"/>
        </w:rPr>
        <w:t>Employment Agreement</w:t>
      </w:r>
      <w:r>
        <w:rPr>
          <w:rFonts w:ascii="Times New Roman" w:hAnsi="Times New Roman"/>
          <w:sz w:val="20"/>
        </w:rPr>
        <w:t xml:space="preserve">. Any capitalized term not otherwise defined in this Amendment shall have the meaning ascribed to such term in the Employment Agreement. </w:t>
      </w:r>
    </w:p>
    <w:p>
      <w:pPr>
        <w:pStyle w:val="TextBody"/>
        <w:bidi w:val="0"/>
        <w:spacing w:before="240" w:after="0"/>
        <w:jc w:val="left"/>
        <w:rPr>
          <w:rFonts w:ascii="Times New Roman" w:hAnsi="Times New Roman"/>
          <w:sz w:val="20"/>
        </w:rPr>
      </w:pPr>
      <w:r>
        <w:rPr>
          <w:rFonts w:ascii="Times New Roman" w:hAnsi="Times New Roman"/>
          <w:sz w:val="20"/>
        </w:rPr>
        <w:t>This Amendment sets forth the agreement among you, Magnachip Semiconductor Corporation (</w:t>
      </w:r>
      <w:r>
        <w:rPr>
          <w:rFonts w:ascii="Times New Roman" w:hAnsi="Times New Roman"/>
          <w:sz w:val="20"/>
          <w:u w:val="single"/>
        </w:rPr>
        <w:t>Parent</w:t>
      </w:r>
      <w:r>
        <w:rPr>
          <w:rFonts w:ascii="Times New Roman" w:hAnsi="Times New Roman"/>
          <w:sz w:val="20"/>
        </w:rPr>
        <w:t>) and Magnachip Semiconductor, Ltd. (together with Parent, the </w:t>
      </w:r>
      <w:r>
        <w:rPr>
          <w:rFonts w:ascii="Times New Roman" w:hAnsi="Times New Roman"/>
          <w:sz w:val="20"/>
          <w:u w:val="single"/>
        </w:rPr>
        <w:t>Company</w:t>
      </w:r>
      <w:r>
        <w:rPr>
          <w:rFonts w:ascii="Times New Roman" w:hAnsi="Times New Roman"/>
          <w:sz w:val="20"/>
        </w:rPr>
        <w:t xml:space="preserve">) concerning a temporary reduction in your Annual Base Salary as described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rPr>
              <w:t>Temporary Salary Reduction.</w:t>
            </w:r>
            <w:r>
              <w:rPr>
                <w:rFonts w:ascii="Times New Roman" w:hAnsi="Times New Roman"/>
                <w:sz w:val="20"/>
              </w:rPr>
              <w:t xml:space="preserve"> Effective as of April 1, 2025, your Annual Base Salary of USD 560,100 (the </w:t>
            </w:r>
            <w:r>
              <w:rPr>
                <w:rFonts w:ascii="Times New Roman" w:hAnsi="Times New Roman"/>
                <w:sz w:val="20"/>
                <w:u w:val="single"/>
              </w:rPr>
              <w:t>Original Base Salary</w:t>
            </w:r>
            <w:r>
              <w:rPr>
                <w:rFonts w:ascii="Times New Roman" w:hAnsi="Times New Roman"/>
                <w:sz w:val="20"/>
              </w:rPr>
              <w:t>) will be temporarily reduced by twenty percent (20%) to the annualized amount of USD 448,080 (the </w:t>
            </w:r>
            <w:r>
              <w:rPr>
                <w:rFonts w:ascii="Times New Roman" w:hAnsi="Times New Roman"/>
                <w:sz w:val="20"/>
                <w:u w:val="single"/>
              </w:rPr>
              <w:t>Reduced Base Salary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rPr>
              <w:t>Duration of Reduction.</w:t>
            </w:r>
            <w:r>
              <w:rPr>
                <w:rFonts w:ascii="Times New Roman" w:hAnsi="Times New Roman"/>
                <w:sz w:val="20"/>
              </w:rPr>
              <w:t xml:space="preserve"> This reduction will remain in effect until such time as the Company becomes profitable. The Company shall be deemed to have become profitable if the operating income line on the consolidated financial statements of the Company is greater than zero for any two (2) consecutive fiscal quarters. If the Company becomes profitable, then your Annual Base Salary shall return to the Original Base Salary, effective as of the first day of the fiscal quarter immediately following such profitable two (2) consecutive fiscal quarters. For the avoidance of doubt, even if the Company does not remain profitable in subsequent fiscal quarters, your Annual Base Salary shall not be reduced unless otherwise agreed in writing by you and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3.</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b/>
                <w:sz w:val="20"/>
              </w:rPr>
              <w:t>Restoration of Base Salary.</w:t>
            </w:r>
            <w:r>
              <w:rPr>
                <w:rFonts w:ascii="Times New Roman" w:hAnsi="Times New Roman"/>
                <w:sz w:val="20"/>
              </w:rPr>
              <w:t xml:space="preserve"> Upon the occurrence of a Change in Control (regardless of whether accompanied by termination), your Annual Base Salary shall immediately return to the Original Base Salary.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Preservation of Original Base Salary for Certain Calculations.</w:t>
            </w:r>
            <w:r>
              <w:rPr>
                <w:rFonts w:ascii="Times New Roman" w:hAnsi="Times New Roman"/>
                <w:sz w:val="20"/>
              </w:rPr>
              <w:t xml:space="preserve"> Notwithstanding anything to the contrary herein or in the Employment Agreement, (a) the calculation of any statutory severance or pension benefits will be done based on your Original Base Salary prior to the reduction described in </w:t>
            </w:r>
            <w:r>
              <w:rPr>
                <w:rFonts w:ascii="Times New Roman" w:hAnsi="Times New Roman"/>
                <w:sz w:val="20"/>
                <w:u w:val="single"/>
              </w:rPr>
              <w:t>Section 1</w:t>
            </w:r>
            <w:r>
              <w:rPr>
                <w:rFonts w:ascii="Times New Roman" w:hAnsi="Times New Roman"/>
                <w:sz w:val="20"/>
              </w:rPr>
              <w:t xml:space="preserve"> above (and not the Reduced Base Salary), and (b) any reference to Annual Base Salary or Final Base Salary in Sections 3(b) and 5(b) of the Employment Agreement shall be deemed to refer to your Original Base Salary prior to the reduction described in </w:t>
            </w:r>
            <w:r>
              <w:rPr>
                <w:rFonts w:ascii="Times New Roman" w:hAnsi="Times New Roman"/>
                <w:sz w:val="20"/>
                <w:u w:val="single"/>
              </w:rPr>
              <w:t>Section 1</w:t>
            </w:r>
            <w:r>
              <w:rPr>
                <w:rFonts w:ascii="Times New Roman" w:hAnsi="Times New Roman"/>
                <w:sz w:val="20"/>
              </w:rPr>
              <w:t xml:space="preserve"> above (and not the Reduced Base Salary).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Magnachip Semiconductor, 40F, Parc.1 Tower 2, 108, Yeoui-daero, Yeongdeungpo-gu, Seoul, Republic of Korea, 07335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95425" cy="3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95425" cy="3048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Amendment and the Employment Agreement, as amended, contain the entire understanding among the parties on the subjects covered herein and supersede all prior agreements, arrangements and understandings, whether written or oral, regarding the subjects covered herein. Except as expressly set forth in this Amendment, all other terms and conditions of the Employment Agreement, as amended, shall remain unchanged and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Please indicate your agreement to the terms of this Amendment by signing and returning this letter to me by May 1, 2025. </w:t>
      </w:r>
    </w:p>
    <w:p>
      <w:pPr>
        <w:pStyle w:val="TextBody"/>
        <w:bidi w:val="0"/>
        <w:spacing w:before="240" w:after="0"/>
        <w:jc w:val="left"/>
        <w:rPr>
          <w:rFonts w:ascii="Times New Roman" w:hAnsi="Times New Roman"/>
          <w:sz w:val="20"/>
        </w:rPr>
      </w:pPr>
      <w:r>
        <w:rPr>
          <w:rFonts w:ascii="Times New Roman" w:hAnsi="Times New Roman"/>
          <w:sz w:val="20"/>
        </w:rPr>
        <w:t xml:space="preserve">Yours sincerely,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989"/>
        <w:gridCol w:w="175"/>
        <w:gridCol w:w="2918"/>
      </w:tblGrid>
      <w:tr>
        <w:trPr/>
        <w:tc>
          <w:tcPr>
            <w:tcW w:w="98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MAGNACHIP SEMICONDUCTOR CORPORATION</w:t>
            </w:r>
          </w:p>
        </w:tc>
      </w:tr>
      <w:tr>
        <w:trPr>
          <w:trHeight w:val="240" w:hRule="atLeast"/>
        </w:trPr>
        <w:tc>
          <w:tcPr>
            <w:tcW w:w="989" w:type="dxa"/>
            <w:tcBorders/>
            <w:vAlign w:val="center"/>
          </w:tcPr>
          <w:p>
            <w:pPr>
              <w:pStyle w:val="TableContents"/>
              <w:bidi w:val="0"/>
              <w:spacing w:before="0" w:after="283"/>
              <w:jc w:val="left"/>
              <w:rPr>
                <w:sz w:val="4"/>
                <w:szCs w:val="4"/>
              </w:rPr>
            </w:pPr>
            <w:r>
              <w:rPr>
                <w:sz w:val="4"/>
                <w:szCs w:val="4"/>
              </w:rPr>
            </w:r>
          </w:p>
        </w:tc>
        <w:tc>
          <w:tcPr>
            <w:tcW w:w="3093" w:type="dxa"/>
            <w:gridSpan w:val="2"/>
            <w:tcBorders/>
            <w:vAlign w:val="center"/>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283"/>
              <w:jc w:val="left"/>
              <w:rPr/>
            </w:pPr>
            <w:r>
              <w:rPr/>
              <w:t>By:</w:t>
            </w:r>
          </w:p>
        </w:tc>
        <w:tc>
          <w:tcPr>
            <w:tcW w:w="175" w:type="dxa"/>
            <w:tcBorders/>
            <w:vAlign w:val="bottom"/>
          </w:tcPr>
          <w:p>
            <w:pPr>
              <w:pStyle w:val="TableContents"/>
              <w:bidi w:val="0"/>
              <w:spacing w:before="0" w:after="283"/>
              <w:jc w:val="left"/>
              <w:rPr/>
            </w:pPr>
            <w:r>
              <w:rPr/>
              <w:t> </w:t>
            </w:r>
          </w:p>
        </w:tc>
        <w:tc>
          <w:tcPr>
            <w:tcW w:w="29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Theodore Kim</w:t>
            </w:r>
          </w:p>
        </w:tc>
      </w:tr>
      <w:tr>
        <w:trPr/>
        <w:tc>
          <w:tcPr>
            <w:tcW w:w="4082" w:type="dxa"/>
            <w:gridSpan w:val="3"/>
            <w:tcBorders/>
          </w:tcPr>
          <w:p>
            <w:pPr>
              <w:pStyle w:val="TableContents"/>
              <w:bidi w:val="0"/>
              <w:spacing w:before="0" w:after="283"/>
              <w:jc w:val="left"/>
              <w:rPr/>
            </w:pPr>
            <w:r>
              <w:rPr/>
              <w:t>Name: Theodore Kim</w:t>
            </w:r>
          </w:p>
        </w:tc>
      </w:tr>
      <w:tr>
        <w:trPr/>
        <w:tc>
          <w:tcPr>
            <w:tcW w:w="4082" w:type="dxa"/>
            <w:gridSpan w:val="3"/>
            <w:tcBorders/>
          </w:tcPr>
          <w:p>
            <w:pPr>
              <w:pStyle w:val="TableContents"/>
              <w:bidi w:val="0"/>
              <w:spacing w:before="0" w:after="283"/>
              <w:jc w:val="left"/>
              <w:rPr/>
            </w:pPr>
            <w:r>
              <w:rPr/>
              <w:t>Title: Chief Compliance Officer and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MAGNACHIP SEMICONDUCTOR, LTD.</w:t>
            </w:r>
          </w:p>
        </w:tc>
      </w:tr>
      <w:tr>
        <w:trPr>
          <w:trHeight w:val="240" w:hRule="atLeast"/>
        </w:trPr>
        <w:tc>
          <w:tcPr>
            <w:tcW w:w="989" w:type="dxa"/>
            <w:tcBorders/>
            <w:vAlign w:val="center"/>
          </w:tcPr>
          <w:p>
            <w:pPr>
              <w:pStyle w:val="TableContents"/>
              <w:bidi w:val="0"/>
              <w:spacing w:before="0" w:after="283"/>
              <w:jc w:val="left"/>
              <w:rPr>
                <w:sz w:val="4"/>
                <w:szCs w:val="4"/>
              </w:rPr>
            </w:pPr>
            <w:r>
              <w:rPr>
                <w:sz w:val="4"/>
                <w:szCs w:val="4"/>
              </w:rPr>
            </w:r>
          </w:p>
        </w:tc>
        <w:tc>
          <w:tcPr>
            <w:tcW w:w="3093" w:type="dxa"/>
            <w:gridSpan w:val="2"/>
            <w:tcBorders/>
            <w:vAlign w:val="center"/>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283"/>
              <w:jc w:val="left"/>
              <w:rPr/>
            </w:pPr>
            <w:r>
              <w:rPr/>
              <w:t>By:</w:t>
            </w:r>
          </w:p>
        </w:tc>
        <w:tc>
          <w:tcPr>
            <w:tcW w:w="175" w:type="dxa"/>
            <w:tcBorders/>
            <w:vAlign w:val="bottom"/>
          </w:tcPr>
          <w:p>
            <w:pPr>
              <w:pStyle w:val="TableContents"/>
              <w:bidi w:val="0"/>
              <w:spacing w:before="0" w:after="283"/>
              <w:jc w:val="left"/>
              <w:rPr/>
            </w:pPr>
            <w:r>
              <w:rPr/>
              <w:t> </w:t>
            </w:r>
          </w:p>
        </w:tc>
        <w:tc>
          <w:tcPr>
            <w:tcW w:w="29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Theodore Kim</w:t>
            </w:r>
          </w:p>
        </w:tc>
      </w:tr>
      <w:tr>
        <w:trPr/>
        <w:tc>
          <w:tcPr>
            <w:tcW w:w="4082" w:type="dxa"/>
            <w:gridSpan w:val="3"/>
            <w:tcBorders/>
          </w:tcPr>
          <w:p>
            <w:pPr>
              <w:pStyle w:val="TableContents"/>
              <w:bidi w:val="0"/>
              <w:spacing w:before="0" w:after="283"/>
              <w:jc w:val="left"/>
              <w:rPr/>
            </w:pPr>
            <w:r>
              <w:rPr/>
              <w:t>Name: Theodore Kim</w:t>
            </w:r>
          </w:p>
        </w:tc>
      </w:tr>
      <w:tr>
        <w:trPr/>
        <w:tc>
          <w:tcPr>
            <w:tcW w:w="4082" w:type="dxa"/>
            <w:gridSpan w:val="3"/>
            <w:tcBorders/>
          </w:tcPr>
          <w:p>
            <w:pPr>
              <w:pStyle w:val="TableContents"/>
              <w:bidi w:val="0"/>
              <w:spacing w:before="0" w:after="283"/>
              <w:jc w:val="left"/>
              <w:rPr/>
            </w:pPr>
            <w:r>
              <w:rPr/>
              <w:t>Title: Director and Executive Vice President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I hereby confirm my receipt, understanding and agreement with the terms of this Amendment.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Young-Joon Kim</w:t>
            </w:r>
          </w:p>
        </w:tc>
      </w:tr>
      <w:tr>
        <w:trPr/>
        <w:tc>
          <w:tcPr>
            <w:tcW w:w="4082" w:type="dxa"/>
            <w:tcBorders/>
            <w:vAlign w:val="bottom"/>
          </w:tcPr>
          <w:p>
            <w:pPr>
              <w:pStyle w:val="TableContents"/>
              <w:bidi w:val="0"/>
              <w:spacing w:before="0" w:after="283"/>
              <w:jc w:val="left"/>
              <w:rPr/>
            </w:pPr>
            <w:r>
              <w:rPr/>
              <w:t>Young-Joon Kim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18" w:name="d913307dex102.htm"/>
      <w:bookmarkStart w:id="19" w:name="ksd913307dex102"/>
      <w:bookmarkEnd w:id="18"/>
      <w:bookmarkEnd w:id="19"/>
      <w:r>
        <w:rPr>
          <w:rFonts w:ascii="Times New Roman" w:hAnsi="Times New Roman"/>
          <w:b/>
          <w:sz w:val="20"/>
        </w:rPr>
        <w:t xml:space="preserve">Exhibit 10.2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Shin Young Park </w:t>
      </w:r>
    </w:p>
    <w:p>
      <w:pPr>
        <w:pStyle w:val="TextBody"/>
        <w:bidi w:val="0"/>
        <w:spacing w:before="48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EXECUTIVE SERVICE AGREEMENT </w:t>
      </w:r>
    </w:p>
    <w:p>
      <w:pPr>
        <w:pStyle w:val="TextBody"/>
        <w:bidi w:val="0"/>
        <w:spacing w:before="240" w:after="0"/>
        <w:jc w:val="left"/>
        <w:rPr>
          <w:rFonts w:ascii="Times New Roman" w:hAnsi="Times New Roman"/>
          <w:sz w:val="20"/>
        </w:rPr>
      </w:pPr>
      <w:r>
        <w:rPr>
          <w:rFonts w:ascii="Times New Roman" w:hAnsi="Times New Roman"/>
          <w:sz w:val="20"/>
        </w:rPr>
        <w:t>This Amended and Restated Executive Service Agreement (this </w:t>
      </w:r>
      <w:r>
        <w:rPr>
          <w:rFonts w:ascii="Times New Roman" w:hAnsi="Times New Roman"/>
          <w:sz w:val="20"/>
          <w:u w:val="single"/>
        </w:rPr>
        <w:t>Agreement</w:t>
      </w:r>
      <w:r>
        <w:rPr>
          <w:rFonts w:ascii="Times New Roman" w:hAnsi="Times New Roman"/>
          <w:sz w:val="20"/>
        </w:rPr>
        <w:t>), effective as of April 28, 2025 (the </w:t>
      </w:r>
      <w:r>
        <w:rPr>
          <w:rFonts w:ascii="Times New Roman" w:hAnsi="Times New Roman"/>
          <w:sz w:val="20"/>
          <w:u w:val="single"/>
        </w:rPr>
        <w:t>Effective Date</w:t>
      </w:r>
      <w:r>
        <w:rPr>
          <w:rFonts w:ascii="Times New Roman" w:hAnsi="Times New Roman"/>
          <w:sz w:val="20"/>
        </w:rPr>
        <w:t>), is made by and between Shin Young Park (the </w:t>
      </w:r>
      <w:r>
        <w:rPr>
          <w:rFonts w:ascii="Times New Roman" w:hAnsi="Times New Roman"/>
          <w:sz w:val="20"/>
          <w:u w:val="single"/>
        </w:rPr>
        <w:t>Executive</w:t>
      </w:r>
      <w:r>
        <w:rPr>
          <w:rFonts w:ascii="Times New Roman" w:hAnsi="Times New Roman"/>
          <w:sz w:val="20"/>
        </w:rPr>
        <w:t>), on the one hand, and Magnachip Semiconductor Corporation, a Delaware corporation (</w:t>
      </w:r>
      <w:r>
        <w:rPr>
          <w:rFonts w:ascii="Times New Roman" w:hAnsi="Times New Roman"/>
          <w:sz w:val="20"/>
          <w:u w:val="single"/>
        </w:rPr>
        <w:t>Parent</w:t>
      </w:r>
      <w:r>
        <w:rPr>
          <w:rFonts w:ascii="Times New Roman" w:hAnsi="Times New Roman"/>
          <w:sz w:val="20"/>
        </w:rPr>
        <w:t>), and Magnachip Semiconductor, Ltd., a wholly owned subsidiary of Parent (</w:t>
      </w:r>
      <w:r>
        <w:rPr>
          <w:rFonts w:ascii="Times New Roman" w:hAnsi="Times New Roman"/>
          <w:sz w:val="20"/>
          <w:u w:val="single"/>
        </w:rPr>
        <w:t>MSK</w:t>
      </w:r>
      <w:r>
        <w:rPr>
          <w:rFonts w:ascii="Times New Roman" w:hAnsi="Times New Roman"/>
          <w:sz w:val="20"/>
        </w:rPr>
        <w:t> and together with Parent and each of its Affiliates that may engage the Executive from time to time, including any and all successors thereto, the </w:t>
      </w:r>
      <w:r>
        <w:rPr>
          <w:rFonts w:ascii="Times New Roman" w:hAnsi="Times New Roman"/>
          <w:sz w:val="20"/>
          <w:u w:val="single"/>
        </w:rPr>
        <w:t>Company</w:t>
      </w:r>
      <w:r>
        <w:rPr>
          <w:rFonts w:ascii="Times New Roman" w:hAnsi="Times New Roman"/>
          <w:sz w:val="20"/>
        </w:rPr>
        <w:t xml:space="preserve">), on the other hand.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the Executive desire to enter into this Agreement to assure the Company of the continued exclusive services of the Executive and to set forth the rights and duties of the parties hereto. </w:t>
      </w:r>
    </w:p>
    <w:p>
      <w:pPr>
        <w:pStyle w:val="TextBody"/>
        <w:bidi w:val="0"/>
        <w:spacing w:before="240" w:after="0"/>
        <w:jc w:val="left"/>
        <w:rPr>
          <w:rFonts w:ascii="Times New Roman" w:hAnsi="Times New Roman"/>
          <w:sz w:val="20"/>
        </w:rPr>
      </w:pPr>
      <w:r>
        <w:rPr>
          <w:rFonts w:ascii="Times New Roman" w:hAnsi="Times New Roman"/>
          <w:sz w:val="20"/>
        </w:rPr>
        <w:t>B. Except as otherwise set forth herein, this Agreement is intended to supersede any prior agreements or understandings, whether formal or informal, between the Executive and the Company, including the Executive Service Agreement dated as of February 23, 2022, by and between the Executive, Parent and MSK (the </w:t>
      </w:r>
      <w:r>
        <w:rPr>
          <w:rFonts w:ascii="Times New Roman" w:hAnsi="Times New Roman"/>
          <w:sz w:val="20"/>
          <w:u w:val="single"/>
        </w:rPr>
        <w:t>Prior Agreement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of the respective covenants and agreements set forth below, the parties hereto agree as follows: </w:t>
      </w:r>
    </w:p>
    <w:p>
      <w:pPr>
        <w:pStyle w:val="TextBody"/>
        <w:bidi w:val="0"/>
        <w:spacing w:before="240" w:after="0"/>
        <w:jc w:val="left"/>
        <w:rPr>
          <w:rFonts w:ascii="Times New Roman" w:hAnsi="Times New Roman"/>
          <w:sz w:val="20"/>
        </w:rPr>
      </w:pPr>
      <w:r>
        <w:rPr>
          <w:rFonts w:ascii="Times New Roman" w:hAnsi="Times New Roman"/>
          <w:sz w:val="20"/>
        </w:rPr>
        <w:t>1. </w:t>
      </w:r>
      <w:r>
        <w:rPr>
          <w:rFonts w:ascii="Times New Roman" w:hAnsi="Times New Roman"/>
          <w:sz w:val="20"/>
          <w:u w:val="single"/>
        </w:rPr>
        <w:t>Certain 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Affiliate</w:t>
      </w:r>
      <w:r>
        <w:rPr>
          <w:rFonts w:ascii="Times New Roman" w:hAnsi="Times New Roman"/>
          <w:sz w:val="20"/>
        </w:rPr>
        <w:t xml:space="preserve"> shall mean, with respect to any Person, any other Person directly or indirectly controlling, controlled by or under common control with such Person, where control shall have the meaning given such term under Rule 405 of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Agreement</w:t>
      </w:r>
      <w:r>
        <w:rPr>
          <w:rFonts w:ascii="Times New Roman" w:hAnsi="Times New Roman"/>
          <w:sz w:val="20"/>
        </w:rPr>
        <w:t xml:space="preserve"> shall have the meaning set forth in the preamble hereto.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Annual Base Salary</w:t>
      </w:r>
      <w:r>
        <w:rPr>
          <w:rFonts w:ascii="Times New Roman" w:hAnsi="Times New Roman"/>
          <w:sz w:val="20"/>
        </w:rPr>
        <w:t xml:space="preserve"> shall have the meaning set forth in </w:t>
      </w:r>
      <w:r>
        <w:rPr>
          <w:rFonts w:ascii="Times New Roman" w:hAnsi="Times New Roman"/>
          <w:sz w:val="20"/>
          <w:u w:val="single"/>
        </w:rPr>
        <w:t>Section 3(a)</w:t>
      </w:r>
      <w:r>
        <w:rPr>
          <w:rFonts w:ascii="Times New Roman" w:hAnsi="Times New Roman"/>
          <w:sz w:val="20"/>
        </w:rPr>
        <w:t xml:space="preserve">. For the avoidance of doubt, no other compensation (including the Annual Bonus and the Equity Awards) or benefit shall be included in, or be a part of, the Annual Base Salary.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Annual Bonus</w:t>
      </w:r>
      <w:r>
        <w:rPr>
          <w:rFonts w:ascii="Times New Roman" w:hAnsi="Times New Roman"/>
          <w:sz w:val="20"/>
        </w:rPr>
        <w:t xml:space="preserve"> shall have the meaning set forth in </w:t>
      </w:r>
      <w:r>
        <w:rPr>
          <w:rFonts w:ascii="Times New Roman" w:hAnsi="Times New Roman"/>
          <w:sz w:val="20"/>
          <w:u w:val="single"/>
        </w:rPr>
        <w:t>Section 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Award Agreements</w:t>
      </w:r>
      <w:r>
        <w:rPr>
          <w:rFonts w:ascii="Times New Roman" w:hAnsi="Times New Roman"/>
          <w:sz w:val="20"/>
        </w:rPr>
        <w:t xml:space="preserve"> shall have the meaning set forth in </w:t>
      </w:r>
      <w:r>
        <w:rPr>
          <w:rFonts w:ascii="Times New Roman" w:hAnsi="Times New Roman"/>
          <w:sz w:val="20"/>
          <w:u w:val="single"/>
        </w:rPr>
        <w:t>Section 1(o)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Board</w:t>
      </w:r>
      <w:r>
        <w:rPr>
          <w:rFonts w:ascii="Times New Roman" w:hAnsi="Times New Roman"/>
          <w:sz w:val="20"/>
        </w:rPr>
        <w:t xml:space="preserve"> shall mean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(g) The Company shall have </w:t>
      </w:r>
      <w:r>
        <w:rPr>
          <w:rFonts w:ascii="Times New Roman" w:hAnsi="Times New Roman"/>
          <w:sz w:val="20"/>
          <w:u w:val="single"/>
        </w:rPr>
        <w:t>Cause</w:t>
      </w:r>
      <w:r>
        <w:rPr>
          <w:rFonts w:ascii="Times New Roman" w:hAnsi="Times New Roman"/>
          <w:sz w:val="20"/>
        </w:rPr>
        <w:t xml:space="preserve"> to terminate the Executives engagement pursuant to </w:t>
      </w:r>
      <w:r>
        <w:rPr>
          <w:rFonts w:ascii="Times New Roman" w:hAnsi="Times New Roman"/>
          <w:sz w:val="20"/>
          <w:u w:val="single"/>
        </w:rPr>
        <w:t>Section</w:t>
      </w:r>
      <w:r>
        <w:rPr>
          <w:rFonts w:ascii="Times New Roman" w:hAnsi="Times New Roman"/>
          <w:sz w:val="20"/>
        </w:rPr>
        <w:t xml:space="preserve"> 4(a)(iii) hereunder upon (i) the Executives conviction of, or a plea of </w:t>
      </w:r>
      <w:r>
        <w:rPr>
          <w:rFonts w:ascii="Times New Roman" w:hAnsi="Times New Roman"/>
          <w:i/>
          <w:sz w:val="20"/>
        </w:rPr>
        <w:t>nolo contendere</w:t>
      </w:r>
      <w:r>
        <w:rPr>
          <w:rFonts w:ascii="Times New Roman" w:hAnsi="Times New Roman"/>
          <w:sz w:val="20"/>
        </w:rPr>
        <w:t xml:space="preserve"> to, a felony or other crime involving moral turpitude (or, in each case, equivalent crimes in a jurisdiction other than the United States), but excluding minor traffic violations; (ii) the Executives commission of fraud, embezzlement or misappropriation of funds; (iii) a breach by the Executive of the Executives fiduciary duty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Executives refusal to fulfill the Executives duties and responsibilities (other than by reason of death or Disability) to the Company; (v) the Executives material violation of any established lawful policy of the Company; (vi) the Executives material breach of any of the terms of any agreement the Executive has with the Company; (vii) the Executives habitual use of illicit drugs or habitual abuse of alcohol that affects the Executives job performance; or (viii) any gross negligence, material misconduct or material wrongful act or omission on the Executives part in connection with the Executives duties and responsibilities to the Company. The Company may terminate the Executives engagement for Cause under this Agreement, following issuance to the Executive of written notice of the circumstances the Company believes constitute Cause, at any time within 90 days after it becomes aware of such circumstances;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basis for termination is curable, then the Executive shall have 15 days after receipt of such written notice to cure such basis, and if not cured, the Company may terminate the Executives engagement for Cause at any time within 90 days after the expiration of such cure period. If, within 90 days subsequent to termination of Executives engagement for any reason (other than by the Company for Cause), the Company determines that the Executives engagement could have been terminated for Cause, the Executives engagement will be deemed to have been terminated for Cause for all purposes, and the Executive will be required to disgorge to the Company all amounts received pursuant to this Agreement or otherwise on account of such termination that would not have been payable to the Executive had such termination been by the Company for Cause;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Companys ability to retroactively determine that the Executives engagement could have been terminated for Cause under this sentence will cease upon the occurrence of a Change in Control.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CEO</w:t>
      </w:r>
      <w:r>
        <w:rPr>
          <w:rFonts w:ascii="Times New Roman" w:hAnsi="Times New Roman"/>
          <w:sz w:val="20"/>
        </w:rPr>
        <w:t xml:space="preserve"> shall mean the Chief Executive Officer of Parent.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Change in Control</w:t>
      </w:r>
      <w:r>
        <w:rPr>
          <w:rFonts w:ascii="Times New Roman" w:hAnsi="Times New Roman"/>
          <w:sz w:val="20"/>
        </w:rPr>
        <w:t xml:space="preserve"> has the meaning given to such term in the Equity Incentive Plan.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Code</w:t>
      </w:r>
      <w:r>
        <w:rPr>
          <w:rFonts w:ascii="Times New Roman" w:hAnsi="Times New Roman"/>
          <w:sz w:val="20"/>
        </w:rPr>
        <w:t xml:space="preserve"> shall mean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Date of Termination</w:t>
      </w:r>
      <w:r>
        <w:rPr>
          <w:rFonts w:ascii="Times New Roman" w:hAnsi="Times New Roman"/>
          <w:sz w:val="20"/>
        </w:rPr>
        <w:t xml:space="preserve"> shall mean the effective date of termination of Executives engagement, as set forth in </w:t>
      </w:r>
      <w:r>
        <w:rPr>
          <w:rFonts w:ascii="Times New Roman" w:hAnsi="Times New Roman"/>
          <w:sz w:val="20"/>
          <w:u w:val="single"/>
        </w:rPr>
        <w:t>Section 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sz w:val="20"/>
          <w:u w:val="single"/>
        </w:rPr>
        <w:t>Disability</w:t>
      </w:r>
      <w:r>
        <w:rPr>
          <w:rFonts w:ascii="Times New Roman" w:hAnsi="Times New Roman"/>
          <w:sz w:val="20"/>
        </w:rPr>
        <w:t xml:space="preserve"> shall mean a finding by the Company of the Executives incapacitation through any illness, injury, accident or condition of either a physical or psychological nature that has resulted in the Executives inability to perform the essential functions of the Executives position, even with reasonable accommodations, for 180 calendar days during any period of 365 consecutive calendar days, and such incapacity is expected to continue.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sz w:val="20"/>
          <w:u w:val="single"/>
        </w:rPr>
        <w:t>Effective Date</w:t>
      </w:r>
      <w:r>
        <w:rPr>
          <w:rFonts w:ascii="Times New Roman" w:hAnsi="Times New Roman"/>
          <w:sz w:val="20"/>
        </w:rPr>
        <w:t xml:space="preserve"> shall have the meaning set forth in the preamble hereto.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sz w:val="20"/>
          <w:u w:val="single"/>
        </w:rPr>
        <w:t>Executive</w:t>
      </w:r>
      <w:r>
        <w:rPr>
          <w:rFonts w:ascii="Times New Roman" w:hAnsi="Times New Roman"/>
          <w:sz w:val="20"/>
        </w:rPr>
        <w:t xml:space="preserve"> shall have the meaning set forth in the preamble hereto.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sz w:val="20"/>
          <w:u w:val="single"/>
        </w:rPr>
        <w:t>Equity Awards</w:t>
      </w:r>
      <w:r>
        <w:rPr>
          <w:rFonts w:ascii="Times New Roman" w:hAnsi="Times New Roman"/>
          <w:sz w:val="20"/>
        </w:rPr>
        <w:t> means the equity awards that the Executive may receive subject to the Boards approval and under the terms of the Equity Incentive Plan and standard forms of award agreements under the Equity Incentive Plan (the </w:t>
      </w:r>
      <w:r>
        <w:rPr>
          <w:rFonts w:ascii="Times New Roman" w:hAnsi="Times New Roman"/>
          <w:sz w:val="20"/>
          <w:u w:val="single"/>
        </w:rPr>
        <w:t>Award Agreements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(p) </w:t>
      </w:r>
      <w:r>
        <w:rPr>
          <w:rFonts w:ascii="Times New Roman" w:hAnsi="Times New Roman"/>
          <w:sz w:val="20"/>
          <w:u w:val="single"/>
        </w:rPr>
        <w:t>Equity Incentive Plan</w:t>
      </w:r>
      <w:r>
        <w:rPr>
          <w:rFonts w:ascii="Times New Roman" w:hAnsi="Times New Roman"/>
          <w:sz w:val="20"/>
        </w:rPr>
        <w:t xml:space="preserve"> means, as applicable, the Magnachip Semiconductor Corporation 2020 Equity and Incentive Compensation Plan or any predecessor or successor equity incentive plan of Parent, as amended or amended and restated from time to time.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sz w:val="20"/>
          <w:u w:val="single"/>
        </w:rPr>
        <w:t>Final Base Salary</w:t>
      </w:r>
      <w:r>
        <w:rPr>
          <w:rFonts w:ascii="Times New Roman" w:hAnsi="Times New Roman"/>
          <w:sz w:val="20"/>
        </w:rPr>
        <w:t xml:space="preserve"> means the Executives Annual Base Salary as in effect immediately prior to the termination of the Executives engagement (or, if clause (i) or (ii) of the definition of Good Reason is implicated, immediately before any relevant diminution of the Executives Annual Base Salary). </w:t>
      </w:r>
    </w:p>
    <w:p>
      <w:pPr>
        <w:pStyle w:val="TextBody"/>
        <w:bidi w:val="0"/>
        <w:spacing w:before="240" w:after="0"/>
        <w:jc w:val="left"/>
        <w:rPr>
          <w:rFonts w:ascii="Times New Roman" w:hAnsi="Times New Roman"/>
          <w:sz w:val="20"/>
        </w:rPr>
      </w:pPr>
      <w:r>
        <w:rPr>
          <w:rFonts w:ascii="Times New Roman" w:hAnsi="Times New Roman"/>
          <w:sz w:val="20"/>
        </w:rPr>
        <w:t>(r) The Executive shall have </w:t>
      </w:r>
      <w:r>
        <w:rPr>
          <w:rFonts w:ascii="Times New Roman" w:hAnsi="Times New Roman"/>
          <w:sz w:val="20"/>
          <w:u w:val="single"/>
        </w:rPr>
        <w:t>Good Reason</w:t>
      </w:r>
      <w:r>
        <w:rPr>
          <w:rFonts w:ascii="Times New Roman" w:hAnsi="Times New Roman"/>
          <w:sz w:val="20"/>
        </w:rPr>
        <w:t xml:space="preserve"> to resign or otherwise terminate the Executives engagement with the Company pursuant to </w:t>
      </w:r>
      <w:r>
        <w:rPr>
          <w:rFonts w:ascii="Times New Roman" w:hAnsi="Times New Roman"/>
          <w:sz w:val="20"/>
          <w:u w:val="single"/>
        </w:rPr>
        <w:t>Section 4(a)(v)</w:t>
      </w:r>
      <w:r>
        <w:rPr>
          <w:rFonts w:ascii="Times New Roman" w:hAnsi="Times New Roman"/>
          <w:sz w:val="20"/>
        </w:rPr>
        <w:t xml:space="preserve"> in the event that any of the following actions are taken by the Company without the Executives consent: (i) if upon or following a Change in Control, a diminution in the Executives Annual Base Salary or Target Annual Bonus opportunity; (ii) if prior to a Change in Control, a diminution in (A) the Executives Annual Base Salary, other than an across the board cumulative reduction of no more than 15% that applies in a similar manner to all similarly-situated members of the senior management of the Company or (B) the Executives Target Annual Bonus opportunity (other than a reduction that occurs as a result of a reduction described in the foregoing clause (A)); (iii) the Companys material breach of any of the material terms of any material agreement between the Executive and the Company; or (iv) a non-temporary relocation of the Executives primary work location by the Company to a location that is more than 50 kilometers from the Executives principal place of service as of the date hereof (which the parties acknowledge is Seoul, South Korea and/or Cheongju, South Korea) and that increases the Executives one-way commute to work by more than 50 kilometers. The Executive will not have Good Reason to terminate the Executives engagement and receive payments or benefits under </w:t>
      </w:r>
      <w:r>
        <w:rPr>
          <w:rFonts w:ascii="Times New Roman" w:hAnsi="Times New Roman"/>
          <w:sz w:val="20"/>
          <w:u w:val="single"/>
        </w:rPr>
        <w:t>Section 5(b)</w:t>
      </w:r>
      <w:r>
        <w:rPr>
          <w:rFonts w:ascii="Times New Roman" w:hAnsi="Times New Roman"/>
          <w:sz w:val="20"/>
        </w:rPr>
        <w:t xml:space="preserve"> unless the Executive provides the Board and the CEO with written notice of the circumstances the Executive believes constitute Good Reason within 30 days after the occurrence of such circumstances. If the Company does not cure within 15 days after receipt of such written notice, then the Executive may terminate the Executives engagement for Good Reason at any time within 90 days after the expiration of such cure period. If the Executive terminates the Executives engagement prior to the expiration of the 15-day cure period or more than 90 days after the expiration of the cure period, the Executive will not be treated as having terminated the Executives engagement for Good Reason.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sz w:val="20"/>
          <w:u w:val="single"/>
        </w:rPr>
        <w:t>Inventions</w:t>
      </w:r>
      <w:r>
        <w:rPr>
          <w:rFonts w:ascii="Times New Roman" w:hAnsi="Times New Roman"/>
          <w:sz w:val="20"/>
        </w:rPr>
        <w:t xml:space="preserve"> shall have the meaning set forth in </w:t>
      </w:r>
      <w:r>
        <w:rPr>
          <w:rFonts w:ascii="Times New Roman" w:hAnsi="Times New Roman"/>
          <w:sz w:val="20"/>
          <w:u w:val="single"/>
        </w:rPr>
        <w:t>Section 7(c)(i)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sz w:val="20"/>
          <w:u w:val="single"/>
        </w:rPr>
        <w:t>Notice of Termination</w:t>
      </w:r>
      <w:r>
        <w:rPr>
          <w:rFonts w:ascii="Times New Roman" w:hAnsi="Times New Roman"/>
          <w:sz w:val="20"/>
        </w:rPr>
        <w:t xml:space="preserve"> shall have the meaning set forth in </w:t>
      </w:r>
      <w:r>
        <w:rPr>
          <w:rFonts w:ascii="Times New Roman" w:hAnsi="Times New Roman"/>
          <w:sz w:val="20"/>
          <w:u w:val="single"/>
        </w:rPr>
        <w:t>Section 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sz w:val="20"/>
          <w:u w:val="single"/>
        </w:rPr>
        <w:t>Parent</w:t>
      </w:r>
      <w:r>
        <w:rPr>
          <w:rFonts w:ascii="Times New Roman" w:hAnsi="Times New Roman"/>
          <w:sz w:val="20"/>
        </w:rPr>
        <w:t xml:space="preserve"> shall have the meaning set forth in the preamble hereto.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sz w:val="20"/>
          <w:u w:val="single"/>
        </w:rPr>
        <w:t>Person</w:t>
      </w:r>
      <w:r>
        <w:rPr>
          <w:rFonts w:ascii="Times New Roman" w:hAnsi="Times New Roman"/>
          <w:sz w:val="20"/>
        </w:rPr>
        <w:t xml:space="preserve"> shall mean an individual, partnership, corporation, limited liability company, business trust, joint stock company, trust, unincorporated association, joint venture, governmental authority or other entity of whatever nature.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sz w:val="20"/>
          <w:u w:val="single"/>
        </w:rPr>
        <w:t>Prior Agreement</w:t>
      </w:r>
      <w:r>
        <w:rPr>
          <w:rFonts w:ascii="Times New Roman" w:hAnsi="Times New Roman"/>
          <w:sz w:val="20"/>
        </w:rPr>
        <w:t xml:space="preserve"> shall have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sz w:val="20"/>
          <w:u w:val="single"/>
        </w:rPr>
        <w:t>Proprietary Rights</w:t>
      </w:r>
      <w:r>
        <w:rPr>
          <w:rFonts w:ascii="Times New Roman" w:hAnsi="Times New Roman"/>
          <w:sz w:val="20"/>
        </w:rPr>
        <w:t xml:space="preserve"> shall have the meaning set forth in </w:t>
      </w:r>
      <w:r>
        <w:rPr>
          <w:rFonts w:ascii="Times New Roman" w:hAnsi="Times New Roman"/>
          <w:sz w:val="20"/>
          <w:u w:val="single"/>
        </w:rPr>
        <w:t>Section 7(c)(i)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sz w:val="20"/>
          <w:u w:val="single"/>
        </w:rPr>
        <w:t>Target Annual Bonus</w:t>
      </w:r>
      <w:r>
        <w:rPr>
          <w:rFonts w:ascii="Times New Roman" w:hAnsi="Times New Roman"/>
          <w:sz w:val="20"/>
        </w:rPr>
        <w:t xml:space="preserve"> means the Executives target Annual Bonus, expressed as a percentage of the Annual Base Salary, under the terms of the Companys cash bonus plan as is then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(z) </w:t>
      </w:r>
      <w:r>
        <w:rPr>
          <w:rFonts w:ascii="Times New Roman" w:hAnsi="Times New Roman"/>
          <w:sz w:val="20"/>
          <w:u w:val="single"/>
        </w:rPr>
        <w:t>Term</w:t>
      </w:r>
      <w:r>
        <w:rPr>
          <w:rFonts w:ascii="Times New Roman" w:hAnsi="Times New Roman"/>
          <w:sz w:val="20"/>
        </w:rPr>
        <w:t xml:space="preserve"> shall have the meaning set forth in </w:t>
      </w:r>
      <w:r>
        <w:rPr>
          <w:rFonts w:ascii="Times New Roman" w:hAnsi="Times New Roman"/>
          <w:sz w:val="20"/>
          <w:u w:val="single"/>
        </w:rPr>
        <w:t>Section 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2. </w:t>
      </w:r>
      <w:r>
        <w:rPr>
          <w:rFonts w:ascii="Times New Roman" w:hAnsi="Times New Roman"/>
          <w:sz w:val="20"/>
          <w:u w:val="single"/>
        </w:rPr>
        <w:t>Executives Service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In General</w:t>
      </w:r>
      <w:r>
        <w:rPr>
          <w:rFonts w:ascii="Times New Roman" w:hAnsi="Times New Roman"/>
          <w:sz w:val="20"/>
        </w:rPr>
        <w:t xml:space="preserve">. The Company shall engage the Executive, and the Executive shall provide services to the Company, for the period set forth in </w:t>
      </w:r>
      <w:r>
        <w:rPr>
          <w:rFonts w:ascii="Times New Roman" w:hAnsi="Times New Roman"/>
          <w:sz w:val="20"/>
          <w:u w:val="single"/>
        </w:rPr>
        <w:t>Section 2(b)</w:t>
      </w:r>
      <w:r>
        <w:rPr>
          <w:rFonts w:ascii="Times New Roman" w:hAnsi="Times New Roman"/>
          <w:sz w:val="20"/>
        </w:rPr>
        <w:t xml:space="preserve">, in the position(s) set forth in </w:t>
      </w:r>
      <w:r>
        <w:rPr>
          <w:rFonts w:ascii="Times New Roman" w:hAnsi="Times New Roman"/>
          <w:sz w:val="20"/>
          <w:u w:val="single"/>
        </w:rPr>
        <w:t>Section 2(c)</w:t>
      </w:r>
      <w:r>
        <w:rPr>
          <w:rFonts w:ascii="Times New Roman" w:hAnsi="Times New Roman"/>
          <w:sz w:val="20"/>
        </w:rPr>
        <w:t xml:space="preserve">, and upon the other terms and conditions herein provided.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Term</w:t>
      </w:r>
      <w:r>
        <w:rPr>
          <w:rFonts w:ascii="Times New Roman" w:hAnsi="Times New Roman"/>
          <w:sz w:val="20"/>
        </w:rPr>
        <w:t>. The term of this Agreement (the </w:t>
      </w:r>
      <w:r>
        <w:rPr>
          <w:rFonts w:ascii="Times New Roman" w:hAnsi="Times New Roman"/>
          <w:sz w:val="20"/>
          <w:u w:val="single"/>
        </w:rPr>
        <w:t>Term</w:t>
      </w:r>
      <w:r>
        <w:rPr>
          <w:rFonts w:ascii="Times New Roman" w:hAnsi="Times New Roman"/>
          <w:sz w:val="20"/>
        </w:rPr>
        <w:t xml:space="preserve">) shall begin on the Effective Date and remain in effect, until terminated as provided in </w:t>
      </w:r>
      <w:r>
        <w:rPr>
          <w:rFonts w:ascii="Times New Roman" w:hAnsi="Times New Roman"/>
          <w:sz w:val="20"/>
          <w:u w:val="single"/>
        </w:rPr>
        <w:t>Section 4</w:t>
      </w:r>
      <w:r>
        <w:rPr>
          <w:rFonts w:ascii="Times New Roman" w:hAnsi="Times New Roman"/>
          <w:sz w:val="20"/>
        </w:rPr>
        <w:t xml:space="preserve">. Notwithstanding anything herein to the contrary, the Executives engagement with the Company shall be at-will, and the Executive or the Company may terminate the Executives engagement for any reason or no reason at any time, in either case subject to </w:t>
      </w:r>
      <w:r>
        <w:rPr>
          <w:rFonts w:ascii="Times New Roman" w:hAnsi="Times New Roman"/>
          <w:sz w:val="20"/>
          <w:u w:val="single"/>
        </w:rPr>
        <w:t>Section 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Position and Duties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(i) During the Term, the Executive shall serve as Chief Financial Officer of Parent and MSK, with responsibilities, duties and authority customary for such position;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may alter such responsibilities, duties and authority from time to time. The Executive shall also serve as an officer of other Affiliates of the Company as requested by the Company. Except as otherwise provided herein, the Executive shall not be entitled to any additional compensation for service as a member of the Board or other positions or titles the Executive may hold with any Affiliate of the Company to the extent the Executive is so appointed. The Executive shall report to the CEO or any other officer of the Company as may be designated by the Board or the CEO. The Executive agrees to observe and comply with the Companys rules and policies as adopted from time to time by the Company. The Executive shall devote the Executives full business time, skill, attention and best efforts to the performance of the Executives duties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Executive shall be entitled to (A) serve on civic, charitable and religious boards and (B) manage the Executives personal and family investments, in each case, to the extent that such activities do not materially interfere with the performance of the Executives duties and responsibilities hereunder, are not in conflict with the business interests of the Company or its Affiliates, and do not otherwise compete with the business of the Company or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(ii) The Executive shall be principally based at the Companys offices in Seoul, South Korea or Cheongju, South Korea. The Executive shall perform the Executives duties and responsibilities to the Company at such principal place of service and at such other location(s) to which the Company may reasonably require the Executive to travel for Company business purposes. </w:t>
      </w:r>
    </w:p>
    <w:p>
      <w:pPr>
        <w:pStyle w:val="TextBody"/>
        <w:bidi w:val="0"/>
        <w:spacing w:before="240" w:after="0"/>
        <w:jc w:val="left"/>
        <w:rPr>
          <w:rFonts w:ascii="Times New Roman" w:hAnsi="Times New Roman"/>
          <w:sz w:val="20"/>
        </w:rPr>
      </w:pPr>
      <w:r>
        <w:rPr>
          <w:rFonts w:ascii="Times New Roman" w:hAnsi="Times New Roman"/>
          <w:sz w:val="20"/>
        </w:rPr>
        <w:t>3. </w:t>
      </w:r>
      <w:r>
        <w:rPr>
          <w:rFonts w:ascii="Times New Roman" w:hAnsi="Times New Roman"/>
          <w:sz w:val="20"/>
          <w:u w:val="single"/>
        </w:rPr>
        <w:t>Compensation and Related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Annual Base Salary</w:t>
      </w:r>
      <w:r>
        <w:rPr>
          <w:rFonts w:ascii="Times New Roman" w:hAnsi="Times New Roman"/>
          <w:sz w:val="20"/>
        </w:rPr>
        <w:t>. During the Term, the Executive shall receive a base salary at a rate of Three-Hundred Sixty Thousand U.S. Dollars (USD 360,000.00) per annum, which shall be paid in accordance with the customary payroll practices of the Company (the </w:t>
      </w:r>
      <w:r>
        <w:rPr>
          <w:rFonts w:ascii="Times New Roman" w:hAnsi="Times New Roman"/>
          <w:sz w:val="20"/>
          <w:u w:val="single"/>
        </w:rPr>
        <w:t>Annual Base Salary</w:t>
      </w:r>
      <w:r>
        <w:rPr>
          <w:rFonts w:ascii="Times New Roman" w:hAnsi="Times New Roman"/>
          <w:sz w:val="20"/>
        </w:rPr>
        <w:t xml:space="preserve">). The foregoing sentence shall be effective as of April 1, 2025.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Annual Bonus</w:t>
      </w:r>
      <w:r>
        <w:rPr>
          <w:rFonts w:ascii="Times New Roman" w:hAnsi="Times New Roman"/>
          <w:sz w:val="20"/>
        </w:rPr>
        <w:t>. With respect to each calendar year that ends during the Term, the Executive shall be eligible to receive an annual cash bonus (the </w:t>
      </w:r>
      <w:r>
        <w:rPr>
          <w:rFonts w:ascii="Times New Roman" w:hAnsi="Times New Roman"/>
          <w:sz w:val="20"/>
          <w:u w:val="single"/>
        </w:rPr>
        <w:t>Annual Bonus</w:t>
      </w:r>
      <w:r>
        <w:rPr>
          <w:rFonts w:ascii="Times New Roman" w:hAnsi="Times New Roman"/>
          <w:sz w:val="20"/>
        </w:rPr>
        <w:t xml:space="preserve">) under the terms of the Companys cash bonus plan as is then in effect. It is currently intended that the Board will set the Executives target Annual Bonus at 75% of the Executives Annual Base Salary, which target Annual Bonus may be increased by the Board in its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sz w:val="20"/>
          <w:u w:val="single"/>
        </w:rPr>
        <w:t>Equity Compensation</w:t>
      </w:r>
      <w:r>
        <w:rPr>
          <w:rFonts w:ascii="Times New Roman" w:hAnsi="Times New Roman"/>
          <w:sz w:val="20"/>
        </w:rPr>
        <w:t xml:space="preserve">. While the Executive is engaged to provide services to the Company, the Executive will be eligible to participate in the equity incentive program applicable to the Companys executives. All grants of Equity Awards shall, in all cases, be determined and approved by the Board in its sole discretion. Prior to receiving any Equity Award, the Executive must execute the Award Agreement(s) in the form(s) approved by the Board. Accordingly, the actual terms of any Equity Award will be governed by the Equity Incentive Plan and the actual Award Agreement and documents evidencing the grant of such Equity Award, and not by any other terms set forth herein or otherwise.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Benefits</w:t>
      </w:r>
      <w:r>
        <w:rPr>
          <w:rFonts w:ascii="Times New Roman" w:hAnsi="Times New Roman"/>
          <w:sz w:val="20"/>
        </w:rPr>
        <w:t xml:space="preserve">. During the Term, the Executive shall be entitled to participate in the benefit plans, programs and arrangements of the Company now (or, to the extent determined by the Board, hereafter) in effect, in accordance with their terms, including medical and welfare benefits, all on the terms applicable to other similarly situated executives of the Company.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Annual Vacation</w:t>
      </w:r>
      <w:r>
        <w:rPr>
          <w:rFonts w:ascii="Times New Roman" w:hAnsi="Times New Roman"/>
          <w:sz w:val="20"/>
        </w:rPr>
        <w:t xml:space="preserve">. During the Term, the Executive shall be entitled to paid-time-off (including vacation days) on an annual basis in accordance with the Companys applicable policies and practices. Under the policies applicable to other similarly situated executives of the Company, any unused paid-time-off (including vacation days) shall neither be carried over to the following year nor be compensated for. Any paid-time-off (including vacation days) shall be taken at the reasonable and mutual convenience of the Company and the Executive.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Business Expenses</w:t>
      </w:r>
      <w:r>
        <w:rPr>
          <w:rFonts w:ascii="Times New Roman" w:hAnsi="Times New Roman"/>
          <w:sz w:val="20"/>
        </w:rPr>
        <w:t xml:space="preserve">. During the Term, the Company shall reimburse the Executive for all reasonable travel and other business expenses incurred by the Executive in the performance of the Executives duties to the Company, in accordance with the Companys expense reimbursement policies and procedures. </w:t>
      </w:r>
    </w:p>
    <w:p>
      <w:pPr>
        <w:pStyle w:val="TextBody"/>
        <w:bidi w:val="0"/>
        <w:spacing w:before="240" w:after="0"/>
        <w:jc w:val="left"/>
        <w:rPr>
          <w:rFonts w:ascii="Times New Roman" w:hAnsi="Times New Roman"/>
          <w:sz w:val="20"/>
        </w:rPr>
      </w:pPr>
      <w:r>
        <w:rPr>
          <w:rFonts w:ascii="Times New Roman" w:hAnsi="Times New Roman"/>
          <w:sz w:val="20"/>
        </w:rPr>
        <w:t>4. </w:t>
      </w:r>
      <w:r>
        <w:rPr>
          <w:rFonts w:ascii="Times New Roman" w:hAnsi="Times New Roman"/>
          <w:sz w:val="20"/>
          <w:u w:val="single"/>
        </w:rPr>
        <w:t>Termination</w:t>
      </w:r>
      <w:r>
        <w:rPr>
          <w:rFonts w:ascii="Times New Roman" w:hAnsi="Times New Roman"/>
          <w:sz w:val="20"/>
        </w:rPr>
        <w:t xml:space="preserve">. The Executives engagement hereunder may be terminated without any breach of this Agreement only under the following circumstances: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Circumstances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Death</w:t>
      </w:r>
      <w:r>
        <w:rPr>
          <w:rFonts w:ascii="Times New Roman" w:hAnsi="Times New Roman"/>
          <w:sz w:val="20"/>
        </w:rPr>
        <w:t xml:space="preserve">. The Executives engagement hereunder shall terminate upon the Executives death.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Disability</w:t>
      </w:r>
      <w:r>
        <w:rPr>
          <w:rFonts w:ascii="Times New Roman" w:hAnsi="Times New Roman"/>
          <w:sz w:val="20"/>
        </w:rPr>
        <w:t xml:space="preserve">. If the Executive has incurred a Disability, the Company may give the Executive written notice of its intention to terminate the Executives engagement. In that event, the Executives engagement with the Company shall terminate effective on the later of the 30th day after receipt of such notice by the Executive and the date specified in such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Executive shall have returned to full-time performance of the Executives duties hereunder within the 30-day period following receipt of such notice and shall have reasonably demonstrated that the Executive is not subject to a Disability, then the Executives engagement shall not be terminated pursuant to this clause (ii). </w:t>
      </w:r>
    </w:p>
    <w:p>
      <w:pPr>
        <w:pStyle w:val="TextBody"/>
        <w:bidi w:val="0"/>
        <w:spacing w:before="24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Termination with Cause</w:t>
      </w:r>
      <w:r>
        <w:rPr>
          <w:rFonts w:ascii="Times New Roman" w:hAnsi="Times New Roman"/>
          <w:sz w:val="20"/>
        </w:rPr>
        <w:t xml:space="preserve">. The Company may terminate the Executives engagement with Cause.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 xml:space="preserve">Termination without Cause. </w:t>
      </w:r>
      <w:r>
        <w:rPr>
          <w:rFonts w:ascii="Times New Roman" w:hAnsi="Times New Roman"/>
          <w:sz w:val="20"/>
        </w:rPr>
        <w:t xml:space="preserve">The Company may terminate the Executives engagement without Cause.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sz w:val="20"/>
          <w:u w:val="single"/>
        </w:rPr>
        <w:t>Resignation with Good Reason</w:t>
      </w:r>
      <w:r>
        <w:rPr>
          <w:rFonts w:ascii="Times New Roman" w:hAnsi="Times New Roman"/>
          <w:sz w:val="20"/>
        </w:rPr>
        <w:t xml:space="preserve">. The Executive may resign from the Executives engagement with Good Reason. </w:t>
      </w:r>
    </w:p>
    <w:p>
      <w:pPr>
        <w:pStyle w:val="TextBody"/>
        <w:bidi w:val="0"/>
        <w:spacing w:before="240" w:after="0"/>
        <w:jc w:val="left"/>
        <w:rPr>
          <w:rFonts w:ascii="Times New Roman" w:hAnsi="Times New Roman"/>
          <w:sz w:val="20"/>
        </w:rPr>
      </w:pPr>
      <w:r>
        <w:rPr>
          <w:rFonts w:ascii="Times New Roman" w:hAnsi="Times New Roman"/>
          <w:sz w:val="20"/>
        </w:rPr>
        <w:t>(vi) </w:t>
      </w:r>
      <w:r>
        <w:rPr>
          <w:rFonts w:ascii="Times New Roman" w:hAnsi="Times New Roman"/>
          <w:sz w:val="20"/>
          <w:u w:val="single"/>
        </w:rPr>
        <w:t>Resignation without Good Reason</w:t>
      </w:r>
      <w:r>
        <w:rPr>
          <w:rFonts w:ascii="Times New Roman" w:hAnsi="Times New Roman"/>
          <w:sz w:val="20"/>
        </w:rPr>
        <w:t xml:space="preserve">. The Executive may resign from the Executives engagement without Good Reason upon not less than thirty (30) days advance written notice to the Board and the CEO.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Notice of Termination</w:t>
      </w:r>
      <w:r>
        <w:rPr>
          <w:rFonts w:ascii="Times New Roman" w:hAnsi="Times New Roman"/>
          <w:sz w:val="20"/>
        </w:rPr>
        <w:t xml:space="preserve">. Any termination of the Executives engagement with the Company, whether by the Company or the Executive under this </w:t>
      </w:r>
      <w:r>
        <w:rPr>
          <w:rFonts w:ascii="Times New Roman" w:hAnsi="Times New Roman"/>
          <w:sz w:val="20"/>
          <w:u w:val="single"/>
        </w:rPr>
        <w:t>Section 4</w:t>
      </w:r>
      <w:r>
        <w:rPr>
          <w:rFonts w:ascii="Times New Roman" w:hAnsi="Times New Roman"/>
          <w:sz w:val="20"/>
        </w:rPr>
        <w:t xml:space="preserve"> (other than termination pursuant to </w:t>
      </w:r>
      <w:r>
        <w:rPr>
          <w:rFonts w:ascii="Times New Roman" w:hAnsi="Times New Roman"/>
          <w:sz w:val="20"/>
          <w:u w:val="single"/>
        </w:rPr>
        <w:t>Section 4(a)(i)</w:t>
      </w:r>
      <w:r>
        <w:rPr>
          <w:rFonts w:ascii="Times New Roman" w:hAnsi="Times New Roman"/>
          <w:sz w:val="20"/>
        </w:rPr>
        <w:t xml:space="preserve">), shall be communicated by written notice to the other party hereto (i) indicating the specific termination provision in this Agreement relied upon, (ii) except with respect to a termination pursuant to </w:t>
      </w:r>
      <w:r>
        <w:rPr>
          <w:rFonts w:ascii="Times New Roman" w:hAnsi="Times New Roman"/>
          <w:sz w:val="20"/>
          <w:u w:val="single"/>
        </w:rPr>
        <w:t>Section 4(a)(iv)</w:t>
      </w:r>
      <w:r>
        <w:rPr>
          <w:rFonts w:ascii="Times New Roman" w:hAnsi="Times New Roman"/>
          <w:sz w:val="20"/>
        </w:rPr>
        <w:t xml:space="preserve"> or </w:t>
      </w:r>
      <w:r>
        <w:rPr>
          <w:rFonts w:ascii="Times New Roman" w:hAnsi="Times New Roman"/>
          <w:sz w:val="20"/>
          <w:u w:val="single"/>
        </w:rPr>
        <w:t>(vi)</w:t>
      </w:r>
      <w:r>
        <w:rPr>
          <w:rFonts w:ascii="Times New Roman" w:hAnsi="Times New Roman"/>
          <w:sz w:val="20"/>
        </w:rPr>
        <w:t>, setting forth in reasonable detail the facts and circumstances claimed to provide a basis for termination of the Executives engagement under the provision so indicated, and (iii) specifying a Date of Termination as provided herein (a </w:t>
      </w:r>
      <w:r>
        <w:rPr>
          <w:rFonts w:ascii="Times New Roman" w:hAnsi="Times New Roman"/>
          <w:sz w:val="20"/>
          <w:u w:val="single"/>
        </w:rPr>
        <w:t>Notice of Termination</w:t>
      </w:r>
      <w:r>
        <w:rPr>
          <w:rFonts w:ascii="Times New Roman" w:hAnsi="Times New Roman"/>
          <w:sz w:val="20"/>
        </w:rPr>
        <w:t xml:space="preserve">). If the Company delivers a Notice of Termination under </w:t>
      </w:r>
      <w:r>
        <w:rPr>
          <w:rFonts w:ascii="Times New Roman" w:hAnsi="Times New Roman"/>
          <w:sz w:val="20"/>
          <w:u w:val="single"/>
        </w:rPr>
        <w:t>Section 4(a)(ii)</w:t>
      </w:r>
      <w:r>
        <w:rPr>
          <w:rFonts w:ascii="Times New Roman" w:hAnsi="Times New Roman"/>
          <w:sz w:val="20"/>
        </w:rPr>
        <w:t xml:space="preserve">, the Date of Termination shall be at least thirty (30) days following the date of such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notice need not specify a Date of Termination, in which case the Date of Termination shall be determined pursuant to </w:t>
      </w:r>
      <w:r>
        <w:rPr>
          <w:rFonts w:ascii="Times New Roman" w:hAnsi="Times New Roman"/>
          <w:sz w:val="20"/>
          <w:u w:val="single"/>
        </w:rPr>
        <w:t>Section 4(a)(ii)</w:t>
      </w:r>
      <w:r>
        <w:rPr>
          <w:rFonts w:ascii="Times New Roman" w:hAnsi="Times New Roman"/>
          <w:sz w:val="20"/>
        </w:rPr>
        <w:t xml:space="preserve">. If the Company delivers a Notice of Termination under </w:t>
      </w:r>
      <w:r>
        <w:rPr>
          <w:rFonts w:ascii="Times New Roman" w:hAnsi="Times New Roman"/>
          <w:sz w:val="20"/>
          <w:u w:val="single"/>
        </w:rPr>
        <w:t>Section 4(a)(iii)</w:t>
      </w:r>
      <w:r>
        <w:rPr>
          <w:rFonts w:ascii="Times New Roman" w:hAnsi="Times New Roman"/>
          <w:sz w:val="20"/>
        </w:rPr>
        <w:t xml:space="preserve"> or</w:t>
      </w:r>
      <w:r>
        <w:rPr>
          <w:rFonts w:ascii="Times New Roman" w:hAnsi="Times New Roman"/>
          <w:sz w:val="20"/>
          <w:u w:val="single"/>
        </w:rPr>
        <w:t> 4(a)(iv)</w:t>
      </w:r>
      <w:r>
        <w:rPr>
          <w:rFonts w:ascii="Times New Roman" w:hAnsi="Times New Roman"/>
          <w:sz w:val="20"/>
        </w:rPr>
        <w:t xml:space="preserve">, the Date of Termination shall be, in the Companys sole discretion, the date on which the Executive receives such notice or any subsequent date selected by the Company. If the Executive delivers a Notice of Termination under </w:t>
      </w:r>
      <w:r>
        <w:rPr>
          <w:rFonts w:ascii="Times New Roman" w:hAnsi="Times New Roman"/>
          <w:sz w:val="20"/>
          <w:u w:val="single"/>
        </w:rPr>
        <w:t>Section 4(a)(v)</w:t>
      </w:r>
      <w:r>
        <w:rPr>
          <w:rFonts w:ascii="Times New Roman" w:hAnsi="Times New Roman"/>
          <w:sz w:val="20"/>
        </w:rPr>
        <w:t xml:space="preserve"> or </w:t>
      </w:r>
      <w:r>
        <w:rPr>
          <w:rFonts w:ascii="Times New Roman" w:hAnsi="Times New Roman"/>
          <w:sz w:val="20"/>
          <w:u w:val="single"/>
        </w:rPr>
        <w:t>4(a)(vi)</w:t>
      </w:r>
      <w:r>
        <w:rPr>
          <w:rFonts w:ascii="Times New Roman" w:hAnsi="Times New Roman"/>
          <w:sz w:val="20"/>
        </w:rPr>
        <w:t xml:space="preserve">, the Date of Termination shall be at least thirty (30) days following the date of such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may, in its sole discretion, accelerate the Date of Termination to any date that occurs following the Companys receipt of such notice, without changing the characterization of such termination as voluntary, even if such date is prior to the date specified in such notice. The failure by the Company or the Executive to set forth in the Notice of Termination any fact or circumstance that contributes to a showing of Cause or Good Reason shall not waive any right of the Company or the Executive hereunder or preclude the Company or the Executive from asserting such fact or circumstance in enforcing the Companys or the Executives rights hereunder.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Termination and Resignation of All Positions</w:t>
      </w:r>
      <w:r>
        <w:rPr>
          <w:rFonts w:ascii="Times New Roman" w:hAnsi="Times New Roman"/>
          <w:sz w:val="20"/>
        </w:rPr>
        <w:t xml:space="preserve">. Upon termination of the Executives engagement for any reason, the Executive agrees to resign, as of the Date of Termination or such other date requested by the Company, from all positions and offices that the Executive then holds with the Company and its Affiliates. In addition, as applicable, if the Executive fails to resign from any such positions or offices, the Company shall be relieved of its obligations under </w:t>
      </w:r>
      <w:r>
        <w:rPr>
          <w:rFonts w:ascii="Times New Roman" w:hAnsi="Times New Roman"/>
          <w:sz w:val="20"/>
          <w:u w:val="single"/>
        </w:rPr>
        <w:t>Section 5(b)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5. </w:t>
      </w:r>
      <w:r>
        <w:rPr>
          <w:rFonts w:ascii="Times New Roman" w:hAnsi="Times New Roman"/>
          <w:sz w:val="20"/>
          <w:u w:val="single"/>
        </w:rPr>
        <w:t>Company Obligations upon Termination of the Executives Engagement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In General</w:t>
      </w:r>
      <w:r>
        <w:rPr>
          <w:rFonts w:ascii="Times New Roman" w:hAnsi="Times New Roman"/>
          <w:sz w:val="20"/>
        </w:rPr>
        <w:t xml:space="preserve">. Subject to </w:t>
      </w:r>
      <w:r>
        <w:rPr>
          <w:rFonts w:ascii="Times New Roman" w:hAnsi="Times New Roman"/>
          <w:sz w:val="20"/>
          <w:u w:val="single"/>
        </w:rPr>
        <w:t>Section 11(a)</w:t>
      </w:r>
      <w:r>
        <w:rPr>
          <w:rFonts w:ascii="Times New Roman" w:hAnsi="Times New Roman"/>
          <w:sz w:val="20"/>
        </w:rPr>
        <w:t xml:space="preserve">, upon termination of the Executives engagement for any reason, the Executive (or the Executives estate) shall be entitled to receive (i) any amount of the Executives Annual Base Salary earned through the Date of Termination not theretofore paid, (ii) any Annual Bonus for the year prior to the year in which the Date of Termination occurred that was earned but not yet paid, (iii) any expenses owed to the Executive under </w:t>
      </w:r>
      <w:r>
        <w:rPr>
          <w:rFonts w:ascii="Times New Roman" w:hAnsi="Times New Roman"/>
          <w:sz w:val="20"/>
          <w:u w:val="single"/>
        </w:rPr>
        <w:t>Section 3(f)</w:t>
      </w:r>
      <w:r>
        <w:rPr>
          <w:rFonts w:ascii="Times New Roman" w:hAnsi="Times New Roman"/>
          <w:sz w:val="20"/>
        </w:rPr>
        <w:t xml:space="preserve">, and (iv) any vested payment or benefit arising from the Executives participation in, or benefits under, any qualified benefit plans, programs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arrangements under </w:t>
      </w:r>
      <w:r>
        <w:rPr>
          <w:rFonts w:ascii="Times New Roman" w:hAnsi="Times New Roman"/>
          <w:sz w:val="20"/>
          <w:u w:val="single"/>
        </w:rPr>
        <w:t>Section 3(d)</w:t>
      </w:r>
      <w:r>
        <w:rPr>
          <w:rFonts w:ascii="Times New Roman" w:hAnsi="Times New Roman"/>
          <w:sz w:val="20"/>
        </w:rPr>
        <w:t xml:space="preserve"> (other than severance plans, programs or arrangements), which amounts shall be payable in accordance with the terms and conditions of such benefit plans, programs or arrangements including, where applicable, any death and disability benefits (the </w:t>
      </w:r>
      <w:r>
        <w:rPr>
          <w:rFonts w:ascii="Times New Roman" w:hAnsi="Times New Roman"/>
          <w:sz w:val="20"/>
          <w:u w:val="single"/>
        </w:rPr>
        <w:t>Accrued Obligations</w:t>
      </w:r>
      <w:r>
        <w:rPr>
          <w:rFonts w:ascii="Times New Roman" w:hAnsi="Times New Roman"/>
          <w:sz w:val="20"/>
        </w:rPr>
        <w:t xml:space="preserve">). Notwithstanding anything herein to the contrary, upon a Termination with Cause, and only in the case of such a termination, the Accrued Obligations shall not include the amount set forth in clause (ii) of the preceding sentence or any other amounts or benefits not payable in accordance with the terms and conditions of any benefit plan, program or arrangement.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Termination without Cause or Resignation with Good Reason</w:t>
      </w:r>
      <w:r>
        <w:rPr>
          <w:rFonts w:ascii="Times New Roman" w:hAnsi="Times New Roman"/>
          <w:sz w:val="20"/>
        </w:rPr>
        <w:t xml:space="preserve">. Subject to </w:t>
      </w:r>
      <w:r>
        <w:rPr>
          <w:rFonts w:ascii="Times New Roman" w:hAnsi="Times New Roman"/>
          <w:sz w:val="20"/>
          <w:u w:val="single"/>
        </w:rPr>
        <w:t>Section 11(a)</w:t>
      </w:r>
      <w:r>
        <w:rPr>
          <w:rFonts w:ascii="Times New Roman" w:hAnsi="Times New Roman"/>
          <w:sz w:val="20"/>
        </w:rPr>
        <w:t xml:space="preserve"> and subject to the Executives continued compliance with the covenants contained in </w:t>
      </w:r>
      <w:r>
        <w:rPr>
          <w:rFonts w:ascii="Times New Roman" w:hAnsi="Times New Roman"/>
          <w:sz w:val="20"/>
          <w:u w:val="single"/>
        </w:rPr>
        <w:t>Sections 6</w:t>
      </w:r>
      <w:r>
        <w:rPr>
          <w:rFonts w:ascii="Times New Roman" w:hAnsi="Times New Roman"/>
          <w:sz w:val="20"/>
        </w:rPr>
        <w:t xml:space="preserve">, </w:t>
      </w:r>
      <w:r>
        <w:rPr>
          <w:rFonts w:ascii="Times New Roman" w:hAnsi="Times New Roman"/>
          <w:sz w:val="20"/>
          <w:u w:val="single"/>
        </w:rPr>
        <w:t>7</w:t>
      </w:r>
      <w:r>
        <w:rPr>
          <w:rFonts w:ascii="Times New Roman" w:hAnsi="Times New Roman"/>
          <w:sz w:val="20"/>
        </w:rPr>
        <w:t xml:space="preserve"> and</w:t>
      </w:r>
      <w:r>
        <w:rPr>
          <w:rFonts w:ascii="Times New Roman" w:hAnsi="Times New Roman"/>
          <w:sz w:val="20"/>
          <w:u w:val="single"/>
        </w:rPr>
        <w:t> 10</w:t>
      </w:r>
      <w:r>
        <w:rPr>
          <w:rFonts w:ascii="Times New Roman" w:hAnsi="Times New Roman"/>
          <w:sz w:val="20"/>
        </w:rPr>
        <w:t xml:space="preserve">, if the Company terminates the Executives engagement without Cause pursuant to </w:t>
      </w:r>
      <w:r>
        <w:rPr>
          <w:rFonts w:ascii="Times New Roman" w:hAnsi="Times New Roman"/>
          <w:sz w:val="20"/>
          <w:u w:val="single"/>
        </w:rPr>
        <w:t>Section 4(a)(iv)</w:t>
      </w:r>
      <w:r>
        <w:rPr>
          <w:rFonts w:ascii="Times New Roman" w:hAnsi="Times New Roman"/>
          <w:sz w:val="20"/>
        </w:rPr>
        <w:t xml:space="preserve"> or the Executive resigns from the Executives engagement with Good Reason pursuant to </w:t>
      </w:r>
      <w:r>
        <w:rPr>
          <w:rFonts w:ascii="Times New Roman" w:hAnsi="Times New Roman"/>
          <w:sz w:val="20"/>
          <w:u w:val="single"/>
        </w:rPr>
        <w:t>Section 4(a)(v)</w:t>
      </w:r>
      <w:r>
        <w:rPr>
          <w:rFonts w:ascii="Times New Roman" w:hAnsi="Times New Roman"/>
          <w:sz w:val="20"/>
        </w:rPr>
        <w:t xml:space="preserve">, the Company shall, in addition to the Accrued Obligations: </w:t>
      </w:r>
    </w:p>
    <w:p>
      <w:pPr>
        <w:pStyle w:val="TextBody"/>
        <w:bidi w:val="0"/>
        <w:spacing w:before="240" w:after="0"/>
        <w:jc w:val="left"/>
        <w:rPr>
          <w:rFonts w:ascii="Times New Roman" w:hAnsi="Times New Roman"/>
          <w:sz w:val="20"/>
        </w:rPr>
      </w:pPr>
      <w:r>
        <w:rPr>
          <w:rFonts w:ascii="Times New Roman" w:hAnsi="Times New Roman"/>
          <w:sz w:val="20"/>
        </w:rPr>
        <w:t xml:space="preserve">(i) continue to pay the Final Base Salary in accordance with the Companys customary payroll practices during the period beginning on the Date of Termination and ending on the earlier to occur of (A) the first anniversary of the Date of Termination and (B) the first date that the Executive violates any covenant contained in </w:t>
      </w:r>
      <w:r>
        <w:rPr>
          <w:rFonts w:ascii="Times New Roman" w:hAnsi="Times New Roman"/>
          <w:sz w:val="20"/>
          <w:u w:val="single"/>
        </w:rPr>
        <w:t>Section 6</w:t>
      </w:r>
      <w:r>
        <w:rPr>
          <w:rFonts w:ascii="Times New Roman" w:hAnsi="Times New Roman"/>
          <w:sz w:val="20"/>
        </w:rPr>
        <w:t xml:space="preserve"> or </w:t>
      </w:r>
      <w:r>
        <w:rPr>
          <w:rFonts w:ascii="Times New Roman" w:hAnsi="Times New Roman"/>
          <w:sz w:val="20"/>
          <w:u w:val="single"/>
        </w:rPr>
        <w:t>7</w:t>
      </w:r>
      <w:r>
        <w:rPr>
          <w:rFonts w:ascii="Times New Roman" w:hAnsi="Times New Roman"/>
          <w:sz w:val="20"/>
        </w:rPr>
        <w:t xml:space="preserve"> (the </w:t>
      </w:r>
      <w:r>
        <w:rPr>
          <w:rFonts w:ascii="Times New Roman" w:hAnsi="Times New Roman"/>
          <w:sz w:val="20"/>
          <w:u w:val="single"/>
        </w:rPr>
        <w:t>Salary Payment</w:t>
      </w:r>
      <w:r>
        <w:rPr>
          <w:rFonts w:ascii="Times New Roman" w:hAnsi="Times New Roman"/>
          <w:sz w:val="20"/>
        </w:rPr>
        <w:t>), and if the Date of Termination occurs after June 30 of the calendar year in which the Date of Termination occurs, pay the Executive a prorated portion of the Annual Bonus payable with respect to the calendar year in which such termination occurs (which prorated amount shall equal the amount of the Annual Bonus multiplied by a fraction, (x) the numerator of which equals the number of days that have elapsed between January 1 of such calendar year and the Date of Termination and (y) the denominator of which equals 365), based on actual performance achievement for such year, and payable if and when annual bonuses are paid to other senior executives of the Company with respect to such year (the </w:t>
      </w:r>
      <w:r>
        <w:rPr>
          <w:rFonts w:ascii="Times New Roman" w:hAnsi="Times New Roman"/>
          <w:sz w:val="20"/>
          <w:u w:val="single"/>
        </w:rPr>
        <w:t>Pro Rata Bonus</w:t>
      </w:r>
      <w:r>
        <w:rPr>
          <w:rFonts w:ascii="Times New Roman" w:hAnsi="Times New Roman"/>
          <w:sz w:val="20"/>
        </w:rPr>
        <w:t>, together with the Salary Payment, the </w:t>
      </w:r>
      <w:r>
        <w:rPr>
          <w:rFonts w:ascii="Times New Roman" w:hAnsi="Times New Roman"/>
          <w:sz w:val="20"/>
          <w:u w:val="single"/>
        </w:rPr>
        <w:t>Severance Payment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Company terminates the Executives engagement without Cause pursuant to </w:t>
      </w:r>
      <w:r>
        <w:rPr>
          <w:rFonts w:ascii="Times New Roman" w:hAnsi="Times New Roman"/>
          <w:sz w:val="20"/>
          <w:u w:val="single"/>
        </w:rPr>
        <w:t>Section 4(a)(iv)</w:t>
      </w:r>
      <w:r>
        <w:rPr>
          <w:rFonts w:ascii="Times New Roman" w:hAnsi="Times New Roman"/>
          <w:sz w:val="20"/>
        </w:rPr>
        <w:t xml:space="preserve"> or the Executive resigns from the Executives engagement with Good Reason pursuant to </w:t>
      </w:r>
      <w:r>
        <w:rPr>
          <w:rFonts w:ascii="Times New Roman" w:hAnsi="Times New Roman"/>
          <w:sz w:val="20"/>
          <w:u w:val="single"/>
        </w:rPr>
        <w:t>Section 4(a)(v)</w:t>
      </w:r>
      <w:r>
        <w:rPr>
          <w:rFonts w:ascii="Times New Roman" w:hAnsi="Times New Roman"/>
          <w:sz w:val="20"/>
        </w:rPr>
        <w:t>, in each case, either (x) during a period of time when the Company is party to a definitive corporate transaction agreement, the consummation of which would result in a Change in Control, or (y) within 18 months following a Change in Control (such a termination a </w:t>
      </w:r>
      <w:r>
        <w:rPr>
          <w:rFonts w:ascii="Times New Roman" w:hAnsi="Times New Roman"/>
          <w:sz w:val="20"/>
          <w:u w:val="single"/>
        </w:rPr>
        <w:t>CIC Qualified Termination</w:t>
      </w:r>
      <w:r>
        <w:rPr>
          <w:rFonts w:ascii="Times New Roman" w:hAnsi="Times New Roman"/>
          <w:sz w:val="20"/>
        </w:rPr>
        <w:t xml:space="preserve">), then the Severance Payment shall instead equal the sum of (xx) one and one-half (1.5) times the Final Base Salary, payable (1) in a single cash lump sum on the sixtieth (60th) day following the Date of Termination in the event that the Change in Control is also a change in control event (within the meaning of Section 409A of the Code) or (2) in accordance with the schedule contemplated by the first sentence of this </w:t>
      </w:r>
      <w:r>
        <w:rPr>
          <w:rFonts w:ascii="Times New Roman" w:hAnsi="Times New Roman"/>
          <w:sz w:val="20"/>
          <w:u w:val="single"/>
        </w:rPr>
        <w:t>Section 5(b)(i)</w:t>
      </w:r>
      <w:r>
        <w:rPr>
          <w:rFonts w:ascii="Times New Roman" w:hAnsi="Times New Roman"/>
          <w:sz w:val="20"/>
        </w:rPr>
        <w:t xml:space="preserve"> in the event that the Change in Control is not a change in control event and (yy) if the Date of Termination occurs after June 30th of the calendar year in which the Date of Termination occurs, an amount equal to an additional month of base salary for each month that has passed since July 1st through the Date of Termination (rounding up for any partial months), and payable in a lump sum on the sixtieth (60th) day following the Date of Termination, in each case, so long as the Release (as defined below) has become effective and the Executive has not violated any covenant contained in </w:t>
      </w:r>
      <w:r>
        <w:rPr>
          <w:rFonts w:ascii="Times New Roman" w:hAnsi="Times New Roman"/>
          <w:sz w:val="20"/>
          <w:u w:val="single"/>
        </w:rPr>
        <w:t>Section 6</w:t>
      </w:r>
      <w:r>
        <w:rPr>
          <w:rFonts w:ascii="Times New Roman" w:hAnsi="Times New Roman"/>
          <w:sz w:val="20"/>
        </w:rPr>
        <w:t xml:space="preserve"> or</w:t>
      </w:r>
      <w:r>
        <w:rPr>
          <w:rFonts w:ascii="Times New Roman" w:hAnsi="Times New Roman"/>
          <w:sz w:val="20"/>
          <w:u w:val="single"/>
        </w:rPr>
        <w:t> 7</w:t>
      </w:r>
      <w:r>
        <w:rPr>
          <w:rFonts w:ascii="Times New Roman" w:hAnsi="Times New Roman"/>
          <w:sz w:val="20"/>
        </w:rPr>
        <w:t xml:space="preserve">, in which case the Severance Payment shall be forfeited; for the avoidance of doubt, if the Date of Termination occurs in July, the payment described in clause (yy) above will be equal to one months base salary;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(ii) provide for vesting of any outstanding unvested Equity Awards, as set forth in the Equity Incentive Plan and the applicable Award Agreement(s);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all payments and benefits to be paid or provided pursuant to this </w:t>
      </w:r>
      <w:r>
        <w:rPr>
          <w:rFonts w:ascii="Times New Roman" w:hAnsi="Times New Roman"/>
          <w:sz w:val="20"/>
          <w:u w:val="single"/>
        </w:rPr>
        <w:t>Section 5(b)</w:t>
      </w:r>
      <w:r>
        <w:rPr>
          <w:rFonts w:ascii="Times New Roman" w:hAnsi="Times New Roman"/>
          <w:sz w:val="20"/>
        </w:rPr>
        <w:t xml:space="preserve"> shall commence on the 60th day following the Date of Termination, and, only with respect to any cash payments, the initial installment of such payments shall include a lump-sum payment of all amounts accrued under this </w:t>
      </w:r>
      <w:r>
        <w:rPr>
          <w:rFonts w:ascii="Times New Roman" w:hAnsi="Times New Roman"/>
          <w:sz w:val="20"/>
          <w:u w:val="single"/>
        </w:rPr>
        <w:t>Section 5(b)</w:t>
      </w:r>
      <w:r>
        <w:rPr>
          <w:rFonts w:ascii="Times New Roman" w:hAnsi="Times New Roman"/>
          <w:sz w:val="20"/>
        </w:rPr>
        <w:t xml:space="preserve"> from the Date of Termination through the date of such initial payment.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if the Executive breaches any of the covenants contained in </w:t>
      </w:r>
      <w:r>
        <w:rPr>
          <w:rFonts w:ascii="Times New Roman" w:hAnsi="Times New Roman"/>
          <w:sz w:val="20"/>
          <w:u w:val="single"/>
        </w:rPr>
        <w:t>Sections 6</w:t>
      </w:r>
      <w:r>
        <w:rPr>
          <w:rFonts w:ascii="Times New Roman" w:hAnsi="Times New Roman"/>
          <w:sz w:val="20"/>
        </w:rPr>
        <w:t xml:space="preserve"> and</w:t>
      </w:r>
      <w:r>
        <w:rPr>
          <w:rFonts w:ascii="Times New Roman" w:hAnsi="Times New Roman"/>
          <w:sz w:val="20"/>
          <w:u w:val="single"/>
        </w:rPr>
        <w:t> 7</w:t>
      </w:r>
      <w:r>
        <w:rPr>
          <w:rFonts w:ascii="Times New Roman" w:hAnsi="Times New Roman"/>
          <w:sz w:val="20"/>
        </w:rPr>
        <w:t xml:space="preserve">, the Company shall have the right to cease providing any payments or benefits under this </w:t>
      </w:r>
      <w:r>
        <w:rPr>
          <w:rFonts w:ascii="Times New Roman" w:hAnsi="Times New Roman"/>
          <w:sz w:val="20"/>
          <w:u w:val="single"/>
        </w:rPr>
        <w:t>Section 5(b)</w:t>
      </w:r>
      <w:r>
        <w:rPr>
          <w:rFonts w:ascii="Times New Roman" w:hAnsi="Times New Roman"/>
          <w:sz w:val="20"/>
        </w:rPr>
        <w:t xml:space="preserve"> and, if requested, the Executive shall repay to the Company within 60 days of such request any previously paid payments or benefits under this </w:t>
      </w:r>
      <w:r>
        <w:rPr>
          <w:rFonts w:ascii="Times New Roman" w:hAnsi="Times New Roman"/>
          <w:sz w:val="20"/>
          <w:u w:val="single"/>
        </w:rPr>
        <w:t>Section 5(b)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foregoing shall not apply unless the Company provides the Executive with written notice of the circumstances it believes constitutes a breach of such covenants within 90 days after it becomes aware of such circumstances;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basis for the alleged breach is curable, then the Executive shall have 15 days after receipt of such written notice to cure such basis.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amounts and benefits under this </w:t>
      </w:r>
      <w:r>
        <w:rPr>
          <w:rFonts w:ascii="Times New Roman" w:hAnsi="Times New Roman"/>
          <w:sz w:val="20"/>
          <w:u w:val="single"/>
        </w:rPr>
        <w:t>Section 5(b)</w:t>
      </w:r>
      <w:r>
        <w:rPr>
          <w:rFonts w:ascii="Times New Roman" w:hAnsi="Times New Roman"/>
          <w:sz w:val="20"/>
        </w:rPr>
        <w:t xml:space="preserve"> is in lieu of any other severance or separation pay payable to the Executive whether under any previous agreement, offer letter or severance program, plan or policy, applicable law (including the laws of the Republic of Korea) or other statute, or otherwise; </w:t>
      </w:r>
      <w:r>
        <w:rPr>
          <w:rFonts w:ascii="Times New Roman" w:hAnsi="Times New Roman"/>
          <w:sz w:val="20"/>
          <w:u w:val="single"/>
        </w:rPr>
        <w:t>provided</w:t>
      </w:r>
      <w:r>
        <w:rPr>
          <w:rFonts w:ascii="Times New Roman" w:hAnsi="Times New Roman"/>
          <w:sz w:val="20"/>
        </w:rPr>
        <w:t xml:space="preserve"> that nothing in this Agreement shall limit or otherwise affect the rights of the Executive may have under any statutory pension under Korean law that has accrued to the Executives account as of the Date of Termination.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Release</w:t>
      </w:r>
      <w:r>
        <w:rPr>
          <w:rFonts w:ascii="Times New Roman" w:hAnsi="Times New Roman"/>
          <w:sz w:val="20"/>
        </w:rPr>
        <w:t xml:space="preserve">. Notwithstanding anything herein to the contrary, the amounts payable and benefits to be provided to the Executive under </w:t>
      </w:r>
      <w:r>
        <w:rPr>
          <w:rFonts w:ascii="Times New Roman" w:hAnsi="Times New Roman"/>
          <w:sz w:val="20"/>
          <w:u w:val="single"/>
        </w:rPr>
        <w:t>Section 5(b)</w:t>
      </w:r>
      <w:r>
        <w:rPr>
          <w:rFonts w:ascii="Times New Roman" w:hAnsi="Times New Roman"/>
          <w:sz w:val="20"/>
        </w:rPr>
        <w:t xml:space="preserve">, other than the Accrued Obligations, shall be contingent upon and subject to the Executives (or the Executives estates, if applicable) execution and non-revocation of a general waiver and release of claims agreement generally consistent with the form attached as </w:t>
      </w:r>
      <w:r>
        <w:rPr>
          <w:rFonts w:ascii="Times New Roman" w:hAnsi="Times New Roman"/>
          <w:sz w:val="20"/>
          <w:u w:val="single"/>
        </w:rPr>
        <w:t>Exhibit A</w:t>
      </w:r>
      <w:r>
        <w:rPr>
          <w:rFonts w:ascii="Times New Roman" w:hAnsi="Times New Roman"/>
          <w:sz w:val="20"/>
        </w:rPr>
        <w:t xml:space="preserve"> hereto (as appropriately modified to comply with applicable law, the </w:t>
      </w:r>
      <w:r>
        <w:rPr>
          <w:rFonts w:ascii="Times New Roman" w:hAnsi="Times New Roman"/>
          <w:sz w:val="20"/>
          <w:u w:val="single"/>
        </w:rPr>
        <w:t>Release</w:t>
      </w:r>
      <w:r>
        <w:rPr>
          <w:rFonts w:ascii="Times New Roman" w:hAnsi="Times New Roman"/>
          <w:sz w:val="20"/>
        </w:rPr>
        <w:t xml:space="preserve">) (and the expiration of any applicable revocation period), on or prior to the 60th day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Survival</w:t>
      </w:r>
      <w:r>
        <w:rPr>
          <w:rFonts w:ascii="Times New Roman" w:hAnsi="Times New Roman"/>
          <w:sz w:val="20"/>
        </w:rPr>
        <w:t xml:space="preserve">. The obligations of any of the parties under this Agreement which by their nature may require either partial or total performance after the termination of the Term or this Agreement (including those under </w:t>
      </w:r>
      <w:r>
        <w:rPr>
          <w:rFonts w:ascii="Times New Roman" w:hAnsi="Times New Roman"/>
          <w:sz w:val="20"/>
          <w:u w:val="single"/>
        </w:rPr>
        <w:t>Sections 6</w:t>
      </w:r>
      <w:r>
        <w:rPr>
          <w:rFonts w:ascii="Times New Roman" w:hAnsi="Times New Roman"/>
          <w:sz w:val="20"/>
        </w:rPr>
        <w:t xml:space="preserve">, </w:t>
      </w:r>
      <w:r>
        <w:rPr>
          <w:rFonts w:ascii="Times New Roman" w:hAnsi="Times New Roman"/>
          <w:sz w:val="20"/>
          <w:u w:val="single"/>
        </w:rPr>
        <w:t>7</w:t>
      </w:r>
      <w:r>
        <w:rPr>
          <w:rFonts w:ascii="Times New Roman" w:hAnsi="Times New Roman"/>
          <w:sz w:val="20"/>
        </w:rPr>
        <w:t xml:space="preserve">, </w:t>
      </w:r>
      <w:r>
        <w:rPr>
          <w:rFonts w:ascii="Times New Roman" w:hAnsi="Times New Roman"/>
          <w:sz w:val="20"/>
          <w:u w:val="single"/>
        </w:rPr>
        <w:t>8</w:t>
      </w:r>
      <w:r>
        <w:rPr>
          <w:rFonts w:ascii="Times New Roman" w:hAnsi="Times New Roman"/>
          <w:sz w:val="20"/>
        </w:rPr>
        <w:t xml:space="preserve">, </w:t>
      </w:r>
      <w:r>
        <w:rPr>
          <w:rFonts w:ascii="Times New Roman" w:hAnsi="Times New Roman"/>
          <w:sz w:val="20"/>
          <w:u w:val="single"/>
        </w:rPr>
        <w:t>9</w:t>
      </w:r>
      <w:r>
        <w:rPr>
          <w:rFonts w:ascii="Times New Roman" w:hAnsi="Times New Roman"/>
          <w:sz w:val="20"/>
        </w:rPr>
        <w:t xml:space="preserve"> and </w:t>
      </w:r>
      <w:r>
        <w:rPr>
          <w:rFonts w:ascii="Times New Roman" w:hAnsi="Times New Roman"/>
          <w:sz w:val="20"/>
          <w:u w:val="single"/>
        </w:rPr>
        <w:t>10</w:t>
      </w:r>
      <w:r>
        <w:rPr>
          <w:rFonts w:ascii="Times New Roman" w:hAnsi="Times New Roman"/>
          <w:sz w:val="20"/>
        </w:rPr>
        <w:t xml:space="preserve">) and </w:t>
      </w:r>
      <w:r>
        <w:rPr>
          <w:rFonts w:ascii="Times New Roman" w:hAnsi="Times New Roman"/>
          <w:sz w:val="20"/>
          <w:u w:val="single"/>
        </w:rPr>
        <w:t>Sections 11</w:t>
      </w:r>
      <w:r>
        <w:rPr>
          <w:rFonts w:ascii="Times New Roman" w:hAnsi="Times New Roman"/>
          <w:sz w:val="20"/>
        </w:rPr>
        <w:t xml:space="preserve">, </w:t>
      </w:r>
      <w:r>
        <w:rPr>
          <w:rFonts w:ascii="Times New Roman" w:hAnsi="Times New Roman"/>
          <w:sz w:val="20"/>
          <w:u w:val="single"/>
        </w:rPr>
        <w:t>12</w:t>
      </w:r>
      <w:r>
        <w:rPr>
          <w:rFonts w:ascii="Times New Roman" w:hAnsi="Times New Roman"/>
          <w:sz w:val="20"/>
        </w:rPr>
        <w:t xml:space="preserve">, </w:t>
      </w:r>
      <w:r>
        <w:rPr>
          <w:rFonts w:ascii="Times New Roman" w:hAnsi="Times New Roman"/>
          <w:sz w:val="20"/>
          <w:u w:val="single"/>
        </w:rPr>
        <w:t>14</w:t>
      </w:r>
      <w:r>
        <w:rPr>
          <w:rFonts w:ascii="Times New Roman" w:hAnsi="Times New Roman"/>
          <w:sz w:val="20"/>
        </w:rPr>
        <w:t xml:space="preserve">, </w:t>
      </w:r>
      <w:r>
        <w:rPr>
          <w:rFonts w:ascii="Times New Roman" w:hAnsi="Times New Roman"/>
          <w:sz w:val="20"/>
          <w:u w:val="single"/>
        </w:rPr>
        <w:t>15</w:t>
      </w:r>
      <w:r>
        <w:rPr>
          <w:rFonts w:ascii="Times New Roman" w:hAnsi="Times New Roman"/>
          <w:sz w:val="20"/>
        </w:rPr>
        <w:t xml:space="preserve">, </w:t>
      </w:r>
      <w:r>
        <w:rPr>
          <w:rFonts w:ascii="Times New Roman" w:hAnsi="Times New Roman"/>
          <w:sz w:val="20"/>
          <w:u w:val="single"/>
        </w:rPr>
        <w:t>22</w:t>
      </w:r>
      <w:r>
        <w:rPr>
          <w:rFonts w:ascii="Times New Roman" w:hAnsi="Times New Roman"/>
          <w:sz w:val="20"/>
        </w:rPr>
        <w:t xml:space="preserve">, </w:t>
      </w:r>
      <w:r>
        <w:rPr>
          <w:rFonts w:ascii="Times New Roman" w:hAnsi="Times New Roman"/>
          <w:sz w:val="20"/>
          <w:u w:val="single"/>
        </w:rPr>
        <w:t>23</w:t>
      </w:r>
      <w:r>
        <w:rPr>
          <w:rFonts w:ascii="Times New Roman" w:hAnsi="Times New Roman"/>
          <w:sz w:val="20"/>
        </w:rPr>
        <w:t xml:space="preserve">, </w:t>
      </w:r>
      <w:r>
        <w:rPr>
          <w:rFonts w:ascii="Times New Roman" w:hAnsi="Times New Roman"/>
          <w:sz w:val="20"/>
          <w:u w:val="single"/>
        </w:rPr>
        <w:t>24</w:t>
      </w:r>
      <w:r>
        <w:rPr>
          <w:rFonts w:ascii="Times New Roman" w:hAnsi="Times New Roman"/>
          <w:sz w:val="20"/>
        </w:rPr>
        <w:t xml:space="preserve"> and </w:t>
      </w:r>
      <w:r>
        <w:rPr>
          <w:rFonts w:ascii="Times New Roman" w:hAnsi="Times New Roman"/>
          <w:sz w:val="20"/>
          <w:u w:val="single"/>
        </w:rPr>
        <w:t>25</w:t>
      </w:r>
      <w:r>
        <w:rPr>
          <w:rFonts w:ascii="Times New Roman" w:hAnsi="Times New Roman"/>
          <w:sz w:val="20"/>
        </w:rPr>
        <w:t xml:space="preserve"> will survive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6. </w:t>
      </w:r>
      <w:r>
        <w:rPr>
          <w:rFonts w:ascii="Times New Roman" w:hAnsi="Times New Roman"/>
          <w:sz w:val="20"/>
          <w:u w:val="single"/>
        </w:rPr>
        <w:t>Non-Competition; Non-Solicitation; Non-Hire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fullest extent permitted by applicable law, the Executive agrees that during the Executives engagement with the Company, and for the 12-month period following termination of the Executives engagement for any reason, the Executive will not, directly or indirectly, have any equity or equity-based interest, or work or otherwise provide services as an employee, contractor, officer, owner, consultant, partner, director or otherwise, in any business anywhere in the world that competes with any of the businesses of the Company. Notwithstanding the foregoing, the Executive shall be permitted to acquire a passive stock or equity interest in such a business, </w:t>
      </w:r>
      <w:r>
        <w:rPr>
          <w:rFonts w:ascii="Times New Roman" w:hAnsi="Times New Roman"/>
          <w:sz w:val="20"/>
          <w:u w:val="single"/>
        </w:rPr>
        <w:t>provided</w:t>
      </w:r>
      <w:r>
        <w:rPr>
          <w:rFonts w:ascii="Times New Roman" w:hAnsi="Times New Roman"/>
          <w:sz w:val="20"/>
        </w:rPr>
        <w:t xml:space="preserve"> that the stock or other equity interest acquired is not more than five percent (5%) of the outstanding interest in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business. Notwithstanding anything herein to the contrary, if prior to the expiration of the aforementioned 12-month period the Executive enters into any agreement that obligates the Executive to provide any form of services to the Company, then such 12-month period shall commence on the date that the Executives ceases to provide services under such agreement. </w:t>
      </w:r>
    </w:p>
    <w:p>
      <w:pPr>
        <w:pStyle w:val="TextBody"/>
        <w:bidi w:val="0"/>
        <w:spacing w:before="240" w:after="0"/>
        <w:jc w:val="left"/>
        <w:rPr>
          <w:rFonts w:ascii="Times New Roman" w:hAnsi="Times New Roman"/>
          <w:sz w:val="20"/>
        </w:rPr>
      </w:pPr>
      <w:r>
        <w:rPr>
          <w:rFonts w:ascii="Times New Roman" w:hAnsi="Times New Roman"/>
          <w:sz w:val="20"/>
        </w:rPr>
        <w:t xml:space="preserve">(b) To the fullest extent permitted by applicable law, the Executive agrees that during the Executives engagement with the Company, and for the 12-month period following termination of the Executives engagement for any reason, the Executive will not, directly or indirectly, on the Executives own behalf or on behalf of another (i) solicit, induce or attempt to solicit or induce any officer, director, employee or consultant of the Company to terminate their relationship with or leave the Company, or in any way interfere with the relationship between the Company, on the one hand, and any officer, director, employee or consultant thereof, on the other hand, (ii) hire (or other similar arrangement) any Person (in any capacity whether as an officer, director, employee or consultant) who is, or at any time in the 12 months preceding the Date of Termination was, an officer, director, employee or consultant of the Company or (iii) induce or attempt to induce any customer, supplier, prospect, licensee or other business relation of the Company to cease doing business with the Company, or in any way interfere with the relationship between any such customer, supplier, prospect, licensee or business relation, on the one hand, and the Company,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the terms of this </w:t>
      </w:r>
      <w:r>
        <w:rPr>
          <w:rFonts w:ascii="Times New Roman" w:hAnsi="Times New Roman"/>
          <w:sz w:val="20"/>
          <w:u w:val="single"/>
        </w:rPr>
        <w:t>Section 6</w:t>
      </w:r>
      <w:r>
        <w:rPr>
          <w:rFonts w:ascii="Times New Roman" w:hAnsi="Times New Roman"/>
          <w:sz w:val="20"/>
        </w:rPr>
        <w:t xml:space="preserve"> shall be determined by any court of competent jurisdiction to be unenforceable by reason of its extending for too great a period of time or over too great a geographical area or by reason of its being too extensive in any other respect, it will be interpreted to extend only over the maximum period of time for which it may be enforceable, over the maximum geographical area as to which it may be enforceable, or to the maximum extent in all other respects as to which it may be enforceable, all as determined by such court in such action. The Executive hereby acknowledges that the terms of this </w:t>
      </w:r>
      <w:r>
        <w:rPr>
          <w:rFonts w:ascii="Times New Roman" w:hAnsi="Times New Roman"/>
          <w:sz w:val="20"/>
          <w:u w:val="single"/>
        </w:rPr>
        <w:t>Section 6</w:t>
      </w:r>
      <w:r>
        <w:rPr>
          <w:rFonts w:ascii="Times New Roman" w:hAnsi="Times New Roman"/>
          <w:sz w:val="20"/>
        </w:rPr>
        <w:t xml:space="preserve"> are reasonable in terms of duration, scope and area restrictions and are necessary to protect the goodwill of the Company. The Executive hereby authorizes the Company to inform any future employer or prospective employer of the existence and terms of </w:t>
      </w:r>
      <w:r>
        <w:rPr>
          <w:rFonts w:ascii="Times New Roman" w:hAnsi="Times New Roman"/>
          <w:sz w:val="20"/>
          <w:u w:val="single"/>
        </w:rPr>
        <w:t>Sections 6</w:t>
      </w:r>
      <w:r>
        <w:rPr>
          <w:rFonts w:ascii="Times New Roman" w:hAnsi="Times New Roman"/>
          <w:sz w:val="20"/>
        </w:rPr>
        <w:t xml:space="preserve"> and</w:t>
      </w:r>
      <w:r>
        <w:rPr>
          <w:rFonts w:ascii="Times New Roman" w:hAnsi="Times New Roman"/>
          <w:sz w:val="20"/>
          <w:u w:val="single"/>
        </w:rPr>
        <w:t> 7</w:t>
      </w:r>
      <w:r>
        <w:rPr>
          <w:rFonts w:ascii="Times New Roman" w:hAnsi="Times New Roman"/>
          <w:sz w:val="20"/>
        </w:rPr>
        <w:t xml:space="preserve"> without liability for interference with the Executives employment or prospective employment. </w:t>
      </w:r>
    </w:p>
    <w:p>
      <w:pPr>
        <w:pStyle w:val="TextBody"/>
        <w:bidi w:val="0"/>
        <w:spacing w:before="240" w:after="0"/>
        <w:jc w:val="left"/>
        <w:rPr>
          <w:rFonts w:ascii="Times New Roman" w:hAnsi="Times New Roman"/>
          <w:sz w:val="20"/>
        </w:rPr>
      </w:pPr>
      <w:r>
        <w:rPr>
          <w:rFonts w:ascii="Times New Roman" w:hAnsi="Times New Roman"/>
          <w:sz w:val="20"/>
        </w:rPr>
        <w:t>7. </w:t>
      </w:r>
      <w:r>
        <w:rPr>
          <w:rFonts w:ascii="Times New Roman" w:hAnsi="Times New Roman"/>
          <w:sz w:val="20"/>
          <w:u w:val="single"/>
        </w:rPr>
        <w:t>Non-Disclosure of Confidential Information; Non-Disparagement; 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Non-Disclosure of Confidential Information; Return of Property</w:t>
      </w:r>
      <w:r>
        <w:rPr>
          <w:rFonts w:ascii="Times New Roman" w:hAnsi="Times New Roman"/>
          <w:sz w:val="20"/>
        </w:rPr>
        <w:t xml:space="preserve">. The Executive recognizes and acknowledges that the Executive has access to confidential information and/or has had or will have material contact with the Companys customers, suppliers, licensees, representatives, agents, partners, licensors or business relations. The Executive agrees that during the Executives engagement and in perpetuity thereafter, the Executive shall maintain in confidence and shall not directly, indirectly or otherwise, use, disseminate, disclose or publish, or use for the Executives benefit or the benefit of any Person, any confidential or proprietary information or trade secrets of or relating to the Company, including information with respect to the Companys operations, processes, products, inventions, business practices, finances, principals, vendors, suppliers, customers, potential customers, marketing methods, costs, prices, contractual relationships, regulatory status, compensation paid to employees or other terms of employment, or deliver to any Person any document, record, notebook, computer program or similar repository of or containing any such confidential or proprietary information or trade secrets. Upon termination of the Executives engagement for any reason, the Executive shall promptly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deliver to the Company all correspondence, drawings, manuals, letters, notes, notebooks, reports, programs, plans, proposals, financial documents or any other documents concerning the Companys customers, business plans, marketing strategies, products or processes. The Executive may respond to a lawful and valid subpoena or other legal process but shall give the Company the earliest possible notice thereof, shall, as much in advance of the return date as possible, make available to the Company and its counsel the documents and other information sought and, if requested by the Company, shall reasonably assist such counsel in resisting or otherwise responding to such process.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Non-Disparagement</w:t>
      </w:r>
      <w:r>
        <w:rPr>
          <w:rFonts w:ascii="Times New Roman" w:hAnsi="Times New Roman"/>
          <w:sz w:val="20"/>
        </w:rPr>
        <w:t xml:space="preserve">. The Executive shall not, at any time during the Executives engagement and in perpetuity thereafter, directly or indirectly, knowingly disparage, criticize or otherwise make derogatory statements regarding the Company, or any of its successors, directors or officers. The foregoing shall not be violated by the Executives truthful responses to legal process or inquiry by a governmental authority.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Intellectual Property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(i) The Executive agrees that the results and proceeds of the Executives services for the Company (including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for the Company and any works in progress, whether or not patentable or registrable under copyright or similar statutes, that were made, developed, conceived or reduced to practice or learned by the Executive, either alone or jointly with others (collectively, </w:t>
      </w:r>
      <w:r>
        <w:rPr>
          <w:rFonts w:ascii="Times New Roman" w:hAnsi="Times New Roman"/>
          <w:sz w:val="20"/>
          <w:u w:val="single"/>
        </w:rPr>
        <w:t>Inventions</w:t>
      </w:r>
      <w:r>
        <w:rPr>
          <w:rFonts w:ascii="Times New Roman" w:hAnsi="Times New Roman"/>
          <w:sz w:val="20"/>
        </w:rPr>
        <w:t>), shall be works-made-for-hire and the Company (or, if applicable or as directed by the Company) shall be deemed the sole owner throughout the universe of any and all trade secret, patent, copyright and other intellectual property rights (collectively, </w:t>
      </w:r>
      <w:r>
        <w:rPr>
          <w:rFonts w:ascii="Times New Roman" w:hAnsi="Times New Roman"/>
          <w:sz w:val="20"/>
          <w:u w:val="single"/>
        </w:rPr>
        <w:t>Proprietary Rights</w:t>
      </w:r>
      <w:r>
        <w:rPr>
          <w:rFonts w:ascii="Times New Roman" w:hAnsi="Times New Roman"/>
          <w:sz w:val="20"/>
        </w:rPr>
        <w:t xml:space="preserve">) of whatsoever nature therein, whether or not now or hereafter known, existing, contemplated, recognized or developed, with the right to use the same in perpetuity in any manner the Company determines in its sole discretion, without any further payment to the Executive whatsoever. If, for any reason, any of such results and proceeds shall not legally be a work-made-for-hire and/or there are any Proprietary Rights which do not accrue to the Company under the immediately preceding sentence, then the Executive hereby irrevocably assigns and agrees to assign any and all of the Executives right, title and interest thereto, including any and all Proprietary Rights of whatsoever nature therein, whether or not now or hereafter known, existing, contemplated, recognized or developed, to the Company (or, if applicable or as directed by the Company), and the Company or such Affiliates shall have the right to use the same in perpetuity throughout the universe in any manner determined by the Company or such Affiliates without any further payment to the Executive whatsoever. As to any Invention that the Executive is required to assign, the Executive shall promptly and fully disclose to the Company all information known to the Executive concerning such Invention. The Executive hereby waives and quitclaims to the Company any and all claims, of any nature whatsoever, that the Executive now or may hereafter have for infringement of any Proprietary Rights assigned hereunder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(ii) The Executive agrees that, from time to time, as may be requested by the Company and at the Companys sole cost and expense, the Executive shall do any and all things that the Company may reasonably deem useful or desirable to establish or document the Companys exclusive ownership throughout the United States of America or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country of any and all Proprietary Rights in any such Inventions, including the execution of appropriate copyright and/or patent applications or assignments. To the extent the Executive has any Proprietary Rights in the Inventions that cannot be assigned in the manner described above, the Executive unconditionally and irrevocably waives the enforcement of such Proprietary Rights. This </w:t>
      </w:r>
      <w:r>
        <w:rPr>
          <w:rFonts w:ascii="Times New Roman" w:hAnsi="Times New Roman"/>
          <w:sz w:val="20"/>
          <w:u w:val="single"/>
        </w:rPr>
        <w:t>Section 7(c)(ii)</w:t>
      </w:r>
      <w:r>
        <w:rPr>
          <w:rFonts w:ascii="Times New Roman" w:hAnsi="Times New Roman"/>
          <w:sz w:val="20"/>
        </w:rPr>
        <w:t xml:space="preserve"> is subject to and shall not be deemed to limit, restrict or constitute any waiver by the Company of any Proprietary Rights of ownership to which the Company may be entitled by operation of law by virtue of the Executives engagement with the Company. The Executive further agrees that, from time to time, as may be requested by the Company and at the Companys sole cost and expense, the Executive shall assist the Company in every proper and lawful way to obtain and from time to time enforce Proprietary Rights relating to Inventions in any and all countries. To this end, the Executive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the Executive shall execute, verify and deliver assignments of such Proprietary Rights to the Company or its designees. The Executives obligation to assist the Company with respect to Proprietary Rights relating to such Inventions in any and all countries shall continue beyond the termination of the Executives engagement with the Company.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Protected Disclosures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(i) Nothing in this Agreement will preclude, prohibit or restrict the Executive from (A) communicating with, any federal, state or local administrative or regulatory agency or authority, including the Securities and Exchange Commission (the </w:t>
      </w:r>
      <w:r>
        <w:rPr>
          <w:rFonts w:ascii="Times New Roman" w:hAnsi="Times New Roman"/>
          <w:sz w:val="20"/>
          <w:u w:val="single"/>
        </w:rPr>
        <w:t>SEC</w:t>
      </w:r>
      <w:r>
        <w:rPr>
          <w:rFonts w:ascii="Times New Roman" w:hAnsi="Times New Roman"/>
          <w:sz w:val="20"/>
        </w:rPr>
        <w:t xml:space="preserve">); (B) participating or cooperating in any investigation conducted by any governmental agency or authority; or (C) filing a charge of discrimination with the United States Equal Employment Opportunity Commission or any other federal state or local administrative agency or regulatory authority. </w:t>
      </w:r>
    </w:p>
    <w:p>
      <w:pPr>
        <w:pStyle w:val="TextBody"/>
        <w:bidi w:val="0"/>
        <w:spacing w:before="240" w:after="0"/>
        <w:jc w:val="left"/>
        <w:rPr>
          <w:rFonts w:ascii="Times New Roman" w:hAnsi="Times New Roman"/>
          <w:sz w:val="20"/>
        </w:rPr>
      </w:pPr>
      <w:r>
        <w:rPr>
          <w:rFonts w:ascii="Times New Roman" w:hAnsi="Times New Roman"/>
          <w:sz w:val="20"/>
        </w:rPr>
        <w:t xml:space="preserve">(ii) Nothing in this Agreement, or any other agreement between the parties, prohibits or is intended in any manner to prohibit, the Executive from (A) reporting a possible violation of federal or other applicable law or regulation to any governmental agency or entity, including the Department of Justice, the SEC, the U.S. Congress and any governmental agency Inspector General, or (B) making other disclosures that are protected under whistleblower provisions of federal law or regulation. This Agreement does not limit the Executives right to receive an award (including a monetary reward) for information provided to the SEC. The Executive does not need the prior authorization of anyone at the Company to make any such reports or disclosures, and the Executive is not required to notify the Company that the Executive has made such reports or disclosures. </w:t>
      </w:r>
    </w:p>
    <w:p>
      <w:pPr>
        <w:pStyle w:val="TextBody"/>
        <w:bidi w:val="0"/>
        <w:spacing w:before="240" w:after="0"/>
        <w:jc w:val="left"/>
        <w:rPr>
          <w:rFonts w:ascii="Times New Roman" w:hAnsi="Times New Roman"/>
          <w:sz w:val="20"/>
        </w:rPr>
      </w:pPr>
      <w:r>
        <w:rPr>
          <w:rFonts w:ascii="Times New Roman" w:hAnsi="Times New Roman"/>
          <w:sz w:val="20"/>
        </w:rPr>
        <w:t xml:space="preserve">(iii) Nothing in this Agreement or any other agreement or policy of the Company is intended to interfere with or restrain the immunity provided under 18 U.S.C. §1833(b). The Executive cannot be held criminally or civilly liable under any federal or state trade secret law for the disclosure of a trade secret that is made (A) (1) in confidence to federal, state or local government officials, directly or indirectly, or to an attorney, and (2) for the purpose of reporting or investigating a suspected violation of law; (B) in a complaint or other document filed in a lawsuit or other proceeding, if filed under seal; or (C) in connection with a lawsuit alleging retaliation for reporting a suspected violation of law, if filed under seal and does not disclose the trade secret, except pursuant to a court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foregoing provisions regarding protected disclosures are intended to comply with all applicable laws. If any laws are adopted, amended or repealed after the execution of this Agreement, this </w:t>
      </w:r>
      <w:r>
        <w:rPr>
          <w:rFonts w:ascii="Times New Roman" w:hAnsi="Times New Roman"/>
          <w:sz w:val="20"/>
          <w:u w:val="single"/>
        </w:rPr>
        <w:t>Section 7(e)</w:t>
      </w:r>
      <w:r>
        <w:rPr>
          <w:rFonts w:ascii="Times New Roman" w:hAnsi="Times New Roman"/>
          <w:sz w:val="20"/>
        </w:rPr>
        <w:t xml:space="preserve"> shall be deemed to be amended to reflect the same. </w:t>
      </w:r>
    </w:p>
    <w:p>
      <w:pPr>
        <w:pStyle w:val="TextBody"/>
        <w:bidi w:val="0"/>
        <w:spacing w:before="240" w:after="0"/>
        <w:jc w:val="left"/>
        <w:rPr>
          <w:rFonts w:ascii="Times New Roman" w:hAnsi="Times New Roman"/>
          <w:sz w:val="20"/>
        </w:rPr>
      </w:pPr>
      <w:r>
        <w:rPr>
          <w:rFonts w:ascii="Times New Roman" w:hAnsi="Times New Roman"/>
          <w:sz w:val="20"/>
        </w:rPr>
        <w:t>8. </w:t>
      </w:r>
      <w:r>
        <w:rPr>
          <w:rFonts w:ascii="Times New Roman" w:hAnsi="Times New Roman"/>
          <w:sz w:val="20"/>
          <w:u w:val="single"/>
        </w:rPr>
        <w:t>Injunctive Relief</w:t>
      </w:r>
      <w:r>
        <w:rPr>
          <w:rFonts w:ascii="Times New Roman" w:hAnsi="Times New Roman"/>
          <w:sz w:val="20"/>
        </w:rPr>
        <w:t xml:space="preserve">. The Executive recognizes and acknowledges that a breach of any of the covenants contained in </w:t>
      </w:r>
      <w:r>
        <w:rPr>
          <w:rFonts w:ascii="Times New Roman" w:hAnsi="Times New Roman"/>
          <w:sz w:val="20"/>
          <w:u w:val="single"/>
        </w:rPr>
        <w:t>Sections 6</w:t>
      </w:r>
      <w:r>
        <w:rPr>
          <w:rFonts w:ascii="Times New Roman" w:hAnsi="Times New Roman"/>
          <w:sz w:val="20"/>
        </w:rPr>
        <w:t xml:space="preserve"> and</w:t>
      </w:r>
      <w:r>
        <w:rPr>
          <w:rFonts w:ascii="Times New Roman" w:hAnsi="Times New Roman"/>
          <w:sz w:val="20"/>
          <w:u w:val="single"/>
        </w:rPr>
        <w:t> 7</w:t>
      </w:r>
      <w:r>
        <w:rPr>
          <w:rFonts w:ascii="Times New Roman" w:hAnsi="Times New Roman"/>
          <w:sz w:val="20"/>
        </w:rPr>
        <w:t xml:space="preserve"> will cause irreparable damage to the Company and its goodwill, the exact amount of which will be difficult or impossible to ascertain, and that the remedies at law for any such breach will be inadequate. Accordingly, the Executive agrees that in the event of a breach or threatened breach of any of the covenants contained in </w:t>
      </w:r>
      <w:r>
        <w:rPr>
          <w:rFonts w:ascii="Times New Roman" w:hAnsi="Times New Roman"/>
          <w:sz w:val="20"/>
          <w:u w:val="single"/>
        </w:rPr>
        <w:t>Sections 6</w:t>
      </w:r>
      <w:r>
        <w:rPr>
          <w:rFonts w:ascii="Times New Roman" w:hAnsi="Times New Roman"/>
          <w:sz w:val="20"/>
        </w:rPr>
        <w:t xml:space="preserve"> and</w:t>
      </w:r>
      <w:r>
        <w:rPr>
          <w:rFonts w:ascii="Times New Roman" w:hAnsi="Times New Roman"/>
          <w:sz w:val="20"/>
          <w:u w:val="single"/>
        </w:rPr>
        <w:t> 7</w:t>
      </w:r>
      <w:r>
        <w:rPr>
          <w:rFonts w:ascii="Times New Roman" w:hAnsi="Times New Roman"/>
          <w:sz w:val="20"/>
        </w:rPr>
        <w:t xml:space="preserve">, in addition to any other remedy that may be available at law or in equity, the Company will be entitled to specific performance and injunctive relief (without posting a bond). In the event of any breach or violation by the Executive of any of the covenants contained in </w:t>
      </w:r>
      <w:r>
        <w:rPr>
          <w:rFonts w:ascii="Times New Roman" w:hAnsi="Times New Roman"/>
          <w:sz w:val="20"/>
          <w:u w:val="single"/>
        </w:rPr>
        <w:t>Sections 6</w:t>
      </w:r>
      <w:r>
        <w:rPr>
          <w:rFonts w:ascii="Times New Roman" w:hAnsi="Times New Roman"/>
          <w:sz w:val="20"/>
        </w:rPr>
        <w:t xml:space="preserve"> and</w:t>
      </w:r>
      <w:r>
        <w:rPr>
          <w:rFonts w:ascii="Times New Roman" w:hAnsi="Times New Roman"/>
          <w:sz w:val="20"/>
          <w:u w:val="single"/>
        </w:rPr>
        <w:t> 7</w:t>
      </w:r>
      <w:r>
        <w:rPr>
          <w:rFonts w:ascii="Times New Roman" w:hAnsi="Times New Roman"/>
          <w:sz w:val="20"/>
        </w:rPr>
        <w:t xml:space="preserve">, the time period of such covenant with respect to the Executive shall, to the fullest extent permitted by law, be tolled until such breach or violation is resolved. </w:t>
      </w:r>
    </w:p>
    <w:p>
      <w:pPr>
        <w:pStyle w:val="TextBody"/>
        <w:bidi w:val="0"/>
        <w:spacing w:before="240" w:after="0"/>
        <w:jc w:val="left"/>
        <w:rPr>
          <w:rFonts w:ascii="Times New Roman" w:hAnsi="Times New Roman"/>
          <w:sz w:val="20"/>
        </w:rPr>
      </w:pPr>
      <w:r>
        <w:rPr>
          <w:rFonts w:ascii="Times New Roman" w:hAnsi="Times New Roman"/>
          <w:sz w:val="20"/>
        </w:rPr>
        <w:t>9. </w:t>
      </w:r>
      <w:r>
        <w:rPr>
          <w:rFonts w:ascii="Times New Roman" w:hAnsi="Times New Roman"/>
          <w:sz w:val="20"/>
          <w:u w:val="single"/>
        </w:rPr>
        <w:t xml:space="preserve">Indemnification. </w:t>
      </w:r>
      <w:r>
        <w:rPr>
          <w:rFonts w:ascii="Times New Roman" w:hAnsi="Times New Roman"/>
          <w:sz w:val="20"/>
        </w:rPr>
        <w:t xml:space="preserve">During the Executives engagement as a director or officer (or both) of Parent, and at all times thereafter during which the Executive may be subject to liability in connection with the Executives performance of the Executives duties as a director or officer (or both) of Parent, the Executive shall be entitled to the protection set forth in the Indemnification Agreement between the Executive and the Company to be entered into on or about the date hereof, in addition to the protection of any insurance policies the Company may elect to maintain generally for the benefit of its directors and officers against all costs, charges, and expenses incurred or sustained by the Executive in connection with any action, suit or proceeding to which the Executive may be made a party by reason of the Executive being or having been a director, officer or employee of the Company, as well as any rights the Executive may have under the Companys articles of incorporation and bylaws (in each case, other than any dispute, claim or controversy arising under or relating to this Agreement or otherwise arising under or relating to the Executives engagement, equity ownership or compensation). Notwithstanding anything herein to the contrary, the Executives rights under this </w:t>
      </w:r>
      <w:r>
        <w:rPr>
          <w:rFonts w:ascii="Times New Roman" w:hAnsi="Times New Roman"/>
          <w:sz w:val="20"/>
          <w:u w:val="single"/>
        </w:rPr>
        <w:t>Section 9</w:t>
      </w:r>
      <w:r>
        <w:rPr>
          <w:rFonts w:ascii="Times New Roman" w:hAnsi="Times New Roman"/>
          <w:sz w:val="20"/>
        </w:rPr>
        <w:t xml:space="preserve"> shall survive the termination or expiration of this Agreement for any reason. </w:t>
      </w:r>
    </w:p>
    <w:p>
      <w:pPr>
        <w:pStyle w:val="TextBody"/>
        <w:bidi w:val="0"/>
        <w:spacing w:before="240" w:after="0"/>
        <w:jc w:val="left"/>
        <w:rPr>
          <w:rFonts w:ascii="Times New Roman" w:hAnsi="Times New Roman"/>
          <w:sz w:val="20"/>
        </w:rPr>
      </w:pPr>
      <w:r>
        <w:rPr>
          <w:rFonts w:ascii="Times New Roman" w:hAnsi="Times New Roman"/>
          <w:sz w:val="20"/>
        </w:rPr>
        <w:t>10. </w:t>
      </w:r>
      <w:r>
        <w:rPr>
          <w:rFonts w:ascii="Times New Roman" w:hAnsi="Times New Roman"/>
          <w:sz w:val="20"/>
          <w:u w:val="single"/>
        </w:rPr>
        <w:t>Cooperation</w:t>
      </w:r>
      <w:r>
        <w:rPr>
          <w:rFonts w:ascii="Times New Roman" w:hAnsi="Times New Roman"/>
          <w:sz w:val="20"/>
        </w:rPr>
        <w:t xml:space="preserve">. The Executive agrees that, subject to the Executives reasonable availability, during and after the Executives engagement with the Company, and without the necessity of the Company obtaining a subpoena or court order, the Executive shall provide reasonable cooperation in connection with any suit, action or proceeding (or any appeal from any suit, action or proceeding), and any investigation and/or defense of any claims asserted against the Company Releasees (as defined in the Release), which relates to events occurring during the Executives engagement (including furnishing relevant information and materials to the Company or its designee and/or providing testimony at depositions and at trial); </w:t>
      </w:r>
      <w:r>
        <w:rPr>
          <w:rFonts w:ascii="Times New Roman" w:hAnsi="Times New Roman"/>
          <w:sz w:val="20"/>
          <w:u w:val="single"/>
        </w:rPr>
        <w:t>provided</w:t>
      </w:r>
      <w:r>
        <w:rPr>
          <w:rFonts w:ascii="Times New Roman" w:hAnsi="Times New Roman"/>
          <w:sz w:val="20"/>
        </w:rPr>
        <w:t xml:space="preserve"> that the Company shall reimburse the Executive for reasonable out-of-pocket expenses the Executive incurs that are associated with any such cooperation;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cooperation occurring after the termination of the Executives engagement shall be scheduled to the extent reasonably practicable so as not to unreasonably interfere with the Executives business or personal affairs. Notwithstanding anything herein to the contrary, the preceding cooperation covenant shall not apply to any suit, action, proceeding, investigation, defense or claim that arises out of or relates to a dispute between the Executive and any of the Company Releasees.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Section 409A of the Code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General</w:t>
      </w:r>
      <w:r>
        <w:rPr>
          <w:rFonts w:ascii="Times New Roman" w:hAnsi="Times New Roman"/>
          <w:sz w:val="20"/>
        </w:rPr>
        <w:t>. The parties hereto acknowledge and agree that, to the extent applicable, this Agreement shall be interpreted in accordance with, and incorporate the terms and conditions required by, Section 409A of the Code and the Department of Treasury Regulations and other interpretive guidance issued thereunder, including any such regulations or other guidance that may be issued after the Effective Date (</w:t>
      </w:r>
      <w:r>
        <w:rPr>
          <w:rFonts w:ascii="Times New Roman" w:hAnsi="Times New Roman"/>
          <w:sz w:val="20"/>
          <w:u w:val="single"/>
        </w:rPr>
        <w:t>Section 409A</w:t>
      </w:r>
      <w:r>
        <w:rPr>
          <w:rFonts w:ascii="Times New Roman" w:hAnsi="Times New Roman"/>
          <w:sz w:val="20"/>
        </w:rPr>
        <w:t xml:space="preserve">). Notwithstanding anything herein to the contrary, in the event that the Company determines that any amounts payable hereunder will be taxable currently to the Executive under Section 409A(a)(1)(A) of the Code and related Department of Treasury guidance, the Company and the Executive shall cooperate in good faith to (i) adopt such amendments to this Agreement and appropriate policies and procedures, including amendments and policies with retroactive effect, that they mutually determine to be necessary or appropriate to preserve the intended tax treatment of the benefits provided by this Agreement, to preserve the economic benefits of this Agreement, and to avoid less-favorable accounting or tax consequences for the Company, and/or (ii) take such other actions as mutually determined to be necessary or appropriate to exempt the amounts payable hereunder from Section 409A or to comply with the requirements of Section 409A and thereby avoid the application of penalty taxes thereunder;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w:t>
      </w:r>
      <w:r>
        <w:rPr>
          <w:rFonts w:ascii="Times New Roman" w:hAnsi="Times New Roman"/>
          <w:sz w:val="20"/>
          <w:u w:val="single"/>
        </w:rPr>
        <w:t>Section 11(a)</w:t>
      </w:r>
      <w:r>
        <w:rPr>
          <w:rFonts w:ascii="Times New Roman" w:hAnsi="Times New Roman"/>
          <w:sz w:val="20"/>
        </w:rPr>
        <w:t xml:space="preserve"> does not create an obligation on the part of the Company to modify this Agreement and does not guarantee that the amounts payable hereunder will not be subject to interest or penalties under Section 409A, and in no event whatsoever shall the Company be liable for any additional tax, interest or penalties that may be imposed on the Executive as a result of Section 409A or any damages for failing to comply with Section 409A.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Separation from Service under Section 409A</w:t>
      </w:r>
      <w:r>
        <w:rPr>
          <w:rFonts w:ascii="Times New Roman" w:hAnsi="Times New Roman"/>
          <w:sz w:val="20"/>
        </w:rPr>
        <w:t xml:space="preserve">. To the extent Section 409A is applicable, notwithstanding anything herein to the contrary: (i) no amount shall be payable pursuant to </w:t>
      </w:r>
      <w:r>
        <w:rPr>
          <w:rFonts w:ascii="Times New Roman" w:hAnsi="Times New Roman"/>
          <w:sz w:val="20"/>
          <w:u w:val="single"/>
        </w:rPr>
        <w:t>Section 5(a)</w:t>
      </w:r>
      <w:r>
        <w:rPr>
          <w:rFonts w:ascii="Times New Roman" w:hAnsi="Times New Roman"/>
          <w:sz w:val="20"/>
        </w:rPr>
        <w:t xml:space="preserve"> or </w:t>
      </w:r>
      <w:r>
        <w:rPr>
          <w:rFonts w:ascii="Times New Roman" w:hAnsi="Times New Roman"/>
          <w:sz w:val="20"/>
          <w:u w:val="single"/>
        </w:rPr>
        <w:t>5(b)</w:t>
      </w:r>
      <w:r>
        <w:rPr>
          <w:rFonts w:ascii="Times New Roman" w:hAnsi="Times New Roman"/>
          <w:sz w:val="20"/>
        </w:rPr>
        <w:t xml:space="preserve"> unless the termination of the Executives engagement constitutes a separation from service within the meaning of Section 1.409A-1(h) of the Department of Treasury Regulations; (ii) if the Executive is deemed at the time of the Executives separation from service to be a specified employee for purposes of Section 409A(a)(2)(B)(i) of the Code, to the extent that delayed commencement of any portion of the termination benefits to which the Executive is entitled under this Agreement (after taking into account all exclusions applicable to such termination benefits under Section 409A), including any portion of the additional compensation awarded pursuant to </w:t>
      </w:r>
      <w:r>
        <w:rPr>
          <w:rFonts w:ascii="Times New Roman" w:hAnsi="Times New Roman"/>
          <w:sz w:val="20"/>
          <w:u w:val="single"/>
        </w:rPr>
        <w:t>Section 5(a)</w:t>
      </w:r>
      <w:r>
        <w:rPr>
          <w:rFonts w:ascii="Times New Roman" w:hAnsi="Times New Roman"/>
          <w:sz w:val="20"/>
        </w:rPr>
        <w:t xml:space="preserve"> or </w:t>
      </w:r>
      <w:r>
        <w:rPr>
          <w:rFonts w:ascii="Times New Roman" w:hAnsi="Times New Roman"/>
          <w:sz w:val="20"/>
          <w:u w:val="single"/>
        </w:rPr>
        <w:t>5(b)</w:t>
      </w:r>
      <w:r>
        <w:rPr>
          <w:rFonts w:ascii="Times New Roman" w:hAnsi="Times New Roman"/>
          <w:sz w:val="20"/>
        </w:rPr>
        <w:t xml:space="preserve">, is required in order to avoid a prohibited distribution under Section 409A(a)(2)(B)(i) of the Code, such portion of the Executives termination benefits shall not be provided to the Executive prior to the earlier of (A) the expiration of the six-month period measured from the date of the Executives separation from service with the Company (as such term is defined in the Department of Treasury Regulations issued under Section 409A) and (B) the date of the Executives death; </w:t>
      </w:r>
      <w:r>
        <w:rPr>
          <w:rFonts w:ascii="Times New Roman" w:hAnsi="Times New Roman"/>
          <w:sz w:val="20"/>
          <w:u w:val="single"/>
        </w:rPr>
        <w:t>provided</w:t>
      </w:r>
      <w:r>
        <w:rPr>
          <w:rFonts w:ascii="Times New Roman" w:hAnsi="Times New Roman"/>
          <w:sz w:val="20"/>
        </w:rPr>
        <w:t xml:space="preserve"> that, upon the earlier of such dates, all payments deferred pursuant to this clause (ii) shall be paid to the Executive in a lump sum, and any remaining payments due under this Agreement shall be paid as otherwise provided herein; (iii) the determination of whether the Executive is a specified employee for purposes of Section 409A(a)(2)(B)(i) of the Code as of the time of the Executives separation from service shall be made by the Company in accordance with the terms of Section 409A of the Code and applicable guidance thereunder (including Section 1.409A-1(i) of the Department of Treasury Regulations and any successor provision thereto); (iv) for purposes of Section 409A of the Code, the Executives right to receive installment payments pursuant to </w:t>
      </w:r>
      <w:r>
        <w:rPr>
          <w:rFonts w:ascii="Times New Roman" w:hAnsi="Times New Roman"/>
          <w:sz w:val="20"/>
          <w:u w:val="single"/>
        </w:rPr>
        <w:t>Section 5</w:t>
      </w:r>
      <w:r>
        <w:rPr>
          <w:rFonts w:ascii="Times New Roman" w:hAnsi="Times New Roman"/>
          <w:sz w:val="20"/>
        </w:rPr>
        <w:t xml:space="preserve"> shall be treated as a right to receive a series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separate and distinct payments; (v) if the sixty day period following the Date of Termination ends in the calendar year following the year that includes the Date of Termination, then payment of any amount that is conditioned upon the execution of the Release and is subject to Section 409A shall not be paid until the first day of the calendar year following the year that includes the Date of Termination, regardless of when the Release is signed; and (vi)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Section 280G of the Code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there is a change of ownership or effective control or change in the ownership of a substantial portion of the assets of a corporation (within the meaning of Section 280G of the Code) and any payment or benefit (including payments and benefits pursuant to this Agreement) that the Executive would receive from the Company or otherwise (</w:t>
      </w:r>
      <w:r>
        <w:rPr>
          <w:rFonts w:ascii="Times New Roman" w:hAnsi="Times New Roman"/>
          <w:sz w:val="20"/>
          <w:u w:val="single"/>
        </w:rPr>
        <w:t>Transaction Payment</w:t>
      </w:r>
      <w:r>
        <w:rPr>
          <w:rFonts w:ascii="Times New Roman" w:hAnsi="Times New Roman"/>
          <w:sz w:val="20"/>
        </w:rPr>
        <w:t>) would (i) constitute a parachute payment within the meaning of Section 280G of the Internal Revenue Code of 1986, and (ii) but for this sentence, be subject to the excise tax imposed by Section 4999 of the Code (the </w:t>
      </w:r>
      <w:r>
        <w:rPr>
          <w:rFonts w:ascii="Times New Roman" w:hAnsi="Times New Roman"/>
          <w:sz w:val="20"/>
          <w:u w:val="single"/>
        </w:rPr>
        <w:t>Excise Tax</w:t>
      </w:r>
      <w:r>
        <w:rPr>
          <w:rFonts w:ascii="Times New Roman" w:hAnsi="Times New Roman"/>
          <w:sz w:val="20"/>
        </w:rPr>
        <w:t>), then the Company shall cause to be determined, before any amounts of the Transaction Payment are paid to the Executive, which of the following two alternative forms of payment would result in the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Times New Roman" w:hAnsi="Times New Roman"/>
          <w:sz w:val="20"/>
          <w:u w:val="single"/>
        </w:rPr>
        <w:t>Full Payment</w:t>
      </w:r>
      <w:r>
        <w:rPr>
          <w:rFonts w:ascii="Times New Roman" w:hAnsi="Times New Roman"/>
          <w:sz w:val="20"/>
        </w:rPr>
        <w:t>) or (2) payment of only a part of the Transaction Payment so that the Executive receives the largest payment possible without the imposition of the Excise Tax (a </w:t>
      </w:r>
      <w:r>
        <w:rPr>
          <w:rFonts w:ascii="Times New Roman" w:hAnsi="Times New Roman"/>
          <w:sz w:val="20"/>
          <w:u w:val="single"/>
        </w:rPr>
        <w:t>Reduced Payment</w:t>
      </w:r>
      <w:r>
        <w:rPr>
          <w:rFonts w:ascii="Times New Roman" w:hAnsi="Times New Roman"/>
          <w:sz w:val="20"/>
        </w:rPr>
        <w:t xml:space="preserve">). For purposes of determining whether to make a Full Payment or a Reduced Payment, the Company shall cause to be taken into account all applicable federal, state and local income taxes and the Excise Tax (all computed at the highest applicable marginal rate, net of the maximum reduction in federal income taxes which could be obtained from a deduction of such state and local taxes). If a Reduced Payment is made, the reduction in payments and/or benefits will occur in the following order: (1) first, reduction of cash payments, in reverse order of scheduled payment date (or if necessary, to zero), (2) then, reduction of non-cash and non-equity benefits provided to the Executive, on a pro rata basis (or if necessary, to zero), and (3) then, cancellation of the acceleration of vesting of equity award compensation in the reverse order of the date of grant of the Executives equity awards. </w:t>
      </w:r>
    </w:p>
    <w:p>
      <w:pPr>
        <w:pStyle w:val="TextBody"/>
        <w:bidi w:val="0"/>
        <w:spacing w:before="240" w:after="0"/>
        <w:jc w:val="left"/>
        <w:rPr>
          <w:rFonts w:ascii="Times New Roman" w:hAnsi="Times New Roman"/>
          <w:sz w:val="20"/>
        </w:rPr>
      </w:pPr>
      <w:r>
        <w:rPr>
          <w:rFonts w:ascii="Times New Roman" w:hAnsi="Times New Roman"/>
          <w:sz w:val="20"/>
        </w:rPr>
        <w:t>(b) Unless the Executive and the Company otherwise agree in writing, any determination required under this section shall be made in writing by the Companys independent public accountants (the </w:t>
      </w:r>
      <w:r>
        <w:rPr>
          <w:rFonts w:ascii="Times New Roman" w:hAnsi="Times New Roman"/>
          <w:sz w:val="20"/>
          <w:u w:val="single"/>
        </w:rPr>
        <w:t>Accountants</w:t>
      </w:r>
      <w:r>
        <w:rPr>
          <w:rFonts w:ascii="Times New Roman" w:hAnsi="Times New Roman"/>
          <w:sz w:val="20"/>
        </w:rPr>
        <w:t xml:space="preserve">), whose determination shall be conclusive and binding upon the Executive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Sections 280G and 4999 of the Code. The Accountants shall provide detailed supporting calculations to the Company and the Executive as requested by the Company or the Executive. The Executive and the Company shall furnish to the Accountants such information and documents as the Accountants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reasonably request in order to make a determination under this section. The Company shall bear all costs the Accountants may reasonably incur in connection with any calculations contemplated by this </w:t>
      </w:r>
      <w:r>
        <w:rPr>
          <w:rFonts w:ascii="Times New Roman" w:hAnsi="Times New Roman"/>
          <w:sz w:val="20"/>
          <w:u w:val="single"/>
        </w:rPr>
        <w:t>Section 12(b)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sz w:val="20"/>
          <w:u w:val="single"/>
        </w:rPr>
        <w:t>Assignment and Successors</w:t>
      </w:r>
      <w:r>
        <w:rPr>
          <w:rFonts w:ascii="Times New Roman" w:hAnsi="Times New Roman"/>
          <w:sz w:val="20"/>
        </w:rPr>
        <w:t xml:space="preserve">. The Company may assign its rights and obligations under this Agreement to any entity, including any successor to all or substantially all the assets of the Company, by merger or otherwise, and may assign or encumber this Agreement and its rights hereunder as security for indebtedness of the Company and its Affiliates. The Executive may not assign the Executives rights or obligations under this Agreement to any individual or entity. This Agreement shall be binding upon and inure to the benefit of the Company and the Executive and their respective successors, assigns, personnel, legal representatives, executors, administrators, heirs, distributees, devisees and legatees, as applicable. In the event of the Executives death following a termination of the Executives engagement, all unpaid amounts otherwise due to the Executive (including under </w:t>
      </w:r>
      <w:r>
        <w:rPr>
          <w:rFonts w:ascii="Times New Roman" w:hAnsi="Times New Roman"/>
          <w:sz w:val="20"/>
          <w:u w:val="single"/>
        </w:rPr>
        <w:t>Section 5</w:t>
      </w:r>
      <w:r>
        <w:rPr>
          <w:rFonts w:ascii="Times New Roman" w:hAnsi="Times New Roman"/>
          <w:sz w:val="20"/>
        </w:rPr>
        <w:t xml:space="preserve">) shall be paid to the Executives estate.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sz w:val="20"/>
          <w:u w:val="single"/>
        </w:rPr>
        <w:t>Governing Law</w:t>
      </w:r>
      <w:r>
        <w:rPr>
          <w:rFonts w:ascii="Times New Roman" w:hAnsi="Times New Roman"/>
          <w:sz w:val="20"/>
        </w:rPr>
        <w:t xml:space="preserve">. This Agreement shall be governed, construed, interpreted, and enforced in accordance with the substantive laws of the State of Delaware, without reference to the principles of conflicts of law of Delaware or any other jurisdiction, and where applicable, the laws of the United States.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sz w:val="20"/>
          <w:u w:val="single"/>
        </w:rPr>
        <w:t>Validity</w:t>
      </w:r>
      <w:r>
        <w:rPr>
          <w:rFonts w:ascii="Times New Roman" w:hAnsi="Times New Roman"/>
          <w:sz w:val="20"/>
        </w:rPr>
        <w:t xml:space="preserve">. The invalidity or unenforceability of any provision or provisions of this Agreement shall not affect the validity or enforceability of any other provision of this Agreement, which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16. </w:t>
      </w:r>
      <w:r>
        <w:rPr>
          <w:rFonts w:ascii="Times New Roman" w:hAnsi="Times New Roman"/>
          <w:sz w:val="20"/>
          <w:u w:val="single"/>
        </w:rPr>
        <w:t>Notices</w:t>
      </w:r>
      <w:r>
        <w:rPr>
          <w:rFonts w:ascii="Times New Roman" w:hAnsi="Times New Roman"/>
          <w:sz w:val="20"/>
        </w:rPr>
        <w:t xml:space="preserve">. Any notice, request, claim, demand, document, and other communication hereunder to any party hereto shall be effective upon receipt (or refusal of receipt) and shall be in writing and delivered personally or sent by telex, telecopy, email or sent by nationally recognized overnight courier or certified or registered mail, postage prepaid, to the following address (or at any other address as any party hereto shall have specified by notice in writing to the other party hereto): </w:t>
      </w:r>
    </w:p>
    <w:p>
      <w:pPr>
        <w:pStyle w:val="TextBody"/>
        <w:bidi w:val="0"/>
        <w:spacing w:before="240" w:after="0"/>
        <w:jc w:val="left"/>
        <w:rPr>
          <w:rFonts w:ascii="Times New Roman" w:hAnsi="Times New Roman"/>
          <w:sz w:val="20"/>
        </w:rPr>
      </w:pPr>
      <w:r>
        <w:rPr>
          <w:rFonts w:ascii="Times New Roman" w:hAnsi="Times New Roman"/>
          <w:sz w:val="20"/>
        </w:rPr>
        <w:t xml:space="preserve">(a) If to the Company, to it at its current executive offices, Attn: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(b) If to the Executive, at the Executives most recent address on the payroll records of the Company. </w:t>
      </w:r>
    </w:p>
    <w:p>
      <w:pPr>
        <w:pStyle w:val="TextBody"/>
        <w:bidi w:val="0"/>
        <w:spacing w:before="240" w:after="0"/>
        <w:jc w:val="left"/>
        <w:rPr>
          <w:rFonts w:ascii="Times New Roman" w:hAnsi="Times New Roman"/>
          <w:sz w:val="20"/>
        </w:rPr>
      </w:pPr>
      <w:r>
        <w:rPr>
          <w:rFonts w:ascii="Times New Roman" w:hAnsi="Times New Roman"/>
          <w:sz w:val="20"/>
        </w:rPr>
        <w:t>17. </w:t>
      </w:r>
      <w:r>
        <w:rPr>
          <w:rFonts w:ascii="Times New Roman" w:hAnsi="Times New Roman"/>
          <w:sz w:val="20"/>
          <w:u w:val="single"/>
        </w:rPr>
        <w:t>Counterparts</w:t>
      </w:r>
      <w:r>
        <w:rPr>
          <w:rFonts w:ascii="Times New Roman" w:hAnsi="Times New Roman"/>
          <w:sz w:val="20"/>
        </w:rPr>
        <w:t xml:space="preserve">. This Agreement may be executed in several counterparts, each of which shall be deemed to be an original, but all of which together will constitute one and the same Agreement. </w:t>
      </w:r>
    </w:p>
    <w:p>
      <w:pPr>
        <w:pStyle w:val="TextBody"/>
        <w:bidi w:val="0"/>
        <w:spacing w:before="240" w:after="0"/>
        <w:jc w:val="left"/>
        <w:rPr>
          <w:rFonts w:ascii="Times New Roman" w:hAnsi="Times New Roman"/>
          <w:sz w:val="20"/>
        </w:rPr>
      </w:pPr>
      <w:r>
        <w:rPr>
          <w:rFonts w:ascii="Times New Roman" w:hAnsi="Times New Roman"/>
          <w:sz w:val="20"/>
        </w:rPr>
        <w:t>18. </w:t>
      </w:r>
      <w:r>
        <w:rPr>
          <w:rFonts w:ascii="Times New Roman" w:hAnsi="Times New Roman"/>
          <w:sz w:val="20"/>
          <w:u w:val="single"/>
        </w:rPr>
        <w:t>Entire Agreement</w:t>
      </w:r>
      <w:r>
        <w:rPr>
          <w:rFonts w:ascii="Times New Roman" w:hAnsi="Times New Roman"/>
          <w:sz w:val="20"/>
        </w:rPr>
        <w:t xml:space="preserve">. The terms of this Agreement (together with the Indemnification Agreement between Parent and the Executive, any pre-invention assignment agreements with the Company and any other agreements and instruments contemplated hereby or referred to herein) are intended by the parties hereto to be the final expression of their agreement with respect to the Executives engagement with the Company and to supersede any and all prior agreements (including the Prior Agreement), communications expressing the Companys offer to the Executive, severance agreements and similar agreements, plans, provisions, understandings or arrangements, whether written or oral, and all such prior agreements, plans, provisions, understandings or arrangements shall be null and void in their entirety and of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 force or effect as of the Effective Date. The parties hereto further intend that this Agreement shall constitute the complete and exclusive statement of its terms and that no extrinsic evidence whatsoever may be introduced in any judicial, administrative or other legal proceeding to vary the terms of this Agreement. </w:t>
      </w:r>
    </w:p>
    <w:p>
      <w:pPr>
        <w:pStyle w:val="TextBody"/>
        <w:bidi w:val="0"/>
        <w:spacing w:before="240" w:after="0"/>
        <w:jc w:val="left"/>
        <w:rPr>
          <w:rFonts w:ascii="Times New Roman" w:hAnsi="Times New Roman"/>
          <w:sz w:val="20"/>
        </w:rPr>
      </w:pPr>
      <w:r>
        <w:rPr>
          <w:rFonts w:ascii="Times New Roman" w:hAnsi="Times New Roman"/>
          <w:sz w:val="20"/>
        </w:rPr>
        <w:t>19. </w:t>
      </w:r>
      <w:r>
        <w:rPr>
          <w:rFonts w:ascii="Times New Roman" w:hAnsi="Times New Roman"/>
          <w:sz w:val="20"/>
          <w:u w:val="single"/>
        </w:rPr>
        <w:t>Amendments; Waivers</w:t>
      </w:r>
      <w:r>
        <w:rPr>
          <w:rFonts w:ascii="Times New Roman" w:hAnsi="Times New Roman"/>
          <w:sz w:val="20"/>
        </w:rPr>
        <w:t xml:space="preserve">. This Agreement may not be modified, amended or terminated except by an instrument in writing signed by the Executive and a duly authorized officer of the Company that expressly identifies the amended provision of this Agreement. By an instrument in writing similarly executed and similarly identifying the waived compliance, the Executive or a duly authorized officer of the Company may waive compliance by the other party or parties with any provision of this Agreement that such other party was or is obligated to comply with or perform;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 </w:t>
      </w:r>
    </w:p>
    <w:p>
      <w:pPr>
        <w:pStyle w:val="TextBody"/>
        <w:bidi w:val="0"/>
        <w:spacing w:before="240" w:after="0"/>
        <w:jc w:val="left"/>
        <w:rPr>
          <w:rFonts w:ascii="Times New Roman" w:hAnsi="Times New Roman"/>
          <w:sz w:val="20"/>
        </w:rPr>
      </w:pPr>
      <w:r>
        <w:rPr>
          <w:rFonts w:ascii="Times New Roman" w:hAnsi="Times New Roman"/>
          <w:sz w:val="20"/>
        </w:rPr>
        <w:t>20. </w:t>
      </w:r>
      <w:r>
        <w:rPr>
          <w:rFonts w:ascii="Times New Roman" w:hAnsi="Times New Roman"/>
          <w:sz w:val="20"/>
          <w:u w:val="single"/>
        </w:rPr>
        <w:t>No Inconsistent Actions</w:t>
      </w:r>
      <w:r>
        <w:rPr>
          <w:rFonts w:ascii="Times New Roman" w:hAnsi="Times New Roman"/>
          <w:sz w:val="20"/>
        </w:rPr>
        <w:t xml:space="preserve">.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21. </w:t>
      </w:r>
      <w:r>
        <w:rPr>
          <w:rFonts w:ascii="Times New Roman" w:hAnsi="Times New Roman"/>
          <w:sz w:val="20"/>
          <w:u w:val="single"/>
        </w:rPr>
        <w:t>Construction</w:t>
      </w:r>
      <w:r>
        <w:rPr>
          <w:rFonts w:ascii="Times New Roman" w:hAnsi="Times New Roman"/>
          <w:sz w:val="20"/>
        </w:rPr>
        <w:t xml:space="preserve">. This Agreement shall be deemed drafted equally by both of the parties hereto.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(a) the plural includes the singular, and the singular includes the plural; (b) and and or can each used both conjunctively and disjunctively; (c) any, all, each, or every means any and all, and each and every; (d) includes and including are each without limitation; and (e) herein, hereof, hereunder, and other similar compounds of the word here refer to the entire Agreement and not to any particular paragraph, subparagraph, section or subsection. </w:t>
      </w:r>
    </w:p>
    <w:p>
      <w:pPr>
        <w:pStyle w:val="TextBody"/>
        <w:bidi w:val="0"/>
        <w:spacing w:before="240" w:after="0"/>
        <w:jc w:val="left"/>
        <w:rPr>
          <w:rFonts w:ascii="Times New Roman" w:hAnsi="Times New Roman"/>
          <w:sz w:val="20"/>
        </w:rPr>
      </w:pPr>
      <w:r>
        <w:rPr>
          <w:rFonts w:ascii="Times New Roman" w:hAnsi="Times New Roman"/>
          <w:sz w:val="20"/>
        </w:rPr>
        <w:t>22. </w:t>
      </w:r>
      <w:r>
        <w:rPr>
          <w:rFonts w:ascii="Times New Roman" w:hAnsi="Times New Roman"/>
          <w:sz w:val="20"/>
          <w:u w:val="single"/>
        </w:rPr>
        <w:t>Dispute Resolution</w:t>
      </w:r>
      <w:r>
        <w:rPr>
          <w:rFonts w:ascii="Times New Roman" w:hAnsi="Times New Roman"/>
          <w:sz w:val="20"/>
        </w:rPr>
        <w:t xml:space="preserve">. The parties agree that any suit, action or proceeding brought by or against such party in connection with this Agreement shall be brought exclusively in the United States District Court for the District of Delaware to the extent that federal jurisdiction exists, and in the Delaware Chancery Court to the extent that federal jurisdiction does not exist. Each party expressly and irrevocably consents and submits to the jurisdiction and venue of each such court in connection with any such legal proceeding, including to enforce any settlement, order or award, and such party agrees to accept service of process by the other party or any of its agents in connection with any such proceeding. EACH PARTY HEREBY IRREVOCABLY WAIVES ALL RIGHT TO A TRIAL BY JURY IN ANY SUIT, ACTION OR OTHER PROCEEDING INSTITUTED BY OR AGAINST SUCH PARTY IN RESPECT OF ITS RIGHTS OR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23. </w:t>
      </w:r>
      <w:r>
        <w:rPr>
          <w:rFonts w:ascii="Times New Roman" w:hAnsi="Times New Roman"/>
          <w:sz w:val="20"/>
          <w:u w:val="single"/>
        </w:rPr>
        <w:t>Enforcement</w:t>
      </w:r>
      <w:r>
        <w:rPr>
          <w:rFonts w:ascii="Times New Roman" w:hAnsi="Times New Roman"/>
          <w:sz w:val="20"/>
        </w:rPr>
        <w:t xml:space="preserve">.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 </w:t>
      </w:r>
    </w:p>
    <w:p>
      <w:pPr>
        <w:pStyle w:val="TextBody"/>
        <w:bidi w:val="0"/>
        <w:spacing w:before="240" w:after="0"/>
        <w:jc w:val="left"/>
        <w:rPr>
          <w:rFonts w:ascii="Times New Roman" w:hAnsi="Times New Roman"/>
          <w:sz w:val="20"/>
        </w:rPr>
      </w:pPr>
      <w:r>
        <w:rPr>
          <w:rFonts w:ascii="Times New Roman" w:hAnsi="Times New Roman"/>
          <w:sz w:val="20"/>
        </w:rPr>
        <w:t>24. </w:t>
      </w:r>
      <w:r>
        <w:rPr>
          <w:rFonts w:ascii="Times New Roman" w:hAnsi="Times New Roman"/>
          <w:sz w:val="20"/>
          <w:u w:val="single"/>
        </w:rPr>
        <w:t>Withholding</w:t>
      </w:r>
      <w:r>
        <w:rPr>
          <w:rFonts w:ascii="Times New Roman" w:hAnsi="Times New Roman"/>
          <w:sz w:val="20"/>
        </w:rPr>
        <w:t xml:space="preserve">. The Company shall be entitled to withhold from any amounts payable under this Agreement any federal, state, local, and foreign withholding and other taxes and charges that the Company is required to withhold. The Company shall be entitled to rely on an opinion of counsel if any questions as to the amount or requirement of withholding shall arise. </w:t>
      </w:r>
    </w:p>
    <w:p>
      <w:pPr>
        <w:pStyle w:val="TextBody"/>
        <w:bidi w:val="0"/>
        <w:spacing w:before="240" w:after="0"/>
        <w:jc w:val="left"/>
        <w:rPr>
          <w:rFonts w:ascii="Times New Roman" w:hAnsi="Times New Roman"/>
          <w:sz w:val="20"/>
        </w:rPr>
      </w:pPr>
      <w:r>
        <w:rPr>
          <w:rFonts w:ascii="Times New Roman" w:hAnsi="Times New Roman"/>
          <w:sz w:val="20"/>
        </w:rPr>
        <w:t>25. </w:t>
      </w:r>
      <w:r>
        <w:rPr>
          <w:rFonts w:ascii="Times New Roman" w:hAnsi="Times New Roman"/>
          <w:sz w:val="20"/>
          <w:u w:val="single"/>
        </w:rPr>
        <w:t>Clawback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extent required by applicable law (including Section 304 of the Sarbanes-Oxley Act and Section 954 of the Dodd-Frank Wall Street Reform and Consumer Protection Act) and/or the rules and regulations of any securities exchange or inter-dealer quotation service on which equity of the Company or Parent is listed or quoted, or if so required pursuant to a written policy adopted by the Company or Parent, payments under this Agreement or in respect of Company or Parent equity incentive awards shall be subject (including on a retroactive basis) to clawback, forfeiture or similar requirements (and such requirements shall be deemed incorporated by reference into this Agreement and all agreements governing the terms of Company or Parent incentive equity compensation). </w:t>
      </w:r>
    </w:p>
    <w:p>
      <w:pPr>
        <w:pStyle w:val="TextBody"/>
        <w:bidi w:val="0"/>
        <w:spacing w:before="240" w:after="0"/>
        <w:jc w:val="left"/>
        <w:rPr>
          <w:rFonts w:ascii="Times New Roman" w:hAnsi="Times New Roman"/>
          <w:sz w:val="20"/>
        </w:rPr>
      </w:pPr>
      <w:r>
        <w:rPr>
          <w:rFonts w:ascii="Times New Roman" w:hAnsi="Times New Roman"/>
          <w:sz w:val="20"/>
        </w:rPr>
        <w:t>(b) The Executive acknowledges that the Executive is subject to the Executive is or may become subject to the Magnachip Semiconductor Corporation Compensation Recovery Policy (as such policy may be amended and/or restated, the </w:t>
      </w:r>
      <w:r>
        <w:rPr>
          <w:rFonts w:ascii="Times New Roman" w:hAnsi="Times New Roman"/>
          <w:sz w:val="20"/>
          <w:u w:val="single"/>
        </w:rPr>
        <w:t>Clawback Policy</w:t>
      </w:r>
      <w:r>
        <w:rPr>
          <w:rFonts w:ascii="Times New Roman" w:hAnsi="Times New Roman"/>
          <w:sz w:val="20"/>
        </w:rPr>
        <w:t xml:space="preserve">). The Executive understands that if the Executive is or becomes subject to the Clawback Policy, the Company and/or the Board shall be entitled to recover all Erroneously Awarded Compensation (as defined in the Clawback Policy) from the Executive pursuant to such means as the Company and/or the Board may elect. The Executive agrees that the Executive shall take all required action to enable such recovery. The Executive understands that such recovery may be sought and occur after the Executives engagement or service with the Company terminates. The Executive further agrees that the Executive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Executive hereby irrevocably agrees to forego such indemnification. The Executive acknowledges and agrees that the Executive has received and has had an opportunity to review the Clawback Policy. Any action by the Company to recover Erroneously Awarded Compensation under the Clawback Policy from the Executive shall not, whether alone or in combination with any other action, event or condition, be deemed (i) a condition for Good Reason or serve as a basis for a claim of constructive termination under any benefits or compensation arrangement applicable to the Executive, or (ii) to constitute a breach of a contract or other arrangement to which the Executive is a party. This </w:t>
      </w:r>
      <w:r>
        <w:rPr>
          <w:rFonts w:ascii="Times New Roman" w:hAnsi="Times New Roman"/>
          <w:sz w:val="20"/>
          <w:u w:val="single"/>
        </w:rPr>
        <w:t>Section 25</w:t>
      </w:r>
      <w:r>
        <w:rPr>
          <w:rFonts w:ascii="Times New Roman" w:hAnsi="Times New Roman"/>
          <w:sz w:val="20"/>
        </w:rPr>
        <w:t xml:space="preserve"> is a material term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26. </w:t>
      </w:r>
      <w:r>
        <w:rPr>
          <w:rFonts w:ascii="Times New Roman" w:hAnsi="Times New Roman"/>
          <w:sz w:val="20"/>
          <w:u w:val="single"/>
        </w:rPr>
        <w:t>Other Benefit Plans</w:t>
      </w:r>
      <w:r>
        <w:rPr>
          <w:rFonts w:ascii="Times New Roman" w:hAnsi="Times New Roman"/>
          <w:sz w:val="20"/>
        </w:rPr>
        <w:t xml:space="preserve">. No payment under this Agreement shall be taken into account in determining any benefits under any pension, retirement, profit sharing, group insurance or other benefit plan of the Company except as expressly required otherwise by law or the terms of such plan. </w:t>
      </w:r>
    </w:p>
    <w:p>
      <w:pPr>
        <w:pStyle w:val="TextBody"/>
        <w:bidi w:val="0"/>
        <w:spacing w:before="240" w:after="0"/>
        <w:jc w:val="left"/>
        <w:rPr>
          <w:rFonts w:ascii="Times New Roman" w:hAnsi="Times New Roman"/>
          <w:sz w:val="20"/>
        </w:rPr>
      </w:pPr>
      <w:r>
        <w:rPr>
          <w:rFonts w:ascii="Times New Roman" w:hAnsi="Times New Roman"/>
          <w:sz w:val="20"/>
        </w:rPr>
        <w:t>27. </w:t>
      </w:r>
      <w:r>
        <w:rPr>
          <w:rFonts w:ascii="Times New Roman" w:hAnsi="Times New Roman"/>
          <w:sz w:val="20"/>
          <w:u w:val="single"/>
        </w:rPr>
        <w:t>Executives Representations</w:t>
      </w:r>
      <w:r>
        <w:rPr>
          <w:rFonts w:ascii="Times New Roman" w:hAnsi="Times New Roman"/>
          <w:sz w:val="20"/>
        </w:rPr>
        <w:t xml:space="preserve">. The Executive represents, warrants and covenants that (i) that the Executive has read and understands this Agreement, is fully aware of its legal effect, has not acted in reliance upon any representations or promises made by the Company other than those contained in writing herein, and has entered into this Agreement freely based on the Executives own judgment, (ii) Executive has the full right, authority and capacity to enter into this Agreement and perform Executives obligations hereunder, (iii) Executive is not bound by any agreement that conflicts with or prevents or restricts the full performance of Executives duties and obligations to the Company hereunder during or after the Term, (iv) the execution and delivery of this Agreement shall not result in any breach or violation of, or a default under, any existing obligation, commitment or agreement to which Executive is subject, and (v) the Executive shall keep all terms of this Agreement confidential, except with respect to disclosure to the Executives spouse, accountants or attorneys, each of whom shall agree to keep all terms of this Agreement confidential. </w:t>
      </w:r>
    </w:p>
    <w:p>
      <w:pPr>
        <w:pStyle w:val="TextBody"/>
        <w:bidi w:val="0"/>
        <w:spacing w:before="240" w:after="0"/>
        <w:jc w:val="left"/>
        <w:rPr>
          <w:rFonts w:ascii="Times New Roman" w:hAnsi="Times New Roman"/>
          <w:sz w:val="20"/>
        </w:rPr>
      </w:pPr>
      <w:r>
        <w:rPr>
          <w:rFonts w:ascii="Times New Roman" w:hAnsi="Times New Roman"/>
          <w:sz w:val="20"/>
        </w:rPr>
        <w:t>28. </w:t>
      </w:r>
      <w:r>
        <w:rPr>
          <w:rFonts w:ascii="Times New Roman" w:hAnsi="Times New Roman"/>
          <w:sz w:val="20"/>
          <w:u w:val="single"/>
        </w:rPr>
        <w:t>Equity Ownership</w:t>
      </w:r>
      <w:r>
        <w:rPr>
          <w:rFonts w:ascii="Times New Roman" w:hAnsi="Times New Roman"/>
          <w:sz w:val="20"/>
        </w:rPr>
        <w:t xml:space="preserve">. The Executive will be subject to such stock ownership guidelines and holding requirements as may be implemented by the Board from time to time.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Shin Young Park </w:t>
      </w:r>
    </w:p>
    <w:p>
      <w:pPr>
        <w:pStyle w:val="TextBody"/>
        <w:bidi w:val="0"/>
        <w:spacing w:before="240" w:after="0"/>
        <w:jc w:val="left"/>
        <w:rPr>
          <w:rFonts w:ascii="Times New Roman" w:hAnsi="Times New Roman"/>
          <w:sz w:val="20"/>
        </w:rPr>
      </w:pPr>
      <w:r>
        <w:rPr>
          <w:rFonts w:ascii="Times New Roman" w:hAnsi="Times New Roman"/>
          <w:sz w:val="20"/>
        </w:rPr>
        <w:t xml:space="preserve">The parties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1"/>
        <w:gridCol w:w="60"/>
        <w:gridCol w:w="3631"/>
      </w:tblGrid>
      <w:tr>
        <w:trPr/>
        <w:tc>
          <w:tcPr>
            <w:tcW w:w="39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MAGNACHIP SEMICONDUCTOR, LTD.</w:t>
            </w:r>
          </w:p>
        </w:tc>
      </w:tr>
      <w:tr>
        <w:trPr>
          <w:trHeight w:val="240" w:hRule="atLeast"/>
        </w:trPr>
        <w:tc>
          <w:tcPr>
            <w:tcW w:w="391" w:type="dxa"/>
            <w:tcBorders/>
            <w:vAlign w:val="center"/>
          </w:tcPr>
          <w:p>
            <w:pPr>
              <w:pStyle w:val="TableContents"/>
              <w:bidi w:val="0"/>
              <w:spacing w:before="0" w:after="283"/>
              <w:jc w:val="left"/>
              <w:rPr>
                <w:sz w:val="4"/>
                <w:szCs w:val="4"/>
              </w:rPr>
            </w:pPr>
            <w:r>
              <w:rPr>
                <w:sz w:val="4"/>
                <w:szCs w:val="4"/>
              </w:rPr>
            </w:r>
          </w:p>
        </w:tc>
        <w:tc>
          <w:tcPr>
            <w:tcW w:w="3691" w:type="dxa"/>
            <w:gridSpan w:val="2"/>
            <w:tcBorders/>
            <w:vAlign w:val="center"/>
          </w:tcPr>
          <w:p>
            <w:pPr>
              <w:pStyle w:val="TableContents"/>
              <w:bidi w:val="0"/>
              <w:spacing w:before="0" w:after="283"/>
              <w:jc w:val="left"/>
              <w:rPr>
                <w:sz w:val="4"/>
                <w:szCs w:val="4"/>
              </w:rPr>
            </w:pPr>
            <w:r>
              <w:rPr>
                <w:sz w:val="4"/>
                <w:szCs w:val="4"/>
              </w:rPr>
            </w:r>
          </w:p>
        </w:tc>
      </w:tr>
      <w:tr>
        <w:trPr/>
        <w:tc>
          <w:tcPr>
            <w:tcW w:w="39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Young-Joon Kim</w:t>
            </w:r>
          </w:p>
        </w:tc>
      </w:tr>
      <w:tr>
        <w:trPr/>
        <w:tc>
          <w:tcPr>
            <w:tcW w:w="39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1" w:type="dxa"/>
            <w:tcBorders/>
            <w:vAlign w:val="bottom"/>
          </w:tcPr>
          <w:p>
            <w:pPr>
              <w:pStyle w:val="TableContents"/>
              <w:bidi w:val="0"/>
              <w:spacing w:before="0" w:after="283"/>
              <w:jc w:val="left"/>
              <w:rPr/>
            </w:pPr>
            <w:r>
              <w:rPr/>
              <w:t>Name: Young-Joon Kim</w:t>
            </w:r>
          </w:p>
        </w:tc>
      </w:tr>
      <w:tr>
        <w:trPr/>
        <w:tc>
          <w:tcPr>
            <w:tcW w:w="39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1" w:type="dxa"/>
            <w:tcBorders/>
            <w:vAlign w:val="bottom"/>
          </w:tcPr>
          <w:p>
            <w:pPr>
              <w:pStyle w:val="TableContents"/>
              <w:bidi w:val="0"/>
              <w:spacing w:before="0" w:after="283"/>
              <w:jc w:val="left"/>
              <w:rPr/>
            </w:pPr>
            <w:r>
              <w:rPr/>
              <w:t>Title: Representative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MAGNACHIP SEMICONDUCTOR CORPORATION</w:t>
            </w:r>
          </w:p>
        </w:tc>
      </w:tr>
      <w:tr>
        <w:trPr>
          <w:trHeight w:val="240" w:hRule="atLeast"/>
        </w:trPr>
        <w:tc>
          <w:tcPr>
            <w:tcW w:w="391" w:type="dxa"/>
            <w:tcBorders/>
            <w:vAlign w:val="center"/>
          </w:tcPr>
          <w:p>
            <w:pPr>
              <w:pStyle w:val="TableContents"/>
              <w:bidi w:val="0"/>
              <w:spacing w:before="0" w:after="283"/>
              <w:jc w:val="left"/>
              <w:rPr>
                <w:sz w:val="4"/>
                <w:szCs w:val="4"/>
              </w:rPr>
            </w:pPr>
            <w:r>
              <w:rPr>
                <w:sz w:val="4"/>
                <w:szCs w:val="4"/>
              </w:rPr>
            </w:r>
          </w:p>
        </w:tc>
        <w:tc>
          <w:tcPr>
            <w:tcW w:w="3691" w:type="dxa"/>
            <w:gridSpan w:val="2"/>
            <w:tcBorders/>
            <w:vAlign w:val="center"/>
          </w:tcPr>
          <w:p>
            <w:pPr>
              <w:pStyle w:val="TableContents"/>
              <w:bidi w:val="0"/>
              <w:spacing w:before="0" w:after="283"/>
              <w:jc w:val="left"/>
              <w:rPr>
                <w:sz w:val="4"/>
                <w:szCs w:val="4"/>
              </w:rPr>
            </w:pPr>
            <w:r>
              <w:rPr>
                <w:sz w:val="4"/>
                <w:szCs w:val="4"/>
              </w:rPr>
            </w:r>
          </w:p>
        </w:tc>
      </w:tr>
      <w:tr>
        <w:trPr/>
        <w:tc>
          <w:tcPr>
            <w:tcW w:w="39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Young-Joon Kim</w:t>
            </w:r>
          </w:p>
        </w:tc>
      </w:tr>
      <w:tr>
        <w:trPr/>
        <w:tc>
          <w:tcPr>
            <w:tcW w:w="39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1" w:type="dxa"/>
            <w:tcBorders/>
            <w:vAlign w:val="bottom"/>
          </w:tcPr>
          <w:p>
            <w:pPr>
              <w:pStyle w:val="TableContents"/>
              <w:bidi w:val="0"/>
              <w:spacing w:before="0" w:after="283"/>
              <w:jc w:val="left"/>
              <w:rPr/>
            </w:pPr>
            <w:r>
              <w:rPr/>
              <w:t>Name: Young-Joon Kim</w:t>
            </w:r>
          </w:p>
        </w:tc>
      </w:tr>
      <w:tr>
        <w:trPr/>
        <w:tc>
          <w:tcPr>
            <w:tcW w:w="39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1" w:type="dxa"/>
            <w:tcBorders/>
            <w:vAlign w:val="bottom"/>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EXECUTIVE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4082" w:type="dxa"/>
            <w:gridSpan w:val="3"/>
            <w:tcBorders/>
          </w:tcPr>
          <w:p>
            <w:pPr>
              <w:pStyle w:val="TableContents"/>
              <w:bidi w:val="0"/>
              <w:spacing w:before="0" w:after="283"/>
              <w:jc w:val="left"/>
              <w:rPr/>
            </w:pPr>
            <w:r>
              <w:rPr/>
              <w:t>Shin Young Park</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Shin Young Park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RELEASE </w:t>
      </w:r>
    </w:p>
    <w:p>
      <w:pPr>
        <w:pStyle w:val="TextBody"/>
        <w:bidi w:val="0"/>
        <w:spacing w:before="240" w:after="0"/>
        <w:jc w:val="left"/>
        <w:rPr>
          <w:rFonts w:ascii="Times New Roman" w:hAnsi="Times New Roman"/>
          <w:sz w:val="20"/>
        </w:rPr>
      </w:pPr>
      <w:r>
        <w:rPr>
          <w:rFonts w:ascii="Times New Roman" w:hAnsi="Times New Roman"/>
          <w:sz w:val="20"/>
        </w:rPr>
        <w:t>As used in this Release of Claims (this </w:t>
      </w:r>
      <w:r>
        <w:rPr>
          <w:rFonts w:ascii="Times New Roman" w:hAnsi="Times New Roman"/>
          <w:sz w:val="20"/>
          <w:u w:val="single"/>
        </w:rPr>
        <w:t>Release</w:t>
      </w:r>
      <w:r>
        <w:rPr>
          <w:rFonts w:ascii="Times New Roman" w:hAnsi="Times New Roman"/>
          <w:sz w:val="20"/>
        </w:rPr>
        <w:t>), the term claims will include all claims, covenants, warranties, promises, undertakings, actions, suits, causes of action, proceedings, obligations, debts, accounts, attorneys fees, judgments, losses, and liabilities, of whatsoever kind or nature, in law, in equity or otherwise. Capitalized terms used but not defined in this Release will have the meanings given to them in the Amended and Restated Executive Service Agreement (the </w:t>
      </w:r>
      <w:r>
        <w:rPr>
          <w:rFonts w:ascii="Times New Roman" w:hAnsi="Times New Roman"/>
          <w:sz w:val="20"/>
          <w:u w:val="single"/>
        </w:rPr>
        <w:t>Service Agreement</w:t>
      </w:r>
      <w:r>
        <w:rPr>
          <w:rFonts w:ascii="Times New Roman" w:hAnsi="Times New Roman"/>
          <w:sz w:val="20"/>
        </w:rPr>
        <w:t>), effective as of [</w:t>
      </w:r>
      <w:r>
        <w:rPr>
          <w:rFonts w:ascii="Times New Roman" w:hAnsi="Times New Roman"/>
          <w:sz w:val="20"/>
          <w:u w:val="single"/>
        </w:rPr>
        <w:t>      </w:t>
      </w:r>
      <w:r>
        <w:rPr>
          <w:rFonts w:ascii="Times New Roman" w:hAnsi="Times New Roman"/>
          <w:sz w:val="20"/>
        </w:rPr>
        <w:t>], by and between Magnachip Semiconductor Corporation, a Delaware corporation (</w:t>
      </w:r>
      <w:r>
        <w:rPr>
          <w:rFonts w:ascii="Times New Roman" w:hAnsi="Times New Roman"/>
          <w:sz w:val="20"/>
          <w:u w:val="single"/>
        </w:rPr>
        <w:t>Parent</w:t>
      </w:r>
      <w:r>
        <w:rPr>
          <w:rFonts w:ascii="Times New Roman" w:hAnsi="Times New Roman"/>
          <w:sz w:val="20"/>
        </w:rPr>
        <w:t>), and Magnachip Semiconductor, Ltd., a wholly owned subsidiary of Parent (</w:t>
      </w:r>
      <w:r>
        <w:rPr>
          <w:rFonts w:ascii="Times New Roman" w:hAnsi="Times New Roman"/>
          <w:sz w:val="20"/>
          <w:u w:val="single"/>
        </w:rPr>
        <w:t>MSK</w:t>
      </w:r>
      <w:r>
        <w:rPr>
          <w:rFonts w:ascii="Times New Roman" w:hAnsi="Times New Roman"/>
          <w:sz w:val="20"/>
        </w:rPr>
        <w:t xml:space="preserve">), on the one hand, and Shin Young Park. </w:t>
      </w:r>
    </w:p>
    <w:p>
      <w:pPr>
        <w:pStyle w:val="TextBody"/>
        <w:bidi w:val="0"/>
        <w:spacing w:before="240" w:after="0"/>
        <w:jc w:val="left"/>
        <w:rPr>
          <w:rFonts w:ascii="Times New Roman" w:hAnsi="Times New Roman"/>
          <w:sz w:val="20"/>
        </w:rPr>
      </w:pPr>
      <w:r>
        <w:rPr>
          <w:rFonts w:ascii="Times New Roman" w:hAnsi="Times New Roman"/>
          <w:sz w:val="20"/>
        </w:rPr>
        <w:t>For and in consideration of the payments and benefits under Section 5(b) of the Service Agreement, and other good and valuable consideration, I, for and on behalf of myself and my executors, heirs, administrators, representatives and assigns, hereby agree to release and forever discharge the Company, Parent and all of their respective predecessors, successors, and past, current, and future parent entities, affiliates, subsidiary entities, investors, directors, shareholders, members, officers, general or limited partners, employees, attorneys, agents, and representatives, and the benefit plans in which I am or have been a participant by virtue of my engagement with or service to the Company (collectively, the </w:t>
      </w:r>
      <w:r>
        <w:rPr>
          <w:rFonts w:ascii="Times New Roman" w:hAnsi="Times New Roman"/>
          <w:sz w:val="20"/>
          <w:u w:val="single"/>
        </w:rPr>
        <w:t>Company Releasees</w:t>
      </w:r>
      <w:r>
        <w:rPr>
          <w:rFonts w:ascii="Times New Roman" w:hAnsi="Times New Roman"/>
          <w:sz w:val="20"/>
        </w:rPr>
        <w:t>), from any and all claims that I have or may have had against the Company Releasees based on any events or circumstances arising or occurring on or prior to the date hereof and arising directly or indirectly out of, relating to, or in any other way involving in any manner whatsoever my engagement with or service to the Company or the termination thereof, including any and all claims arising under national, federal, provincial, state or local laws relating to employment, including claims of wrongful discharge, breach of express or implied contract, fraud, misrepresentation, defamation, intentional infliction of emotional distress or liability in tort, and claims of any kind that may be brought in any court or administrative agency, and any related claims for attorneys fees and costs, including claims under Title VII of the Civil Rights Act of 1964, as amended, 42 U.S.C. Section 2000e et seq.; the Americans with Disabilities Act, as amended, 42 U.S.C. § 12101 et seq.; the Rehabilitation Act of 1973, as amended, 29 U.S.C. § 701 et seq.; the Civil Rights Act of 1866 and the Civil Rights Act of 1991, 42 U.S.C. Section 1981 et seq.; the Age Discrimination in Employment Act, as amended, 29 U.S.C. Section 621 et seq. (the </w:t>
      </w:r>
      <w:r>
        <w:rPr>
          <w:rFonts w:ascii="Times New Roman" w:hAnsi="Times New Roman"/>
          <w:sz w:val="20"/>
          <w:u w:val="single"/>
        </w:rPr>
        <w:t>ADEA</w:t>
      </w:r>
      <w:r>
        <w:rPr>
          <w:rFonts w:ascii="Times New Roman" w:hAnsi="Times New Roman"/>
          <w:sz w:val="20"/>
        </w:rPr>
        <w:t xml:space="preserve">); the Equal Pay Act, as amended, 29 U.S.C. Section 206(d); regulations of the Office of Federal Contract Compliance Programs, 41 C.F.R. Section 60-1 et seq.; the Family and Medical Leave Act, as amended, 29 U.S.C. § 2601 et seq.; the Fair Labor Standards Act of 1938, as amended, 29 U.S.C. § 201 et seq.; the Employee Retirement Income Security Act, as amended, 29 U.S.C. § 1001 et seq.; and any similar national, provincial, state or local laws of the United States, the Republic of Korea or any other jurisdiction. I agree further that this Release may be pleaded as a full defense to any action, suit, arbitration or other proceeding covered by the terms hereof that is or may be initiated, prosecuted, or maintained by me or my descendants, dependents, heirs, executors, administrators or assigns. By signing this Release, I acknowledge that I intend to waive and release all rights known or unknown that I may have against the Company Releasees under these and any other laws.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acknowledge and agree that, as of the date I execute this Release, I have not filed any claim against any of the Company Releasees before any local, state, federal or foreign court, arbitrator, mediator or arbitration or mediation panel (each individually, a </w:t>
      </w:r>
      <w:r>
        <w:rPr>
          <w:rFonts w:ascii="Times New Roman" w:hAnsi="Times New Roman"/>
          <w:sz w:val="20"/>
          <w:u w:val="single"/>
        </w:rPr>
        <w:t>Proceeding</w:t>
      </w:r>
      <w:r>
        <w:rPr>
          <w:rFonts w:ascii="Times New Roman" w:hAnsi="Times New Roman"/>
          <w:sz w:val="20"/>
        </w:rPr>
        <w:t>). I (i) acknowledge that I will not initiate or cause to be initiated on my behalf any Proceeding and will not participate in any Proceeding, in each case, except as required by law; and (ii) waive any right that I may have to benefit in any manner from any relief (whether monetary or otherwise) arising out of any Proceeding or out of any action filed with any federal, state or local administrative or regulatory agency or authority (each, a </w:t>
      </w:r>
      <w:r>
        <w:rPr>
          <w:rFonts w:ascii="Times New Roman" w:hAnsi="Times New Roman"/>
          <w:sz w:val="20"/>
          <w:u w:val="single"/>
        </w:rPr>
        <w:t>Government Agency</w:t>
      </w:r>
      <w:r>
        <w:rPr>
          <w:rFonts w:ascii="Times New Roman" w:hAnsi="Times New Roman"/>
          <w:sz w:val="20"/>
        </w:rPr>
        <w:t xml:space="preserve">), except as provided below or where otherwise provided by law. Further, I understand that, by executing this Release, I will be limiting the availability of certain remedies that I may have against the Company and limiting also my ability to pursue certain claims against the Company Releasees. </w:t>
      </w:r>
    </w:p>
    <w:p>
      <w:pPr>
        <w:pStyle w:val="TextBody"/>
        <w:bidi w:val="0"/>
        <w:spacing w:before="240" w:after="0"/>
        <w:jc w:val="left"/>
        <w:rPr>
          <w:rFonts w:ascii="Times New Roman" w:hAnsi="Times New Roman"/>
          <w:sz w:val="20"/>
        </w:rPr>
      </w:pPr>
      <w:r>
        <w:rPr>
          <w:rFonts w:ascii="Times New Roman" w:hAnsi="Times New Roman"/>
          <w:sz w:val="20"/>
        </w:rPr>
        <w:t xml:space="preserve">By executing this Release, I specifically release all claims relating to my engagement with and service to the Company, and its termination, under ADEA, a federal statute that, among other things, prohibits discrimination on the basis of age in engagement and benefit plans. </w:t>
      </w:r>
    </w:p>
    <w:p>
      <w:pPr>
        <w:pStyle w:val="TextBody"/>
        <w:bidi w:val="0"/>
        <w:spacing w:before="240" w:after="0"/>
        <w:jc w:val="left"/>
        <w:rPr>
          <w:rFonts w:ascii="Times New Roman" w:hAnsi="Times New Roman"/>
          <w:sz w:val="20"/>
        </w:rPr>
      </w:pPr>
      <w:r>
        <w:rPr>
          <w:rFonts w:ascii="Times New Roman" w:hAnsi="Times New Roman"/>
          <w:sz w:val="20"/>
        </w:rPr>
        <w:t>Notwithstanding the generality of the foregoing, I do not release (i) claims to receive payments and benefits under Section 5(b) of the Service Agreement in accordance with the terms of the Service</w:t>
      </w:r>
      <w:r>
        <w:rPr>
          <w:rFonts w:ascii="Times New Roman" w:hAnsi="Times New Roman"/>
          <w:sz w:val="20"/>
          <w:u w:val="single"/>
        </w:rPr>
        <w:t xml:space="preserve"> </w:t>
      </w:r>
      <w:r>
        <w:rPr>
          <w:rFonts w:ascii="Times New Roman" w:hAnsi="Times New Roman"/>
          <w:sz w:val="20"/>
        </w:rPr>
        <w:t xml:space="preserve">Agreement, (ii) claims for indemnification arising under any applicable indemnification obligation of the Company, (iii) any vested rights I may have under any qualified benefit plans, programs or policies of the Company, or (iv) claims that cannot be waived by law. Further, nothing in this Release shall prevent me from (a) initiating or causing to be initiated on my behalf any claim against the Company before any local, state or federal agency, court or other body challenging the validity of the waiver of my claims under the ADEA (but no other portion of such waiver); or (b) initiating or participating in an investigation or proceeding conducted by any Government Agency. </w:t>
      </w:r>
    </w:p>
    <w:p>
      <w:pPr>
        <w:pStyle w:val="TextBody"/>
        <w:bidi w:val="0"/>
        <w:spacing w:before="240" w:after="0"/>
        <w:jc w:val="left"/>
        <w:rPr>
          <w:rFonts w:ascii="Times New Roman" w:hAnsi="Times New Roman"/>
          <w:sz w:val="20"/>
        </w:rPr>
      </w:pPr>
      <w:r>
        <w:rPr>
          <w:rFonts w:ascii="Times New Roman" w:hAnsi="Times New Roman"/>
          <w:sz w:val="20"/>
        </w:rPr>
        <w:t>I understand that nothing in this Agreement will preclude, prohibit or restrict me from (i) communicating with, any federal, state or local administrative or regulatory agency or authority, including the Securities and Exchange Commission (the </w:t>
      </w:r>
      <w:r>
        <w:rPr>
          <w:rFonts w:ascii="Times New Roman" w:hAnsi="Times New Roman"/>
          <w:sz w:val="20"/>
          <w:u w:val="single"/>
        </w:rPr>
        <w:t>SEC</w:t>
      </w:r>
      <w:r>
        <w:rPr>
          <w:rFonts w:ascii="Times New Roman" w:hAnsi="Times New Roman"/>
          <w:sz w:val="20"/>
        </w:rPr>
        <w:t xml:space="preserve">); (ii) participating or cooperating in any investigation conducted by any governmental agency or authority; or (iii) filing a charge of discrimination with the EEOC or any other federal state or local administrative agency or regulatory authority.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Agreement, or any other agreement with the Company, prohibits or is intended in any manner to prohibit, me from (i) reporting a possible violation of federal or other applicable law or regulation to any governmental agency or entity, including the Department of Justice, the SEC, the U.S. Congress and any governmental agency Inspector General, or (ii) making other disclosures that are protected under whistleblower provisions of federal law or regulation. This Agreement does not limit my right to receive an award (including a monetary reward) for information provided to the SEC or any other Government Agency pursuant to the whistleblower provisions of any applicable law or regulation. I do not need the prior authorization of anyone at the Company to make any such reports or disclosures, and I am not required to notify the Company that I have made such reports or disclosures.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Agreement or any other agreement or policy of the Company is intended to interfere with or restrain the immunity provided under 18 U.S.C. §1833(b). I cannot be held criminally or civilly liable under any federal or state trade secret law for the disclosure of a trade secret that is made (i) (A) in confidence to federal, state or local government officials, directly or indirectly, or to an attorney, and (B) for the purpose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 </w:t>
      </w:r>
    </w:p>
    <w:p>
      <w:pPr>
        <w:pStyle w:val="TextBody"/>
        <w:bidi w:val="0"/>
        <w:spacing w:before="240" w:after="0"/>
        <w:jc w:val="left"/>
        <w:rPr>
          <w:rFonts w:ascii="Times New Roman" w:hAnsi="Times New Roman"/>
          <w:sz w:val="20"/>
        </w:rPr>
      </w:pPr>
      <w:r>
        <w:rPr>
          <w:rFonts w:ascii="Times New Roman" w:hAnsi="Times New Roman"/>
          <w:sz w:val="20"/>
        </w:rPr>
        <w:t xml:space="preserve">I acknowledge that I have been given at least 21 days in which to consider this Release. I acknowledge further that the Company has advised me to consult with an attorney of my choice before signing this Release, and I have had sufficient time to consider the terms of this Release. I represent and acknowledge that if I execute this Release before 21 days have elapsed, I do so knowingly, voluntarily, and upon the advice and with the approval of my legal counsel (if any), and that I voluntarily waive any remaining consideration period. </w:t>
      </w:r>
    </w:p>
    <w:p>
      <w:pPr>
        <w:pStyle w:val="TextBody"/>
        <w:bidi w:val="0"/>
        <w:spacing w:before="240" w:after="0"/>
        <w:jc w:val="left"/>
        <w:rPr>
          <w:rFonts w:ascii="Times New Roman" w:hAnsi="Times New Roman"/>
          <w:sz w:val="20"/>
        </w:rPr>
      </w:pPr>
      <w:r>
        <w:rPr>
          <w:rFonts w:ascii="Times New Roman" w:hAnsi="Times New Roman"/>
          <w:sz w:val="20"/>
        </w:rPr>
        <w:t xml:space="preserve">I understand that after executing this Release, I have the right to revoke it within seven days after its execution. I understand that this Release will not become effective and enforceable unless the seven-day revocation period passes and I do not revoke the Release in writing. I understand that this Release may not be revoked after the seven-day revocation period has passed. I understand also that any revocation of this Release must be made in writing and delivered to the Company at its principal place of business within the seven-day period. </w:t>
      </w:r>
    </w:p>
    <w:p>
      <w:pPr>
        <w:pStyle w:val="TextBody"/>
        <w:bidi w:val="0"/>
        <w:spacing w:before="240" w:after="0"/>
        <w:jc w:val="left"/>
        <w:rPr>
          <w:rFonts w:ascii="Times New Roman" w:hAnsi="Times New Roman"/>
          <w:sz w:val="20"/>
        </w:rPr>
      </w:pPr>
      <w:r>
        <w:rPr>
          <w:rFonts w:ascii="Times New Roman" w:hAnsi="Times New Roman"/>
          <w:sz w:val="20"/>
        </w:rPr>
        <w:t>This Release will become effective, irrevocable, and binding on the eighth day after its execution, so long as I have not timely revoked it as set forth above. I understand and acknowledge that I will not be entitled to payments or benefits under Section 5(b) of the Service</w:t>
      </w:r>
      <w:r>
        <w:rPr>
          <w:rFonts w:ascii="Times New Roman" w:hAnsi="Times New Roman"/>
          <w:sz w:val="20"/>
          <w:u w:val="single"/>
        </w:rPr>
        <w:t xml:space="preserve"> </w:t>
      </w:r>
      <w:r>
        <w:rPr>
          <w:rFonts w:ascii="Times New Roman" w:hAnsi="Times New Roman"/>
          <w:sz w:val="20"/>
        </w:rPr>
        <w:t xml:space="preserve">Agreement unless this Release is effective on or before the date that is 60 days following the Date of Termination (as defined in the Service Agreement). </w:t>
      </w:r>
    </w:p>
    <w:p>
      <w:pPr>
        <w:pStyle w:val="TextBody"/>
        <w:bidi w:val="0"/>
        <w:spacing w:before="240" w:after="0"/>
        <w:jc w:val="left"/>
        <w:rPr>
          <w:rFonts w:ascii="Times New Roman" w:hAnsi="Times New Roman"/>
          <w:sz w:val="20"/>
        </w:rPr>
      </w:pPr>
      <w:r>
        <w:rPr>
          <w:rFonts w:ascii="Times New Roman" w:hAnsi="Times New Roman"/>
          <w:sz w:val="20"/>
        </w:rPr>
        <w:t xml:space="preserve">I hereby agree to waive any and all claims to re-engagement with the Company and affirmatively agree not to seek further engagement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Release will be binding upon my heirs, executors, administrators, legal representatives, and assigns. If any provision of this Release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Release. </w:t>
      </w:r>
    </w:p>
    <w:p>
      <w:pPr>
        <w:pStyle w:val="TextBody"/>
        <w:bidi w:val="0"/>
        <w:spacing w:before="240" w:after="0"/>
        <w:jc w:val="left"/>
        <w:rPr>
          <w:rFonts w:ascii="Times New Roman" w:hAnsi="Times New Roman"/>
          <w:sz w:val="20"/>
        </w:rPr>
      </w:pPr>
      <w:r>
        <w:rPr>
          <w:rFonts w:ascii="Times New Roman" w:hAnsi="Times New Roman"/>
          <w:sz w:val="20"/>
        </w:rPr>
        <w:t xml:space="preserve">This Release will be governed in accordance with the laws of the State of Delaware, without reference to the principles of conflicts of law. Any dispute or claim arising out of or relating to this Release or claim of breach hereof will be brought exclusively in the United States District Court for the District of Delaware to the extent that federal jurisdiction exists, and in the Delaware Chancery Court to the extent that federal jurisdiction does not exist. By execution of this Release, I am waiving any right to trial by jury in connection with any suit, action or proceeding under or in connection with this Release.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Shin Young Park</w:t>
            </w:r>
          </w:p>
        </w:tc>
      </w:tr>
      <w:tr>
        <w:trPr/>
        <w:tc>
          <w:tcPr>
            <w:tcW w:w="4082"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Date</w:t>
            </w:r>
          </w:p>
        </w:tc>
      </w:tr>
    </w:tbl>
    <w:p>
      <w:pPr>
        <w:pStyle w:val="TextBody"/>
        <w:bidi w:val="0"/>
        <w:spacing w:before="0" w:after="0"/>
        <w:jc w:val="right"/>
        <w:rPr>
          <w:rFonts w:ascii="Times New Roman" w:hAnsi="Times New Roman"/>
          <w:b/>
          <w:sz w:val="20"/>
        </w:rPr>
      </w:pPr>
      <w:bookmarkStart w:id="20" w:name="d913307dex103.htm"/>
      <w:bookmarkStart w:id="21" w:name="ksd913307dex103"/>
      <w:bookmarkEnd w:id="20"/>
      <w:bookmarkEnd w:id="21"/>
      <w:r>
        <w:rPr>
          <w:rFonts w:ascii="Times New Roman" w:hAnsi="Times New Roman"/>
          <w:b/>
          <w:sz w:val="20"/>
        </w:rPr>
        <w:t xml:space="preserve">Exhibit 10.3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466975" cy="495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466975" cy="4953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April 28, 2025 </w:t>
      </w:r>
    </w:p>
    <w:p>
      <w:pPr>
        <w:pStyle w:val="TextBody"/>
        <w:bidi w:val="0"/>
        <w:spacing w:before="240" w:after="0"/>
        <w:jc w:val="left"/>
        <w:rPr>
          <w:rFonts w:ascii="Times New Roman" w:hAnsi="Times New Roman"/>
          <w:sz w:val="20"/>
        </w:rPr>
      </w:pPr>
      <w:r>
        <w:rPr>
          <w:rFonts w:ascii="Times New Roman" w:hAnsi="Times New Roman"/>
          <w:sz w:val="20"/>
        </w:rPr>
        <w:t xml:space="preserve">Ms. Shin Young Park </w:t>
      </w:r>
    </w:p>
    <w:p>
      <w:pPr>
        <w:pStyle w:val="TextBody"/>
        <w:bidi w:val="0"/>
        <w:spacing w:before="0" w:after="0"/>
        <w:jc w:val="left"/>
        <w:rPr>
          <w:rFonts w:ascii="Times New Roman" w:hAnsi="Times New Roman"/>
          <w:i/>
          <w:sz w:val="20"/>
        </w:rPr>
      </w:pPr>
      <w:r>
        <w:rPr>
          <w:rFonts w:ascii="Times New Roman" w:hAnsi="Times New Roman"/>
          <w:i/>
          <w:sz w:val="20"/>
        </w:rPr>
        <w:t xml:space="preserve">[address omitted]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rPr>
            </w:pPr>
            <w:r>
              <w:rPr>
                <w:b/>
              </w:rPr>
              <w:t>Re:</w:t>
            </w:r>
          </w:p>
        </w:tc>
        <w:tc>
          <w:tcPr>
            <w:tcW w:w="888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to Employment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Ms. Park, </w:t>
      </w:r>
    </w:p>
    <w:p>
      <w:pPr>
        <w:pStyle w:val="TextBody"/>
        <w:bidi w:val="0"/>
        <w:spacing w:before="240" w:after="0"/>
        <w:jc w:val="left"/>
        <w:rPr>
          <w:rFonts w:ascii="Times New Roman" w:hAnsi="Times New Roman"/>
          <w:sz w:val="20"/>
        </w:rPr>
      </w:pPr>
      <w:r>
        <w:rPr>
          <w:rFonts w:ascii="Times New Roman" w:hAnsi="Times New Roman"/>
          <w:sz w:val="20"/>
        </w:rPr>
        <w:t>This letter (this </w:t>
      </w:r>
      <w:r>
        <w:rPr>
          <w:rFonts w:ascii="Times New Roman" w:hAnsi="Times New Roman"/>
          <w:sz w:val="20"/>
          <w:u w:val="single"/>
        </w:rPr>
        <w:t>Amendment</w:t>
      </w:r>
      <w:r>
        <w:rPr>
          <w:rFonts w:ascii="Times New Roman" w:hAnsi="Times New Roman"/>
          <w:sz w:val="20"/>
        </w:rPr>
        <w:t>) serves as an amendment to your Amended and Restated Executive Service Agreement, entered into on April 28, 2025 (the </w:t>
      </w:r>
      <w:r>
        <w:rPr>
          <w:rFonts w:ascii="Times New Roman" w:hAnsi="Times New Roman"/>
          <w:sz w:val="20"/>
          <w:u w:val="single"/>
        </w:rPr>
        <w:t>Employment Agreement</w:t>
      </w:r>
      <w:r>
        <w:rPr>
          <w:rFonts w:ascii="Times New Roman" w:hAnsi="Times New Roman"/>
          <w:sz w:val="20"/>
        </w:rPr>
        <w:t xml:space="preserve">). Any capitalized term not otherwise defined in this Amendment shall have the meaning ascribed to such term in the Employment Agreement. </w:t>
      </w:r>
    </w:p>
    <w:p>
      <w:pPr>
        <w:pStyle w:val="TextBody"/>
        <w:bidi w:val="0"/>
        <w:spacing w:before="240" w:after="0"/>
        <w:jc w:val="left"/>
        <w:rPr>
          <w:rFonts w:ascii="Times New Roman" w:hAnsi="Times New Roman"/>
          <w:sz w:val="20"/>
        </w:rPr>
      </w:pPr>
      <w:r>
        <w:rPr>
          <w:rFonts w:ascii="Times New Roman" w:hAnsi="Times New Roman"/>
          <w:sz w:val="20"/>
        </w:rPr>
        <w:t>This Amendment sets forth the agreement among you, Magnachip Semiconductor Corporation (</w:t>
      </w:r>
      <w:r>
        <w:rPr>
          <w:rFonts w:ascii="Times New Roman" w:hAnsi="Times New Roman"/>
          <w:sz w:val="20"/>
          <w:u w:val="single"/>
        </w:rPr>
        <w:t>Parent</w:t>
      </w:r>
      <w:r>
        <w:rPr>
          <w:rFonts w:ascii="Times New Roman" w:hAnsi="Times New Roman"/>
          <w:sz w:val="20"/>
        </w:rPr>
        <w:t>) and Magnachip Semiconductor, Ltd. (together with Parent, the </w:t>
      </w:r>
      <w:r>
        <w:rPr>
          <w:rFonts w:ascii="Times New Roman" w:hAnsi="Times New Roman"/>
          <w:sz w:val="20"/>
          <w:u w:val="single"/>
        </w:rPr>
        <w:t>Company</w:t>
      </w:r>
      <w:r>
        <w:rPr>
          <w:rFonts w:ascii="Times New Roman" w:hAnsi="Times New Roman"/>
          <w:sz w:val="20"/>
        </w:rPr>
        <w:t xml:space="preserve">) concerning a temporary reduction in your Annual Base Salary as described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rPr>
              <w:t>Temporary Salary Reduction.</w:t>
            </w:r>
            <w:r>
              <w:rPr>
                <w:rFonts w:ascii="Times New Roman" w:hAnsi="Times New Roman"/>
                <w:sz w:val="20"/>
              </w:rPr>
              <w:t xml:space="preserve"> Effective as of April 1, 2025, your Annual Base Salary of USD 360,000 (the </w:t>
            </w:r>
            <w:r>
              <w:rPr>
                <w:rFonts w:ascii="Times New Roman" w:hAnsi="Times New Roman"/>
                <w:sz w:val="20"/>
                <w:u w:val="single"/>
              </w:rPr>
              <w:t>Original Base Salary</w:t>
            </w:r>
            <w:r>
              <w:rPr>
                <w:rFonts w:ascii="Times New Roman" w:hAnsi="Times New Roman"/>
                <w:sz w:val="20"/>
              </w:rPr>
              <w:t>) will be temporarily reduced by ten percent (10%) to the annualized amount of USD 324,000 (the </w:t>
            </w:r>
            <w:r>
              <w:rPr>
                <w:rFonts w:ascii="Times New Roman" w:hAnsi="Times New Roman"/>
                <w:sz w:val="20"/>
                <w:u w:val="single"/>
              </w:rPr>
              <w:t>Reduced Base Salary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rPr>
              <w:t>Duration of Reduction.</w:t>
            </w:r>
            <w:r>
              <w:rPr>
                <w:rFonts w:ascii="Times New Roman" w:hAnsi="Times New Roman"/>
                <w:sz w:val="20"/>
              </w:rPr>
              <w:t xml:space="preserve"> This reduction will remain in effect until such time as the Company becomes profitable. The Company shall be deemed to have become profitable if the operating income line on the consolidated financial statements of the Company is greater than zero for any two (2) consecutive fiscal quarters. If the Company becomes profitable, then your Annual Base Salary shall return to the Original Base Salary, effective as of the first day of the fiscal quarter immediately following such profitable two (2) consecutive fiscal quarters. For the avoidance of doubt, even if the Company does not remain profitable in subsequent fiscal quarters, your Annual Base Salary shall not be reduced unless otherwise agreed in writing by you and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3.</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b/>
                <w:sz w:val="20"/>
              </w:rPr>
              <w:t>Restoration of Base Salary.</w:t>
            </w:r>
            <w:r>
              <w:rPr>
                <w:rFonts w:ascii="Times New Roman" w:hAnsi="Times New Roman"/>
                <w:sz w:val="20"/>
              </w:rPr>
              <w:t xml:space="preserve"> Upon the occurrence of a Change in Control (regardless of whether accompanied by termination), your Annual Base Salary shall immediately return to the Original Base Salary.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Preservation of Original Base Salary for Certain Calculations.</w:t>
            </w:r>
            <w:r>
              <w:rPr>
                <w:rFonts w:ascii="Times New Roman" w:hAnsi="Times New Roman"/>
                <w:sz w:val="20"/>
              </w:rPr>
              <w:t xml:space="preserve"> Notwithstanding anything to the contrary herein or in the Employment Agreement, (a) the calculation of any statutory severance or pension benefits will be done based on your Original Base Salary prior to the reduction described in </w:t>
            </w:r>
            <w:r>
              <w:rPr>
                <w:rFonts w:ascii="Times New Roman" w:hAnsi="Times New Roman"/>
                <w:sz w:val="20"/>
                <w:u w:val="single"/>
              </w:rPr>
              <w:t>Section 1</w:t>
            </w:r>
            <w:r>
              <w:rPr>
                <w:rFonts w:ascii="Times New Roman" w:hAnsi="Times New Roman"/>
                <w:sz w:val="20"/>
              </w:rPr>
              <w:t xml:space="preserve"> above (and not the Reduced Base Salary), and (b) any reference to Annual Base Salary or Final Base Salary in Sections 3(b) and 5(b) of the Employment Agreement shall be deemed to refer to your Original Base Salary prior to the reduction described in </w:t>
            </w:r>
            <w:r>
              <w:rPr>
                <w:rFonts w:ascii="Times New Roman" w:hAnsi="Times New Roman"/>
                <w:sz w:val="20"/>
                <w:u w:val="single"/>
              </w:rPr>
              <w:t>Section 1</w:t>
            </w:r>
            <w:r>
              <w:rPr>
                <w:rFonts w:ascii="Times New Roman" w:hAnsi="Times New Roman"/>
                <w:sz w:val="20"/>
              </w:rPr>
              <w:t xml:space="preserve"> above (and not the Reduced Base Salary).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Magnachip Semiconductor, 40F, Parc.1 Tower 2, 108, Yeoui-daero, Yeongdeungpo-gu, Seoul, Republic of Korea, 07335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95425" cy="304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95425" cy="3048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Amendment and the Employment Agreement, as amended, contain the entire understanding among the parties on the subjects covered herein and supersede all prior agreements, arrangements and understandings, whether written or oral, regarding the subjects covered herein. Except as expressly set forth in this Amendment, all other terms and conditions of the Employment Agreement, as amended, shall remain unchanged and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Please indicate your agreement to the terms of this Amendment by signing and returning this letter to me by May 1, 2025. </w:t>
      </w:r>
    </w:p>
    <w:p>
      <w:pPr>
        <w:pStyle w:val="TextBody"/>
        <w:bidi w:val="0"/>
        <w:spacing w:before="240" w:after="0"/>
        <w:jc w:val="left"/>
        <w:rPr>
          <w:rFonts w:ascii="Times New Roman" w:hAnsi="Times New Roman"/>
          <w:sz w:val="20"/>
        </w:rPr>
      </w:pPr>
      <w:r>
        <w:rPr>
          <w:rFonts w:ascii="Times New Roman" w:hAnsi="Times New Roman"/>
          <w:sz w:val="20"/>
        </w:rPr>
        <w:t xml:space="preserve">Yours sincerely,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989"/>
        <w:gridCol w:w="175"/>
        <w:gridCol w:w="2918"/>
      </w:tblGrid>
      <w:tr>
        <w:trPr/>
        <w:tc>
          <w:tcPr>
            <w:tcW w:w="98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MAGNACHIP SEMICONDUCTOR CORPORATION</w:t>
            </w:r>
          </w:p>
        </w:tc>
      </w:tr>
      <w:tr>
        <w:trPr>
          <w:trHeight w:val="240" w:hRule="atLeast"/>
        </w:trPr>
        <w:tc>
          <w:tcPr>
            <w:tcW w:w="989" w:type="dxa"/>
            <w:tcBorders/>
            <w:vAlign w:val="center"/>
          </w:tcPr>
          <w:p>
            <w:pPr>
              <w:pStyle w:val="TableContents"/>
              <w:bidi w:val="0"/>
              <w:spacing w:before="0" w:after="283"/>
              <w:jc w:val="left"/>
              <w:rPr>
                <w:sz w:val="4"/>
                <w:szCs w:val="4"/>
              </w:rPr>
            </w:pPr>
            <w:r>
              <w:rPr>
                <w:sz w:val="4"/>
                <w:szCs w:val="4"/>
              </w:rPr>
            </w:r>
          </w:p>
        </w:tc>
        <w:tc>
          <w:tcPr>
            <w:tcW w:w="3093" w:type="dxa"/>
            <w:gridSpan w:val="2"/>
            <w:tcBorders/>
            <w:vAlign w:val="center"/>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283"/>
              <w:jc w:val="left"/>
              <w:rPr/>
            </w:pPr>
            <w:r>
              <w:rPr/>
              <w:t>By:</w:t>
            </w:r>
          </w:p>
        </w:tc>
        <w:tc>
          <w:tcPr>
            <w:tcW w:w="175" w:type="dxa"/>
            <w:tcBorders/>
            <w:vAlign w:val="bottom"/>
          </w:tcPr>
          <w:p>
            <w:pPr>
              <w:pStyle w:val="TableContents"/>
              <w:bidi w:val="0"/>
              <w:spacing w:before="0" w:after="283"/>
              <w:jc w:val="left"/>
              <w:rPr/>
            </w:pPr>
            <w:r>
              <w:rPr/>
              <w:t> </w:t>
            </w:r>
          </w:p>
        </w:tc>
        <w:tc>
          <w:tcPr>
            <w:tcW w:w="29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Theodore Kim</w:t>
            </w:r>
          </w:p>
        </w:tc>
      </w:tr>
      <w:tr>
        <w:trPr/>
        <w:tc>
          <w:tcPr>
            <w:tcW w:w="4082" w:type="dxa"/>
            <w:gridSpan w:val="3"/>
            <w:tcBorders/>
          </w:tcPr>
          <w:p>
            <w:pPr>
              <w:pStyle w:val="TableContents"/>
              <w:bidi w:val="0"/>
              <w:spacing w:before="0" w:after="283"/>
              <w:jc w:val="left"/>
              <w:rPr/>
            </w:pPr>
            <w:r>
              <w:rPr/>
              <w:t>Name: Theodore Kim</w:t>
            </w:r>
          </w:p>
        </w:tc>
      </w:tr>
      <w:tr>
        <w:trPr/>
        <w:tc>
          <w:tcPr>
            <w:tcW w:w="4082" w:type="dxa"/>
            <w:gridSpan w:val="3"/>
            <w:tcBorders/>
          </w:tcPr>
          <w:p>
            <w:pPr>
              <w:pStyle w:val="TableContents"/>
              <w:bidi w:val="0"/>
              <w:spacing w:before="0" w:after="283"/>
              <w:jc w:val="left"/>
              <w:rPr/>
            </w:pPr>
            <w:r>
              <w:rPr/>
              <w:t>Title: Chief Compliance Officer and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MAGNACHIP SEMICONDUCTOR, LTD.</w:t>
            </w:r>
          </w:p>
        </w:tc>
      </w:tr>
      <w:tr>
        <w:trPr>
          <w:trHeight w:val="240" w:hRule="atLeast"/>
        </w:trPr>
        <w:tc>
          <w:tcPr>
            <w:tcW w:w="989" w:type="dxa"/>
            <w:tcBorders/>
            <w:vAlign w:val="center"/>
          </w:tcPr>
          <w:p>
            <w:pPr>
              <w:pStyle w:val="TableContents"/>
              <w:bidi w:val="0"/>
              <w:spacing w:before="0" w:after="283"/>
              <w:jc w:val="left"/>
              <w:rPr>
                <w:sz w:val="4"/>
                <w:szCs w:val="4"/>
              </w:rPr>
            </w:pPr>
            <w:r>
              <w:rPr>
                <w:sz w:val="4"/>
                <w:szCs w:val="4"/>
              </w:rPr>
            </w:r>
          </w:p>
        </w:tc>
        <w:tc>
          <w:tcPr>
            <w:tcW w:w="3093" w:type="dxa"/>
            <w:gridSpan w:val="2"/>
            <w:tcBorders/>
            <w:vAlign w:val="center"/>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283"/>
              <w:jc w:val="left"/>
              <w:rPr/>
            </w:pPr>
            <w:r>
              <w:rPr/>
              <w:t>By:</w:t>
            </w:r>
          </w:p>
        </w:tc>
        <w:tc>
          <w:tcPr>
            <w:tcW w:w="175" w:type="dxa"/>
            <w:tcBorders/>
            <w:vAlign w:val="bottom"/>
          </w:tcPr>
          <w:p>
            <w:pPr>
              <w:pStyle w:val="TableContents"/>
              <w:bidi w:val="0"/>
              <w:spacing w:before="0" w:after="283"/>
              <w:jc w:val="left"/>
              <w:rPr/>
            </w:pPr>
            <w:r>
              <w:rPr/>
              <w:t> </w:t>
            </w:r>
          </w:p>
        </w:tc>
        <w:tc>
          <w:tcPr>
            <w:tcW w:w="29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Theodore Kim</w:t>
            </w:r>
          </w:p>
        </w:tc>
      </w:tr>
      <w:tr>
        <w:trPr/>
        <w:tc>
          <w:tcPr>
            <w:tcW w:w="4082" w:type="dxa"/>
            <w:gridSpan w:val="3"/>
            <w:tcBorders/>
          </w:tcPr>
          <w:p>
            <w:pPr>
              <w:pStyle w:val="TableContents"/>
              <w:bidi w:val="0"/>
              <w:spacing w:before="0" w:after="283"/>
              <w:jc w:val="left"/>
              <w:rPr/>
            </w:pPr>
            <w:r>
              <w:rPr/>
              <w:t>Name: Theodore Kim</w:t>
            </w:r>
          </w:p>
        </w:tc>
      </w:tr>
      <w:tr>
        <w:trPr/>
        <w:tc>
          <w:tcPr>
            <w:tcW w:w="4082" w:type="dxa"/>
            <w:gridSpan w:val="3"/>
            <w:tcBorders/>
          </w:tcPr>
          <w:p>
            <w:pPr>
              <w:pStyle w:val="TableContents"/>
              <w:bidi w:val="0"/>
              <w:spacing w:before="0" w:after="283"/>
              <w:jc w:val="left"/>
              <w:rPr/>
            </w:pPr>
            <w:r>
              <w:rPr/>
              <w:t>Title: Director and Executive Vice President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I hereby confirm my receipt, understanding and agreement with the terms of this Amendment.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Shin Young Park</w:t>
            </w:r>
          </w:p>
        </w:tc>
      </w:tr>
      <w:tr>
        <w:trPr/>
        <w:tc>
          <w:tcPr>
            <w:tcW w:w="4082" w:type="dxa"/>
            <w:tcBorders/>
            <w:vAlign w:val="bottom"/>
          </w:tcPr>
          <w:p>
            <w:pPr>
              <w:pStyle w:val="TableContents"/>
              <w:bidi w:val="0"/>
              <w:spacing w:before="0" w:after="283"/>
              <w:jc w:val="left"/>
              <w:rPr/>
            </w:pPr>
            <w:r>
              <w:rPr/>
              <w:t>Shin Young Park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22" w:name="d913307dex104.htm"/>
      <w:bookmarkStart w:id="23" w:name="ksd913307dex104"/>
      <w:bookmarkEnd w:id="22"/>
      <w:bookmarkEnd w:id="23"/>
      <w:r>
        <w:rPr>
          <w:rFonts w:ascii="Times New Roman" w:hAnsi="Times New Roman"/>
          <w:b/>
          <w:sz w:val="20"/>
        </w:rPr>
        <w:t xml:space="preserve">Exhibit 10.4 </w:t>
      </w:r>
      <w:r>
        <w:br w:type="page"/>
      </w:r>
    </w:p>
    <w:p>
      <w:pPr>
        <w:pStyle w:val="TextBody"/>
        <w:bidi w:val="0"/>
        <w:spacing w:before="240" w:after="0"/>
        <w:jc w:val="right"/>
        <w:rPr>
          <w:rFonts w:ascii="Times New Roman" w:hAnsi="Times New Roman"/>
          <w:sz w:val="20"/>
        </w:rPr>
      </w:pPr>
      <w:r>
        <w:rPr>
          <w:rFonts w:ascii="Times New Roman" w:hAnsi="Times New Roman"/>
          <w:sz w:val="20"/>
        </w:rPr>
        <w:t xml:space="preserve">Amended and Restated on June 26, 2025 </w:t>
      </w:r>
    </w:p>
    <w:p>
      <w:pPr>
        <w:pStyle w:val="TextBody"/>
        <w:bidi w:val="0"/>
        <w:spacing w:before="360" w:after="0"/>
        <w:jc w:val="center"/>
        <w:rPr>
          <w:rFonts w:ascii="Times New Roman" w:hAnsi="Times New Roman"/>
          <w:b/>
          <w:sz w:val="20"/>
        </w:rPr>
      </w:pPr>
      <w:r>
        <w:rPr>
          <w:rFonts w:ascii="Times New Roman" w:hAnsi="Times New Roman"/>
          <w:b/>
          <w:sz w:val="20"/>
        </w:rPr>
        <w:t xml:space="preserve">Magnachip Semiconductor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Director Compensation Policy </w:t>
      </w:r>
    </w:p>
    <w:p>
      <w:pPr>
        <w:pStyle w:val="TextBody"/>
        <w:bidi w:val="0"/>
        <w:spacing w:before="240" w:after="0"/>
        <w:jc w:val="left"/>
        <w:rPr>
          <w:rFonts w:ascii="Times New Roman" w:hAnsi="Times New Roman"/>
          <w:sz w:val="20"/>
        </w:rPr>
      </w:pPr>
      <w:r>
        <w:rPr>
          <w:rFonts w:ascii="Times New Roman" w:hAnsi="Times New Roman"/>
          <w:sz w:val="20"/>
        </w:rPr>
        <w:t>The Director Compensation Policy applicable to the members of the Board of Directors (the </w:t>
      </w:r>
      <w:r>
        <w:rPr>
          <w:rFonts w:ascii="Times New Roman" w:hAnsi="Times New Roman"/>
          <w:b/>
          <w:i/>
          <w:sz w:val="20"/>
          <w:u w:val="single"/>
        </w:rPr>
        <w:t>Board</w:t>
      </w:r>
      <w:r>
        <w:rPr>
          <w:rFonts w:ascii="Times New Roman" w:hAnsi="Times New Roman"/>
          <w:sz w:val="20"/>
        </w:rPr>
        <w:t>) of Magnachip Semiconductor Corporation (the </w:t>
      </w:r>
      <w:r>
        <w:rPr>
          <w:rFonts w:ascii="Times New Roman" w:hAnsi="Times New Roman"/>
          <w:b/>
          <w:i/>
          <w:sz w:val="20"/>
          <w:u w:val="single"/>
        </w:rPr>
        <w:t>Company</w:t>
      </w:r>
      <w:r>
        <w:rPr>
          <w:rFonts w:ascii="Times New Roman" w:hAnsi="Times New Roman"/>
          <w:sz w:val="20"/>
        </w:rPr>
        <w:t xml:space="preserve">) is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Each non-employee director will receive a fee of $18,750 per quarter for such directors service for any fiscal quarter of the Company during which such director serves on the Board (the </w:t>
            </w:r>
            <w:r>
              <w:rPr>
                <w:rFonts w:ascii="Times New Roman" w:hAnsi="Times New Roman"/>
                <w:b/>
                <w:i/>
                <w:sz w:val="20"/>
                <w:u w:val="single"/>
              </w:rPr>
              <w:t>Applicable Quarter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Chairman of the Board will receive an additional fee of $18,750 per quarter for such Chairmans service for the Applicable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Lead Director of the Board, if any, will receive an additional fee of $11,250 per quarter for such Lead Directors service for the Applicable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Each non-employee director will be granted annually, pursuant to the Companys equity incentive plan as in effect at such time (the </w:t>
            </w:r>
            <w:r>
              <w:rPr>
                <w:rFonts w:ascii="Times New Roman" w:hAnsi="Times New Roman"/>
                <w:b/>
                <w:i/>
                <w:sz w:val="20"/>
                <w:u w:val="single"/>
              </w:rPr>
              <w:t>Plan</w:t>
            </w:r>
            <w:r>
              <w:rPr>
                <w:rFonts w:ascii="Times New Roman" w:hAnsi="Times New Roman"/>
                <w:sz w:val="20"/>
              </w:rPr>
              <w:t xml:space="preserve">), a restricted stock unit award having a fair value equal to $165,000, with the number of restricted stock units to be calculated in accordance with the Companys Equity Award Grant Policy, which award shall vest in full on the earlier of (i) the first anniversary of grant and (ii) the meeting date of the Annual Meeting of Stockholders that occurs in the year following the year in which the restricted stock unit award is granted, with such grants to be made on the earlier of (i) the first date on which a grant may be made under the Equity Award Grant Policy following the meeting date of the Companys Annual Meeting of Stockholders for such year and (ii) August 31 of such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non-employee directors initial appointment to the Board occurs other than at an Annual Meeting of Stockholders of the Company, such director will be granted, pursuant to Plan, a restricted stock unit award having a fair value equal to $165,000, with the number of restricted stock units to be calculated in accordance with the Companys Equity Award Grant Policy, multiplied by the quotient of the number of days elapsed from the date of initial appointment to the date of the Companys next Annual Meeting of Stockholders (or, if earlier, August 31 of such year) divided by 365, with such grants to vest 100% on the date of the Companys next Annual Meeting of Stockholders (or, if earlier, August 31 of such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Chair of the Companys Audit Committee (the </w:t>
            </w:r>
            <w:r>
              <w:rPr>
                <w:rFonts w:ascii="Times New Roman" w:hAnsi="Times New Roman"/>
                <w:b/>
                <w:i/>
                <w:sz w:val="20"/>
                <w:u w:val="single"/>
              </w:rPr>
              <w:t>Audit Committee</w:t>
            </w:r>
            <w:r>
              <w:rPr>
                <w:rFonts w:ascii="Times New Roman" w:hAnsi="Times New Roman"/>
                <w:sz w:val="20"/>
              </w:rPr>
              <w:t xml:space="preserve">) will receive: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additional fee of $6,250 per quarter for such Chairs service for the Applicable Quarter;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restricted stock unit award under the Plan having a fair value equal to $20,000, with the number of restricted stock units to be calculated in accordance with the Companys Equity Award Grant Policy, which award shall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vest in full on the earlier of (i) the first anniversary of grant and (ii) the meeting date of the Annual Meeting of Stockholders that occurs in the year following the year in which the restricted stock unit award is granted, with such grants to be made on the earlier of (i) the first date on which a grant may be made under the Equity Award Grant Policy following the meeting date of the Companys Annual Meeting of Stockholders for such year and (ii) August 31 of such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The Chair of the Companys Compensation Committee (the </w:t>
            </w:r>
            <w:r>
              <w:rPr>
                <w:rFonts w:ascii="Times New Roman" w:hAnsi="Times New Roman"/>
                <w:b/>
                <w:i/>
                <w:sz w:val="20"/>
                <w:u w:val="single"/>
              </w:rPr>
              <w:t>Compensation Committee</w:t>
            </w:r>
            <w:r>
              <w:rPr>
                <w:rFonts w:ascii="Times New Roman" w:hAnsi="Times New Roman"/>
                <w:sz w:val="20"/>
              </w:rPr>
              <w:t xml:space="preserve">) will receive: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additional fee of $3,750 per quarter for such Chairs service for the Applicable Quarter;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restricted stock unit award under the Plan having a fair value equal to $20,000, with the number of restricted stock units to be calculated in accordance with the Companys Equity Award Grant Policy, which award shall vest in full on the earlier of (i) the first anniversary of grant and (ii) the meeting date of the Annual Meeting of Stockholders that occurs in the year following the year in which the restricted stock unit award is granted, with such grants to be made on the earlier of (i) the first date on which a grant may be made under the Equity Award Grant Policy following the meeting date of the Companys Annual Meeting of Stockholders for such year and (ii) August 31 of such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The Chair of the Companys Nominating and Corporate Governance Committee (the </w:t>
            </w:r>
            <w:r>
              <w:rPr>
                <w:rFonts w:ascii="Times New Roman" w:hAnsi="Times New Roman"/>
                <w:b/>
                <w:i/>
                <w:sz w:val="20"/>
                <w:u w:val="single"/>
              </w:rPr>
              <w:t>Nominating Committee</w:t>
            </w:r>
            <w:r>
              <w:rPr>
                <w:rFonts w:ascii="Times New Roman" w:hAnsi="Times New Roman"/>
                <w:sz w:val="20"/>
              </w:rPr>
              <w:t xml:space="preserve">) will receive: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additional fee of $2,500 per quarter for such Chairs service for the Applicable Quarter;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restricted stock unit award under the Plan having a fair value equal to $20,000, with the number of restricted stock units to be calculated in accordance with the Companys Equity Award Grant Policy, which award shall vest in full on the earlier of (i) the first anniversary of grant and (ii) the meeting date of the Annual Meeting of Stockholders that occurs in the year following the year in which the restricted stock unit award is granted, with such grants to be made on the earlier of (i) the first date on which a grant may be made under the Equity Award Grant Policy following the meeting date of the Companys Annual Meeting of Stockholders for such year and (ii) August 31 of such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Chair of the Companys Risk Committee (the </w:t>
            </w:r>
            <w:r>
              <w:rPr>
                <w:rFonts w:ascii="Times New Roman" w:hAnsi="Times New Roman"/>
                <w:b/>
                <w:i/>
                <w:sz w:val="20"/>
                <w:u w:val="single"/>
              </w:rPr>
              <w:t>Risk Committee</w:t>
            </w:r>
            <w:r>
              <w:rPr>
                <w:rFonts w:ascii="Times New Roman" w:hAnsi="Times New Roman"/>
                <w:sz w:val="20"/>
              </w:rPr>
              <w:t xml:space="preserve">) will receive: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additional fee of $2,500 per quarter for such Chairs service for the Applicable Quarter;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restricted stock unit award under the Plan having a fair value equal to $20,000, with the number of restricted stock units to be calculated in accordance with the Companys Equity Award Grant Policy, which award shall vest in full on the earlier of (i) the first anniversary of grant and (ii) the meeting date of the Annual Meeting of Stockholders that occurs in the year following the year in which the restricted stock unit award is granted, with such grants to be made on the earlier of (i) the first date on which a grant may be made under the Equity Award Grant Policy following the meeting date of the Companys Annual Meeting of Stockholders for such year and (ii) August 31 of such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Audit Committee (other than its Chair) will receive: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$3,750 per quarter for such members service for the Applicable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restricted stock unit award under the Plan having a fair value equal to $10,000, with the number of restricted stock units to be calculated in accordance with the Companys Equity Award Grant Policy, which award shall vest in full on the earlier of (i) the first anniversary of grant and (ii) the meeting date of the Annual Meeting of Stockholders that occurs in the year following the year in which the restricted stock unit award is granted, with such grants to be made on the earlier of (i) the first date on which a grant may be made under the Equity Award Grant Policy following the meeting date of the Companys Annual Meeting of Stockholders for such year and (ii) August 31 of such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Compensation Committee (other than its Chair) will receive: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$2,500 per quarter for such members service for the Applicable Quarter;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restricted stock unit award under the Plan having a fair value equal to $10,000, with the number of restricted stock units to be calculated in accordance with the Companys Equity Award Grant Policy, which award shall vest in full on the earlier of (i) the first anniversary of grant and (ii) the meeting date of the Annual Meeting of Stockholders that occurs in the year following the year in which the restricted stock unit award is granted, with such grants to be made on the earlier of (i) the first date on which a grant may be made under the Equity Award Grant Policy following the meeting date of the Companys Annual Meeting of Stockholders for such year and (ii) August 31 of such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Nominating Committee (other than its Chair) will receive: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$1,250 per quarter for such members service for the Applicable Quarter;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restricted stock unit award under the Plan having a fair value equal to $10,000, with the number of restricted stock units to be calculated in accordance with the Companys Equity Award Grant Policy, which award shall vest in full on the earlier of (i) the first anniversary of grant and (ii) the meeting date of the Annual Meeting of Stockholders that occurs in the year following the year in which the restricted stock unit award is granted, with such grants to be made on the earlier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(i) the first date on which a grant may be made under the Equity Award Grant Policy following the meeting date of the Companys Annual Meeting of Stockholders for such year and (ii) August 31 of such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non-employee member of the Risk Committee (other than its Chair) will receive: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$1,250 per quarter for such members service for the Applicable Quarter;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restricted stock unit award under the Plan having a fair value equal to $10,000, with the number of restricted stock units to be calculated in accordance with the Companys Equity Award Grant Policy, which award shall vest in full on the earlier of (i) the first anniversary of grant and (ii) the meeting date of the Annual Meeting of Stockholders that occurs in the year following the year in which the restricted stock unit award is granted, with such grants to be made on the earlier of (i) the first date on which a grant may be made under the Equity Award Grant Policy following the meeting date of the Companys Annual Meeting of Stockholders for such year and (ii) August 31 of such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cash payments referenced in the preceding bullets will be paid on a quarterly basis in advance except as otherwise described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cash payments referenced in the preceding bullets shall not be subject to refunds upon the termination of applicable directors service, unless otherwise determined by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non-employee directors initial appointment as a Chair or member of any of the Audit Committee, Compensation Committee, Nominating Committee or Risk Committee occurs other than at an Annual Meeting of Stockholders, such director will be granted, pursuant to the Plan, a restricted stock unit award equal to the applicable amount for such committee Chair or committee membership position pursuant to the bullets below, multiplied by the quotient of the number of days elapsed from the date of initial appointment to the date of the Companys next Annual Meeting of Stockholders (or, if earlier, August 31 of such year) divided by 365 (or 366 if such year is a leap year and thus contains February 29), with such grant(s) to vest 100% on the date of the Companys next Annual Meeting of Stockholders (or, if earlier, August 31 of such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non-employee directors initial appointment to the Board, the Chairman of the Board, the Lead Director, or as a Chair or member of any of the Audit Committee, Compensation Committee, Nominating Committee or Risk Committee occurs other than on the first day of any Applicable Quarter, such director will be entitled to the quarterly cash amount for such position(s) pursuant to the above paragraphs, multiplied by the quotient of the number of days elapsed from the date of initial appointment to the last date of the Applicable Quarter divided by the total number of days in such Applicable Quarter, with such prorated cash payment(s) being made on or promptly following such appointment(s).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Each non-employee member of the Companys Advisory Committee (the </w:t>
            </w:r>
            <w:r>
              <w:rPr>
                <w:rFonts w:ascii="Times New Roman" w:hAnsi="Times New Roman"/>
                <w:b/>
                <w:i/>
                <w:sz w:val="20"/>
                <w:u w:val="single"/>
              </w:rPr>
              <w:t>Advisory Committee</w:t>
            </w:r>
            <w:r>
              <w:rPr>
                <w:rFonts w:ascii="Times New Roman" w:hAnsi="Times New Roman"/>
                <w:sz w:val="20"/>
              </w:rPr>
              <w:t xml:space="preserve">) will receive (i) a fee of $10,000 for each visit such member makes to the Companys Korean subsidiary in connection with such members service and (ii) a fee of $5,000 for each Advisory Committee meeting such member attends or for each full-day working session (or reasonable equivalent) such member engages in, provided that the fees paid under this clause (ii) will exclude any meetings or working sessions that constitute the whole or a part of the Advisory Committees visit to the Companys Korean subsidiary referenced in clause (i)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1"/>
        <w:gridCol w:w="9801"/>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If the Chairman of the Board of Directors, on authority by resolutions adopted by the Board of Directors, is requested to travel the Companys Korean headquarters for meetings and full-day working sessions, he or she will receive (i) a fee of $10,000 for each visit he or she makes to the Companys Korean subsidiary headquarters in connection with such members service (the </w:t>
            </w:r>
            <w:r>
              <w:rPr>
                <w:rFonts w:ascii="Times New Roman" w:hAnsi="Times New Roman"/>
                <w:b/>
                <w:i/>
                <w:sz w:val="20"/>
                <w:u w:val="single"/>
              </w:rPr>
              <w:t>Per Visit Board Services Fees</w:t>
            </w:r>
            <w:r>
              <w:rPr>
                <w:rFonts w:ascii="Times New Roman" w:hAnsi="Times New Roman"/>
                <w:sz w:val="20"/>
              </w:rPr>
              <w:t>) and (ii) a per diem fee of $3,000 in cash for each full working day in excess of three (3) working days during any single visit in which he or she attends meetings and/or full-day working sessions (or reasonable equivalent) at the Companys Korean headquarters on behalf of the Board (the </w:t>
            </w:r>
            <w:r>
              <w:rPr>
                <w:rFonts w:ascii="Times New Roman" w:hAnsi="Times New Roman"/>
                <w:b/>
                <w:i/>
                <w:sz w:val="20"/>
                <w:u w:val="single"/>
              </w:rPr>
              <w:t>Additional Per Diem Board Services Fees</w:t>
            </w:r>
            <w:r>
              <w:rPr>
                <w:rFonts w:ascii="Times New Roman" w:hAnsi="Times New Roman"/>
                <w:sz w:val="20"/>
              </w:rPr>
              <w:t xml:space="preserve">); provided, that the Per Visit Board Services Fees and Additional Per Diem Board Services Fees payments shall not exceed in the aggregate $100,000 in any calendar year and (ii) no Per Visit Board Services Fees payment shall be made in respect of any visit in which he or she is attending Board or Board Committee meetings in-person at the Companys Korean headquarters. For the avoidance of doubt, he or she shall be entitled to Additional Per Diem Board Services Fees (but not the Per Visit Board Services Fees) in respect of any visit related to a regularly-scheduled Board or Board Committee meeting in which he or she attend meetings and/or full-day working sessions (or reasonable equivalent) in excess of three (3) working days during such visit.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TextBody"/>
        <w:bidi w:val="0"/>
        <w:spacing w:before="0" w:after="0"/>
        <w:jc w:val="right"/>
        <w:rPr>
          <w:rFonts w:ascii="Times New Roman" w:hAnsi="Times New Roman"/>
          <w:b/>
          <w:sz w:val="20"/>
        </w:rPr>
      </w:pPr>
      <w:bookmarkStart w:id="24" w:name="d913307dex311.htm"/>
      <w:bookmarkStart w:id="25" w:name="ksd913307dex311"/>
      <w:bookmarkEnd w:id="24"/>
      <w:bookmarkEnd w:id="25"/>
      <w:r>
        <w:rPr>
          <w:rFonts w:ascii="Times New Roman" w:hAnsi="Times New Roman"/>
          <w:b/>
          <w:sz w:val="20"/>
        </w:rPr>
        <w:t xml:space="preserve">Exhibit 31.1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302 OF THE </w:t>
      </w:r>
    </w:p>
    <w:p>
      <w:pPr>
        <w:pStyle w:val="TextBody"/>
        <w:bidi w:val="0"/>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Young-Joon Kim,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quarterly report on Form 10-Q of Magnachip Semiconductor Corporation; </w:t>
      </w:r>
    </w:p>
    <w:p>
      <w:pPr>
        <w:pStyle w:val="TextBody"/>
        <w:bidi w:val="0"/>
        <w:spacing w:before="24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jc w:val="left"/>
        <w:rPr>
          <w:rFonts w:ascii="Times New Roman" w:hAnsi="Times New Roman"/>
          <w:sz w:val="20"/>
        </w:rPr>
      </w:pPr>
      <w:r>
        <w:rPr>
          <w:rFonts w:ascii="Times New Roman" w:hAnsi="Times New Roman"/>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jc w:val="left"/>
        <w:rPr>
          <w:rFonts w:ascii="Times New Roman" w:hAnsi="Times New Roman"/>
          <w:sz w:val="20"/>
        </w:rPr>
      </w:pPr>
      <w:r>
        <w:rPr>
          <w:rFonts w:ascii="Times New Roman" w:hAnsi="Times New Roman"/>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August 5, 2025</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Young-Joon Kim</w:t>
            </w:r>
          </w:p>
        </w:tc>
      </w:tr>
      <w:tr>
        <w:trPr/>
        <w:tc>
          <w:tcPr>
            <w:tcW w:w="4082" w:type="dxa"/>
            <w:tcBorders/>
          </w:tcPr>
          <w:p>
            <w:pPr>
              <w:pStyle w:val="TableContents"/>
              <w:bidi w:val="0"/>
              <w:spacing w:before="0" w:after="283"/>
              <w:jc w:val="left"/>
              <w:rPr/>
            </w:pPr>
            <w:r>
              <w:rPr/>
              <w:t>Young-Joon Kim</w:t>
            </w:r>
          </w:p>
        </w:tc>
      </w:tr>
      <w:tr>
        <w:trPr/>
        <w:tc>
          <w:tcPr>
            <w:tcW w:w="4082" w:type="dxa"/>
            <w:tcBorders/>
          </w:tcPr>
          <w:p>
            <w:pPr>
              <w:pStyle w:val="TableContents"/>
              <w:bidi w:val="0"/>
              <w:spacing w:before="0" w:after="283"/>
              <w:jc w:val="left"/>
              <w:rPr/>
            </w:pPr>
            <w:r>
              <w:rPr/>
              <w:t>Chief Executive Officer</w:t>
            </w:r>
          </w:p>
        </w:tc>
      </w:tr>
      <w:tr>
        <w:trPr/>
        <w:tc>
          <w:tcPr>
            <w:tcW w:w="4082" w:type="dxa"/>
            <w:tcBorders/>
          </w:tcPr>
          <w:p>
            <w:pPr>
              <w:pStyle w:val="TableContents"/>
              <w:bidi w:val="0"/>
              <w:spacing w:before="0" w:after="283"/>
              <w:jc w:val="left"/>
              <w:rPr/>
            </w:pPr>
            <w:r>
              <w:rPr/>
              <w:t>(Principal Executive Officer)</w:t>
            </w:r>
          </w:p>
        </w:tc>
      </w:tr>
    </w:tbl>
    <w:p>
      <w:pPr>
        <w:pStyle w:val="TextBody"/>
        <w:bidi w:val="0"/>
        <w:spacing w:before="0" w:after="0"/>
        <w:jc w:val="right"/>
        <w:rPr>
          <w:rFonts w:ascii="Times New Roman" w:hAnsi="Times New Roman"/>
          <w:b/>
          <w:sz w:val="20"/>
        </w:rPr>
      </w:pPr>
      <w:bookmarkStart w:id="26" w:name="d913307dex312.htm"/>
      <w:bookmarkStart w:id="27" w:name="ksd913307dex312"/>
      <w:bookmarkEnd w:id="26"/>
      <w:bookmarkEnd w:id="27"/>
      <w:r>
        <w:rPr>
          <w:rFonts w:ascii="Times New Roman" w:hAnsi="Times New Roman"/>
          <w:b/>
          <w:sz w:val="20"/>
        </w:rPr>
        <w:t xml:space="preserve">Exhibit 31.2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302 OF THE </w:t>
      </w:r>
    </w:p>
    <w:p>
      <w:pPr>
        <w:pStyle w:val="TextBody"/>
        <w:bidi w:val="0"/>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Shin Young Park,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quarterly report on Form 10-Q of Magnachip Semiconductor Corporation; </w:t>
      </w:r>
    </w:p>
    <w:p>
      <w:pPr>
        <w:pStyle w:val="TextBody"/>
        <w:bidi w:val="0"/>
        <w:spacing w:before="24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jc w:val="left"/>
        <w:rPr>
          <w:rFonts w:ascii="Times New Roman" w:hAnsi="Times New Roman"/>
          <w:sz w:val="20"/>
        </w:rPr>
      </w:pPr>
      <w:r>
        <w:rPr>
          <w:rFonts w:ascii="Times New Roman" w:hAnsi="Times New Roman"/>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jc w:val="left"/>
        <w:rPr>
          <w:rFonts w:ascii="Times New Roman" w:hAnsi="Times New Roman"/>
          <w:sz w:val="20"/>
        </w:rPr>
      </w:pPr>
      <w:r>
        <w:rPr>
          <w:rFonts w:ascii="Times New Roman" w:hAnsi="Times New Roman"/>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August 5, 2025</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Shin Young Park</w:t>
            </w:r>
          </w:p>
        </w:tc>
      </w:tr>
      <w:tr>
        <w:trPr/>
        <w:tc>
          <w:tcPr>
            <w:tcW w:w="4082" w:type="dxa"/>
            <w:tcBorders/>
          </w:tcPr>
          <w:p>
            <w:pPr>
              <w:pStyle w:val="TableContents"/>
              <w:bidi w:val="0"/>
              <w:spacing w:before="0" w:after="283"/>
              <w:jc w:val="left"/>
              <w:rPr/>
            </w:pPr>
            <w:r>
              <w:rPr/>
              <w:t>Shin Young Park</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 and Principal Accounting Officer)</w:t>
            </w:r>
          </w:p>
        </w:tc>
      </w:tr>
    </w:tbl>
    <w:p>
      <w:pPr>
        <w:pStyle w:val="TextBody"/>
        <w:bidi w:val="0"/>
        <w:spacing w:before="0" w:after="0"/>
        <w:jc w:val="right"/>
        <w:rPr>
          <w:rFonts w:ascii="Times New Roman" w:hAnsi="Times New Roman"/>
          <w:b/>
          <w:sz w:val="20"/>
        </w:rPr>
      </w:pPr>
      <w:bookmarkStart w:id="28" w:name="d913307dex321.htm"/>
      <w:bookmarkStart w:id="29" w:name="ksd913307dex321"/>
      <w:bookmarkEnd w:id="28"/>
      <w:bookmarkEnd w:id="29"/>
      <w:r>
        <w:rPr>
          <w:rFonts w:ascii="Times New Roman" w:hAnsi="Times New Roman"/>
          <w:b/>
          <w:sz w:val="20"/>
        </w:rPr>
        <w:t xml:space="preserve">Exhibit 32.1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Pursuant to 18 U.S.C. § 1350, as adopted pursuant to Section 906 of the Sarbanes-Oxley Act of 2002, the undersigned officer of Magnachip Semiconductor Corporation (the </w:t>
      </w:r>
      <w:r>
        <w:rPr>
          <w:rFonts w:ascii="Times New Roman" w:hAnsi="Times New Roman"/>
          <w:b/>
          <w:sz w:val="20"/>
        </w:rPr>
        <w:t>Company</w:t>
      </w:r>
      <w:r>
        <w:rPr>
          <w:rFonts w:ascii="Times New Roman" w:hAnsi="Times New Roman"/>
          <w:sz w:val="20"/>
        </w:rPr>
        <w:t xml:space="preserve">) hereby certifies, to such officers knowledge, that: </w:t>
      </w:r>
    </w:p>
    <w:p>
      <w:pPr>
        <w:pStyle w:val="TextBody"/>
        <w:bidi w:val="0"/>
        <w:spacing w:before="120" w:after="0"/>
        <w:jc w:val="left"/>
        <w:rPr>
          <w:rFonts w:ascii="Times New Roman" w:hAnsi="Times New Roman"/>
          <w:sz w:val="20"/>
        </w:rPr>
      </w:pPr>
      <w:r>
        <w:rPr>
          <w:rFonts w:ascii="Times New Roman" w:hAnsi="Times New Roman"/>
          <w:sz w:val="20"/>
        </w:rPr>
        <w:t>(i) the Quarterly Report on Form 10-Q of the Company for the quarterly period ended June 30, 2025 as filed with the Securities and Exchange Commission on the date hereof (the </w:t>
      </w:r>
      <w:r>
        <w:rPr>
          <w:rFonts w:ascii="Times New Roman" w:hAnsi="Times New Roman"/>
          <w:b/>
          <w:sz w:val="20"/>
        </w:rPr>
        <w:t>Report</w:t>
      </w:r>
      <w:r>
        <w:rPr>
          <w:rFonts w:ascii="Times New Roman" w:hAnsi="Times New Roman"/>
          <w:sz w:val="20"/>
        </w:rPr>
        <w:t xml:space="preserve">) fully complies with the requirements of Section 13(a) or Section 15(d), as applicable, of the Securities Exchange Act of 1934, as amended; and </w:t>
      </w:r>
    </w:p>
    <w:p>
      <w:pPr>
        <w:pStyle w:val="TextBody"/>
        <w:bidi w:val="0"/>
        <w:spacing w:before="240" w:after="0"/>
        <w:jc w:val="left"/>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as of the dates and for the periods expressed in the Report.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7"/>
        <w:gridCol w:w="101"/>
        <w:gridCol w:w="408"/>
        <w:gridCol w:w="60"/>
        <w:gridCol w:w="23"/>
        <w:gridCol w:w="102"/>
        <w:gridCol w:w="4704"/>
      </w:tblGrid>
      <w:tr>
        <w:trPr/>
        <w:tc>
          <w:tcPr>
            <w:tcW w:w="48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04" w:type="dxa"/>
            <w:tcBorders/>
            <w:vAlign w:val="center"/>
          </w:tcPr>
          <w:p>
            <w:pPr>
              <w:pStyle w:val="TableContents"/>
              <w:bidi w:val="0"/>
              <w:spacing w:before="0" w:after="283"/>
              <w:jc w:val="left"/>
              <w:rPr>
                <w:sz w:val="4"/>
                <w:szCs w:val="4"/>
              </w:rPr>
            </w:pPr>
            <w:r>
              <w:rPr>
                <w:sz w:val="4"/>
                <w:szCs w:val="4"/>
              </w:rPr>
            </w:r>
          </w:p>
        </w:tc>
      </w:tr>
      <w:tr>
        <w:trPr/>
        <w:tc>
          <w:tcPr>
            <w:tcW w:w="4807" w:type="dxa"/>
            <w:tcBorders/>
            <w:vAlign w:val="bottom"/>
          </w:tcPr>
          <w:p>
            <w:pPr>
              <w:pStyle w:val="TableContents"/>
              <w:bidi w:val="0"/>
              <w:spacing w:before="0" w:after="283"/>
              <w:jc w:val="left"/>
              <w:rPr/>
            </w:pPr>
            <w:r>
              <w:rPr/>
              <w:t>Dated: August 5, 2025</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4"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Young-Joon Kim</w:t>
            </w:r>
          </w:p>
        </w:tc>
      </w:tr>
      <w:tr>
        <w:trPr/>
        <w:tc>
          <w:tcPr>
            <w:tcW w:w="48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4" w:type="dxa"/>
            <w:tcBorders/>
            <w:vAlign w:val="bottom"/>
          </w:tcPr>
          <w:p>
            <w:pPr>
              <w:pStyle w:val="TableContents"/>
              <w:bidi w:val="0"/>
              <w:spacing w:before="0" w:after="283"/>
              <w:jc w:val="left"/>
              <w:rPr/>
            </w:pPr>
            <w:r>
              <w:rPr/>
              <w:t>Young-Joon Kim</w:t>
            </w:r>
          </w:p>
        </w:tc>
      </w:tr>
      <w:tr>
        <w:trPr/>
        <w:tc>
          <w:tcPr>
            <w:tcW w:w="48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4" w:type="dxa"/>
            <w:tcBorders/>
            <w:vAlign w:val="bottom"/>
          </w:tcPr>
          <w:p>
            <w:pPr>
              <w:pStyle w:val="TableContents"/>
              <w:bidi w:val="0"/>
              <w:spacing w:before="0" w:after="283"/>
              <w:jc w:val="left"/>
              <w:rPr/>
            </w:pPr>
            <w:r>
              <w:rPr/>
              <w:t>Chief Executive Officer</w:t>
            </w:r>
          </w:p>
        </w:tc>
      </w:tr>
      <w:tr>
        <w:trPr/>
        <w:tc>
          <w:tcPr>
            <w:tcW w:w="48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4" w:type="dxa"/>
            <w:tcBorders/>
            <w:vAlign w:val="bottom"/>
          </w:tcPr>
          <w:p>
            <w:pPr>
              <w:pStyle w:val="TableContents"/>
              <w:bidi w:val="0"/>
              <w:spacing w:before="0" w:after="283"/>
              <w:jc w:val="left"/>
              <w:rPr/>
            </w:pPr>
            <w:r>
              <w:rPr/>
              <w:t>(Principal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0"/>
        <w:jc w:val="right"/>
        <w:rPr>
          <w:rFonts w:ascii="Times New Roman" w:hAnsi="Times New Roman"/>
          <w:b/>
          <w:sz w:val="20"/>
        </w:rPr>
      </w:pPr>
      <w:bookmarkStart w:id="30" w:name="d913307dex322.htm"/>
      <w:bookmarkStart w:id="31" w:name="ksd913307dex322"/>
      <w:bookmarkEnd w:id="30"/>
      <w:bookmarkEnd w:id="31"/>
      <w:r>
        <w:rPr>
          <w:rFonts w:ascii="Times New Roman" w:hAnsi="Times New Roman"/>
          <w:b/>
          <w:sz w:val="20"/>
        </w:rPr>
        <w:t xml:space="preserve">Exhibit 32.2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Pursuant to 18 U.S.C. § 1350, as adopted pursuant to Section 906 of the Sarbanes-Oxley Act of 2002, the undersigned officer of Magnachip Semiconductor Corporation (the </w:t>
      </w:r>
      <w:r>
        <w:rPr>
          <w:rFonts w:ascii="Times New Roman" w:hAnsi="Times New Roman"/>
          <w:b/>
          <w:sz w:val="20"/>
        </w:rPr>
        <w:t>Company</w:t>
      </w:r>
      <w:r>
        <w:rPr>
          <w:rFonts w:ascii="Times New Roman" w:hAnsi="Times New Roman"/>
          <w:sz w:val="20"/>
        </w:rPr>
        <w:t xml:space="preserve">) hereby certifies, to such officers knowledge, that: </w:t>
      </w:r>
    </w:p>
    <w:p>
      <w:pPr>
        <w:pStyle w:val="TextBody"/>
        <w:bidi w:val="0"/>
        <w:spacing w:before="120" w:after="0"/>
        <w:jc w:val="left"/>
        <w:rPr>
          <w:rFonts w:ascii="Times New Roman" w:hAnsi="Times New Roman"/>
          <w:sz w:val="20"/>
        </w:rPr>
      </w:pPr>
      <w:r>
        <w:rPr>
          <w:rFonts w:ascii="Times New Roman" w:hAnsi="Times New Roman"/>
          <w:sz w:val="20"/>
        </w:rPr>
        <w:t>(i) the Quarterly Report on Form 10-Q of the Company for the quarterly period ended June 30, 2025 as filed with the Securities and Exchange Commission on the date hereof (the </w:t>
      </w:r>
      <w:r>
        <w:rPr>
          <w:rFonts w:ascii="Times New Roman" w:hAnsi="Times New Roman"/>
          <w:b/>
          <w:sz w:val="20"/>
        </w:rPr>
        <w:t>Report</w:t>
      </w:r>
      <w:r>
        <w:rPr>
          <w:rFonts w:ascii="Times New Roman" w:hAnsi="Times New Roman"/>
          <w:sz w:val="20"/>
        </w:rPr>
        <w:t xml:space="preserve">) fully complies with the requirements of Section 13(a) or Section 15(d), as applicable, of the Securities Exchange Act of 1934, as amended; and </w:t>
      </w:r>
    </w:p>
    <w:p>
      <w:pPr>
        <w:pStyle w:val="TextBody"/>
        <w:bidi w:val="0"/>
        <w:spacing w:before="240" w:after="0"/>
        <w:jc w:val="left"/>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as of the dates and for the periods expressed in the Report.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7"/>
        <w:gridCol w:w="101"/>
        <w:gridCol w:w="408"/>
        <w:gridCol w:w="101"/>
        <w:gridCol w:w="4798"/>
      </w:tblGrid>
      <w:tr>
        <w:trPr/>
        <w:tc>
          <w:tcPr>
            <w:tcW w:w="479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4797" w:type="dxa"/>
            <w:tcBorders/>
            <w:vAlign w:val="bottom"/>
          </w:tcPr>
          <w:p>
            <w:pPr>
              <w:pStyle w:val="TableContents"/>
              <w:bidi w:val="0"/>
              <w:spacing w:before="0" w:after="283"/>
              <w:jc w:val="left"/>
              <w:rPr/>
            </w:pPr>
            <w:r>
              <w:rPr/>
              <w:t>Dated: August 5, 2025</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479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pPr>
            <w:r>
              <w:rPr/>
              <w:t>Shin Young Park</w:t>
            </w:r>
          </w:p>
        </w:tc>
      </w:tr>
      <w:tr>
        <w:trPr/>
        <w:tc>
          <w:tcPr>
            <w:tcW w:w="479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pPr>
            <w:r>
              <w:rPr/>
              <w:t>Chief Financial Officer</w:t>
            </w:r>
          </w:p>
        </w:tc>
      </w:tr>
      <w:tr>
        <w:trPr/>
        <w:tc>
          <w:tcPr>
            <w:tcW w:w="479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pPr>
            <w:r>
              <w:rPr/>
              <w:t>(Principal Financial Officer and Principal Accounting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Securities and Exchange Commission or its staff upon request.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70</Pages>
  <Words>41812</Words>
  <Characters>219037</Characters>
  <CharactersWithSpaces>266801</CharactersWithSpaces>
  <Paragraphs>12191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EX-32.2</dc:title>
</cp:coreProperties>
</file>