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Lee Tae Jong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60 SOUTH MARKET STREET, SUITE 750</w:t>
      </w:r>
    </w:p>
    <w:p>
      <w:pPr>
        <w:spacing w:after="0" w:line="35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SAN JOSE</w:t>
            </w:r>
          </w:p>
        </w:tc>
        <w:tc>
          <w:tcPr>
            <w:tcW w:w="1080" w:type="dxa"/>
            <w:vAlign w:val="bottom"/>
          </w:tcPr>
          <w:p>
            <w:pPr>
              <w:ind w:left="2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MAGNACHIP SEMICONDUCTOR Corp </w:t>
              </w:r>
            </w:hyperlink>
            <w:r>
              <w:rPr>
                <w:rFonts w:ascii="Arial" w:cs="Arial" w:eastAsia="Arial" w:hAnsi="Arial"/>
                <w:sz w:val="22"/>
                <w:szCs w:val="22"/>
                <w:color w:val="000000"/>
                <w:w w:val="96"/>
              </w:rPr>
              <w:t>[</w:t>
            </w: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70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MX </w:t>
            </w:r>
            <w:r>
              <w:rPr>
                <w:rFonts w:ascii="Arial" w:cs="Arial" w:eastAsia="Arial" w:hAnsi="Arial"/>
                <w:sz w:val="21"/>
                <w:szCs w:val="21"/>
                <w:color w:val="000000"/>
              </w:rPr>
              <w:t>]</w:t>
            </w:r>
          </w:p>
        </w:tc>
        <w:tc>
          <w:tcPr>
            <w:tcW w:w="20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200" w:type="dxa"/>
            <w:vAlign w:val="bottom"/>
          </w:tcPr>
          <w:p>
            <w:pPr>
              <w:ind w:left="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70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70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37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vMerge w:val="continue"/>
          </w:tcPr>
          <w:p>
            <w:pPr>
              <w:spacing w:after="0"/>
              <w:rPr>
                <w:sz w:val="7"/>
                <w:szCs w:val="7"/>
                <w:color w:val="auto"/>
              </w:rPr>
            </w:pPr>
          </w:p>
        </w:tc>
        <w:tc>
          <w:tcPr>
            <w:tcW w:w="17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9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700" w:type="dxa"/>
            <w:vAlign w:val="bottom"/>
            <w:vMerge w:val="restart"/>
          </w:tcPr>
          <w:p>
            <w:pPr>
              <w:ind w:left="740"/>
              <w:spacing w:after="0"/>
              <w:rPr>
                <w:sz w:val="20"/>
                <w:szCs w:val="20"/>
                <w:color w:val="auto"/>
              </w:rPr>
            </w:pPr>
            <w:r>
              <w:rPr>
                <w:rFonts w:ascii="Arial" w:cs="Arial" w:eastAsia="Arial" w:hAnsi="Arial"/>
                <w:sz w:val="18"/>
                <w:szCs w:val="18"/>
                <w:color w:val="0000FF"/>
                <w:w w:val="86"/>
              </w:rPr>
              <w:t>See Remarks</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780" w:type="dxa"/>
            <w:vAlign w:val="bottom"/>
            <w:gridSpan w:val="2"/>
            <w:vMerge w:val="restart"/>
          </w:tcPr>
          <w:p>
            <w:pPr>
              <w:ind w:left="80"/>
              <w:spacing w:after="0"/>
              <w:rPr>
                <w:sz w:val="20"/>
                <w:szCs w:val="20"/>
                <w:color w:val="auto"/>
              </w:rPr>
            </w:pPr>
            <w:r>
              <w:rPr>
                <w:rFonts w:ascii="Arial" w:cs="Arial" w:eastAsia="Arial" w:hAnsi="Arial"/>
                <w:sz w:val="18"/>
                <w:szCs w:val="18"/>
                <w:color w:val="0000FF"/>
              </w:rPr>
              <w:t>01/09/2019</w:t>
            </w: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80" w:type="dxa"/>
            <w:vAlign w:val="bottom"/>
            <w:tcBorders>
              <w:bottom w:val="single" w:sz="8" w:color="2C2C2C"/>
            </w:tcBorders>
          </w:tcPr>
          <w:p>
            <w:pPr>
              <w:spacing w:after="0"/>
              <w:rPr>
                <w:sz w:val="11"/>
                <w:szCs w:val="11"/>
                <w:color w:val="auto"/>
              </w:rPr>
            </w:pPr>
          </w:p>
        </w:tc>
        <w:tc>
          <w:tcPr>
            <w:tcW w:w="37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42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01/09/2019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990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6.87</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56,460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represents the withholding by the Issuer of 990 shares of common stock to satisfy tax withholding obligations incurred by the Reporting Person upon the vesting of 4,500 shares of common stock originally awarded to the Reporting Person on March 11, 2016.</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Executive Vice President and General Manager, Foundry Services Group</w:t>
      </w:r>
    </w:p>
    <w:p>
      <w:pPr>
        <w:ind w:left="6860"/>
        <w:spacing w:after="0" w:line="184" w:lineRule="auto"/>
        <w:rPr>
          <w:sz w:val="20"/>
          <w:szCs w:val="20"/>
          <w:color w:val="auto"/>
        </w:rPr>
      </w:pPr>
      <w:r>
        <w:rPr>
          <w:rFonts w:ascii="Arial" w:cs="Arial" w:eastAsia="Arial" w:hAnsi="Arial"/>
          <w:sz w:val="17"/>
          <w:szCs w:val="17"/>
          <w:color w:val="0000FF"/>
        </w:rPr>
        <w:t xml:space="preserve">/s/ Theodore Kim, Attorney-in- </w:t>
      </w:r>
      <w:r>
        <w:rPr>
          <w:rFonts w:ascii="Arial" w:cs="Arial" w:eastAsia="Arial" w:hAnsi="Arial"/>
          <w:sz w:val="34"/>
          <w:szCs w:val="34"/>
          <w:color w:val="0000FF"/>
          <w:vertAlign w:val="subscript"/>
        </w:rPr>
        <w:t>01/11/2019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9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296"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2019-12-23T16:00:44Z</dcterms:created>
  <dcterms:modified xsi:type="dcterms:W3CDTF">2019-12-23T16:00:44Z</dcterms:modified>
</cp:coreProperties>
</file>