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July 18, 2008</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260" w:type="dxa"/>
        <w:tblCellMar>
          <w:top w:w="0" w:type="dxa"/>
          <w:left w:w="0" w:type="dxa"/>
          <w:bottom w:w="0" w:type="dxa"/>
          <w:right w:w="0" w:type="dxa"/>
        </w:tblCellMar>
      </w:tblPr>
      <w:tr>
        <w:trPr>
          <w:trHeight w:val="218"/>
        </w:trPr>
        <w:tc>
          <w:tcPr>
            <w:tcW w:w="4640" w:type="dxa"/>
            <w:vAlign w:val="bottom"/>
          </w:tcPr>
          <w:p>
            <w:pPr>
              <w:jc w:val="center"/>
              <w:ind w:right="1182"/>
              <w:spacing w:after="0"/>
              <w:rPr>
                <w:sz w:val="20"/>
                <w:szCs w:val="20"/>
                <w:color w:val="auto"/>
              </w:rPr>
            </w:pPr>
            <w:r>
              <w:rPr>
                <w:rFonts w:ascii="Arial" w:cs="Arial" w:eastAsia="Arial" w:hAnsi="Arial"/>
                <w:sz w:val="18"/>
                <w:szCs w:val="18"/>
                <w:b w:val="1"/>
                <w:bCs w:val="1"/>
                <w:color w:val="auto"/>
                <w:w w:val="88"/>
              </w:rPr>
              <w:t>Delaware</w:t>
            </w:r>
          </w:p>
        </w:tc>
        <w:tc>
          <w:tcPr>
            <w:tcW w:w="2360" w:type="dxa"/>
            <w:vAlign w:val="bottom"/>
          </w:tcPr>
          <w:p>
            <w:pPr>
              <w:jc w:val="center"/>
              <w:ind w:right="406"/>
              <w:spacing w:after="0"/>
              <w:rPr>
                <w:sz w:val="20"/>
                <w:szCs w:val="20"/>
                <w:color w:val="auto"/>
              </w:rPr>
            </w:pPr>
            <w:r>
              <w:rPr>
                <w:rFonts w:ascii="Arial" w:cs="Arial" w:eastAsia="Arial" w:hAnsi="Arial"/>
                <w:sz w:val="18"/>
                <w:szCs w:val="18"/>
                <w:b w:val="1"/>
                <w:bCs w:val="1"/>
                <w:color w:val="auto"/>
                <w:w w:val="88"/>
              </w:rPr>
              <w:t>333-126019-09</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64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60" w:type="dxa"/>
            <w:vAlign w:val="bottom"/>
          </w:tcPr>
          <w:p>
            <w:pPr>
              <w:jc w:val="center"/>
              <w:ind w:right="4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6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162"/>
              <w:spacing w:after="0"/>
              <w:rPr>
                <w:sz w:val="20"/>
                <w:szCs w:val="20"/>
                <w:color w:val="auto"/>
              </w:rPr>
            </w:pPr>
            <w:r>
              <w:rPr>
                <w:rFonts w:ascii="Arial" w:cs="Arial" w:eastAsia="Arial" w:hAnsi="Arial"/>
                <w:sz w:val="14"/>
                <w:szCs w:val="14"/>
                <w:b w:val="1"/>
                <w:bCs w:val="1"/>
                <w:color w:val="auto"/>
                <w:w w:val="89"/>
              </w:rPr>
              <w:t>of Incorporation)</w:t>
            </w:r>
          </w:p>
        </w:tc>
        <w:tc>
          <w:tcPr>
            <w:tcW w:w="2360" w:type="dxa"/>
            <w:vAlign w:val="bottom"/>
          </w:tcPr>
          <w:p>
            <w:pPr>
              <w:jc w:val="center"/>
              <w:ind w:right="386"/>
              <w:spacing w:after="0"/>
              <w:rPr>
                <w:sz w:val="20"/>
                <w:szCs w:val="20"/>
                <w:color w:val="auto"/>
              </w:rPr>
            </w:pPr>
            <w:r>
              <w:rPr>
                <w:rFonts w:ascii="Arial" w:cs="Arial" w:eastAsia="Arial" w:hAnsi="Arial"/>
                <w:sz w:val="14"/>
                <w:szCs w:val="14"/>
                <w:b w:val="1"/>
                <w:bCs w:val="1"/>
                <w:color w:val="auto"/>
                <w:w w:val="91"/>
              </w:rPr>
              <w:t>File Number)</w:t>
            </w:r>
          </w:p>
        </w:tc>
        <w:tc>
          <w:tcPr>
            <w:tcW w:w="2860" w:type="dxa"/>
            <w:vAlign w:val="bottom"/>
          </w:tcPr>
          <w:p>
            <w:pPr>
              <w:jc w:val="center"/>
              <w:ind w:left="1724"/>
              <w:spacing w:after="0"/>
              <w:rPr>
                <w:sz w:val="20"/>
                <w:szCs w:val="20"/>
                <w:color w:val="auto"/>
              </w:rPr>
            </w:pPr>
            <w:r>
              <w:rPr>
                <w:rFonts w:ascii="Arial" w:cs="Arial" w:eastAsia="Arial" w:hAnsi="Arial"/>
                <w:sz w:val="14"/>
                <w:szCs w:val="14"/>
                <w:b w:val="1"/>
                <w:bCs w:val="1"/>
                <w:color w:val="auto"/>
                <w:w w:val="89"/>
              </w:rPr>
              <w:t>Identification No.)</w:t>
            </w:r>
          </w:p>
        </w:tc>
      </w:tr>
      <w:tr>
        <w:trPr>
          <w:trHeight w:val="391"/>
        </w:trPr>
        <w:tc>
          <w:tcPr>
            <w:tcW w:w="7000" w:type="dxa"/>
            <w:vAlign w:val="bottom"/>
            <w:gridSpan w:val="2"/>
          </w:tcPr>
          <w:p>
            <w:pPr>
              <w:jc w:val="center"/>
              <w:ind w:right="1706"/>
              <w:spacing w:after="0"/>
              <w:rPr>
                <w:sz w:val="20"/>
                <w:szCs w:val="20"/>
                <w:color w:val="auto"/>
              </w:rPr>
            </w:pPr>
            <w:r>
              <w:rPr>
                <w:rFonts w:ascii="Arial" w:cs="Arial" w:eastAsia="Arial" w:hAnsi="Arial"/>
                <w:sz w:val="18"/>
                <w:szCs w:val="18"/>
                <w:b w:val="1"/>
                <w:bCs w:val="1"/>
                <w:color w:val="auto"/>
                <w:w w:val="88"/>
              </w:rPr>
              <w:t>c/o MagnaChip Semiconductor S.A., 74, rue de Merl, B.P. 709, L-2017</w:t>
            </w:r>
          </w:p>
        </w:tc>
        <w:tc>
          <w:tcPr>
            <w:tcW w:w="2860" w:type="dxa"/>
            <w:vAlign w:val="bottom"/>
          </w:tcPr>
          <w:p>
            <w:pPr>
              <w:spacing w:after="0"/>
              <w:rPr>
                <w:sz w:val="24"/>
                <w:szCs w:val="24"/>
                <w:color w:val="auto"/>
              </w:rPr>
            </w:pPr>
          </w:p>
        </w:tc>
      </w:tr>
      <w:tr>
        <w:trPr>
          <w:trHeight w:val="231"/>
        </w:trPr>
        <w:tc>
          <w:tcPr>
            <w:tcW w:w="4640" w:type="dxa"/>
            <w:vAlign w:val="bottom"/>
          </w:tcPr>
          <w:p>
            <w:pPr>
              <w:jc w:val="center"/>
              <w:ind w:left="50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3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640" w:type="dxa"/>
            <w:vAlign w:val="bottom"/>
          </w:tcPr>
          <w:p>
            <w:pPr>
              <w:jc w:val="center"/>
              <w:ind w:left="50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36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June 29, 2008, as presented in a press release dated July 18,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600" w:type="dxa"/>
            <w:vAlign w:val="bottom"/>
          </w:tcPr>
          <w:p>
            <w:pPr>
              <w:spacing w:after="0"/>
              <w:rPr>
                <w:sz w:val="15"/>
                <w:szCs w:val="15"/>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00" w:type="dxa"/>
            <w:vAlign w:val="bottom"/>
          </w:tcPr>
          <w:p>
            <w:pPr>
              <w:jc w:val="right"/>
              <w:ind w:right="102"/>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Arial" w:cs="Arial" w:eastAsia="Arial" w:hAnsi="Arial"/>
                <w:sz w:val="18"/>
                <w:szCs w:val="18"/>
                <w:color w:val="auto"/>
                <w:w w:val="89"/>
              </w:rPr>
              <w:t>Press release for MagnaChip Semiconductor LLC dated July 18, 2008, announcing the results for the second quarter ended June</w:t>
            </w:r>
          </w:p>
        </w:tc>
      </w:tr>
      <w:tr>
        <w:trPr>
          <w:trHeight w:val="222"/>
        </w:trPr>
        <w:tc>
          <w:tcPr>
            <w:tcW w:w="700" w:type="dxa"/>
            <w:vAlign w:val="bottom"/>
          </w:tcPr>
          <w:p>
            <w:pPr>
              <w:spacing w:after="0"/>
              <w:rPr>
                <w:sz w:val="19"/>
                <w:szCs w:val="19"/>
                <w:color w:val="auto"/>
              </w:rPr>
            </w:pPr>
          </w:p>
        </w:tc>
        <w:tc>
          <w:tcPr>
            <w:tcW w:w="9800" w:type="dxa"/>
            <w:vAlign w:val="bottom"/>
            <w:gridSpan w:val="2"/>
          </w:tcPr>
          <w:p>
            <w:pPr>
              <w:ind w:left="600"/>
              <w:spacing w:after="0"/>
              <w:rPr>
                <w:sz w:val="20"/>
                <w:szCs w:val="20"/>
                <w:color w:val="auto"/>
              </w:rPr>
            </w:pPr>
            <w:r>
              <w:rPr>
                <w:rFonts w:ascii="Arial" w:cs="Arial" w:eastAsia="Arial" w:hAnsi="Arial"/>
                <w:sz w:val="18"/>
                <w:szCs w:val="18"/>
                <w:color w:val="auto"/>
              </w:rPr>
              <w:t>29, 2008.</w:t>
            </w:r>
          </w:p>
        </w:tc>
      </w:tr>
    </w:tbl>
    <w:p>
      <w:pPr>
        <w:sectPr>
          <w:pgSz w:w="11900" w:h="16838" w:orient="portrait"/>
          <w:cols w:equalWidth="0" w:num="1">
            <w:col w:w="10960"/>
          </w:cols>
          <w:pgMar w:left="240" w:top="274"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640" w:type="dxa"/>
            <w:vAlign w:val="bottom"/>
          </w:tcPr>
          <w:p>
            <w:pPr>
              <w:spacing w:after="0"/>
              <w:rPr>
                <w:sz w:val="20"/>
                <w:szCs w:val="20"/>
                <w:color w:val="auto"/>
              </w:rPr>
            </w:pPr>
            <w:r>
              <w:rPr>
                <w:rFonts w:ascii="Arial" w:cs="Arial" w:eastAsia="Arial" w:hAnsi="Arial"/>
                <w:sz w:val="18"/>
                <w:szCs w:val="18"/>
                <w:color w:val="auto"/>
              </w:rPr>
              <w:t>Dated: July 18, 2008</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By: /s/ Robert Krakauer</w:t>
            </w:r>
          </w:p>
        </w:tc>
      </w:tr>
      <w:tr>
        <w:trPr>
          <w:trHeight w:val="202"/>
        </w:trPr>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316"/>
        </w:trPr>
        <w:tc>
          <w:tcPr>
            <w:tcW w:w="720" w:type="dxa"/>
            <w:vAlign w:val="bottom"/>
          </w:tcPr>
          <w:p>
            <w:pPr>
              <w:jc w:val="right"/>
              <w:ind w:right="122"/>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89"/>
              </w:rPr>
              <w:t>Press release for MagnaChip Semiconductor LLC dated July 18, 2008, announcing the results for the second quarter ended June 29, 2008.</w:t>
            </w: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118110</wp:posOffset>
            </wp:positionV>
            <wp:extent cx="222123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123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July 18, 2008 </w:t>
      </w:r>
      <w:r>
        <w:rPr>
          <w:rFonts w:ascii="Arial" w:cs="Arial" w:eastAsia="Arial" w:hAnsi="Arial"/>
          <w:sz w:val="18"/>
          <w:szCs w:val="18"/>
          <w:color w:val="auto"/>
        </w:rPr>
        <w:t>– MagnaChip Semiconductor today announced results for the second quarter ended June 29,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June 29, 2008 was $194.7 million, compared to $194.1 million in the second quarter of 2007.</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Sang Park, Chairman and CEO of MagnaChip Semiconductor, commented, “Despite challenging market conditions in Q2, revenue came in at $194.7 million, a slight increase as compared to the second quarter of 2007. We achieved this result even though demand was lower than expected as our customers tightened their inventory control due to the current uncertain economic environment. We recorded our first revenues in our power solutions business, which we launched less than one year ago. In our display and imaging solutions business we continued to launch new products, such as display driver ICs for mid-sized panels, and in our SMS business, we added new accounts and specialty technologies. Overall, we are confident with our progress and trajectory as we enter the second half of 2008.”</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margin was $49.2 million or 25.2% of revenue for the quarter ended June 29, 2008, compared to $27.8 million or 14.3% of revenue for the second quarter of 2007.</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second quarter of 2008 were $58.5 million or 30.1% of revenue, compared to $70.1 million or 36.1% of revenue for the second quarter of 2007 which included $13.4 million special charges. Excluding special charges, operating expenses for the second quarter of 2007 were $56.8 million or 29.3% of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was $9.4 million during the second quarter, compared to an operating loss of $42.4 million in the prior year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second quarter of 2008 was $15.8 million, compared to $15.0 million in the second quarter of 2007.</w:t>
      </w:r>
    </w:p>
    <w:p>
      <w:pPr>
        <w:spacing w:after="0" w:line="17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Net loss for the three months ended June 29, 2008 was $59.6 million, compared to a net loss of $45.3 million in the second quarter of 2007. The net loss results were negatively impacted by a foreign currency loss of $31.1 million in the second quarter of 2008, compared to a foreign currency gain of $13.9 million in the second quarter of 2007. A substantial portion of this net foreign currency loss resulted from a non-cash translation loss recorded for intercompany borrowings at our Korea subsidiary that are denominated in U.S. dollars.</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Robert Krakauer, President and CFO of MagnaChip Semiconductor, said, “We continued to make progress in the second quarter of 2008. In spite of the tough environment, we recorded a gross margin of over 25%, and we remain focused on improving profitability as a corporate priority. Though our markets continue to be slower than expected, we believe our new products and customer relationships position us well for performance improvement throughout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 Conference Call / Webcast Details</w:t>
      </w:r>
    </w:p>
    <w:p>
      <w:pPr>
        <w:spacing w:after="0" w:line="9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MagnaChip will report full results for the second quarter 2008 on Friday, July 18, 2008 at 10:00 a.m. in New York (11:00 p.m., Friday, July 18, 2008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+1-201-689-8560. A replay of the call will be available in two hours after the call through 11.59pm on Thursday, July 24, 2008 in New York (1 p.m. on Friday, July 25, 2008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+1-201-612-7415. The account number to access the replay is 3055 and the conference ID number is 289147,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Headquartered in Seoul, South Korea, MagnaChip Semiconductor is a leading, Asia-based designer and manufacturer of analog and mixed-signal semiconductor products for high volume consumer applications, such as mobile phones, digital televisions, flat panel displays, notebook computers, mobile multimedia devices and digital cameras. The Company has a broad range of analog and mixed-signal semiconductor technology, supported by its 29-year operating history, large portfolio of registered and pending patents and extensive engineering and manufacturing process expertise. For more information, visit </w:t>
      </w:r>
      <w:r>
        <w:rPr>
          <w:rFonts w:ascii="Arial" w:cs="Arial" w:eastAsia="Arial" w:hAnsi="Arial"/>
          <w:sz w:val="15"/>
          <w:szCs w:val="15"/>
          <w:u w:val="single" w:color="auto"/>
          <w:color w:val="auto"/>
        </w:rPr>
        <w:t>www.magnachip.com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Certain statements contained in this press release contain forward-looking statements regarding MagnaChip Semiconductor’s operations, economic performance and financial condition. Although MagnaChip Semiconductor believes that the expectations reflected in these statements are reasonable, no assurance can be given that such expectations will prove to have been correct as a result of many factors, including those described in our annual report on Form 10-K for the year ended December 31, 2007, which was filed with the Securities and Exchange Commission on March 31, 2008.</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ectPr>
          <w:pgSz w:w="11900" w:h="16838" w:orient="portrait"/>
          <w:cols w:equalWidth="0" w:num="1">
            <w:col w:w="11320"/>
          </w:cols>
          <w:pgMar w:left="240" w:top="274"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Mi-Jeong Han, PR Manager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82-2-6903-3195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mj.han@magnachip.com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Joseph Villalta at The Ruth Group</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Tel:+646-536-7003</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jvillalta@theruthgroup.com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2">
            <w:col w:w="4760" w:space="720"/>
            <w:col w:w="5840"/>
          </w:cols>
          <w:pgMar w:left="240" w:top="27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2"/>
              </w:rPr>
              <w:t>June 29,</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July 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194,676</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194,053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145,522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166,299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35,494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(42,395)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Interest expenses,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(15,816)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(31,149)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Loss before income taxes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(56,315)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(43,479)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(59,593)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Net loss attributable to common units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(62,874)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(48,307)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52,737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Key Ratios &amp; Information:</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Gross Margin</w:t>
            </w:r>
          </w:p>
        </w:tc>
        <w:tc>
          <w:tcPr>
            <w:tcW w:w="5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11,121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29,</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645,283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4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142,332</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borrowings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1,084,930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(575,451)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645,283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9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9"/>
              </w:rPr>
              <w:t>June 29,</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r>
      <w:tr>
        <w:trPr>
          <w:trHeight w:val="161"/>
        </w:trPr>
        <w:tc>
          <w:tcPr>
            <w:tcW w:w="9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(127,490)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(112,306)</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89,974</w:t>
            </w:r>
          </w:p>
        </w:tc>
        <w:tc>
          <w:tcPr>
            <w:tcW w:w="6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(6,326)</w:t>
            </w: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long-term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Changes in accounts and other receivable</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(37,012)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(40,853)</w:t>
            </w: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(13,237)</w:t>
            </w: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Changes in accounts and other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10,722</w:t>
            </w:r>
          </w:p>
        </w:tc>
        <w:tc>
          <w:tcPr>
            <w:tcW w:w="6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2,182</w:t>
            </w:r>
          </w:p>
        </w:tc>
        <w:tc>
          <w:tcPr>
            <w:tcW w:w="60" w:type="dxa"/>
            <w:vAlign w:val="bottom"/>
          </w:tcPr>
          <w:p>
            <w:pPr>
              <w:spacing w:after="0"/>
              <w:rPr>
                <w:sz w:val="18"/>
                <w:szCs w:val="18"/>
                <w:color w:val="auto"/>
              </w:rPr>
            </w:pPr>
          </w:p>
        </w:tc>
      </w:tr>
      <w:tr>
        <w:trPr>
          <w:trHeight w:val="27"/>
        </w:trPr>
        <w:tc>
          <w:tcPr>
            <w:tcW w:w="9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(49,967)</w:t>
            </w:r>
          </w:p>
        </w:tc>
      </w:tr>
      <w:tr>
        <w:trPr>
          <w:trHeight w:val="438"/>
        </w:trPr>
        <w:tc>
          <w:tcPr>
            <w:tcW w:w="9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(24,960)</w:t>
            </w:r>
          </w:p>
        </w:tc>
      </w:tr>
      <w:tr>
        <w:trPr>
          <w:trHeight w:val="223"/>
        </w:trPr>
        <w:tc>
          <w:tcPr>
            <w:tcW w:w="962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9"/>
                <w:szCs w:val="19"/>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(24,126)</w:t>
            </w:r>
          </w:p>
        </w:tc>
      </w:tr>
      <w:tr>
        <w:trPr>
          <w:trHeight w:val="438"/>
        </w:trPr>
        <w:tc>
          <w:tcPr>
            <w:tcW w:w="9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Repurchase of common units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r>
      <w:tr>
        <w:trPr>
          <w:trHeight w:val="223"/>
        </w:trPr>
        <w:tc>
          <w:tcPr>
            <w:tcW w:w="9620" w:type="dxa"/>
            <w:vAlign w:val="bottom"/>
          </w:tcPr>
          <w:p>
            <w:pPr>
              <w:ind w:left="44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(150,000)</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40,080</w:t>
            </w:r>
          </w:p>
        </w:tc>
        <w:tc>
          <w:tcPr>
            <w:tcW w:w="60" w:type="dxa"/>
            <w:vAlign w:val="bottom"/>
            <w:shd w:val="clear" w:color="auto" w:fill="CCEEFF"/>
          </w:tcPr>
          <w:p>
            <w:pPr>
              <w:spacing w:after="0"/>
              <w:rPr>
                <w:sz w:val="18"/>
                <w:szCs w:val="18"/>
                <w:color w:val="auto"/>
              </w:rPr>
            </w:pPr>
          </w:p>
        </w:tc>
      </w:tr>
      <w:tr>
        <w:trPr>
          <w:trHeight w:val="222"/>
        </w:trPr>
        <w:tc>
          <w:tcPr>
            <w:tcW w:w="9620" w:type="dxa"/>
            <w:vAlign w:val="bottom"/>
          </w:tcPr>
          <w:p>
            <w:pPr>
              <w:ind w:left="880"/>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(426)</w:t>
            </w:r>
          </w:p>
        </w:tc>
      </w:tr>
      <w:tr>
        <w:trPr>
          <w:trHeight w:val="28"/>
        </w:trPr>
        <w:tc>
          <w:tcPr>
            <w:tcW w:w="9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(34,439)</w:t>
            </w:r>
          </w:p>
        </w:tc>
      </w:tr>
      <w:tr>
        <w:trPr>
          <w:trHeight w:val="329"/>
        </w:trPr>
        <w:tc>
          <w:tcPr>
            <w:tcW w:w="96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r>
      <w:tr>
        <w:trPr>
          <w:trHeight w:val="222"/>
        </w:trPr>
        <w:tc>
          <w:tcPr>
            <w:tcW w:w="9620" w:type="dxa"/>
            <w:vAlign w:val="bottom"/>
          </w:tcPr>
          <w:p>
            <w:pPr>
              <w:spacing w:after="0"/>
              <w:rPr>
                <w:sz w:val="20"/>
                <w:szCs w:val="20"/>
                <w:color w:val="auto"/>
              </w:rPr>
            </w:pPr>
            <w:r>
              <w:rPr>
                <w:rFonts w:ascii="Arial" w:cs="Arial" w:eastAsia="Arial" w:hAnsi="Arial"/>
                <w:sz w:val="18"/>
                <w:szCs w:val="18"/>
                <w:color w:val="auto"/>
              </w:rPr>
              <w:t>End of the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36,503</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54,734</w:t>
            </w:r>
          </w:p>
        </w:tc>
        <w:tc>
          <w:tcPr>
            <w:tcW w:w="6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2019-12-15T09:43:45Z</dcterms:created>
  <dcterms:modified xsi:type="dcterms:W3CDTF">2019-12-15T09:43:45Z</dcterms:modified>
</cp:coreProperties>
</file>