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9" w:lineRule="exact"/>
        <w:rPr>
          <w:sz w:val="24"/>
          <w:szCs w:val="24"/>
          <w:color w:val="auto"/>
        </w:rPr>
      </w:pPr>
    </w:p>
    <w:p>
      <w:pPr>
        <w:jc w:val="center"/>
        <w:ind w:right="20"/>
        <w:spacing w:after="0" w:line="264" w:lineRule="auto"/>
        <w:rPr>
          <w:sz w:val="20"/>
          <w:szCs w:val="20"/>
          <w:color w:val="auto"/>
        </w:rPr>
      </w:pPr>
      <w:r>
        <w:rPr>
          <w:rFonts w:ascii="Times New Roman" w:cs="Times New Roman" w:eastAsia="Times New Roman" w:hAnsi="Times New Roman"/>
          <w:sz w:val="14"/>
          <w:szCs w:val="14"/>
          <w:b w:val="1"/>
          <w:bCs w:val="1"/>
          <w:color w:val="auto"/>
        </w:rPr>
        <w:t>As confidentially submitted to the Securities and Exchange Commission on June 8, 2026. This draft registration statement has not been publicly filed with the Securities and Exchange Commission and all information herein remains strictly confidential.</w:t>
      </w:r>
    </w:p>
    <w:p>
      <w:pPr>
        <w:spacing w:after="0" w:line="51" w:lineRule="exact"/>
        <w:rPr>
          <w:sz w:val="24"/>
          <w:szCs w:val="24"/>
          <w:color w:val="auto"/>
        </w:rPr>
      </w:pPr>
    </w:p>
    <w:p>
      <w:pPr>
        <w:ind w:left="9460"/>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FORM S-3</w:t>
      </w:r>
    </w:p>
    <w:p>
      <w:pPr>
        <w:spacing w:after="0" w:line="4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Magnachip Semiconductor Corporation</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73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181"/>
        </w:trPr>
        <w:tc>
          <w:tcPr>
            <w:tcW w:w="3900" w:type="dxa"/>
            <w:vAlign w:val="bottom"/>
            <w:tcBorders>
              <w:bottom w:val="single" w:sz="8" w:color="auto"/>
            </w:tcBorders>
          </w:tcPr>
          <w:p>
            <w:pPr>
              <w:spacing w:after="0"/>
              <w:rPr>
                <w:sz w:val="15"/>
                <w:szCs w:val="15"/>
                <w:color w:val="auto"/>
              </w:rPr>
            </w:pPr>
          </w:p>
        </w:tc>
        <w:tc>
          <w:tcPr>
            <w:tcW w:w="7340" w:type="dxa"/>
            <w:vAlign w:val="bottom"/>
            <w:tcBorders>
              <w:bottom w:val="single" w:sz="8" w:color="auto"/>
            </w:tcBorders>
          </w:tcPr>
          <w:p>
            <w:pPr>
              <w:spacing w:after="0"/>
              <w:rPr>
                <w:sz w:val="15"/>
                <w:szCs w:val="15"/>
                <w:color w:val="auto"/>
              </w:rPr>
            </w:pPr>
          </w:p>
        </w:tc>
      </w:tr>
      <w:tr>
        <w:trPr>
          <w:trHeight w:val="347"/>
        </w:trPr>
        <w:tc>
          <w:tcPr>
            <w:tcW w:w="3900" w:type="dxa"/>
            <w:vAlign w:val="bottom"/>
          </w:tcPr>
          <w:p>
            <w:pPr>
              <w:jc w:val="center"/>
              <w:ind w:left="17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7340" w:type="dxa"/>
            <w:vAlign w:val="bottom"/>
          </w:tcPr>
          <w:p>
            <w:pPr>
              <w:jc w:val="center"/>
              <w:ind w:left="1848"/>
              <w:spacing w:after="0"/>
              <w:rPr>
                <w:sz w:val="20"/>
                <w:szCs w:val="20"/>
                <w:color w:val="auto"/>
              </w:rPr>
            </w:pPr>
            <w:r>
              <w:rPr>
                <w:rFonts w:ascii="Times New Roman" w:cs="Times New Roman" w:eastAsia="Times New Roman" w:hAnsi="Times New Roman"/>
                <w:sz w:val="14"/>
                <w:szCs w:val="14"/>
                <w:b w:val="1"/>
                <w:bCs w:val="1"/>
                <w:color w:val="auto"/>
              </w:rPr>
              <w:t>83-0406195</w:t>
            </w:r>
          </w:p>
        </w:tc>
      </w:tr>
      <w:tr>
        <w:trPr>
          <w:trHeight w:val="148"/>
        </w:trPr>
        <w:tc>
          <w:tcPr>
            <w:tcW w:w="3900" w:type="dxa"/>
            <w:vAlign w:val="bottom"/>
          </w:tcPr>
          <w:p>
            <w:pPr>
              <w:jc w:val="center"/>
              <w:ind w:left="170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7340" w:type="dxa"/>
            <w:vAlign w:val="bottom"/>
          </w:tcPr>
          <w:p>
            <w:pPr>
              <w:jc w:val="center"/>
              <w:ind w:left="182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00" w:type="dxa"/>
            <w:vAlign w:val="bottom"/>
          </w:tcPr>
          <w:p>
            <w:pPr>
              <w:jc w:val="center"/>
              <w:ind w:left="170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7340" w:type="dxa"/>
            <w:vAlign w:val="bottom"/>
          </w:tcPr>
          <w:p>
            <w:pPr>
              <w:jc w:val="center"/>
              <w:ind w:left="1848"/>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 Magnachip Semiconductor, Ltd.</w:t>
      </w:r>
    </w:p>
    <w:p>
      <w:pPr>
        <w:jc w:val="center"/>
        <w:ind w:right="20"/>
        <w:spacing w:after="0" w:line="227" w:lineRule="auto"/>
        <w:rPr>
          <w:sz w:val="20"/>
          <w:szCs w:val="20"/>
          <w:color w:val="auto"/>
        </w:rPr>
      </w:pPr>
      <w:r>
        <w:rPr>
          <w:rFonts w:ascii="Times New Roman" w:cs="Times New Roman" w:eastAsia="Times New Roman" w:hAnsi="Times New Roman"/>
          <w:sz w:val="14"/>
          <w:szCs w:val="14"/>
          <w:b w:val="1"/>
          <w:bCs w:val="1"/>
          <w:color w:val="auto"/>
        </w:rPr>
        <w:t>15F, 76 Jikji-daero 436beon-gil, Heungdeok-gu</w:t>
      </w:r>
    </w:p>
    <w:p>
      <w:pPr>
        <w:jc w:val="center"/>
        <w:ind w:right="20"/>
        <w:spacing w:after="0" w:line="222" w:lineRule="auto"/>
        <w:rPr>
          <w:sz w:val="20"/>
          <w:szCs w:val="20"/>
          <w:color w:val="auto"/>
        </w:rPr>
      </w:pPr>
      <w:r>
        <w:rPr>
          <w:rFonts w:ascii="Times New Roman" w:cs="Times New Roman" w:eastAsia="Times New Roman" w:hAnsi="Times New Roman"/>
          <w:sz w:val="14"/>
          <w:szCs w:val="14"/>
          <w:b w:val="1"/>
          <w:bCs w:val="1"/>
          <w:color w:val="auto"/>
        </w:rPr>
        <w:t>Cheongju-si, Chungcheongbuk-do, Republic of Korea 28581</w:t>
      </w:r>
    </w:p>
    <w:p>
      <w:pPr>
        <w:jc w:val="center"/>
        <w:ind w:right="20"/>
        <w:spacing w:after="0" w:line="225" w:lineRule="auto"/>
        <w:rPr>
          <w:sz w:val="20"/>
          <w:szCs w:val="20"/>
          <w:color w:val="auto"/>
        </w:rPr>
      </w:pPr>
      <w:r>
        <w:rPr>
          <w:rFonts w:ascii="Times New Roman" w:cs="Times New Roman" w:eastAsia="Times New Roman" w:hAnsi="Times New Roman"/>
          <w:sz w:val="14"/>
          <w:szCs w:val="14"/>
          <w:b w:val="1"/>
          <w:bCs w:val="1"/>
          <w:color w:val="auto"/>
        </w:rPr>
        <w:t>+82 (2) 6903-3000</w:t>
      </w: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Camillo Martino</w:t>
      </w:r>
    </w:p>
    <w:p>
      <w:pPr>
        <w:jc w:val="center"/>
        <w:ind w:right="20"/>
        <w:spacing w:after="0" w:line="229" w:lineRule="auto"/>
        <w:rPr>
          <w:sz w:val="20"/>
          <w:szCs w:val="20"/>
          <w:color w:val="auto"/>
        </w:rPr>
      </w:pPr>
      <w:r>
        <w:rPr>
          <w:rFonts w:ascii="Times New Roman" w:cs="Times New Roman" w:eastAsia="Times New Roman" w:hAnsi="Times New Roman"/>
          <w:sz w:val="14"/>
          <w:szCs w:val="14"/>
          <w:b w:val="1"/>
          <w:bCs w:val="1"/>
          <w:color w:val="auto"/>
        </w:rPr>
        <w:t>Chairman and Interim Chief Executive Officer</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Magnachip Semiconductor Corporation</w:t>
      </w:r>
    </w:p>
    <w:p>
      <w:pPr>
        <w:jc w:val="center"/>
        <w:ind w:right="20"/>
        <w:spacing w:after="0" w:line="222" w:lineRule="auto"/>
        <w:rPr>
          <w:sz w:val="20"/>
          <w:szCs w:val="20"/>
          <w:color w:val="auto"/>
        </w:rPr>
      </w:pPr>
      <w:r>
        <w:rPr>
          <w:rFonts w:ascii="Times New Roman" w:cs="Times New Roman" w:eastAsia="Times New Roman" w:hAnsi="Times New Roman"/>
          <w:sz w:val="14"/>
          <w:szCs w:val="14"/>
          <w:b w:val="1"/>
          <w:bCs w:val="1"/>
          <w:color w:val="auto"/>
        </w:rPr>
        <w:t>15F, 76 Jikji-daero 436beon-gil, Heungdeok-gu</w:t>
      </w:r>
    </w:p>
    <w:p>
      <w:pPr>
        <w:jc w:val="center"/>
        <w:ind w:right="20"/>
        <w:spacing w:after="0" w:line="221" w:lineRule="auto"/>
        <w:rPr>
          <w:sz w:val="20"/>
          <w:szCs w:val="20"/>
          <w:color w:val="auto"/>
        </w:rPr>
      </w:pPr>
      <w:r>
        <w:rPr>
          <w:rFonts w:ascii="Times New Roman" w:cs="Times New Roman" w:eastAsia="Times New Roman" w:hAnsi="Times New Roman"/>
          <w:sz w:val="14"/>
          <w:szCs w:val="14"/>
          <w:b w:val="1"/>
          <w:bCs w:val="1"/>
          <w:color w:val="auto"/>
        </w:rPr>
        <w:t>Cheongju-si, Chungcheongbuk-do, Republic of Korea 28581</w:t>
      </w:r>
    </w:p>
    <w:p>
      <w:pPr>
        <w:jc w:val="center"/>
        <w:ind w:right="20"/>
        <w:spacing w:after="0" w:line="222" w:lineRule="auto"/>
        <w:rPr>
          <w:sz w:val="20"/>
          <w:szCs w:val="20"/>
          <w:color w:val="auto"/>
        </w:rPr>
      </w:pPr>
      <w:r>
        <w:rPr>
          <w:rFonts w:ascii="Times New Roman" w:cs="Times New Roman" w:eastAsia="Times New Roman" w:hAnsi="Times New Roman"/>
          <w:sz w:val="14"/>
          <w:szCs w:val="14"/>
          <w:b w:val="1"/>
          <w:bCs w:val="1"/>
          <w:color w:val="auto"/>
        </w:rPr>
        <w:t>+82 (2) 6903-3000</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i w:val="1"/>
          <w:iCs w:val="1"/>
          <w:color w:val="auto"/>
        </w:rPr>
        <w:t>Copy to:</w:t>
      </w:r>
    </w:p>
    <w:p>
      <w:pPr>
        <w:spacing w:after="0" w:line="98"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4"/>
          <w:szCs w:val="14"/>
          <w:b w:val="1"/>
          <w:bCs w:val="1"/>
          <w:color w:val="auto"/>
        </w:rPr>
        <w:t>W. Stuart Ogg</w:t>
      </w:r>
    </w:p>
    <w:p>
      <w:pPr>
        <w:ind w:left="4920"/>
        <w:spacing w:after="0" w:line="229" w:lineRule="auto"/>
        <w:rPr>
          <w:sz w:val="20"/>
          <w:szCs w:val="20"/>
          <w:color w:val="auto"/>
        </w:rPr>
      </w:pPr>
      <w:r>
        <w:rPr>
          <w:rFonts w:ascii="Times New Roman" w:cs="Times New Roman" w:eastAsia="Times New Roman" w:hAnsi="Times New Roman"/>
          <w:sz w:val="14"/>
          <w:szCs w:val="14"/>
          <w:b w:val="1"/>
          <w:bCs w:val="1"/>
          <w:color w:val="auto"/>
        </w:rPr>
        <w:t>Goodwin Procter LLP</w:t>
      </w:r>
    </w:p>
    <w:p>
      <w:pPr>
        <w:ind w:left="5000"/>
        <w:spacing w:after="0" w:line="221" w:lineRule="auto"/>
        <w:rPr>
          <w:sz w:val="20"/>
          <w:szCs w:val="20"/>
          <w:color w:val="auto"/>
        </w:rPr>
      </w:pPr>
      <w:r>
        <w:rPr>
          <w:rFonts w:ascii="Times New Roman" w:cs="Times New Roman" w:eastAsia="Times New Roman" w:hAnsi="Times New Roman"/>
          <w:sz w:val="14"/>
          <w:szCs w:val="14"/>
          <w:b w:val="1"/>
          <w:bCs w:val="1"/>
          <w:color w:val="auto"/>
        </w:rPr>
        <w:t>601 Marshall Street</w:t>
      </w:r>
    </w:p>
    <w:p>
      <w:pPr>
        <w:ind w:left="4840"/>
        <w:spacing w:after="0" w:line="222" w:lineRule="auto"/>
        <w:rPr>
          <w:sz w:val="20"/>
          <w:szCs w:val="20"/>
          <w:color w:val="auto"/>
        </w:rPr>
      </w:pPr>
      <w:r>
        <w:rPr>
          <w:rFonts w:ascii="Times New Roman" w:cs="Times New Roman" w:eastAsia="Times New Roman" w:hAnsi="Times New Roman"/>
          <w:sz w:val="14"/>
          <w:szCs w:val="14"/>
          <w:b w:val="1"/>
          <w:bCs w:val="1"/>
          <w:color w:val="auto"/>
        </w:rPr>
        <w:t>Redwood City, CA 94063</w:t>
      </w:r>
    </w:p>
    <w:p>
      <w:pPr>
        <w:ind w:left="5160"/>
        <w:spacing w:after="0"/>
        <w:rPr>
          <w:sz w:val="20"/>
          <w:szCs w:val="20"/>
          <w:color w:val="auto"/>
        </w:rPr>
      </w:pPr>
      <w:r>
        <w:rPr>
          <w:rFonts w:ascii="Times New Roman" w:cs="Times New Roman" w:eastAsia="Times New Roman" w:hAnsi="Times New Roman"/>
          <w:sz w:val="14"/>
          <w:szCs w:val="14"/>
          <w:b w:val="1"/>
          <w:bCs w:val="1"/>
          <w:color w:val="auto"/>
        </w:rPr>
        <w:t>(650) 752-3100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ind w:right="280"/>
        <w:spacing w:after="0" w:line="241" w:lineRule="exact"/>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w:t>
      </w:r>
      <w:r>
        <w:rPr>
          <w:rFonts w:ascii="Times New Roman" w:cs="Times New Roman" w:eastAsia="Times New Roman" w:hAnsi="Times New Roman"/>
          <w:sz w:val="14"/>
          <w:szCs w:val="14"/>
          <w:color w:val="auto"/>
        </w:rPr>
        <w:t>: From time to time or at one time as determined by the Registrant after the effective date of this registration statement.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60" w:lineRule="exact"/>
        <w:rPr>
          <w:sz w:val="24"/>
          <w:szCs w:val="24"/>
          <w:color w:val="auto"/>
        </w:rPr>
      </w:pPr>
    </w:p>
    <w:p>
      <w:pPr>
        <w:ind w:right="200"/>
        <w:spacing w:after="0" w:line="186"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862965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Confidential Treatment Requested by Magnachip Semiconductor Corporation 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50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0" w:lineRule="exact"/>
        <w:rPr>
          <w:sz w:val="20"/>
          <w:szCs w:val="20"/>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0" w:lineRule="exact"/>
        <w:rPr>
          <w:sz w:val="20"/>
          <w:szCs w:val="20"/>
          <w:color w:val="auto"/>
        </w:rPr>
      </w:pPr>
    </w:p>
    <w:p>
      <w:pPr>
        <w:ind w:right="18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60" w:lineRule="exact"/>
        <w:rPr>
          <w:sz w:val="20"/>
          <w:szCs w:val="20"/>
          <w:color w:val="auto"/>
        </w:rPr>
      </w:pPr>
    </w:p>
    <w:p>
      <w:pPr>
        <w:ind w:right="10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60"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78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260" w:type="dxa"/>
            <w:vAlign w:val="bottom"/>
          </w:tcPr>
          <w:p>
            <w:pPr>
              <w:ind w:left="3340"/>
              <w:spacing w:after="0"/>
              <w:rPr>
                <w:sz w:val="20"/>
                <w:szCs w:val="20"/>
                <w:color w:val="auto"/>
              </w:rPr>
            </w:pPr>
            <w:r>
              <w:rPr>
                <w:rFonts w:ascii="Times New Roman" w:cs="Times New Roman" w:eastAsia="Times New Roman" w:hAnsi="Times New Roman"/>
                <w:sz w:val="14"/>
                <w:szCs w:val="14"/>
                <w:color w:val="auto"/>
              </w:rPr>
              <w:t>Accelerated filer</w:t>
            </w:r>
          </w:p>
        </w:tc>
        <w:tc>
          <w:tcPr>
            <w:tcW w:w="5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99"/>
              </w:rPr>
              <w:t>☒</w:t>
            </w:r>
          </w:p>
        </w:tc>
      </w:tr>
      <w:tr>
        <w:trPr>
          <w:trHeight w:val="324"/>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78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260" w:type="dxa"/>
            <w:vAlign w:val="bottom"/>
          </w:tcPr>
          <w:p>
            <w:pPr>
              <w:ind w:left="33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99"/>
              </w:rPr>
              <w:t>☒</w:t>
            </w:r>
          </w:p>
        </w:tc>
      </w:tr>
      <w:tr>
        <w:trPr>
          <w:trHeight w:val="340"/>
        </w:trPr>
        <w:tc>
          <w:tcPr>
            <w:tcW w:w="16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260" w:type="dxa"/>
            <w:vAlign w:val="bottom"/>
          </w:tcPr>
          <w:p>
            <w:pPr>
              <w:ind w:left="3340"/>
              <w:spacing w:after="0"/>
              <w:rPr>
                <w:sz w:val="20"/>
                <w:szCs w:val="20"/>
                <w:color w:val="auto"/>
              </w:rPr>
            </w:pPr>
            <w:r>
              <w:rPr>
                <w:rFonts w:ascii="Times New Roman" w:cs="Times New Roman" w:eastAsia="Times New Roman" w:hAnsi="Times New Roman"/>
                <w:sz w:val="14"/>
                <w:szCs w:val="14"/>
                <w:color w:val="auto"/>
              </w:rPr>
              <w:t>Emerging growth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4" w:lineRule="exact"/>
        <w:rPr>
          <w:sz w:val="20"/>
          <w:szCs w:val="20"/>
          <w:color w:val="auto"/>
        </w:rPr>
      </w:pPr>
    </w:p>
    <w:p>
      <w:pPr>
        <w:ind w:right="52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2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1" w:right="37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Confidential Treatment Requested by Magnachip Semiconductor Corporation Pursuant to 17 C.F.R. Section 200.83</w:t>
      </w:r>
    </w:p>
    <w:p>
      <w:pPr>
        <w:spacing w:after="0" w:line="200" w:lineRule="exact"/>
        <w:rPr>
          <w:sz w:val="20"/>
          <w:szCs w:val="20"/>
          <w:color w:val="auto"/>
        </w:rPr>
      </w:pPr>
    </w:p>
    <w:p>
      <w:pPr>
        <w:spacing w:after="0" w:line="29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FF0000"/>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72" w:lineRule="exact"/>
        <w:rPr>
          <w:sz w:val="20"/>
          <w:szCs w:val="20"/>
          <w:color w:val="auto"/>
        </w:rPr>
      </w:pPr>
    </w:p>
    <w:tbl>
      <w:tblPr>
        <w:tblLayout w:type="fixed"/>
        <w:tblInd w:w="352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FF0000"/>
              </w:rPr>
              <w:t>SUBJECT TO COMPLETION, DATED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FF0000"/>
              </w:rPr>
              <w:t>, 2026</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Magnachip Semiconductor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180975</wp:posOffset>
            </wp:positionV>
            <wp:extent cx="2863215" cy="5657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6321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5"/>
          <w:szCs w:val="25"/>
          <w:b w:val="1"/>
          <w:bCs w:val="1"/>
          <w:color w:val="auto"/>
        </w:rPr>
        <w:t>$50,000,000</w:t>
      </w:r>
    </w:p>
    <w:p>
      <w:pPr>
        <w:spacing w:after="0" w:line="4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1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5"/>
          <w:szCs w:val="25"/>
          <w:b w:val="1"/>
          <w:bCs w:val="1"/>
          <w:color w:val="auto"/>
        </w:rPr>
        <w:t>Rights</w:t>
      </w:r>
    </w:p>
    <w:p>
      <w:pPr>
        <w:spacing w:after="0" w:line="1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From time to time, we may offer and sell up to $50,000,000 in the aggregate of the securities identified above in one or more offerings and at prices and on terms that we will determine at the time of the offering.</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prospectus describes the general manner in which these securities may be offered using this prospectus. Each time we offer securities using this prospectus, we will specify in one or more accompanying prospectus supplements the terms of the securities offered and other details regarding the offering thereof. We may also authorize one or more free writing prospectuses to be provided to you in connection with these offerings. The prospectus supplement and any related free writing prospectus may also add, update or change information contained in this prospectus with respect to that offering. You should carefully read this prospectus and the applicable prospectus supplement and any related free writing prospectus, as well as any documents incorporated by reference, before you invest in any of our securities.</w:t>
      </w:r>
    </w:p>
    <w:p>
      <w:pPr>
        <w:spacing w:after="0" w:line="18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securities covered by this prospectus may be sold directly by us to investors, through agents designated by us from time to time or through underwriters or dealers at prices and on terms to be determined at the time of offering. We will include in an applicable prospectus supplement the names of any underwriters or agents and any applicable commissions or discounts. Additional information on the methods of sale appears under “</w:t>
      </w:r>
      <w:r>
        <w:rPr>
          <w:rFonts w:ascii="Times New Roman" w:cs="Times New Roman" w:eastAsia="Times New Roman" w:hAnsi="Times New Roman"/>
          <w:sz w:val="18"/>
          <w:szCs w:val="18"/>
          <w:i w:val="1"/>
          <w:iCs w:val="1"/>
          <w:color w:val="auto"/>
        </w:rPr>
        <w:t>Plan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w:t>
      </w:r>
      <w:r>
        <w:rPr>
          <w:rFonts w:ascii="Times New Roman" w:cs="Times New Roman" w:eastAsia="Times New Roman" w:hAnsi="Times New Roman"/>
          <w:sz w:val="18"/>
          <w:szCs w:val="18"/>
          <w:color w:val="auto"/>
        </w:rPr>
        <w:t>” in this prospectus. We will also describe in an applicable prospectus supplement the way(s) in which we expect to use the net proceeds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from any sale.</w:t>
      </w:r>
    </w:p>
    <w:p>
      <w:pPr>
        <w:spacing w:after="0" w:line="183"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“MX.” On June 5, 2026, the closing price for our common stock, as reported on the New York Stock Exchange, was $6.93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described under the heading</w:t>
      </w:r>
    </w:p>
    <w:p>
      <w:pPr>
        <w:spacing w:after="0" w:line="3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on </w:t>
      </w:r>
      <w:r>
        <w:rPr>
          <w:rFonts w:ascii="Times New Roman" w:cs="Times New Roman" w:eastAsia="Times New Roman" w:hAnsi="Times New Roman"/>
          <w:sz w:val="18"/>
          <w:szCs w:val="18"/>
          <w:b w:val="1"/>
          <w:bCs w:val="1"/>
          <w:u w:val="single" w:color="auto"/>
          <w:color w:val="0000FF"/>
        </w:rPr>
        <w:t>page 7</w:t>
      </w:r>
      <w:r>
        <w:rPr>
          <w:rFonts w:ascii="Times New Roman" w:cs="Times New Roman" w:eastAsia="Times New Roman" w:hAnsi="Times New Roman"/>
          <w:sz w:val="18"/>
          <w:szCs w:val="18"/>
          <w:b w:val="1"/>
          <w:bCs w:val="1"/>
          <w:color w:val="auto"/>
        </w:rPr>
        <w:t xml:space="preserve"> of this prospectus (and any applicable prospectus supplement or free writing prospectus) and under any similar heading in the documents that are incorporated by reference into this prospectus, as well as “</w:t>
      </w:r>
      <w:r>
        <w:rPr>
          <w:rFonts w:ascii="Times New Roman" w:cs="Times New Roman" w:eastAsia="Times New Roman" w:hAnsi="Times New Roman"/>
          <w:sz w:val="18"/>
          <w:szCs w:val="18"/>
          <w:b w:val="1"/>
          <w:bCs w:val="1"/>
          <w:i w:val="1"/>
          <w:iCs w:val="1"/>
          <w:color w:val="auto"/>
        </w:rPr>
        <w:t>Special Note Regarding Forward-Looking Statements</w:t>
      </w:r>
      <w:r>
        <w:rPr>
          <w:rFonts w:ascii="Times New Roman" w:cs="Times New Roman" w:eastAsia="Times New Roman" w:hAnsi="Times New Roman"/>
          <w:sz w:val="18"/>
          <w:szCs w:val="18"/>
          <w:b w:val="1"/>
          <w:bCs w:val="1"/>
          <w:color w:val="auto"/>
        </w:rPr>
        <w:t xml:space="preserve">” on </w:t>
      </w:r>
      <w:r>
        <w:rPr>
          <w:rFonts w:ascii="Times New Roman" w:cs="Times New Roman" w:eastAsia="Times New Roman" w:hAnsi="Times New Roman"/>
          <w:sz w:val="18"/>
          <w:szCs w:val="18"/>
          <w:b w:val="1"/>
          <w:bCs w:val="1"/>
          <w:u w:val="single" w:color="auto"/>
          <w:color w:val="0000FF"/>
        </w:rPr>
        <w:t>page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0000FF"/>
        </w:rPr>
        <w:t>4</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000000"/>
        </w:rPr>
        <w:t>of this prospectus. You should read the entire prospectus carefully before you make your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3"/>
          <w:szCs w:val="13"/>
          <w:b w:val="1"/>
          <w:bCs w:val="1"/>
          <w:color w:val="auto"/>
        </w:rPr>
        <w:t>Confidential Treatment Requested by Magnachip Semiconductor Corporation 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color w:val="auto"/>
        </w:rPr>
        <w:t>We are a smaller reporting company as defined under federal securities laws and, as such, may elect to comply with certain reduced public company reporting requirements for future filings.</w:t>
      </w:r>
    </w:p>
    <w:p>
      <w:pPr>
        <w:spacing w:after="0" w:line="15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prospectus may not be used to offer or sell any securities unless accompanied by a prospectus supplement.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80" w:type="dxa"/>
            <w:vAlign w:val="bottom"/>
          </w:tcPr>
          <w:p>
            <w:pPr>
              <w:ind w:left="392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4760" w:type="dxa"/>
            <w:vAlign w:val="bottom"/>
          </w:tcPr>
          <w:p>
            <w:pPr>
              <w:jc w:val="right"/>
              <w:ind w:right="3870"/>
              <w:spacing w:after="0"/>
              <w:rPr>
                <w:sz w:val="20"/>
                <w:szCs w:val="20"/>
                <w:color w:val="auto"/>
              </w:rPr>
            </w:pPr>
            <w:r>
              <w:rPr>
                <w:rFonts w:ascii="Times New Roman" w:cs="Times New Roman" w:eastAsia="Times New Roman" w:hAnsi="Times New Roman"/>
                <w:sz w:val="18"/>
                <w:szCs w:val="18"/>
                <w:b w:val="1"/>
                <w:bCs w:val="1"/>
                <w:color w:val="auto"/>
              </w:rPr>
              <w:t>, 2026.</w:t>
            </w:r>
          </w:p>
        </w:tc>
      </w:tr>
      <w:tr>
        <w:trPr>
          <w:trHeight w:val="1411"/>
        </w:trPr>
        <w:tc>
          <w:tcPr>
            <w:tcW w:w="648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3"/>
          <w:szCs w:val="13"/>
          <w:b w:val="1"/>
          <w:bCs w:val="1"/>
          <w:color w:val="auto"/>
        </w:rPr>
        <w:t>Confidential Treatment Requested by Magnachip Semiconductor Corporation Pursuant to 17 C.F.R. Section 200.83</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72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Table of Contents</w:t>
            </w:r>
          </w:p>
        </w:tc>
        <w:tc>
          <w:tcPr>
            <w:tcW w:w="680" w:type="dxa"/>
            <w:vAlign w:val="bottom"/>
          </w:tcPr>
          <w:p>
            <w:pPr>
              <w:spacing w:after="0"/>
              <w:rPr>
                <w:sz w:val="20"/>
                <w:szCs w:val="20"/>
                <w:color w:val="auto"/>
              </w:rPr>
            </w:pPr>
          </w:p>
        </w:tc>
      </w:tr>
      <w:tr>
        <w:trPr>
          <w:trHeight w:val="459"/>
        </w:trPr>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6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0"/>
        </w:trPr>
        <w:tc>
          <w:tcPr>
            <w:tcW w:w="224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w w:val="99"/>
              </w:rPr>
              <w:t>ABOUT THIS PROSPECTUS</w:t>
            </w:r>
          </w:p>
        </w:tc>
        <w:tc>
          <w:tcPr>
            <w:tcW w:w="8320" w:type="dxa"/>
            <w:vAlign w:val="bottom"/>
            <w:gridSpan w:val="7"/>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96"/>
        </w:trPr>
        <w:tc>
          <w:tcPr>
            <w:tcW w:w="10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auto"/>
              </w:rPr>
              <w:t>SPECIAL NOTE REGARDING FORWARD-LOOKING STATEMENTS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5400" w:type="dxa"/>
            <w:vAlign w:val="bottom"/>
            <w:tcBorders>
              <w:top w:val="single" w:sz="8" w:color="auto"/>
            </w:tcBorders>
            <w:gridSpan w:val="16"/>
          </w:tcPr>
          <w:p>
            <w:pPr>
              <w:spacing w:after="0" w:line="196" w:lineRule="exact"/>
              <w:rPr>
                <w:sz w:val="20"/>
                <w:szCs w:val="20"/>
                <w:color w:val="auto"/>
              </w:rPr>
            </w:pPr>
            <w:r>
              <w:rPr>
                <w:rFonts w:ascii="Times New Roman" w:cs="Times New Roman" w:eastAsia="Times New Roman" w:hAnsi="Times New Roman"/>
                <w:sz w:val="18"/>
                <w:szCs w:val="18"/>
                <w:color w:val="auto"/>
              </w:rPr>
              <w:t>PROSPECTUS SUMMARY</w:t>
            </w:r>
          </w:p>
        </w:tc>
        <w:tc>
          <w:tcPr>
            <w:tcW w:w="516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280" w:type="dxa"/>
            <w:vAlign w:val="bottom"/>
            <w:tcBorders>
              <w:top w:val="single" w:sz="8" w:color="auto"/>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9"/>
              </w:rPr>
              <w:t>RISK FACTORS</w:t>
            </w:r>
          </w:p>
        </w:tc>
        <w:tc>
          <w:tcPr>
            <w:tcW w:w="820" w:type="dxa"/>
            <w:vAlign w:val="bottom"/>
            <w:tcBorders>
              <w:top w:val="single" w:sz="8" w:color="auto"/>
            </w:tcBorders>
            <w:gridSpan w:val="6"/>
          </w:tcPr>
          <w:p>
            <w:pPr>
              <w:spacing w:after="0"/>
              <w:rPr>
                <w:sz w:val="17"/>
                <w:szCs w:val="17"/>
                <w:color w:val="auto"/>
              </w:rPr>
            </w:pPr>
          </w:p>
        </w:tc>
        <w:tc>
          <w:tcPr>
            <w:tcW w:w="8460" w:type="dxa"/>
            <w:vAlign w:val="bottom"/>
            <w:gridSpan w:val="9"/>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600" w:type="dxa"/>
            <w:vAlign w:val="bottom"/>
            <w:tcBorders>
              <w:bottom w:val="single" w:sz="8" w:color="auto"/>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w w:val="99"/>
              </w:rPr>
              <w:t>USE OF PROCEEDS</w:t>
            </w:r>
          </w:p>
        </w:tc>
        <w:tc>
          <w:tcPr>
            <w:tcW w:w="8960" w:type="dxa"/>
            <w:vAlign w:val="bottom"/>
            <w:gridSpan w:val="1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10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auto"/>
              </w:rPr>
              <w:t>DIVIDEND POLICY</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78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0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auto"/>
              </w:rPr>
              <w:t>GENERAL DESCRIPTION OF SECURITIES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2900" w:type="dxa"/>
            <w:vAlign w:val="bottom"/>
            <w:tcBorders>
              <w:top w:val="single" w:sz="8" w:color="auto"/>
              <w:bottom w:val="single" w:sz="8" w:color="auto"/>
            </w:tcBorders>
            <w:gridSpan w:val="12"/>
          </w:tcPr>
          <w:p>
            <w:pPr>
              <w:spacing w:after="0" w:line="196" w:lineRule="exact"/>
              <w:rPr>
                <w:sz w:val="20"/>
                <w:szCs w:val="20"/>
                <w:color w:val="auto"/>
              </w:rPr>
            </w:pPr>
            <w:r>
              <w:rPr>
                <w:rFonts w:ascii="Times New Roman" w:cs="Times New Roman" w:eastAsia="Times New Roman" w:hAnsi="Times New Roman"/>
                <w:sz w:val="18"/>
                <w:szCs w:val="18"/>
                <w:color w:val="auto"/>
                <w:w w:val="99"/>
              </w:rPr>
              <w:t>DESCRIPTION OF CAPITAL STOCK</w:t>
            </w:r>
          </w:p>
        </w:tc>
        <w:tc>
          <w:tcPr>
            <w:tcW w:w="500" w:type="dxa"/>
            <w:vAlign w:val="bottom"/>
            <w:tcBorders>
              <w:top w:val="single" w:sz="8" w:color="auto"/>
            </w:tcBorders>
          </w:tcPr>
          <w:p>
            <w:pPr>
              <w:spacing w:after="0"/>
              <w:rPr>
                <w:sz w:val="17"/>
                <w:szCs w:val="17"/>
                <w:color w:val="auto"/>
              </w:rPr>
            </w:pPr>
          </w:p>
        </w:tc>
        <w:tc>
          <w:tcPr>
            <w:tcW w:w="7160" w:type="dxa"/>
            <w:vAlign w:val="bottom"/>
            <w:gridSpan w:val="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0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auto"/>
              </w:rPr>
              <w:t>DESCRIPTION OF WARRANTS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2500" w:type="dxa"/>
            <w:vAlign w:val="bottom"/>
            <w:tcBorders>
              <w:top w:val="single" w:sz="8" w:color="auto"/>
            </w:tcBorders>
            <w:gridSpan w:val="11"/>
          </w:tcPr>
          <w:p>
            <w:pPr>
              <w:spacing w:after="0" w:line="196" w:lineRule="exact"/>
              <w:rPr>
                <w:sz w:val="20"/>
                <w:szCs w:val="20"/>
                <w:color w:val="auto"/>
              </w:rPr>
            </w:pPr>
            <w:r>
              <w:rPr>
                <w:rFonts w:ascii="Times New Roman" w:cs="Times New Roman" w:eastAsia="Times New Roman" w:hAnsi="Times New Roman"/>
                <w:sz w:val="18"/>
                <w:szCs w:val="18"/>
                <w:color w:val="auto"/>
              </w:rPr>
              <w:t>DESCRIPTION OF RIGHTS</w:t>
            </w:r>
          </w:p>
        </w:tc>
        <w:tc>
          <w:tcPr>
            <w:tcW w:w="8060" w:type="dxa"/>
            <w:vAlign w:val="bottom"/>
            <w:gridSpan w:val="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2140" w:type="dxa"/>
            <w:vAlign w:val="bottom"/>
            <w:tcBorders>
              <w:top w:val="single" w:sz="8" w:color="auto"/>
            </w:tcBorders>
            <w:gridSpan w:val="9"/>
          </w:tcPr>
          <w:p>
            <w:pPr>
              <w:spacing w:after="0" w:line="196" w:lineRule="exact"/>
              <w:rPr>
                <w:sz w:val="20"/>
                <w:szCs w:val="20"/>
                <w:color w:val="auto"/>
              </w:rPr>
            </w:pPr>
            <w:r>
              <w:rPr>
                <w:rFonts w:ascii="Times New Roman" w:cs="Times New Roman" w:eastAsia="Times New Roman" w:hAnsi="Times New Roman"/>
                <w:sz w:val="18"/>
                <w:szCs w:val="18"/>
                <w:color w:val="auto"/>
              </w:rPr>
              <w:t>DESCRIPTION OF UNITS</w:t>
            </w:r>
          </w:p>
        </w:tc>
        <w:tc>
          <w:tcPr>
            <w:tcW w:w="8420" w:type="dxa"/>
            <w:vAlign w:val="bottom"/>
            <w:gridSpan w:val="8"/>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78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gridSpan w:val="7"/>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2060" w:type="dxa"/>
            <w:vAlign w:val="bottom"/>
            <w:tcBorders>
              <w:bottom w:val="single" w:sz="8" w:color="auto"/>
            </w:tcBorders>
            <w:gridSpan w:val="7"/>
          </w:tcPr>
          <w:p>
            <w:pPr>
              <w:spacing w:after="0" w:line="196" w:lineRule="exact"/>
              <w:rPr>
                <w:sz w:val="20"/>
                <w:szCs w:val="20"/>
                <w:color w:val="auto"/>
              </w:rPr>
            </w:pPr>
            <w:r>
              <w:rPr>
                <w:rFonts w:ascii="Times New Roman" w:cs="Times New Roman" w:eastAsia="Times New Roman" w:hAnsi="Times New Roman"/>
                <w:sz w:val="18"/>
                <w:szCs w:val="18"/>
                <w:color w:val="auto"/>
                <w:w w:val="99"/>
              </w:rPr>
              <w:t>PLAN OF DISTRIBUTION</w:t>
            </w:r>
          </w:p>
        </w:tc>
        <w:tc>
          <w:tcPr>
            <w:tcW w:w="8500" w:type="dxa"/>
            <w:vAlign w:val="bottom"/>
            <w:gridSpan w:val="10"/>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10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auto"/>
              </w:rPr>
              <w:t>LEGAL MATTERS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1480" w:type="dxa"/>
            <w:vAlign w:val="bottom"/>
            <w:tcBorders>
              <w:top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rPr>
              <w:t>EXPERTS</w:t>
            </w:r>
          </w:p>
        </w:tc>
        <w:tc>
          <w:tcPr>
            <w:tcW w:w="9080" w:type="dxa"/>
            <w:vAlign w:val="bottom"/>
            <w:gridSpan w:val="1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20"/>
        </w:trPr>
        <w:tc>
          <w:tcPr>
            <w:tcW w:w="780" w:type="dxa"/>
            <w:vAlign w:val="bottom"/>
            <w:shd w:val="clear" w:color="auto" w:fill="000000"/>
          </w:tcPr>
          <w:p>
            <w:pPr>
              <w:spacing w:after="0" w:line="20" w:lineRule="exact"/>
              <w:rPr>
                <w:sz w:val="1"/>
                <w:szCs w:val="1"/>
                <w:color w:val="auto"/>
              </w:rPr>
            </w:pPr>
          </w:p>
        </w:tc>
        <w:tc>
          <w:tcPr>
            <w:tcW w:w="3060" w:type="dxa"/>
            <w:vAlign w:val="bottom"/>
            <w:gridSpan w:val="1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0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auto"/>
              </w:rPr>
              <w:t>WHERE YOU CAN FIND MORE INFORMATION</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3840" w:type="dxa"/>
            <w:vAlign w:val="bottom"/>
            <w:gridSpan w:val="14"/>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5260" w:type="dxa"/>
            <w:vAlign w:val="bottom"/>
            <w:tcBorders>
              <w:bottom w:val="single" w:sz="8" w:color="auto"/>
            </w:tcBorders>
            <w:gridSpan w:val="15"/>
          </w:tcPr>
          <w:p>
            <w:pPr>
              <w:spacing w:after="0" w:line="196" w:lineRule="exact"/>
              <w:rPr>
                <w:sz w:val="20"/>
                <w:szCs w:val="20"/>
                <w:color w:val="auto"/>
              </w:rPr>
            </w:pPr>
            <w:r>
              <w:rPr>
                <w:rFonts w:ascii="Times New Roman" w:cs="Times New Roman" w:eastAsia="Times New Roman" w:hAnsi="Times New Roman"/>
                <w:sz w:val="18"/>
                <w:szCs w:val="18"/>
                <w:color w:val="auto"/>
                <w:w w:val="99"/>
              </w:rPr>
              <w:t>INCORPORATION OF CERTAIN INFORMATION BY REFERENCE</w:t>
            </w:r>
          </w:p>
        </w:tc>
        <w:tc>
          <w:tcPr>
            <w:tcW w:w="5300" w:type="dxa"/>
            <w:vAlign w:val="bottom"/>
            <w:gridSpan w:val="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884"/>
        </w:trPr>
        <w:tc>
          <w:tcPr>
            <w:tcW w:w="10560" w:type="dxa"/>
            <w:vAlign w:val="bottom"/>
            <w:gridSpan w:val="17"/>
          </w:tcPr>
          <w:p>
            <w:pPr>
              <w:ind w:left="5580"/>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tcPr>
          <w:p>
            <w:pPr>
              <w:spacing w:after="0"/>
              <w:rPr>
                <w:sz w:val="24"/>
                <w:szCs w:val="24"/>
                <w:color w:val="auto"/>
              </w:rPr>
            </w:pPr>
          </w:p>
        </w:tc>
      </w:tr>
      <w:tr>
        <w:trPr>
          <w:trHeight w:val="763"/>
        </w:trPr>
        <w:tc>
          <w:tcPr>
            <w:tcW w:w="7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Confidential Treatment Requested by Magnachip Semiconductor Corporation Pursuant to 17 C.F.R. Section 200.83</w:t>
      </w: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This prospectus is part of a shelf registration statement that we have filed with the Securities and Exchange Commission, or the SEC, under the Securities Act of 1933, as amended, or the Securities Act.</w:t>
      </w:r>
    </w:p>
    <w:p>
      <w:pPr>
        <w:spacing w:after="0" w:line="16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Under the shelf registration process, we may from time to time sell the securities described in this prospectus in one or more offerings with an aggregate offering price of up to $50,000,000 as described in this prospectus. This prospectus describes the general manner in which we may offer the securities described in this prospectus. Each time we sell securities pursuant to the registration statement we will provide a prospectus supplement that will contain specific information about the offering and the securities offered, and may also add, update or change information contained in this prospectus. We may also authorize one or more free writing prospectuses to be provided to you that may contain material information relating to these offerings. If there is any inconsistency between information in this prospectus and any accompanying prospectus supplement or free writing prospectus, you should rely on the information in the most recent applicable prospectus supplement or free writing prospectus and documents incorporated by reference herein and therein. This prospectus may not be used to offer to sell, solicit an offer to buy or consummate a sale of our securities unless it is accompanied by a prospectus supplement.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together with any accompanying prospectus supplement (and any applicable free writing prospectuses), contains important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know before investing in our securities, including important information about us and the securities being offered. You should carefully read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documents, as well as the additional information contained in the documents described under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xml:space="preserv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in both this prospectus and the applicable prospectus supplement (and any applicable free writing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prospectuses), and in particular the annual, quarterly and current reports and other documents we file with the SEC. Neither this prospectus nor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accompanying prospectus supplement or free writing prospectus is an offer to sell these securities or is soliciting an offer to buy these securities in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jurisdiction where the offer or sale is not permitted.</w:t>
      </w:r>
    </w:p>
    <w:p>
      <w:pPr>
        <w:spacing w:after="0" w:line="20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and in any applicable prospectus supplement to this prospectus or free writing prospectus. We have not authorized any other person to provide you with different or additional information. If anyone provides you with different, additional or inconsistent information, you should not rely on it. We do not take responsibility for, and can provide no assurance as to the reliability of, any other information that others may give you. You should assume that the information appearing in this prospectus, any applicable prospectus supplement or any free writing prospectus we authorize to be delivered to you is accurate only as of the date of that document or any other date set forth in that document. Additionally, any information we have incorporated by reference in this prospectus or in any applicable prospectus supplement is accurate only as of the date of the document incorporated by reference or other date set forth in that document, regardless of the time of delivery of this prospectus, any applicable prospectus supplement or any sale of securities. Our business, financial condition, results of operations, cash flow and prospects may have changed since that date.</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prospectus, any applicable prospectus supplement, any applicable free writing prospectus and the information incorporated herein or therein by reference contains market data, industry statistics and other data that have been obtained or compiled from information made available by independent third parties. We have not independently verified the accuracy and completeness of such data. This prospectus, any applicable prospectus supplement, any applicable free writing prospectus and the information incorporated herein or therein by reference include trademarks, service marks and trade names owned by us or other companies. Solely for convenience, we may refer to our trademarks included or incorporated by reference in this prospectus, any applicable prospectus supplement or any free writing prospectus without the TM or ® symbols, but any such references are not intended to indicate that we will not assert, to the fullest extent permitted under applicable law, our rights to our trademarks or other intellectual property. All trademarks, service marks and trade names included or incorporated by reference in this prospectus, any applicable prospectus supplement or any related free writing prospectus are the property of their respective owners.</w:t>
      </w:r>
    </w:p>
    <w:p>
      <w:pPr>
        <w:spacing w:after="0" w:line="188"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When used in this prospectus, the terms “Company,” “Magnachip,” “we,” “us” and “our” refer to Magnachip Semiconductor Corporation and its consolidated subsidiaries unless otherwise specified or the context otherwise requires.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1" w:right="35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Confidential Treatment Requested by Magnachip Semiconductor Corporation 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Forward-looking statements give our current expectations and projections relating to our financial condition, results of operations, plans, objectives, future performance and business. You can identify these statements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prospectus and any accompanying prospectus supplement or free writing prospectus that address activities, events or developments that we expect, believe or anticipate will or may occur in the future are forward-looking statements.</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Actual results or events could differ materially from the plans, intentions and expectations disclosed in the forward-looking statements we make. Management cautions all readers that the forward-looking statements contained in this prospectus, or any accompanying prospectus supplement, are not guarantees of future performance, and we cannot assure any reader that those statements will be realized or the forward-looking events and circumstances will occur. Our future financial condition and results of operations, as well as any forward-looking statements, are subject to inherent risks and uncertainties, including, but not limited to, those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 any applicable prospectus supplement and any related free writing prospectus, and in any other documents incorporated herein or therein (including in our most recent annual report on Form 10-K, subsequent quarterly reports on Form 10-Q and other filings we make with the SEC pursuant to Section 13(a), 13(c), 14 or 15(d) of the Exchange Act).</w:t>
      </w:r>
    </w:p>
    <w:p>
      <w:pPr>
        <w:spacing w:after="0" w:line="19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All forward-looking statements and reasons why results may differ included in this prospectus or incorporated by reference herein are made as of the date hereof and we do not intend to update any forward-looking statements except as required by law or applicable regulations.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1" w:right="35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Confidential Treatment Requested by Magnachip Semiconductor Corporation Pursuant to 17 C.F.R. Section 200.83</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highlights information about us and our business contained elsewhere or incorporated by reference in this prospectus. It is not complete and does not contain all of the information that you should consider before investing in any of our securities. You should carefully read this prospectus together with the more detailed information incorporated by reference in this prospectus.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a designer and manufacturer of analog and mixed-signal power semiconductor platform solutions for various applications, including industrial, automotive, communication, consumer and computing. We provide a broad range of standard products to customers worldwide. We, with about 45 years of operating history, own a substantial number of registered patents and pending applications, and have extensive engineering, design and manufacturing process expertise.</w:t>
      </w:r>
    </w:p>
    <w:p>
      <w:pPr>
        <w:spacing w:after="0" w:line="18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develop and manufacture Power discrete, or Power Analog Solutions, products and develop Power integrated circuit, or IC, products. Power Analog Solutions products include metal oxide semiconductor field effect transistors and insulated-gate bipolar transistors for a range of devices, including televisions, smartphones, mobile phones, wearable devices, desktop PCs, notebook PCs, tablet PCs, home appliance, other consumer electronics, automotive and industrial applications such as power suppliers, e-bikes, photovoltaic inverters, LED lighting and motor drives.</w:t>
      </w:r>
    </w:p>
    <w:p>
      <w:pPr>
        <w:spacing w:after="0" w:line="18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Our Power IC products provide Power IC solutions to major television suppliers and large panel display suppliers. These products include AC-DC/DC-DC converters, LED drivers, regulators, power management integrated circuits and level shifter for a range of devices, including televisions, wearable devices, notebooks, tablet PCs and other consumer electronics, as well as automotive applications.</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wide variety of analog and mixed-signal power semiconductor products combined with our mature technology platform allow us to address multiple high-growth end markets and rapidly develop and introduce new products and services in response to market demands. Our design center and substantial manufacturing operations in Korea place us at the core of the global electronics device supply chain. We believe this enables us to quickly and efficiently respond to our customers’ needs, and allows us to better serve and capture additional demand from existing and new customers. Substantially all of our Power IC products are produced using an external foundry. Through strategic cooperation with an external foundry, we seek to ensure we outsource wafers at competitive prices and produce quality products.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 and Information</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business was named “MagnaChip Semiconductor” when it was acquired from SK hynix Inc., formerly known as Hynix Semiconductor, Inc., in October 2004. On March 10, 2011, we completed our initial public offering. In connection with our initial public offering, we converted from a Delaware limited liability company to a Delaware corporation.</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Our principal executive office is located at: 15F, 76, Jikji-daero 436beon-gil, Heungdeok-gu, Cheongju-si, Chungcheongbuk-do, 28581, Republic of Korea, our email address is </w:t>
      </w:r>
      <w:r>
        <w:rPr>
          <w:rFonts w:ascii="Times New Roman" w:cs="Times New Roman" w:eastAsia="Times New Roman" w:hAnsi="Times New Roman"/>
          <w:sz w:val="18"/>
          <w:szCs w:val="18"/>
          <w:i w:val="1"/>
          <w:iCs w:val="1"/>
          <w:color w:val="auto"/>
        </w:rPr>
        <w:t>investors@magnachip.com</w:t>
      </w:r>
      <w:r>
        <w:rPr>
          <w:rFonts w:ascii="Times New Roman" w:cs="Times New Roman" w:eastAsia="Times New Roman" w:hAnsi="Times New Roman"/>
          <w:sz w:val="18"/>
          <w:szCs w:val="18"/>
          <w:color w:val="auto"/>
        </w:rPr>
        <w:t xml:space="preserve">, and our telephone number is +82 (2) 6903-3000. Our website address is </w:t>
      </w:r>
      <w:r>
        <w:rPr>
          <w:rFonts w:ascii="Times New Roman" w:cs="Times New Roman" w:eastAsia="Times New Roman" w:hAnsi="Times New Roman"/>
          <w:sz w:val="18"/>
          <w:szCs w:val="18"/>
          <w:i w:val="1"/>
          <w:iCs w:val="1"/>
          <w:color w:val="auto"/>
        </w:rPr>
        <w:t>www.magnachip.com</w:t>
      </w:r>
      <w:r>
        <w:rPr>
          <w:rFonts w:ascii="Times New Roman" w:cs="Times New Roman" w:eastAsia="Times New Roman" w:hAnsi="Times New Roman"/>
          <w:sz w:val="18"/>
          <w:szCs w:val="18"/>
          <w:color w:val="auto"/>
        </w:rPr>
        <w:t>. We do not incorporate the information on or accessible through our website into this prospectus, and you should not consider any information on, or that can be accessed through, our website a part of this prospectus or incorporated by reference herein. For further information regarding us and our financial information, you should refer to our recent filings with the SEC.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by Reference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York Stock Exchange Listing</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“MX.” The applicable prospectus supplement will contain information, where applicable, as to other listings, if any, on the New York Stock Exchange or any other securities market or other exchange of the securities covered by the applicable prospectus supplement.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1" w:right="3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Confidential Treatment Requested by Magnachip Semiconductor Corporation 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a “smaller reporting company” as defined in the Exchange Act. We may take advantage of certain of the scaled disclosures available to smaller reporting companies until the fiscal year following the determination that our voting and non-voting common stock held by non-affiliates is more than $250 million measured on the last business day of our second fiscal quarter, or our annual revenues are less than $100 million during the most recently completed fiscal year and our voting and non-voting common stock held by non-affiliates is more than $700 million measured on the last business day of our second fiscal quarter.</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9" w:name="page10"/>
    <w:bookmarkEnd w:id="9"/>
    <w:p>
      <w:pPr>
        <w:jc w:val="center"/>
        <w:ind w:right="-79"/>
        <w:spacing w:after="0"/>
        <w:rPr>
          <w:sz w:val="20"/>
          <w:szCs w:val="20"/>
          <w:color w:val="auto"/>
        </w:rPr>
      </w:pPr>
      <w:r>
        <w:rPr>
          <w:rFonts w:ascii="Times New Roman" w:cs="Times New Roman" w:eastAsia="Times New Roman" w:hAnsi="Times New Roman"/>
          <w:sz w:val="13"/>
          <w:szCs w:val="13"/>
          <w:b w:val="1"/>
          <w:bCs w:val="1"/>
          <w:color w:val="auto"/>
        </w:rPr>
        <w:t>Confidential Treatment Requested by Magnachip Semiconductor Corporation 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carefully consider the risks and uncertainties described under “Risk Factors” in our most recent annual report on Form 10-K as supplemented or updated in our most recent quarterly report on Form 10-Q, any current report on Form 8-K, as well as any accompanying prospectus supplement or related free writing prospectus, together with all of the other information included or incorporated by reference in this prospectus and in any accompanying prospectus supplement or related free writing prospectus, as updated by our annual or quarterly reports for subsequent fiscal years or fiscal quarters that we file with the SEC and that are so incorporated.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for information about how to obtain a copy of these documents. You should also carefully consider the risks and other information that may be contained in, or incorporated by reference into, any prospectus supplement or free writing prospectus relating to specific offerings of securities.</w:t>
      </w:r>
    </w:p>
    <w:p>
      <w:pPr>
        <w:spacing w:after="0" w:line="19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If any of these risks actually occurs, our business, results of operations and financial condition could suffer. In that case, the trading price of our securities could decline, and you could lose all or part of your investment. Additional risks and uncertainties not currently known to us, or that we currently believe are immaterial, may also adversely affect our business, operating results and financial condition and the value of an investment in our securities. In addition, past financial performance may not be a reliable indicator of future performance, and historical trends should not be used to anticipate results or trends in future periods.</w:t>
      </w: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71" w:right="419" w:bottom="1440" w:gutter="0" w:footer="0" w:header="0"/>
        </w:sectPr>
      </w:pPr>
    </w:p>
    <w:bookmarkStart w:id="10" w:name="page11"/>
    <w:bookmarkEnd w:id="10"/>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Confidential Treatment Requested by Magnachip Semiconductor Corporation 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Unless otherwise described in the applicable prospectus supplement or in any free writing prospectus we have authorized for use in connection with a specific offering, we intend to use the net proceeds from the sale of any securities described in this prospectus for general corporate purposes, which may include working capital and capital expenditures, research and development expenses, general and administrative expenses and other general corporate purposes. We may also use net proceeds to fund potential acquisitions of, or investments in, complementary businesses, products, services and technologies. We have not entered into any agreements or commitments with respect to any material acquisitions or investments at this time.</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may set forth additional information concerning our expected use of net proceeds from sales of securities in the applicable prospectus supplement relating to the specific offering. Pending use of net proceeds as described above, we may temporarily invest the net proceeds in a variety of capital preservation instruments, including high quality, investment grade instruments, certificates of deposit or direct or guaranteed obligations of the U.S. government, or may hold such proceeds as cash, until they are used for their stated purpose. We have not determined the amount of net proceeds to be used specifically for such purposes. As a result, management will retain broad discretion over the allocation of net proceeds.</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1" w:right="379" w:bottom="1440" w:gutter="0" w:footer="0" w:header="0"/>
        </w:sectPr>
      </w:pPr>
    </w:p>
    <w:bookmarkStart w:id="11" w:name="page12"/>
    <w:bookmarkEnd w:id="11"/>
    <w:p>
      <w:pPr>
        <w:jc w:val="center"/>
        <w:ind w:right="-139"/>
        <w:spacing w:after="0"/>
        <w:rPr>
          <w:sz w:val="20"/>
          <w:szCs w:val="20"/>
          <w:color w:val="auto"/>
        </w:rPr>
      </w:pPr>
      <w:r>
        <w:rPr>
          <w:rFonts w:ascii="Times New Roman" w:cs="Times New Roman" w:eastAsia="Times New Roman" w:hAnsi="Times New Roman"/>
          <w:sz w:val="13"/>
          <w:szCs w:val="13"/>
          <w:b w:val="1"/>
          <w:bCs w:val="1"/>
          <w:color w:val="auto"/>
        </w:rPr>
        <w:t>Confidential Treatment Requested by Magnachip Semiconductor Corporation 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do not anticipate paying any dividends on our capital stock in the foreseeable future. We currently intend to retain all available funds and any future earnings to fund the development and growth of our business. Any future determination to declare dividends will be subject to the discretion of our board of directors and will depend on various factors, including applicable laws, our results of operations, financial condition, future prospects and any other factors deemed relevant by our board of directors. Investors should not purchase our common stock with the expectation of receiving cash dividends.</w:t>
      </w: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771" w:right="479" w:bottom="1440" w:gutter="0" w:footer="0" w:header="0"/>
        </w:sectPr>
      </w:pPr>
    </w:p>
    <w:bookmarkStart w:id="12" w:name="page13"/>
    <w:bookmarkEnd w:id="12"/>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Confidential Treatment Requested by Magnachip Semiconductor Corporation 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DESCRIPTION OF SECURITIES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may offer shares of our common stock or preferred stock, warrants or other rights to purchase common stock or preferred stock, or units consisting of combinations of the foregoing, either individually or in combination with other securities, in each case from time to time under this prospectus, together with the applicable prospectus supplement or any related free writing prospectus, at prices and on terms to be determined by market conditions at the time of offering. This prospectus provides you with a general description of the securities we may offer. At the time we offer a type or series of securities, we will provide a prospectus supplement describing the specific amounts, prices and other important terms of the securities, including, to the extent applicable:</w:t>
      </w:r>
    </w:p>
    <w:p>
      <w:pPr>
        <w:spacing w:after="0" w:line="183" w:lineRule="exact"/>
        <w:rPr>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offering price;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dividends or other payments;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w:t>
      </w:r>
    </w:p>
    <w:p>
      <w:pPr>
        <w:spacing w:after="0" w:line="225" w:lineRule="exact"/>
        <w:rPr>
          <w:rFonts w:ascii="Times New Roman" w:cs="Times New Roman" w:eastAsia="Times New Roman" w:hAnsi="Times New Roman"/>
          <w:sz w:val="18"/>
          <w:szCs w:val="18"/>
          <w:color w:val="auto"/>
        </w:rPr>
      </w:pPr>
    </w:p>
    <w:p>
      <w:pPr>
        <w:ind w:left="760" w:right="360" w:hanging="378"/>
        <w:spacing w:after="0" w:line="282"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exercise, exchange, settlement or sinking fund terms, including prices or rates, and any provisions for changes to or adjustments in such prices or rates and in the securities or other property receivable upon conversion, exercise, exchange or settlement;</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listing arrangements;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 U.S. federal income tax considerations.</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This prospectus may not be used to offer or sell securities unless accompanied by a prospectus supplement. The prospectus supplement may add, update or change any of the information contained in this prospectus or in the documents incorporated by reference in this prospectus. We urge you to read the prospectus supplement related to any securities being offered.</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may sell the securities directly to investors or to or through underwriters, dealers or agents. We and our underwriters, dealers or agents reserve the right to accept or reject all or part of any proposed purchase of securities. If we do offer securities to or through underwriters or agents, we will include in the applicable prospectus supplement (a) the names of the underwriters or agents and applicable fees, discounts and commissions to be paid to them, (b) details regarding over-allotment options, if any, and (c) net proceeds to us, if any.</w:t>
      </w:r>
    </w:p>
    <w:p>
      <w:pPr>
        <w:spacing w:after="0" w:line="18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following descriptions are not complete and may not contain all the information you should consider before investing in any securities we may offer hereunder; they are summarized from, and qualified by reference to, our certificate of incorporation, as amended, or our Certificate of Incorporation, our amended and restated bylaws, or our Bylaws, and the other documents referred to in the descriptions, all of which are or will be publicly filed with the SEC, as applicable.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1" w:right="359" w:bottom="1440" w:gutter="0" w:footer="0" w:header="0"/>
        </w:sectPr>
      </w:pPr>
    </w:p>
    <w:bookmarkStart w:id="13" w:name="page14"/>
    <w:bookmarkEnd w:id="13"/>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Confidential Treatment Requested by Magnachip Semiconductor Corporation Pursuant to 17 C.F.R. Section 200.83</w:t>
      </w: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following summary description of our common stock and preferred stock, together with the additional information we include in any applicable prospectus supplements, summarizes the material terms and provisions of our common stock and preferred stock that we may offer under this prospectus. The following description of our common stock and preferred stock does not purport to be complete and is subject to, and qualified in its entirety by, our Certificate of Incorporation and our Bylaws, which are exhibits to the registration statement of which this prospectus forms a part, and by applicable law. The terms of our common stock and preferred stock may also be affected by Delaware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provides that the Company may issue 155,000,000 shares of capital stock, of which 150,000,000 shares are designated as common stock, par value $0.01 per share, and 5,000,000 shares are designated as of preferred stock, par value $0.01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of record on all matters submitted to a vote of the stockholders. Our stockholders do not have cumulative voting rights in the election of directors. Except as required by law or our Certificate of Incorporation and Bylaws, the vote of a majority of the shares represented in person or by proxy at any meeting at which a quorum is present will be sufficient for the transaction of any business at a meeting.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Subject to preferences held by, or that may be granted to, any outstanding shares of preferred stock, holders of our common stock will be entitled to receive ratably those dividends as may be declared by our board of directors out of funds legally available for such distributions, as well as any other distributions made to our stockholders.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Rights</w:t>
      </w:r>
    </w:p>
    <w:p>
      <w:pPr>
        <w:spacing w:after="0" w:line="22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are entitled to share ratably in all of our assets remaining after we pay our liabilities and any liquidation preferences granted to the holders of outstanding shares of preferred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our common stock have no preemptive or other subscription or conversion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redemption or sinking fund provisions applicable to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Listing</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“MX.” On June 5, 2026, the closing price for our common stock, as reported on the New York Stock Exchange, was $6.93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LLC.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authorizes the issuance of 5,000,000 shares of blank check preferred stock with such designation, rights and preferences as may be determined from time to time by our board of directors. Accordingly, our board of directors is empowered, without stockholder approval, to issue preferred stock with dividend, liquidation, conversion, voting or other rights which could adversely affect the voting power or other rights of the holders of common stock. The preferred stock could be utilized as a method of discouraging, delaying or preventing a change in control of us.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1" w:right="359" w:bottom="1440" w:gutter="0" w:footer="0" w:header="0"/>
        </w:sectPr>
      </w:pPr>
    </w:p>
    <w:bookmarkStart w:id="14" w:name="page15"/>
    <w:bookmarkEnd w:id="14"/>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Confidential Treatment Requested by Magnachip Semiconductor Corporation 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board of directors may authorize the issuance of preferred stock with voting or conversion rights that could adversely affect the voting power or other rights of the holders of common stock. The issuance of preferred stock, while providing flexibility in connection with possible acquisitions and other corporate purposes, could, among other things, have the effect of delaying, deferring or preventing a change in our control that may otherwise benefit holders of our common stock and may adversely affect the market price of our common stock and the voting and other rights of the holders of our common stock.</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prospectus supplement relating to any series of preferred stock being offered will include specific terms relating to the offering. They will include, where applicable:</w:t>
      </w:r>
    </w:p>
    <w:p>
      <w:pPr>
        <w:spacing w:after="0" w:line="162"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we are offering;</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period and payment date and method of calculation for dividends;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225" w:lineRule="exact"/>
        <w:rPr>
          <w:rFonts w:ascii="Times New Roman" w:cs="Times New Roman" w:eastAsia="Times New Roman" w:hAnsi="Times New Roman"/>
          <w:sz w:val="18"/>
          <w:szCs w:val="18"/>
          <w:color w:val="auto"/>
        </w:rPr>
      </w:pPr>
    </w:p>
    <w:p>
      <w:pPr>
        <w:ind w:left="760" w:right="6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the exchange period;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if any;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United States federal income tax considerations applicable to the preferred stock;</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if we liquidate, dissolve or wind up our affairs;</w:t>
      </w:r>
    </w:p>
    <w:p>
      <w:pPr>
        <w:spacing w:after="0" w:line="225" w:lineRule="exact"/>
        <w:rPr>
          <w:rFonts w:ascii="Times New Roman" w:cs="Times New Roman" w:eastAsia="Times New Roman" w:hAnsi="Times New Roman"/>
          <w:sz w:val="18"/>
          <w:szCs w:val="18"/>
          <w:color w:val="auto"/>
        </w:rPr>
      </w:pPr>
    </w:p>
    <w:p>
      <w:pPr>
        <w:ind w:left="760" w:right="30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the issuance of any class or series of preferred stock ranking senior to or on a parity with the series of preferred stock as to dividend rights and rights if we liquidate, dissolve or wind up our affairs; and;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preferred stock.</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1" w:right="37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Confidential Treatment Requested by Magnachip Semiconductor Corporation 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Effects of Delaware Law</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are subject to the provisions of Section 203 of the Delaware General Corporation Law, or the DGCL, regulating corporate takeovers and which has an anti-takeover effect with respect to transactions not approved in advance by our board of directors, including discouraging takeover attempts that might result in a premium over the market price for shares of our common stock. In general, those provisions prohibit a Delaware corporation from engaging in any business combination with any interested stockholder for a period of three years following the date that the stockholder became an interested stockholder, unless:</w:t>
      </w:r>
    </w:p>
    <w:p>
      <w:pPr>
        <w:spacing w:after="0" w:line="183"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approved by our board of directors before the date the interested stockholder attained that status;</w:t>
      </w:r>
    </w:p>
    <w:p>
      <w:pPr>
        <w:spacing w:after="0" w:line="225" w:lineRule="exact"/>
        <w:rPr>
          <w:rFonts w:ascii="Times New Roman" w:cs="Times New Roman" w:eastAsia="Times New Roman" w:hAnsi="Times New Roman"/>
          <w:sz w:val="18"/>
          <w:szCs w:val="18"/>
          <w:color w:val="auto"/>
        </w:rPr>
      </w:pPr>
    </w:p>
    <w:p>
      <w:pPr>
        <w:ind w:left="760" w:right="4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161" w:lineRule="exact"/>
        <w:rPr>
          <w:rFonts w:ascii="Times New Roman" w:cs="Times New Roman" w:eastAsia="Times New Roman" w:hAnsi="Times New Roman"/>
          <w:sz w:val="18"/>
          <w:szCs w:val="18"/>
          <w:color w:val="auto"/>
        </w:rPr>
      </w:pPr>
    </w:p>
    <w:p>
      <w:pPr>
        <w:ind w:left="760" w:right="34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our board of directors and authorized at a meeting of stockholders, and not by written consent, by at least two-thirds of the outstanding voting stock that is not owned by the interested stockholder.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general, DGCL Section 203 defines a business combination to include the following:</w:t>
      </w:r>
    </w:p>
    <w:p>
      <w:pPr>
        <w:spacing w:after="0" w:line="225"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225" w:lineRule="exact"/>
        <w:rPr>
          <w:rFonts w:ascii="Times New Roman" w:cs="Times New Roman" w:eastAsia="Times New Roman" w:hAnsi="Times New Roman"/>
          <w:sz w:val="18"/>
          <w:szCs w:val="18"/>
          <w:color w:val="auto"/>
        </w:rPr>
      </w:pPr>
    </w:p>
    <w:p>
      <w:pPr>
        <w:ind w:left="760" w:right="44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161" w:lineRule="exact"/>
        <w:rPr>
          <w:rFonts w:ascii="Times New Roman" w:cs="Times New Roman" w:eastAsia="Times New Roman" w:hAnsi="Times New Roman"/>
          <w:sz w:val="18"/>
          <w:szCs w:val="18"/>
          <w:color w:val="auto"/>
        </w:rPr>
      </w:pPr>
    </w:p>
    <w:p>
      <w:pPr>
        <w:ind w:left="760" w:right="60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161" w:lineRule="exact"/>
        <w:rPr>
          <w:rFonts w:ascii="Times New Roman" w:cs="Times New Roman" w:eastAsia="Times New Roman" w:hAnsi="Times New Roman"/>
          <w:sz w:val="18"/>
          <w:szCs w:val="18"/>
          <w:color w:val="auto"/>
        </w:rPr>
      </w:pPr>
    </w:p>
    <w:p>
      <w:pPr>
        <w:ind w:left="760" w:right="42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general, DGCL Section 203 defines an interested stockholder as any entity or person beneficially owning 15% or more of the outstanding voting stock of the corporation and any entity or person affiliated with or controlling or controlled by any such entity or person.</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 Delaware corporation may opt out of this provision by express provision in its original certificate of incorporation or by amendment to its certificate of incorporation or bylaws approved by its stockholders. However, we have not opted out of this provision.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Provisions of Our Certificate of Incorporation and Bylaws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in our Certificate of Incorporation and Bylaws may have the effect of delaying or preventing a change of control or changes in our management.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other things, our Certificate of Incorporation and Bylaws:</w:t>
      </w:r>
    </w:p>
    <w:p>
      <w:pPr>
        <w:spacing w:after="0" w:line="207"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stockholder approval, preferred stock with such terms as our board of directors may determine;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action by written consent of our stockholders;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1" w:right="359" w:bottom="1440" w:gutter="0" w:footer="0" w:header="0"/>
        </w:sectPr>
      </w:pPr>
    </w:p>
    <w:bookmarkStart w:id="16" w:name="page17"/>
    <w:bookmarkEnd w:id="16"/>
    <w:p>
      <w:pPr>
        <w:ind w:left="1900"/>
        <w:spacing w:after="0"/>
        <w:rPr>
          <w:sz w:val="20"/>
          <w:szCs w:val="20"/>
          <w:color w:val="auto"/>
        </w:rPr>
      </w:pPr>
      <w:r>
        <w:rPr>
          <w:rFonts w:ascii="Times New Roman" w:cs="Times New Roman" w:eastAsia="Times New Roman" w:hAnsi="Times New Roman"/>
          <w:sz w:val="13"/>
          <w:szCs w:val="13"/>
          <w:b w:val="1"/>
          <w:bCs w:val="1"/>
          <w:color w:val="auto"/>
        </w:rPr>
        <w:t>Confidential Treatment Requested by Magnachip Semiconductor Corporation 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80" w:hanging="378"/>
        <w:spacing w:after="0" w:line="266"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any person other than our board of directors, the chairman of our board of directors, our Chief Executive Officer or holders of at least 25% of the voting power of all then outstanding shares of capital stock of the corporation entitled to vote generally in the election of directors to call a special meeting of our stockholders; and</w:t>
      </w:r>
    </w:p>
    <w:p>
      <w:pPr>
        <w:spacing w:after="0" w:line="175"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advance notice requirements for stockholder proposals and director nominations.</w:t>
      </w:r>
    </w:p>
    <w:p>
      <w:pPr>
        <w:spacing w:after="0" w:line="200" w:lineRule="exact"/>
        <w:rPr>
          <w:sz w:val="20"/>
          <w:szCs w:val="20"/>
          <w:color w:val="auto"/>
        </w:rPr>
      </w:pPr>
    </w:p>
    <w:p>
      <w:pPr>
        <w:spacing w:after="0" w:line="24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700" w:top="771" w:right="439" w:bottom="1440" w:gutter="0" w:footer="0" w:header="0"/>
        </w:sectPr>
      </w:pPr>
    </w:p>
    <w:bookmarkStart w:id="17" w:name="page18"/>
    <w:bookmarkEnd w:id="17"/>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Confidential Treatment Requested by Magnachip Semiconductor Corporation 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may issue warrants for the purchase of common stock or preferred stock in one or more series. We may issue warrants independently or together with common stock or preferred stock, and the warrants may be attached to or separate from these securities.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including:</w:t>
      </w:r>
    </w:p>
    <w:p>
      <w:pPr>
        <w:spacing w:after="0" w:line="225"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225" w:lineRule="exact"/>
        <w:rPr>
          <w:rFonts w:ascii="Times New Roman" w:cs="Times New Roman" w:eastAsia="Times New Roman" w:hAnsi="Times New Roman"/>
          <w:sz w:val="18"/>
          <w:szCs w:val="18"/>
          <w:color w:val="auto"/>
        </w:rPr>
      </w:pPr>
    </w:p>
    <w:p>
      <w:pPr>
        <w:ind w:left="760" w:right="28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stated amount of such security;</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securities will be separately transferable;</w:t>
      </w:r>
    </w:p>
    <w:p>
      <w:pPr>
        <w:spacing w:after="0" w:line="225"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 and the warrants;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periods during which, and places at which, the warrants are exercisable;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exercise;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1" w:right="359" w:bottom="1440" w:gutter="0" w:footer="0" w:header="0"/>
        </w:sectPr>
      </w:pPr>
    </w:p>
    <w:bookmarkStart w:id="18" w:name="page19"/>
    <w:bookmarkEnd w:id="18"/>
    <w:p>
      <w:pPr>
        <w:jc w:val="right"/>
        <w:ind w:right="1179"/>
        <w:spacing w:after="0"/>
        <w:rPr>
          <w:sz w:val="20"/>
          <w:szCs w:val="20"/>
          <w:color w:val="auto"/>
        </w:rPr>
      </w:pPr>
      <w:r>
        <w:rPr>
          <w:rFonts w:ascii="Times New Roman" w:cs="Times New Roman" w:eastAsia="Times New Roman" w:hAnsi="Times New Roman"/>
          <w:sz w:val="13"/>
          <w:szCs w:val="13"/>
          <w:b w:val="1"/>
          <w:bCs w:val="1"/>
          <w:color w:val="auto"/>
        </w:rPr>
        <w:t>Confidential Treatment Requested by Magnachip Semiconductor Corporation 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80" w:hanging="378"/>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225"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 and warrants may be modified;</w:t>
      </w:r>
    </w:p>
    <w:p>
      <w:pPr>
        <w:spacing w:after="0" w:line="225"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income tax consequences of holding or exercising the warrants;</w:t>
      </w:r>
    </w:p>
    <w:p>
      <w:pPr>
        <w:spacing w:after="0" w:line="225"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225"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200" w:lineRule="exact"/>
        <w:rPr>
          <w:sz w:val="20"/>
          <w:szCs w:val="20"/>
          <w:color w:val="auto"/>
        </w:rPr>
      </w:pPr>
    </w:p>
    <w:p>
      <w:pPr>
        <w:spacing w:after="0" w:line="24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771" w:right="1440"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Confidential Treatment Requested by Magnachip Semiconductor Corporation 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may issue subscription rights, or Rights, to purchase our common stock, preferred stock, warrants, or units consisting of some or all of these securities. These Rights may be offered independently or together with any other securities offered hereby and may or may not be transferable by the stockholder receiving the Rights in such offering. In connection with any offering of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8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Rights we offer, if any, will, to the extent applicable, include specific terms relating to the offering, including some or all of the following:</w:t>
      </w:r>
    </w:p>
    <w:p>
      <w:pPr>
        <w:spacing w:after="0" w:line="162"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Rights;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our common stock, preferred stock, warrants or units consisting of some or all of these securities, upon the exercise of the Rights;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Rights to be issued to each stockholder;</w:t>
      </w:r>
    </w:p>
    <w:p>
      <w:pPr>
        <w:spacing w:after="0" w:line="225" w:lineRule="exact"/>
        <w:rPr>
          <w:rFonts w:ascii="Times New Roman" w:cs="Times New Roman" w:eastAsia="Times New Roman" w:hAnsi="Times New Roman"/>
          <w:sz w:val="18"/>
          <w:szCs w:val="18"/>
          <w:color w:val="auto"/>
        </w:rPr>
      </w:pPr>
    </w:p>
    <w:p>
      <w:pPr>
        <w:ind w:left="760" w:right="60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our common stock, preferred stock, warrants or units consisting of some or all of these securities, which may be purchased per each Right;</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Rights are transferable;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Rights, including the terms, procedures and limitations relating to the exchange and exercise of the Rights;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shall commence, and the date on which the Rights shall expire;</w:t>
      </w:r>
    </w:p>
    <w:p>
      <w:pPr>
        <w:spacing w:after="0" w:line="225"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Rights may include an over-subscription privilege with respect to unsubscribed securities or an over-allotment privilege to the extent the securities are fully subscribed; and</w:t>
      </w:r>
    </w:p>
    <w:p>
      <w:pPr>
        <w:spacing w:after="0" w:line="161"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which may be entered into by us in connection with the offering of Rights.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1" w:right="35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Confidential Treatment Requested by Magnachip Semiconductor Corporation 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may issue units comprised of shares of common stock, shares of preferred stock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prospectus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9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180" w:lineRule="exact"/>
        <w:rPr>
          <w:sz w:val="20"/>
          <w:szCs w:val="20"/>
          <w:color w:val="auto"/>
        </w:rPr>
      </w:pPr>
    </w:p>
    <w:p>
      <w:pPr>
        <w:ind w:left="760" w:right="2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units will be issued;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United States federal income tax considerations relating to the units;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of the securities comprising the units.</w:t>
      </w:r>
    </w:p>
    <w:p>
      <w:pPr>
        <w:spacing w:after="0" w:line="22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the “</w:t>
      </w:r>
      <w:r>
        <w:rPr>
          <w:rFonts w:ascii="Times New Roman" w:cs="Times New Roman" w:eastAsia="Times New Roman" w:hAnsi="Times New Roman"/>
          <w:sz w:val="18"/>
          <w:szCs w:val="18"/>
          <w:i w:val="1"/>
          <w:iCs w:val="1"/>
          <w:color w:val="auto"/>
        </w:rPr>
        <w:t>Description of Capital Stock</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Description of Warrants</w:t>
      </w:r>
      <w:r>
        <w:rPr>
          <w:rFonts w:ascii="Times New Roman" w:cs="Times New Roman" w:eastAsia="Times New Roman" w:hAnsi="Times New Roman"/>
          <w:sz w:val="18"/>
          <w:szCs w:val="18"/>
          <w:color w:val="auto"/>
        </w:rPr>
        <w:t>” will apply to the securities included in each unit, to the extent relevant and as may be updated in any prospectus supplements. We may issue units in such amounts and in as many distinct series as we wish. Most of the financial and other specific terms of a particular series will be described in the applicable prospectus supplement.</w:t>
      </w:r>
    </w:p>
    <w:p>
      <w:pPr>
        <w:spacing w:after="0" w:line="18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will issue the units under one or more unit agreements to be entered into between us and a unit agent. We may add, replace or terminate unit agents from time to time. We will identify the unit agreement under which each series of units will be issued and the unit agent under that agreement in the applicable prospectus supplement.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3"/>
          <w:szCs w:val="13"/>
          <w:b w:val="1"/>
          <w:bCs w:val="1"/>
          <w:color w:val="auto"/>
        </w:rPr>
        <w:t>Confidential Treatment Requested by Magnachip Semiconductor Corporation 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sell the offered securities in and outside the United States (1) through underwriters or dealers, (2) directly to one or more purchasers, including to a limited number of institutional purchasers, to a single purchaser or to our affiliates and stockholders, (3) through agents or (4) through a combination of any of these methods.</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If underwriters or dealers are used in the sale, the securities will be acquired by the underwriters or dealers for their own account and may be resold from time to time in one or more transactions, including:</w:t>
      </w:r>
    </w:p>
    <w:p>
      <w:pPr>
        <w:spacing w:after="0" w:line="162"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one or more transactions at a fixed price or prices, which may be changed from time to time;</w:t>
      </w:r>
    </w:p>
    <w:p>
      <w:pPr>
        <w:spacing w:after="0" w:line="225" w:lineRule="exact"/>
        <w:rPr>
          <w:rFonts w:ascii="Times New Roman" w:cs="Times New Roman" w:eastAsia="Times New Roman" w:hAnsi="Times New Roman"/>
          <w:sz w:val="18"/>
          <w:szCs w:val="18"/>
          <w:color w:val="auto"/>
        </w:rPr>
      </w:pPr>
    </w:p>
    <w:p>
      <w:pPr>
        <w:ind w:left="760" w:right="48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“at-the-market offerings,” within the meaning of Rule 415(a)(4) of the Securities Act, into an existing trading market, on an exchange or otherwise;</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market maker or into an existing trading market on an exchange or otherwise;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those prevailing market prices; or</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applicable prospectus supplement will set forth the following information to the extent applicable:</w:t>
      </w:r>
    </w:p>
    <w:p>
      <w:pPr>
        <w:spacing w:after="0" w:line="225"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dealers or agents;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managing underwriter or underwriters;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from the sale of the securities;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commissions and other items constituting underwriters’ compensation;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public offering price;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commissions paid to agents.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through Underwriters or Dealers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If any securities are offered through underwriters, the underwriters will acquire the securities for their own account and may resell them from time to time in one or more transactions, including negotiated transactions, at a fixed public offering price or at varying prices determined at the time of sale. Underwriters may offer and sell securities to the public either through underwriting syndicates represented by one or more managing underwriters or directly by one or more firms acting as underwriters. Unless otherwise provided in the applicable prospectus supplement, the obligations of the underwriters to purchase the securities will be subject to certain conditions, and the underwriters will be obligated to purchase all of the offered securities if they purchase any of them. In connection with the sale of securities, underwriters may be deemed to have received compensation from us in the form of underwriting discounts or commissions and</w:t>
      </w:r>
    </w:p>
    <w:p>
      <w:pPr>
        <w:sectPr>
          <w:pgSz w:w="11900" w:h="16838" w:orient="portrait"/>
          <w:cols w:equalWidth="0" w:num="1">
            <w:col w:w="11240"/>
          </w:cols>
          <w:pgMar w:left="320" w:top="771"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13"/>
          <w:szCs w:val="13"/>
          <w:b w:val="1"/>
          <w:bCs w:val="1"/>
          <w:color w:val="auto"/>
        </w:rPr>
        <w:t>Confidential Treatment Requested by Magnachip Semiconductor Corporation 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dealers may receive compensation from the underwriters in the form of discounts or concessions. The underwriters may change from time to time any initial public offering price and any discounts or concessions allowed or reallowed or paid to dealers.</w:t>
      </w:r>
    </w:p>
    <w:p>
      <w:pPr>
        <w:spacing w:after="0" w:line="16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order to facilitate the offering of securities, the underwriters may engage in transactions that stabilize, maintain or otherwise affect the price of the securities. Specifically, the underwriters may over allot in connection with the offering, creating a short position in the securities for their account. In addition, to cover overallotments or to stabilize the price of the shares, the underwriters may bid for, and purchase, shares in the open market. Finally, an underwriting syndicate may reclaim selling concessions allowed to an underwriter or a dealer for distributing the securities in the offering if the syndicate repurchases previously distributed shares in transactions to cover syndicate short positions, in stabilization transactions, or otherwise. Any of these activities may stabilize or maintain the market price of the offered securities above independent market levels. The underwriters are not required to engage in these activities, and may discontinue any of these activities at any time.</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Some or all of the securities that we offer through this prospectus may be new issues of securities with no established trading market. Any underwriters to whom we sell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offered pursuant to this prospectus.</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any securities are offered through dealers, we will sell the securities to them as principals. They may then resell those securities to the public at varying prices determined by the dealers at the time of resale.</w:t>
      </w:r>
    </w:p>
    <w:p>
      <w:pPr>
        <w:spacing w:after="0" w:line="16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on any date prior to the business day before the original issue date for your securities, you will be required, by virtue of the fact that your securities initially are expected to settle in more than one scheduled business day after the trade date for your securities, to make alternative settlement arrangements to prevent a failed settlement.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 Sales and Sales through Agents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may sell the securities directly to purchasers. If the securities are sold directly to institutional investors or others who may be deemed to be underwriters within the meaning of the Securities Act with respect to any sale of those securities, we will describe the terms of any such sales in the applicable prospectus supplement. We may also sell the securities through agents designated from time to time. Sales may be made by means of ordinary brokers’ transactions on the New York Stock Exchange at market prices, in block transactions and such other transactions as agreed by us and any agent. In the applicable prospectus supplement, we will name any agent involved in the offer or sale of the offered securities, and we will describe any commissions payable to the agent. Unless otherwise provided in the applicable prospectus supplement, any agent will agree to use its reasonable best efforts to solicit purchases for the period of its appointment.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At-the-Market Offerings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To the extent that we make sales through one or more underwriters or agents in at-the-market offerings, we will do so pursuant to the terms of a sales agency financing agreement or other at-the-market offering arrangement between us and the underwriters or agents. If we engage in at-the-market sales pursuant to any such agreement, we will issue and sell our securities through one or more underwriters or agents, which may act on an agency basis or a principal basis. During the term of any such agreement, we may sell securities on a daily basis in exchange transactions or otherwise as we agree with the underwriters or agents. Any such agreement will provide that any securities sold will be sold at prices related to the then-prevailing market prices for our securities. Therefore, exact figures regarding proceeds that will be raised or commissions to be paid cannot be determined at this time. Pursuant to the terms of the agreement, we may agree to sell, and the relevant underwriters or agents may agree to solicit offers to purchase, blocks of our common stock or other securities. The terms of any such agreement will be set forth in more detail in the applicable prospectus supplement.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23" w:name="page24"/>
    <w:bookmarkEnd w:id="23"/>
    <w:p>
      <w:pPr>
        <w:jc w:val="center"/>
        <w:ind w:right="-79"/>
        <w:spacing w:after="0"/>
        <w:rPr>
          <w:sz w:val="20"/>
          <w:szCs w:val="20"/>
          <w:color w:val="auto"/>
        </w:rPr>
      </w:pPr>
      <w:r>
        <w:rPr>
          <w:rFonts w:ascii="Times New Roman" w:cs="Times New Roman" w:eastAsia="Times New Roman" w:hAnsi="Times New Roman"/>
          <w:sz w:val="13"/>
          <w:szCs w:val="13"/>
          <w:b w:val="1"/>
          <w:bCs w:val="1"/>
          <w:color w:val="auto"/>
        </w:rPr>
        <w:t>Confidential Treatment Requested by Magnachip Semiconductor Corporation 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Remarketing Arrangements</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Offered securities may also be offered and sold, if we so indicate in the applicable prospectus supplement, in connection with a remarketing upon their purchase, in accordance with a redemption or repayment pursuant to their terms, or otherwise, by one or more remarketing firms, acting as principals for their own accounts or as our agents. Any remarketing firm will be identified and the terms of its agreements, if any, with us and its compensation will be described in the applicable prospectus supplement. Remarketing firms may be deemed to be underwriters of the offered securities under the Securities Act.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Delayed Delivery Contracts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we so indicate in the applicable prospectus supplement, we may authorize agents, underwriters or dealers to solicit offers by certain institutions to purchase securities from us pursuant to contracts providing for payment and delivery on a specified future date. The applicable prospectus supplement will describe the conditions to those contracts and the commission payable for solicitation of those contracts.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We may have agreements with the agents, dealers, underwriters and remarketing firms to indemnify them against certain civil liabilities, including liabilities under the Securities Act, or to contribute with respect to payments that the agents, dealers or underwriters may be required to make. Agents, dealers, underwriters and remarketing firms may be customers of, engage in transactions with or perform services for us in the ordinary course of their businesses.</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71" w:right="419" w:bottom="1440" w:gutter="0" w:footer="0" w:header="0"/>
        </w:sectPr>
      </w:pPr>
    </w:p>
    <w:bookmarkStart w:id="24" w:name="page25"/>
    <w:bookmarkEnd w:id="24"/>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Confidential Treatment Requested by Magnachip Semiconductor Corporation Pursuant to 17 C.F.R. Section 200.83</w:t>
      </w:r>
    </w:p>
    <w:p>
      <w:pPr>
        <w:spacing w:after="0" w:line="200" w:lineRule="exact"/>
        <w:rPr>
          <w:sz w:val="20"/>
          <w:szCs w:val="20"/>
          <w:color w:val="auto"/>
        </w:rPr>
      </w:pPr>
    </w:p>
    <w:p>
      <w:pPr>
        <w:spacing w:after="0" w:line="2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validity of the securities offered by this prospectus will be passed upon for us by Goodwin Procter LLP, Redwood City, California. Any underwriters, dealers and agents will also be advised about the validity of the securities and other legal matters by their own counsel, which will be named in the prospectus supplement.</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71" w:right="459" w:bottom="1440" w:gutter="0" w:footer="0" w:header="0"/>
        </w:sectPr>
      </w:pPr>
    </w:p>
    <w:bookmarkStart w:id="25" w:name="page26"/>
    <w:bookmarkEnd w:id="25"/>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Confidential Treatment Requested by Magnachip Semiconductor Corporation 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EY Han Young (formerly, Ernst &amp; Young Han Young), independent registered public accounting firm, has audited our consolidated financial statements included in our Annual Report on Form 10-K for the year ended December 31, 2025 and the effectiveness of our internal control over financial reporting as of December 31, 2025, and the effectiveness of our internal control over financial reporting as of December 31, 2025, as set forth in their reports, which are incorporated by reference in this prospectus and elsewhere in the registration statement. Our financial statements are incorporated by reference in reliance on EY Han Young’s reports, given on their authority as experts in accounting and auditing.</w:t>
      </w:r>
    </w:p>
    <w:p>
      <w:pPr>
        <w:spacing w:after="0" w:line="180"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7"/>
          <w:szCs w:val="17"/>
          <w:color w:val="auto"/>
        </w:rPr>
        <w:t>The financial statements as of December 31, 2024 and for the year ended December 31, 2024 incorporated in this Prospectus by reference to the Annual Report on Form 10-K for the year ended December 31, 2025 have been so incorporated in reliance on the report of Samil PricewaterhouseCoopers, an independent registered public accounting firm, given on the authority of said firm as experts in auditing and accounting.</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1" w:right="35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Confidential Treatment Requested by Magnachip Semiconductor Corporation 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prospectus is part of a shelf registration statement that we have filed with the SEC. This prospectus and any applicable prospectus supplement do not contain all of the information set forth in the registration statement and its exhibits and schedules in accordance with SEC rules and regulations. For further information with respect to us and the securities being offered by this prospectus and the applicable prospectus supplement, you should read the registration statement, including its exhibits and schedules. Statements contained in this prospectus and the applicable prospectus supplement, including documents that we have incorporated by reference, as to the contents of any contract or other document referred to are not necessarily complete, and, with respect to any contract or other document filed as an exhibit to the registration statement or any other such document, each such statement is qualified in all respects by reference to the corresponding exhibit. You should review the complete contract or other document to evaluate these statements. You may obtain copies of the registration statement and its exhibits via the SEC’s EDGAR database or our website.</w:t>
      </w:r>
    </w:p>
    <w:p>
      <w:pPr>
        <w:spacing w:after="0" w:line="192"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documents with the SEC under the U.S. Securities Exchange Act of 1934, as amended, or the Exchange Act. The SEC maintains a website that contains reports, proxy and information statements and other information regarding issuers, including us, that file electronically with the SEC. You may obtain documents that we file with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color w:val="auto"/>
        </w:rPr>
        <w:t xml:space="preserve">We also make these documents available on our website at </w:t>
      </w:r>
      <w:r>
        <w:rPr>
          <w:rFonts w:ascii="Times New Roman" w:cs="Times New Roman" w:eastAsia="Times New Roman" w:hAnsi="Times New Roman"/>
          <w:sz w:val="18"/>
          <w:szCs w:val="18"/>
          <w:i w:val="1"/>
          <w:iCs w:val="1"/>
          <w:color w:val="auto"/>
        </w:rPr>
        <w:t>www.investors.magnachip.com</w:t>
      </w:r>
      <w:r>
        <w:rPr>
          <w:rFonts w:ascii="Times New Roman" w:cs="Times New Roman" w:eastAsia="Times New Roman" w:hAnsi="Times New Roman"/>
          <w:sz w:val="18"/>
          <w:szCs w:val="18"/>
          <w:color w:val="auto"/>
        </w:rPr>
        <w:t>. Our website and the information contained or connected to our website is not incorporated by reference in this prospectus or any prospectus supplement, and you should not consider it part of this prospectus or any prospectus supplement.</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1" w:right="35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Confidential Treatment Requested by Magnachip Semiconductor Corporation Pursuant to 17 C.F.R. Section 200.83</w:t>
      </w: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SEC rules permit us to incorporate information by reference in this prospectus and the applicable prospectus supplement. This means that we can disclose important information to you by referring you to another document filed separately with the SEC. The information incorporated by reference is considered to be part of this prospectus and the applicable prospectus supplement, except for information superseded by information contained in this prospectus or the applicable prospectus supplement itself or in any subsequently filed incorporated document. This prospectus and the applicable prospectus supplement incorporate by reference the documents set forth below that we have previously filed with the SEC, other than information in such documents that is deemed to be furnished and not filed. These documents contain important information about us and our business and financial condition.</w:t>
      </w:r>
    </w:p>
    <w:p>
      <w:pPr>
        <w:spacing w:after="0" w:line="187" w:lineRule="exact"/>
        <w:rPr>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u w:val="single" w:color="auto"/>
            <w:color w:val="0000FF"/>
          </w:rPr>
          <w:t>Annual Report on Form 10-K</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year ended December 31, 2025, filed with the SEC on March 16, 2026;</w:t>
      </w:r>
    </w:p>
    <w:p>
      <w:pPr>
        <w:spacing w:after="0" w:line="225" w:lineRule="exact"/>
        <w:rPr>
          <w:rFonts w:ascii="Times New Roman" w:cs="Times New Roman" w:eastAsia="Times New Roman" w:hAnsi="Times New Roman"/>
          <w:sz w:val="18"/>
          <w:szCs w:val="18"/>
          <w:color w:val="0000FF"/>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u w:val="single" w:color="auto"/>
            <w:color w:val="0000FF"/>
          </w:rPr>
          <w:t>Quarterly Report on Form 10-Q</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quarter ended March 31, 2026, filed with the SEC on May 8, 2026;</w:t>
      </w:r>
    </w:p>
    <w:p>
      <w:pPr>
        <w:spacing w:after="0" w:line="225" w:lineRule="exact"/>
        <w:rPr>
          <w:rFonts w:ascii="Times New Roman" w:cs="Times New Roman" w:eastAsia="Times New Roman" w:hAnsi="Times New Roman"/>
          <w:sz w:val="18"/>
          <w:szCs w:val="18"/>
          <w:color w:val="0000FF"/>
        </w:rPr>
      </w:pPr>
    </w:p>
    <w:p>
      <w:pPr>
        <w:ind w:left="760" w:right="10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w:t>
      </w:r>
      <w:hyperlink r:id="rId44">
        <w:r>
          <w:rPr>
            <w:rFonts w:ascii="Times New Roman" w:cs="Times New Roman" w:eastAsia="Times New Roman" w:hAnsi="Times New Roman"/>
            <w:sz w:val="18"/>
            <w:szCs w:val="18"/>
            <w:u w:val="single" w:color="auto"/>
            <w:color w:val="0000FF"/>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December 31, 2025 from our </w:t>
      </w:r>
      <w:hyperlink r:id="rId46">
        <w:r>
          <w:rPr>
            <w:rFonts w:ascii="Times New Roman" w:cs="Times New Roman" w:eastAsia="Times New Roman" w:hAnsi="Times New Roman"/>
            <w:sz w:val="18"/>
            <w:szCs w:val="18"/>
            <w:u w:val="single" w:color="auto"/>
            <w:color w:val="0000FF"/>
          </w:rPr>
          <w:t>definitive proxy statement on 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information furnished rather than filed) filed with the SEC on April 30, 2026;</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Reports on Form 8-K, filed with the SEC on </w:t>
      </w:r>
      <w:hyperlink r:id="rId47">
        <w:r>
          <w:rPr>
            <w:rFonts w:ascii="Times New Roman" w:cs="Times New Roman" w:eastAsia="Times New Roman" w:hAnsi="Times New Roman"/>
            <w:sz w:val="18"/>
            <w:szCs w:val="18"/>
            <w:u w:val="single" w:color="auto"/>
            <w:color w:val="0000FF"/>
          </w:rPr>
          <w:t>January 14,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8">
        <w:r>
          <w:rPr>
            <w:rFonts w:ascii="Times New Roman" w:cs="Times New Roman" w:eastAsia="Times New Roman" w:hAnsi="Times New Roman"/>
            <w:sz w:val="18"/>
            <w:szCs w:val="18"/>
            <w:u w:val="single" w:color="auto"/>
            <w:color w:val="0000FF"/>
          </w:rPr>
          <w:t>January 20, 2026</w:t>
        </w:r>
      </w:hyperlink>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760" w:right="80" w:hanging="378"/>
        <w:spacing w:after="0" w:line="266" w:lineRule="auto"/>
        <w:tabs>
          <w:tab w:leader="none" w:pos="760" w:val="left"/>
        </w:tabs>
        <w:numPr>
          <w:ilvl w:val="0"/>
          <w:numId w:val="13"/>
        </w:numPr>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auto"/>
          </w:rPr>
          <w:t xml:space="preserve">the description of our Common Stock, which is registered under Section 12 of the Exchange Act, contained in </w:t>
        </w:r>
        <w:r>
          <w:rPr>
            <w:rFonts w:ascii="Times New Roman" w:cs="Times New Roman" w:eastAsia="Times New Roman" w:hAnsi="Times New Roman"/>
            <w:sz w:val="18"/>
            <w:szCs w:val="18"/>
            <w:u w:val="single" w:color="auto"/>
            <w:color w:val="0000FF"/>
          </w:rPr>
          <w:t>Exhibit 4.1 to our Annual Report</w:t>
        </w:r>
      </w:hyperlink>
      <w:r>
        <w:rPr>
          <w:rFonts w:ascii="Times New Roman" w:cs="Times New Roman" w:eastAsia="Times New Roman" w:hAnsi="Times New Roman"/>
          <w:sz w:val="18"/>
          <w:szCs w:val="18"/>
          <w:color w:val="auto"/>
        </w:rPr>
        <w:t xml:space="preserve"> </w:t>
      </w:r>
      <w:hyperlink r:id="rId49">
        <w:r>
          <w:rPr>
            <w:rFonts w:ascii="Times New Roman" w:cs="Times New Roman" w:eastAsia="Times New Roman" w:hAnsi="Times New Roman"/>
            <w:sz w:val="18"/>
            <w:szCs w:val="18"/>
            <w:u w:val="single" w:color="auto"/>
            <w:color w:val="0000FF"/>
          </w:rPr>
          <w:t>on Form 10-K</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the fiscal year ended December 31, 2025, filed with the SEC on March 16, 2026, including any amendments or reports filed</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the purpose of updating such description.</w:t>
      </w:r>
    </w:p>
    <w:p>
      <w:pPr>
        <w:spacing w:after="0" w:line="176" w:lineRule="exact"/>
        <w:rPr>
          <w:rFonts w:ascii="Times New Roman" w:cs="Times New Roman" w:eastAsia="Times New Roman" w:hAnsi="Times New Roman"/>
          <w:sz w:val="18"/>
          <w:szCs w:val="18"/>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All documents that we file (but not those that we furnish) pursuant to Section 13(a), 13(c), 14 or 15(d) of the Exchange Act, after the date of the initial registration statement of which this prospectus is a part and prior to the effectiveness of the registration statement shall be deemed to be incorporated by reference into this prospectus and will automatically update and supersede the information in this prospectus, and any previously filed documents.</w:t>
      </w:r>
    </w:p>
    <w:p>
      <w:pPr>
        <w:spacing w:after="0" w:line="176" w:lineRule="exact"/>
        <w:rPr>
          <w:rFonts w:ascii="Times New Roman" w:cs="Times New Roman" w:eastAsia="Times New Roman" w:hAnsi="Times New Roman"/>
          <w:sz w:val="18"/>
          <w:szCs w:val="18"/>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Any statement contained herein or in a document incorporated or deemed to be incorporated by reference in this prospectus or the applicable prospectus supplement shall be deemed to be modified or superseded for purposes of this prospectus and such applicable prospectus supplement to the extent that a statement contained in this prospectus or such applicable prospectus supplement, or in any other subsequently filed document which also is or is deemed to be incorporated by reference in this prospectus and such applicable prospectus supplement, modifies or supersedes such earlier statement. Any statement so modified or superseded shall not be deemed, except as so modified or superseded, to constitute a part of this prospectus or such applicable prospectus supplement. Nothing in this prospectus shall be deemed to incorporate information furnished but not filed with the SEC pursuant to Item 2.02 or Item 7.01 of Form 8-K.</w:t>
      </w:r>
    </w:p>
    <w:p>
      <w:pPr>
        <w:spacing w:after="0" w:line="189" w:lineRule="exact"/>
        <w:rPr>
          <w:rFonts w:ascii="Times New Roman" w:cs="Times New Roman" w:eastAsia="Times New Roman" w:hAnsi="Times New Roman"/>
          <w:sz w:val="18"/>
          <w:szCs w:val="18"/>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Upon request, we will provide, without charge, to each person, including any beneficial owner, to whom a copy of this prospectus or an applicable prospectus supplement is delivered, a copy of the documents incorporated by reference into this prospectus or such prospectus supplement but not delivered with this prospectus or such prospectus supplement. You may request a copy of these filings, and any exhibits we have specifically incorporated by reference as an exhibit in this prospectus or such prospectus supplement, at no cost by writing us at the following address: c/o Magnachip Semiconductor, Ltd., 15F, 76 Jikji-daero 436beon-gil, Heungdeok-gu, Cheongju-si, Chungcheongbuk-do, 28581, Republic of Korea; Attention: Investor Relations; email address: </w:t>
      </w:r>
      <w:r>
        <w:rPr>
          <w:rFonts w:ascii="Times New Roman" w:cs="Times New Roman" w:eastAsia="Times New Roman" w:hAnsi="Times New Roman"/>
          <w:sz w:val="18"/>
          <w:szCs w:val="18"/>
          <w:i w:val="1"/>
          <w:iCs w:val="1"/>
          <w:color w:val="auto"/>
        </w:rPr>
        <w:t>investors@magnachip.com</w:t>
      </w:r>
      <w:r>
        <w:rPr>
          <w:rFonts w:ascii="Times New Roman" w:cs="Times New Roman" w:eastAsia="Times New Roman" w:hAnsi="Times New Roman"/>
          <w:sz w:val="18"/>
          <w:szCs w:val="18"/>
          <w:color w:val="auto"/>
        </w:rPr>
        <w:t xml:space="preserve"> or by telephone at: +82 (2) 6903-3000.</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1" w:right="35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Confidential Treatment Requested by Magnachip Semiconductor Corporation 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473075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644525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1852930</wp:posOffset>
            </wp:positionV>
            <wp:extent cx="2863215" cy="5657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286321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5"/>
          <w:szCs w:val="25"/>
          <w:b w:val="1"/>
          <w:bCs w:val="1"/>
          <w:color w:val="auto"/>
        </w:rPr>
        <w:t>$50,000,000</w:t>
      </w:r>
    </w:p>
    <w:p>
      <w:pPr>
        <w:spacing w:after="0" w:line="4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10"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5"/>
          <w:szCs w:val="25"/>
          <w:b w:val="1"/>
          <w:bCs w:val="1"/>
          <w:color w:val="auto"/>
        </w:rPr>
        <w:t>Rights</w:t>
      </w:r>
    </w:p>
    <w:p>
      <w:pPr>
        <w:spacing w:after="0" w:line="1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2587625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1356995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1528445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71" w:right="1440" w:bottom="1440" w:gutter="0" w:footer="0" w:header="0"/>
        </w:sectPr>
      </w:pPr>
    </w:p>
    <w:bookmarkStart w:id="29" w:name="page30"/>
    <w:bookmarkEnd w:id="29"/>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Confidential Treatment Requested by Magnachip Semiconductor Corporation Pursuant to 17 C.F.R. Section 200.83</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Other Expenses of Issuance and Distribution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Set forth below is an estimate (except in the case of the SEC registration fee and the FINRA filing fee) of the amount of fees and expenses to be incurred in connection with the issuance and distribution of the offered securities, other than underwriting discounts and commissions.</w:t>
      </w:r>
    </w:p>
    <w:p>
      <w:pPr>
        <w:spacing w:after="0" w:line="185" w:lineRule="exact"/>
        <w:rPr>
          <w:sz w:val="20"/>
          <w:szCs w:val="20"/>
          <w:color w:val="auto"/>
        </w:rPr>
      </w:pPr>
    </w:p>
    <w:tbl>
      <w:tblPr>
        <w:tblLayout w:type="fixed"/>
        <w:tblInd w:w="22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 to be Paid</w:t>
            </w:r>
          </w:p>
        </w:tc>
      </w:tr>
      <w:tr>
        <w:trPr>
          <w:trHeight w:val="210"/>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 and trustee fees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3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To be provided by amendment.</w:t>
      </w:r>
    </w:p>
    <w:p>
      <w:pPr>
        <w:spacing w:after="0" w:line="27" w:lineRule="exact"/>
        <w:rPr>
          <w:sz w:val="20"/>
          <w:szCs w:val="20"/>
          <w:color w:val="auto"/>
        </w:rPr>
      </w:pPr>
    </w:p>
    <w:p>
      <w:pPr>
        <w:ind w:left="180" w:right="280" w:hanging="172"/>
        <w:spacing w:after="0" w:line="260" w:lineRule="auto"/>
        <w:tabs>
          <w:tab w:leader="none" w:pos="1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and expenses are calculated based on the number of issuances and amount of securities offered and accordingly cannot be estimated at this time.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Indemnification of Directors and Officers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are incorporated under the laws of the State of Delaware. Section 102 of the Delaware General Corporation Law, or the DGCL, permits a corporation to eliminate the personal liability of directors of a corporation to the corporation or its stockholders for monetary damages for a breach of fiduciary duty as a director, except where the director breached such director’s duty of loyalty, failed to act in good faith, engaged in intentional misconduct or knowingly violated a law, authorized the payment of a dividend or approved a stock repurchase in violation of Delaware corporate law or obtained an improper personal benefit.</w:t>
      </w:r>
    </w:p>
    <w:p>
      <w:pPr>
        <w:spacing w:after="0" w:line="183"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Section 145 of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9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amended and restated bylaws contain provisions that limit or eliminate the personal liability of our directors to the fullest extent permitted by the DGCL, as it now exists or may in the future be amended. Consequently, a director will not be personally liable to us or our stockholders for monetary damages or breach of fiduciary duty as a director, except for liability for:</w:t>
      </w:r>
    </w:p>
    <w:p>
      <w:pPr>
        <w:spacing w:after="0" w:line="176" w:lineRule="exact"/>
        <w:rPr>
          <w:sz w:val="20"/>
          <w:szCs w:val="20"/>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1" w:right="379" w:bottom="1440" w:gutter="0" w:footer="0" w:header="0"/>
        </w:sectPr>
      </w:pPr>
    </w:p>
    <w:bookmarkStart w:id="30" w:name="page31"/>
    <w:bookmarkEnd w:id="30"/>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Confidential Treatment Requested by Magnachip Semiconductor Corporation 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7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related to dividends or unlawful stock purchases, redemptions or other distributions as provided in Section 174 of the DGCL; or</w:t>
      </w:r>
    </w:p>
    <w:p>
      <w:pPr>
        <w:spacing w:after="0" w:line="161" w:lineRule="exact"/>
        <w:rPr>
          <w:rFonts w:ascii="Times New Roman" w:cs="Times New Roman" w:eastAsia="Times New Roman" w:hAnsi="Times New Roman"/>
          <w:sz w:val="18"/>
          <w:szCs w:val="18"/>
          <w:color w:val="auto"/>
        </w:rPr>
      </w:pPr>
    </w:p>
    <w:p>
      <w:pPr>
        <w:ind w:left="780" w:hanging="398"/>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These limitations of liability do not alter director liability under the federal securities laws and do not affect the availability of equitable remedies such as an injunction or rescission.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our amended and restated bylaws provide that:</w:t>
      </w:r>
    </w:p>
    <w:p>
      <w:pPr>
        <w:spacing w:after="0" w:line="225" w:lineRule="exact"/>
        <w:rPr>
          <w:sz w:val="20"/>
          <w:szCs w:val="20"/>
          <w:color w:val="auto"/>
        </w:rPr>
      </w:pPr>
    </w:p>
    <w:p>
      <w:pPr>
        <w:ind w:left="760" w:right="12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officers and, in the discretion of our board of directors, certain employees to the fullest extent permitted by the DGCL, as it now exists or may in the future be amended; and</w:t>
      </w:r>
    </w:p>
    <w:p>
      <w:pPr>
        <w:spacing w:after="0" w:line="161" w:lineRule="exact"/>
        <w:rPr>
          <w:rFonts w:ascii="Times New Roman" w:cs="Times New Roman" w:eastAsia="Times New Roman" w:hAnsi="Times New Roman"/>
          <w:sz w:val="18"/>
          <w:szCs w:val="18"/>
          <w:color w:val="auto"/>
        </w:rPr>
      </w:pPr>
    </w:p>
    <w:p>
      <w:pPr>
        <w:ind w:left="760" w:right="240" w:hanging="378"/>
        <w:spacing w:after="0" w:line="312" w:lineRule="auto"/>
        <w:tabs>
          <w:tab w:leader="none" w:pos="7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advance reasonable expenses, including attorneys’ fees, to our directors and, in the discretion of our board of directors, to our officers and certain employees, in connection with legal proceedings relating to their service for or on behalf of us, subject to limited exceptions.</w:t>
      </w:r>
    </w:p>
    <w:p>
      <w:pPr>
        <w:spacing w:after="0" w:line="14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certain of our executive officers. These agreements provide that we will indemnify each of our directors, certain of our executive officers and, at times, their affiliates, to the fullest extent permitted by the DGCL. We will advance expenses, including attorneys’ fees (but excluding judgments, fines and settlement amounts), to each indemnified director, executive officer or affiliate in connection with any proceeding in which indemnification is available and we will indemnify our directors and executive officers for any action or proceeding arising out of that person’s services as a director or officer brought on behalf of us or in furtherance of our rights. We intend to enter into indemnification agreements with any new directors and executive officers in the future.</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Additionally, certain of our directors may have certain rights to indemnification, advancement of expenses or insurance provided by their affiliates, which indemnification relates to and might apply to the same proceedings arising out of such director’s services as a director referenced herein. Nonetheless, we have agreed in our indemnification agreements that our obligations to those directors are primary and any obligation of the affiliates of those directors to advance expenses or to provide indemnification for the expenses or liabilities incurred by those directors are secondary.</w:t>
      </w:r>
    </w:p>
    <w:p>
      <w:pPr>
        <w:spacing w:after="0" w:line="18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also maintain a general liability insurance policy which covers certain liabilities of our directors and officers arising out of claims based on acts or omissions in their capacities as directors or officers, including liabilities under the Securities Act.</w:t>
      </w:r>
    </w:p>
    <w:p>
      <w:pPr>
        <w:spacing w:after="0" w:line="16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1" w:right="37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3"/>
          <w:szCs w:val="13"/>
          <w:b w:val="1"/>
          <w:bCs w:val="1"/>
          <w:color w:val="auto"/>
        </w:rPr>
        <w:t>Confidential Treatment Requested by Magnachip Semiconductor Corporation Pursuant to 17 C.F.R. Section 200.83</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Exhibits</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37"/>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38"/>
        </w:trPr>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360" w:type="dxa"/>
            <w:vAlign w:val="bottom"/>
            <w:tcBorders>
              <w:bottom w:val="single" w:sz="8" w:color="auto"/>
            </w:tcBorders>
            <w:gridSpan w:val="13"/>
          </w:tcPr>
          <w:p>
            <w:pPr>
              <w:ind w:left="1220"/>
              <w:spacing w:after="0"/>
              <w:rPr>
                <w:sz w:val="20"/>
                <w:szCs w:val="20"/>
                <w:color w:val="auto"/>
              </w:rPr>
            </w:pPr>
            <w:r>
              <w:rPr>
                <w:rFonts w:ascii="Times New Roman" w:cs="Times New Roman" w:eastAsia="Times New Roman" w:hAnsi="Times New Roman"/>
                <w:sz w:val="18"/>
                <w:szCs w:val="18"/>
                <w:b w:val="1"/>
                <w:bCs w:val="1"/>
                <w:color w:val="auto"/>
              </w:rPr>
              <w:t>Exhibit Title</w:t>
            </w:r>
          </w:p>
        </w:tc>
        <w:tc>
          <w:tcPr>
            <w:tcW w:w="100" w:type="dxa"/>
            <w:vAlign w:val="bottom"/>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20" w:type="dxa"/>
            <w:vAlign w:val="bottom"/>
          </w:tcPr>
          <w:p>
            <w:pPr>
              <w:spacing w:after="0"/>
              <w:rPr>
                <w:sz w:val="20"/>
                <w:szCs w:val="20"/>
                <w:color w:val="auto"/>
              </w:rPr>
            </w:pPr>
          </w:p>
        </w:tc>
        <w:tc>
          <w:tcPr>
            <w:tcW w:w="12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00" w:type="dxa"/>
            <w:vAlign w:val="bottom"/>
          </w:tcPr>
          <w:p>
            <w:pPr>
              <w:spacing w:after="0"/>
              <w:rPr>
                <w:sz w:val="20"/>
                <w:szCs w:val="20"/>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264"/>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2"/>
                <w:szCs w:val="22"/>
                <w:color w:val="auto"/>
              </w:rPr>
            </w:pPr>
          </w:p>
        </w:tc>
        <w:tc>
          <w:tcPr>
            <w:tcW w:w="53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Form(s) of Underwriting Agreement(s).</w:t>
            </w:r>
          </w:p>
        </w:tc>
        <w:tc>
          <w:tcPr>
            <w:tcW w:w="10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2"/>
                <w:szCs w:val="22"/>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83"/>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454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Certificate of Conversion of MagnaChip Semiconductor LLC.</w:t>
              </w:r>
            </w:hyperlink>
          </w:p>
        </w:tc>
        <w:tc>
          <w:tcPr>
            <w:tcW w:w="780" w:type="dxa"/>
            <w:vAlign w:val="bottom"/>
            <w:gridSpan w:val="9"/>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001-34791</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11, 2011</w:t>
            </w:r>
          </w:p>
        </w:tc>
      </w:tr>
      <w:tr>
        <w:trPr>
          <w:trHeight w:val="304"/>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4"/>
                <w:szCs w:val="24"/>
                <w:color w:val="auto"/>
              </w:rPr>
            </w:pPr>
          </w:p>
        </w:tc>
        <w:tc>
          <w:tcPr>
            <w:tcW w:w="5320" w:type="dxa"/>
            <w:vAlign w:val="bottom"/>
            <w:gridSpan w:val="15"/>
          </w:tcPr>
          <w:p>
            <w:pPr>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Certificate of Incorporation of MagnaChip Semiconductor Corporation.</w:t>
              </w:r>
            </w:hyperlink>
          </w:p>
        </w:tc>
        <w:tc>
          <w:tcPr>
            <w:tcW w:w="1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001-34791</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11, 2011</w:t>
            </w:r>
          </w:p>
        </w:tc>
      </w:tr>
      <w:tr>
        <w:trPr>
          <w:trHeight w:val="304"/>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tcPr>
          <w:p>
            <w:pPr>
              <w:spacing w:after="0"/>
              <w:rPr>
                <w:sz w:val="24"/>
                <w:szCs w:val="24"/>
                <w:color w:val="auto"/>
              </w:rPr>
            </w:pPr>
          </w:p>
        </w:tc>
        <w:tc>
          <w:tcPr>
            <w:tcW w:w="4600" w:type="dxa"/>
            <w:vAlign w:val="bottom"/>
            <w:tcBorders>
              <w:top w:val="single" w:sz="8" w:color="0000FF"/>
              <w:bottom w:val="single" w:sz="8" w:color="0000FF"/>
            </w:tcBorders>
            <w:gridSpan w:val="7"/>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Certificate of Amendment to the Certificate of Incorporation of</w:t>
              </w:r>
            </w:hyperlink>
          </w:p>
        </w:tc>
        <w:tc>
          <w:tcPr>
            <w:tcW w:w="560" w:type="dxa"/>
            <w:vAlign w:val="bottom"/>
            <w:tcBorders>
              <w:top w:val="single" w:sz="8" w:color="0000FF"/>
            </w:tcBorders>
            <w:gridSpan w:val="7"/>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61">
              <w:r>
                <w:rPr>
                  <w:rFonts w:ascii="Times New Roman" w:cs="Times New Roman" w:eastAsia="Times New Roman" w:hAnsi="Times New Roman"/>
                  <w:sz w:val="18"/>
                  <w:szCs w:val="18"/>
                  <w:color w:val="0000FF"/>
                  <w:w w:val="99"/>
                </w:rPr>
                <w:t>Magnachip Semiconductor Corporation.</w:t>
              </w:r>
            </w:hyperlink>
          </w:p>
        </w:tc>
        <w:tc>
          <w:tcPr>
            <w:tcW w:w="2400" w:type="dxa"/>
            <w:vAlign w:val="bottom"/>
            <w:gridSpan w:val="12"/>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001-34791</w:t>
            </w:r>
          </w:p>
        </w:tc>
        <w:tc>
          <w:tcPr>
            <w:tcW w:w="100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17"/>
                <w:szCs w:val="17"/>
                <w:color w:val="auto"/>
              </w:rPr>
            </w:pPr>
          </w:p>
        </w:tc>
        <w:tc>
          <w:tcPr>
            <w:tcW w:w="1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December 30, 2020</w:t>
            </w:r>
          </w:p>
        </w:tc>
      </w:tr>
      <w:tr>
        <w:trPr>
          <w:trHeight w:val="304"/>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00" w:type="dxa"/>
            <w:vAlign w:val="bottom"/>
          </w:tcPr>
          <w:p>
            <w:pPr>
              <w:spacing w:after="0"/>
              <w:rPr>
                <w:sz w:val="24"/>
                <w:szCs w:val="24"/>
                <w:color w:val="auto"/>
              </w:rPr>
            </w:pPr>
          </w:p>
        </w:tc>
        <w:tc>
          <w:tcPr>
            <w:tcW w:w="452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Amended and Restated Bylaws of MagnaChip Semiconductor</w:t>
              </w:r>
            </w:hyperlink>
          </w:p>
        </w:tc>
        <w:tc>
          <w:tcPr>
            <w:tcW w:w="800" w:type="dxa"/>
            <w:vAlign w:val="bottom"/>
            <w:gridSpan w:val="10"/>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Corporation.</w:t>
              </w:r>
            </w:hyperlink>
          </w:p>
        </w:tc>
        <w:tc>
          <w:tcPr>
            <w:tcW w:w="4360" w:type="dxa"/>
            <w:vAlign w:val="bottom"/>
            <w:gridSpan w:val="13"/>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001-34791</w:t>
            </w:r>
          </w:p>
        </w:tc>
        <w:tc>
          <w:tcPr>
            <w:tcW w:w="100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17"/>
                <w:szCs w:val="17"/>
                <w:color w:val="auto"/>
              </w:rPr>
            </w:pPr>
          </w:p>
        </w:tc>
        <w:tc>
          <w:tcPr>
            <w:tcW w:w="1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May 6, 2016</w:t>
            </w:r>
          </w:p>
        </w:tc>
      </w:tr>
      <w:tr>
        <w:trPr>
          <w:trHeight w:val="304"/>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c>
          <w:tcPr>
            <w:tcW w:w="100" w:type="dxa"/>
            <w:vAlign w:val="bottom"/>
          </w:tcPr>
          <w:p>
            <w:pPr>
              <w:spacing w:after="0"/>
              <w:rPr>
                <w:sz w:val="24"/>
                <w:szCs w:val="24"/>
                <w:color w:val="auto"/>
              </w:rPr>
            </w:pPr>
          </w:p>
        </w:tc>
        <w:tc>
          <w:tcPr>
            <w:tcW w:w="468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63">
              <w:r>
                <w:rPr>
                  <w:rFonts w:ascii="Times New Roman" w:cs="Times New Roman" w:eastAsia="Times New Roman" w:hAnsi="Times New Roman"/>
                  <w:sz w:val="18"/>
                  <w:szCs w:val="18"/>
                  <w:color w:val="0000FF"/>
                  <w:w w:val="99"/>
                </w:rPr>
                <w:t>Form of Plan of Conversion of MagnaChip Semiconductor LLC.</w:t>
              </w:r>
            </w:hyperlink>
          </w:p>
        </w:tc>
        <w:tc>
          <w:tcPr>
            <w:tcW w:w="640" w:type="dxa"/>
            <w:vAlign w:val="bottom"/>
            <w:gridSpan w:val="7"/>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333-165467</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3.6</w:t>
            </w:r>
          </w:p>
        </w:tc>
        <w:tc>
          <w:tcPr>
            <w:tcW w:w="14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11, 2010</w:t>
            </w:r>
          </w:p>
        </w:tc>
      </w:tr>
      <w:tr>
        <w:trPr>
          <w:trHeight w:val="304"/>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3.6</w:t>
            </w:r>
          </w:p>
        </w:tc>
        <w:tc>
          <w:tcPr>
            <w:tcW w:w="100" w:type="dxa"/>
            <w:vAlign w:val="bottom"/>
          </w:tcPr>
          <w:p>
            <w:pPr>
              <w:spacing w:after="0"/>
              <w:rPr>
                <w:sz w:val="24"/>
                <w:szCs w:val="24"/>
                <w:color w:val="auto"/>
              </w:rPr>
            </w:pPr>
          </w:p>
        </w:tc>
        <w:tc>
          <w:tcPr>
            <w:tcW w:w="502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Certificate of Designation, Preferences and Rights of Series A Junior</w:t>
              </w:r>
            </w:hyperlink>
          </w:p>
        </w:tc>
        <w:tc>
          <w:tcPr>
            <w:tcW w:w="300" w:type="dxa"/>
            <w:vAlign w:val="bottom"/>
            <w:gridSpan w:val="5"/>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32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Participating Preferred Stock of MagnaChip Semiconductor Corporation,</w:t>
              </w:r>
            </w:hyperlink>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10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as filed with the Secretary of the State of Delaware on March 6, 2015.</w:t>
              </w:r>
            </w:hyperlink>
          </w:p>
        </w:tc>
        <w:tc>
          <w:tcPr>
            <w:tcW w:w="22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001-34791</w:t>
            </w:r>
          </w:p>
        </w:tc>
        <w:tc>
          <w:tcPr>
            <w:tcW w:w="100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17"/>
                <w:szCs w:val="17"/>
                <w:color w:val="auto"/>
              </w:rPr>
            </w:pPr>
          </w:p>
        </w:tc>
        <w:tc>
          <w:tcPr>
            <w:tcW w:w="1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March 6, 2015</w:t>
            </w:r>
          </w:p>
        </w:tc>
      </w:tr>
      <w:tr>
        <w:trPr>
          <w:trHeight w:val="304"/>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3.7</w:t>
            </w:r>
          </w:p>
        </w:tc>
        <w:tc>
          <w:tcPr>
            <w:tcW w:w="100" w:type="dxa"/>
            <w:vAlign w:val="bottom"/>
          </w:tcPr>
          <w:p>
            <w:pPr>
              <w:spacing w:after="0"/>
              <w:rPr>
                <w:sz w:val="24"/>
                <w:szCs w:val="24"/>
                <w:color w:val="auto"/>
              </w:rPr>
            </w:pPr>
          </w:p>
        </w:tc>
        <w:tc>
          <w:tcPr>
            <w:tcW w:w="51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Certificate of Designation of Series A-1, Junior Participating Preferred</w:t>
              </w:r>
            </w:hyperlink>
          </w:p>
        </w:tc>
        <w:tc>
          <w:tcPr>
            <w:tcW w:w="18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Stock of Magnachip Semiconductor Corporation, as filed with the</w:t>
              </w:r>
            </w:hyperlink>
          </w:p>
        </w:tc>
        <w:tc>
          <w:tcPr>
            <w:tcW w:w="52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8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Secretary of State of Delaware on December 13, 2021.</w:t>
              </w:r>
            </w:hyperlink>
          </w:p>
        </w:tc>
        <w:tc>
          <w:tcPr>
            <w:tcW w:w="1340" w:type="dxa"/>
            <w:vAlign w:val="bottom"/>
            <w:gridSpan w:val="11"/>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001-34791</w:t>
            </w:r>
          </w:p>
        </w:tc>
        <w:tc>
          <w:tcPr>
            <w:tcW w:w="100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17"/>
                <w:szCs w:val="17"/>
                <w:color w:val="auto"/>
              </w:rPr>
            </w:pPr>
          </w:p>
        </w:tc>
        <w:tc>
          <w:tcPr>
            <w:tcW w:w="1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December 14, 2021</w:t>
            </w:r>
          </w:p>
        </w:tc>
      </w:tr>
      <w:tr>
        <w:trPr>
          <w:trHeight w:val="345"/>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53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Form of Preferred Stock Certificate.</w:t>
            </w:r>
          </w:p>
        </w:tc>
        <w:tc>
          <w:tcPr>
            <w:tcW w:w="1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88"/>
              </w:rPr>
              <w:t>*</w:t>
            </w:r>
          </w:p>
        </w:tc>
      </w:tr>
      <w:tr>
        <w:trPr>
          <w:trHeight w:val="324"/>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53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Form of Warrant.</w:t>
            </w:r>
          </w:p>
        </w:tc>
        <w:tc>
          <w:tcPr>
            <w:tcW w:w="1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88"/>
              </w:rPr>
              <w:t>*</w:t>
            </w:r>
          </w:p>
        </w:tc>
      </w:tr>
      <w:tr>
        <w:trPr>
          <w:trHeight w:val="324"/>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53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Form of Warrant Agreement.</w:t>
            </w:r>
          </w:p>
        </w:tc>
        <w:tc>
          <w:tcPr>
            <w:tcW w:w="1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88"/>
              </w:rPr>
              <w:t>*</w:t>
            </w:r>
          </w:p>
        </w:tc>
      </w:tr>
      <w:tr>
        <w:trPr>
          <w:trHeight w:val="324"/>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4"/>
                <w:szCs w:val="24"/>
                <w:color w:val="auto"/>
              </w:rPr>
            </w:pPr>
          </w:p>
        </w:tc>
        <w:tc>
          <w:tcPr>
            <w:tcW w:w="53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Form of Unit Agreement.</w:t>
            </w:r>
          </w:p>
        </w:tc>
        <w:tc>
          <w:tcPr>
            <w:tcW w:w="1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88"/>
              </w:rPr>
              <w:t>*</w:t>
            </w:r>
          </w:p>
        </w:tc>
      </w:tr>
      <w:tr>
        <w:trPr>
          <w:trHeight w:val="324"/>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4"/>
                <w:szCs w:val="24"/>
                <w:color w:val="auto"/>
              </w:rPr>
            </w:pPr>
          </w:p>
        </w:tc>
        <w:tc>
          <w:tcPr>
            <w:tcW w:w="53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Form of Rights Agreement.</w:t>
            </w:r>
          </w:p>
        </w:tc>
        <w:tc>
          <w:tcPr>
            <w:tcW w:w="1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88"/>
              </w:rPr>
              <w:t>*</w:t>
            </w:r>
          </w:p>
        </w:tc>
      </w:tr>
      <w:tr>
        <w:trPr>
          <w:trHeight w:val="324"/>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53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Opinion of Goodwin Procter LLP.</w:t>
            </w:r>
          </w:p>
        </w:tc>
        <w:tc>
          <w:tcPr>
            <w:tcW w:w="1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88"/>
              </w:rPr>
              <w:t>*</w:t>
            </w:r>
          </w:p>
        </w:tc>
      </w:tr>
      <w:tr>
        <w:trPr>
          <w:trHeight w:val="306"/>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23.1*</w:t>
            </w:r>
          </w:p>
        </w:tc>
        <w:tc>
          <w:tcPr>
            <w:tcW w:w="100" w:type="dxa"/>
            <w:vAlign w:val="bottom"/>
          </w:tcPr>
          <w:p>
            <w:pPr>
              <w:spacing w:after="0"/>
              <w:rPr>
                <w:sz w:val="24"/>
                <w:szCs w:val="24"/>
                <w:color w:val="auto"/>
              </w:rPr>
            </w:pPr>
          </w:p>
        </w:tc>
        <w:tc>
          <w:tcPr>
            <w:tcW w:w="53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Consent of Ernst &amp; Young Han Young, Independent Registered Public</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34"/>
        </w:trPr>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Accounting Firm.</w:t>
            </w:r>
          </w:p>
        </w:tc>
        <w:tc>
          <w:tcPr>
            <w:tcW w:w="10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88"/>
              </w:rPr>
              <w:t>*</w:t>
            </w:r>
          </w:p>
        </w:tc>
      </w:tr>
      <w:tr>
        <w:trPr>
          <w:trHeight w:val="306"/>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23.2*</w:t>
            </w:r>
          </w:p>
        </w:tc>
        <w:tc>
          <w:tcPr>
            <w:tcW w:w="100" w:type="dxa"/>
            <w:vAlign w:val="bottom"/>
          </w:tcPr>
          <w:p>
            <w:pPr>
              <w:spacing w:after="0"/>
              <w:rPr>
                <w:sz w:val="24"/>
                <w:szCs w:val="24"/>
                <w:color w:val="auto"/>
              </w:rPr>
            </w:pPr>
          </w:p>
        </w:tc>
        <w:tc>
          <w:tcPr>
            <w:tcW w:w="53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Consent of Samil PricewaterhouseCoopers, Independent Registered</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34"/>
        </w:trPr>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Public Accounting Firm.</w:t>
            </w:r>
          </w:p>
        </w:tc>
        <w:tc>
          <w:tcPr>
            <w:tcW w:w="10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88"/>
              </w:rPr>
              <w:t>*</w:t>
            </w:r>
          </w:p>
        </w:tc>
      </w:tr>
      <w:tr>
        <w:trPr>
          <w:trHeight w:val="324"/>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23.3*</w:t>
            </w:r>
          </w:p>
        </w:tc>
        <w:tc>
          <w:tcPr>
            <w:tcW w:w="100" w:type="dxa"/>
            <w:vAlign w:val="bottom"/>
          </w:tcPr>
          <w:p>
            <w:pPr>
              <w:spacing w:after="0"/>
              <w:rPr>
                <w:sz w:val="24"/>
                <w:szCs w:val="24"/>
                <w:color w:val="auto"/>
              </w:rPr>
            </w:pPr>
          </w:p>
        </w:tc>
        <w:tc>
          <w:tcPr>
            <w:tcW w:w="53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Consent of Goodwin Procter LLP.</w:t>
            </w:r>
          </w:p>
        </w:tc>
        <w:tc>
          <w:tcPr>
            <w:tcW w:w="1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88"/>
              </w:rPr>
              <w:t>*</w:t>
            </w:r>
          </w:p>
        </w:tc>
      </w:tr>
      <w:tr>
        <w:trPr>
          <w:trHeight w:val="283"/>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4"/>
                <w:szCs w:val="24"/>
                <w:color w:val="auto"/>
              </w:rPr>
            </w:pPr>
          </w:p>
        </w:tc>
        <w:tc>
          <w:tcPr>
            <w:tcW w:w="50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Power of Attorney (included in the signature pages to this registration</w:t>
            </w:r>
          </w:p>
        </w:tc>
        <w:tc>
          <w:tcPr>
            <w:tcW w:w="240" w:type="dxa"/>
            <w:vAlign w:val="bottom"/>
            <w:gridSpan w:val="4"/>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rPr>
              <w:t>statement).</w:t>
            </w:r>
          </w:p>
        </w:tc>
        <w:tc>
          <w:tcPr>
            <w:tcW w:w="4480" w:type="dxa"/>
            <w:vAlign w:val="bottom"/>
            <w:gridSpan w:val="14"/>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7"/>
                <w:szCs w:val="17"/>
                <w:color w:val="auto"/>
              </w:rPr>
            </w:pPr>
          </w:p>
        </w:tc>
        <w:tc>
          <w:tcPr>
            <w:tcW w:w="1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p>
        </w:tc>
      </w:tr>
      <w:tr>
        <w:trPr>
          <w:trHeight w:val="345"/>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107*</w:t>
            </w:r>
          </w:p>
        </w:tc>
        <w:tc>
          <w:tcPr>
            <w:tcW w:w="100" w:type="dxa"/>
            <w:vAlign w:val="bottom"/>
          </w:tcPr>
          <w:p>
            <w:pPr>
              <w:spacing w:after="0"/>
              <w:rPr>
                <w:sz w:val="24"/>
                <w:szCs w:val="24"/>
                <w:color w:val="auto"/>
              </w:rPr>
            </w:pPr>
          </w:p>
        </w:tc>
        <w:tc>
          <w:tcPr>
            <w:tcW w:w="53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Filing Fee Table.</w:t>
            </w:r>
          </w:p>
        </w:tc>
        <w:tc>
          <w:tcPr>
            <w:tcW w:w="1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157" w:lineRule="exact"/>
        <w:rPr>
          <w:sz w:val="20"/>
          <w:szCs w:val="20"/>
          <w:color w:val="auto"/>
        </w:rPr>
      </w:pPr>
    </w:p>
    <w:p>
      <w:pPr>
        <w:ind w:left="240" w:right="380" w:hanging="232"/>
        <w:spacing w:after="0" w:line="282" w:lineRule="auto"/>
        <w:tabs>
          <w:tab w:leader="none" w:pos="1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 or as exhibit(s) to a document to be incorporated or deemed to be incorporated by reference in this registration statement, including a Current Report of the Registrant on Form 8-K,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Confidential Treatment Requested by Magnachip Semiconductor Corporation 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w:t>
      </w:r>
      <w:r>
        <w:rPr>
          <w:rFonts w:ascii="Times New Roman" w:cs="Times New Roman" w:eastAsia="Times New Roman" w:hAnsi="Times New Roman"/>
          <w:sz w:val="18"/>
          <w:szCs w:val="18"/>
          <w:b w:val="1"/>
          <w:bCs w:val="1"/>
          <w:i w:val="1"/>
          <w:iCs w:val="1"/>
          <w:color w:val="auto"/>
        </w:rPr>
        <w:t>. Undertakings</w:t>
      </w:r>
    </w:p>
    <w:p>
      <w:pPr>
        <w:spacing w:after="0" w:line="121" w:lineRule="exact"/>
        <w:rPr>
          <w:sz w:val="20"/>
          <w:szCs w:val="20"/>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ind w:left="1140" w:right="40" w:hanging="383"/>
        <w:spacing w:after="0" w:line="255" w:lineRule="auto"/>
        <w:tabs>
          <w:tab w:leader="none" w:pos="114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ind w:left="1140" w:right="300" w:hanging="383"/>
        <w:spacing w:after="0" w:line="282" w:lineRule="auto"/>
        <w:tabs>
          <w:tab w:leader="none" w:pos="114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provided, however, that subparagraphs (i), (ii) and (iii)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 or is contained in a form of prospectus filed pursuant to Rule 424(b) that is part of the registration statement.</w:t>
      </w:r>
    </w:p>
    <w:p>
      <w:pPr>
        <w:spacing w:after="0" w:line="180" w:lineRule="exact"/>
        <w:rPr>
          <w:sz w:val="20"/>
          <w:szCs w:val="20"/>
          <w:color w:val="auto"/>
        </w:rPr>
      </w:pPr>
    </w:p>
    <w:p>
      <w:pPr>
        <w:jc w:val="both"/>
        <w:ind w:left="760" w:right="360" w:hanging="378"/>
        <w:spacing w:after="0" w:line="266"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760" w:right="78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225" w:lineRule="exact"/>
        <w:rPr>
          <w:rFonts w:ascii="Times New Roman" w:cs="Times New Roman" w:eastAsia="Times New Roman" w:hAnsi="Times New Roman"/>
          <w:sz w:val="18"/>
          <w:szCs w:val="18"/>
          <w:color w:val="auto"/>
        </w:rPr>
      </w:pPr>
    </w:p>
    <w:p>
      <w:pPr>
        <w:ind w:left="1140" w:right="40" w:hanging="383"/>
        <w:spacing w:after="0" w:line="282" w:lineRule="auto"/>
        <w:tabs>
          <w:tab w:leader="none" w:pos="1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ind w:left="1140" w:hanging="383"/>
        <w:spacing w:after="0" w:line="253" w:lineRule="auto"/>
        <w:tabs>
          <w:tab w:leader="none" w:pos="1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875030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1" w:right="359" w:bottom="1440" w:gutter="0" w:footer="0" w:header="0"/>
        </w:sectPr>
      </w:pPr>
    </w:p>
    <w:bookmarkStart w:id="33" w:name="page34"/>
    <w:bookmarkEnd w:id="33"/>
    <w:p>
      <w:pPr>
        <w:ind w:left="1898"/>
        <w:spacing w:after="0"/>
        <w:rPr>
          <w:sz w:val="20"/>
          <w:szCs w:val="20"/>
          <w:color w:val="auto"/>
        </w:rPr>
      </w:pPr>
      <w:r>
        <w:rPr>
          <w:rFonts w:ascii="Times New Roman" w:cs="Times New Roman" w:eastAsia="Times New Roman" w:hAnsi="Times New Roman"/>
          <w:sz w:val="13"/>
          <w:szCs w:val="13"/>
          <w:b w:val="1"/>
          <w:bCs w:val="1"/>
          <w:color w:val="auto"/>
        </w:rPr>
        <w:t>Confidential Treatment Requested by Magnachip Semiconductor Corporation 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78" w:right="280" w:hanging="378"/>
        <w:spacing w:after="0" w:line="258" w:lineRule="auto"/>
        <w:tabs>
          <w:tab w:leader="none" w:pos="37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3" w:lineRule="exact"/>
        <w:rPr>
          <w:rFonts w:ascii="Times New Roman" w:cs="Times New Roman" w:eastAsia="Times New Roman" w:hAnsi="Times New Roman"/>
          <w:sz w:val="18"/>
          <w:szCs w:val="18"/>
          <w:color w:val="auto"/>
        </w:rPr>
      </w:pPr>
    </w:p>
    <w:p>
      <w:pPr>
        <w:ind w:left="758" w:hanging="383"/>
        <w:spacing w:after="0"/>
        <w:tabs>
          <w:tab w:leader="none" w:pos="75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225" w:lineRule="exact"/>
        <w:rPr>
          <w:rFonts w:ascii="Times New Roman" w:cs="Times New Roman" w:eastAsia="Times New Roman" w:hAnsi="Times New Roman"/>
          <w:sz w:val="18"/>
          <w:szCs w:val="18"/>
          <w:color w:val="auto"/>
        </w:rPr>
      </w:pPr>
    </w:p>
    <w:p>
      <w:pPr>
        <w:ind w:left="758" w:right="360" w:hanging="383"/>
        <w:spacing w:after="0" w:line="282" w:lineRule="auto"/>
        <w:tabs>
          <w:tab w:leader="none" w:pos="75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758" w:hanging="383"/>
        <w:spacing w:after="0" w:line="282" w:lineRule="auto"/>
        <w:tabs>
          <w:tab w:leader="none" w:pos="75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758" w:hanging="383"/>
        <w:spacing w:after="0"/>
        <w:tabs>
          <w:tab w:leader="none" w:pos="75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ind w:left="378" w:right="160" w:hanging="378"/>
        <w:spacing w:after="0" w:line="261" w:lineRule="auto"/>
        <w:tabs>
          <w:tab w:leader="none" w:pos="37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further undertakes that, for the purposes of determining any liability under the Securities Act, each filing of the annual report of the Registrant pursuant to Section 13(a) or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79" w:lineRule="exact"/>
        <w:rPr>
          <w:rFonts w:ascii="Times New Roman" w:cs="Times New Roman" w:eastAsia="Times New Roman" w:hAnsi="Times New Roman"/>
          <w:sz w:val="18"/>
          <w:szCs w:val="18"/>
          <w:color w:val="auto"/>
        </w:rPr>
      </w:pPr>
    </w:p>
    <w:p>
      <w:pPr>
        <w:ind w:left="378" w:right="60" w:hanging="378"/>
        <w:spacing w:after="0" w:line="254" w:lineRule="auto"/>
        <w:tabs>
          <w:tab w:leader="none" w:pos="37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875030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18"/>
          </w:cols>
          <w:pgMar w:left="702" w:top="771" w:right="37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3"/>
          <w:szCs w:val="13"/>
          <w:b w:val="1"/>
          <w:bCs w:val="1"/>
          <w:color w:val="auto"/>
        </w:rPr>
        <w:t>Confidential Treatment Requested by Magnachip Semiconductor Corporation Pursuant to 17 C.F.R. Section 200.83</w:t>
      </w:r>
    </w:p>
    <w:p>
      <w:pPr>
        <w:spacing w:after="0" w:line="200" w:lineRule="exact"/>
        <w:rPr>
          <w:sz w:val="20"/>
          <w:szCs w:val="20"/>
          <w:color w:val="auto"/>
        </w:rPr>
      </w:pP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Seoul, Republic of Korea, on June , 2026.</w:t>
      </w:r>
    </w:p>
    <w:p>
      <w:pPr>
        <w:spacing w:after="0" w:line="200" w:lineRule="exact"/>
        <w:rPr>
          <w:sz w:val="20"/>
          <w:szCs w:val="20"/>
          <w:color w:val="auto"/>
        </w:rPr>
      </w:pPr>
    </w:p>
    <w:p>
      <w:pPr>
        <w:spacing w:after="0" w:line="21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MAGNACHIP SEMICONDUCTOR CORPORATION</w:t>
      </w:r>
    </w:p>
    <w:p>
      <w:pPr>
        <w:spacing w:after="0" w:line="31"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Camillo 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Camillo Martino</w:t>
      </w:r>
    </w:p>
    <w:p>
      <w:pPr>
        <w:spacing w:after="0" w:line="2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Chairman and Interim Chief Executive</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Officer (Principal Executive Officer)</w:t>
      </w: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severally constitutes and appoints Camillo Martino and Shinyoung Park, and each of them singly, as such person’s true and lawful attorneys in fact and agents, with full power of substitution and resubstitution, for such person and in such person’s name, place, and stead, in any and all capacities, to sign any and all amendments (including post effective amendments or any abbreviated or subsequent registration statement and any supplement to any prospectus included in this registration statement), and to file the same, with all exhibits thereto, and other documents in connection therewith, with the Securities and Exchange Commission, granting unto said attorneys in fact and agents, and each of them, full power and authority to do and perform each and every act and thing requisite and necessary to be done in connection therewith, as fully to all intents and purposes as such person might or could do in person, hereby ratifying and confirming all that said attorneys in fact and agents, or any of them, or such person’s substitute or substitutes, may lawfully do or cause to be done by virtue hereof.</w:t>
      </w:r>
    </w:p>
    <w:p>
      <w:pPr>
        <w:spacing w:after="0" w:line="188"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indicated and on the date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20" w:type="dxa"/>
            <w:vAlign w:val="bottom"/>
          </w:tcPr>
          <w:p>
            <w:pPr>
              <w:spacing w:after="0"/>
              <w:rPr>
                <w:sz w:val="20"/>
                <w:szCs w:val="20"/>
                <w:color w:val="auto"/>
              </w:rPr>
            </w:pP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100" w:type="dxa"/>
            <w:vAlign w:val="bottom"/>
          </w:tcPr>
          <w:p>
            <w:pPr>
              <w:spacing w:after="0"/>
              <w:rPr>
                <w:sz w:val="20"/>
                <w:szCs w:val="20"/>
                <w:color w:val="auto"/>
              </w:rPr>
            </w:pPr>
          </w:p>
        </w:tc>
        <w:tc>
          <w:tcPr>
            <w:tcW w:w="2240" w:type="dxa"/>
            <w:vAlign w:val="bottom"/>
            <w:tcBorders>
              <w:bottom w:val="single" w:sz="8" w:color="auto"/>
            </w:tcBorders>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42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Camillo Martino</w:t>
            </w:r>
          </w:p>
        </w:tc>
        <w:tc>
          <w:tcPr>
            <w:tcW w:w="120" w:type="dxa"/>
            <w:vAlign w:val="bottom"/>
          </w:tcPr>
          <w:p>
            <w:pPr>
              <w:spacing w:after="0"/>
              <w:rPr>
                <w:sz w:val="24"/>
                <w:szCs w:val="24"/>
                <w:color w:val="auto"/>
              </w:rPr>
            </w:pPr>
          </w:p>
        </w:tc>
        <w:tc>
          <w:tcPr>
            <w:tcW w:w="4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Chairman and Interim Chief Executive Officer</w:t>
            </w:r>
          </w:p>
        </w:tc>
        <w:tc>
          <w:tcPr>
            <w:tcW w:w="100" w:type="dxa"/>
            <w:vAlign w:val="bottom"/>
          </w:tcPr>
          <w:p>
            <w:pPr>
              <w:spacing w:after="0"/>
              <w:rPr>
                <w:sz w:val="24"/>
                <w:szCs w:val="24"/>
                <w:color w:val="auto"/>
              </w:rPr>
            </w:pPr>
          </w:p>
        </w:tc>
        <w:tc>
          <w:tcPr>
            <w:tcW w:w="10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June</w:t>
            </w:r>
          </w:p>
        </w:tc>
        <w:tc>
          <w:tcPr>
            <w:tcW w:w="11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 2026</w:t>
            </w:r>
          </w:p>
        </w:tc>
        <w:tc>
          <w:tcPr>
            <w:tcW w:w="0" w:type="dxa"/>
            <w:vAlign w:val="bottom"/>
          </w:tcPr>
          <w:p>
            <w:pPr>
              <w:spacing w:after="0"/>
              <w:rPr>
                <w:sz w:val="1"/>
                <w:szCs w:val="1"/>
                <w:color w:val="auto"/>
              </w:rPr>
            </w:pP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Camillo Martino</w:t>
            </w:r>
          </w:p>
        </w:tc>
        <w:tc>
          <w:tcPr>
            <w:tcW w:w="120" w:type="dxa"/>
            <w:vAlign w:val="bottom"/>
          </w:tcPr>
          <w:p>
            <w:pPr>
              <w:spacing w:after="0"/>
              <w:rPr>
                <w:sz w:val="19"/>
                <w:szCs w:val="19"/>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Shinyoung Park</w:t>
            </w:r>
          </w:p>
        </w:tc>
        <w:tc>
          <w:tcPr>
            <w:tcW w:w="12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00" w:type="dxa"/>
            <w:vAlign w:val="bottom"/>
          </w:tcPr>
          <w:p>
            <w:pPr>
              <w:spacing w:after="0"/>
              <w:rPr>
                <w:sz w:val="24"/>
                <w:szCs w:val="24"/>
                <w:color w:val="auto"/>
              </w:rPr>
            </w:pPr>
          </w:p>
        </w:tc>
        <w:tc>
          <w:tcPr>
            <w:tcW w:w="10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June</w:t>
            </w:r>
          </w:p>
        </w:tc>
        <w:tc>
          <w:tcPr>
            <w:tcW w:w="11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 2026</w:t>
            </w:r>
          </w:p>
        </w:tc>
        <w:tc>
          <w:tcPr>
            <w:tcW w:w="0" w:type="dxa"/>
            <w:vAlign w:val="bottom"/>
          </w:tcPr>
          <w:p>
            <w:pPr>
              <w:spacing w:after="0"/>
              <w:rPr>
                <w:sz w:val="1"/>
                <w:szCs w:val="1"/>
                <w:color w:val="auto"/>
              </w:rPr>
            </w:pPr>
          </w:p>
        </w:tc>
      </w:tr>
      <w:tr>
        <w:trPr>
          <w:trHeight w:val="113"/>
        </w:trPr>
        <w:tc>
          <w:tcPr>
            <w:tcW w:w="42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w:t>
            </w: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Shinyoung Park</w:t>
            </w:r>
          </w:p>
        </w:tc>
        <w:tc>
          <w:tcPr>
            <w:tcW w:w="120" w:type="dxa"/>
            <w:vAlign w:val="bottom"/>
          </w:tcPr>
          <w:p>
            <w:pPr>
              <w:spacing w:after="0"/>
              <w:rPr>
                <w:sz w:val="7"/>
                <w:szCs w:val="7"/>
                <w:color w:val="auto"/>
              </w:rPr>
            </w:pPr>
          </w:p>
        </w:tc>
        <w:tc>
          <w:tcPr>
            <w:tcW w:w="45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5"/>
        </w:trPr>
        <w:tc>
          <w:tcPr>
            <w:tcW w:w="4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Officer)</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4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5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2"/>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Cristiano Amoruso</w:t>
            </w:r>
          </w:p>
        </w:tc>
        <w:tc>
          <w:tcPr>
            <w:tcW w:w="12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100" w:type="dxa"/>
            <w:vAlign w:val="bottom"/>
          </w:tcPr>
          <w:p>
            <w:pPr>
              <w:spacing w:after="0"/>
              <w:rPr>
                <w:sz w:val="24"/>
                <w:szCs w:val="24"/>
                <w:color w:val="auto"/>
              </w:rPr>
            </w:pPr>
          </w:p>
        </w:tc>
        <w:tc>
          <w:tcPr>
            <w:tcW w:w="10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June</w:t>
            </w:r>
          </w:p>
        </w:tc>
        <w:tc>
          <w:tcPr>
            <w:tcW w:w="11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 2026</w:t>
            </w:r>
          </w:p>
        </w:tc>
        <w:tc>
          <w:tcPr>
            <w:tcW w:w="0" w:type="dxa"/>
            <w:vAlign w:val="bottom"/>
          </w:tcPr>
          <w:p>
            <w:pPr>
              <w:spacing w:after="0"/>
              <w:rPr>
                <w:sz w:val="1"/>
                <w:szCs w:val="1"/>
                <w:color w:val="auto"/>
              </w:rPr>
            </w:pP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Cristiano Amoruso</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Liz Chung</w:t>
            </w:r>
          </w:p>
        </w:tc>
        <w:tc>
          <w:tcPr>
            <w:tcW w:w="12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100" w:type="dxa"/>
            <w:vAlign w:val="bottom"/>
          </w:tcPr>
          <w:p>
            <w:pPr>
              <w:spacing w:after="0"/>
              <w:rPr>
                <w:sz w:val="24"/>
                <w:szCs w:val="24"/>
                <w:color w:val="auto"/>
              </w:rPr>
            </w:pPr>
          </w:p>
        </w:tc>
        <w:tc>
          <w:tcPr>
            <w:tcW w:w="10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June</w:t>
            </w:r>
          </w:p>
        </w:tc>
        <w:tc>
          <w:tcPr>
            <w:tcW w:w="11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 2026</w:t>
            </w:r>
          </w:p>
        </w:tc>
        <w:tc>
          <w:tcPr>
            <w:tcW w:w="0" w:type="dxa"/>
            <w:vAlign w:val="bottom"/>
          </w:tcPr>
          <w:p>
            <w:pPr>
              <w:spacing w:after="0"/>
              <w:rPr>
                <w:sz w:val="1"/>
                <w:szCs w:val="1"/>
                <w:color w:val="auto"/>
              </w:rPr>
            </w:pP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Liz Chung</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Gilbert Nathan</w:t>
            </w:r>
          </w:p>
        </w:tc>
        <w:tc>
          <w:tcPr>
            <w:tcW w:w="12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100" w:type="dxa"/>
            <w:vAlign w:val="bottom"/>
          </w:tcPr>
          <w:p>
            <w:pPr>
              <w:spacing w:after="0"/>
              <w:rPr>
                <w:sz w:val="24"/>
                <w:szCs w:val="24"/>
                <w:color w:val="auto"/>
              </w:rPr>
            </w:pPr>
          </w:p>
        </w:tc>
        <w:tc>
          <w:tcPr>
            <w:tcW w:w="10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June</w:t>
            </w:r>
          </w:p>
        </w:tc>
        <w:tc>
          <w:tcPr>
            <w:tcW w:w="11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 2026</w:t>
            </w:r>
          </w:p>
        </w:tc>
        <w:tc>
          <w:tcPr>
            <w:tcW w:w="0" w:type="dxa"/>
            <w:vAlign w:val="bottom"/>
          </w:tcPr>
          <w:p>
            <w:pPr>
              <w:spacing w:after="0"/>
              <w:rPr>
                <w:sz w:val="1"/>
                <w:szCs w:val="1"/>
                <w:color w:val="auto"/>
              </w:rPr>
            </w:pP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Gilbert Nathan</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9"/>
        </w:trPr>
        <w:tc>
          <w:tcPr>
            <w:tcW w:w="4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9">
    <w:nsid w:val="436C6125"/>
    <w:multiLevelType w:val="hybridMultilevel"/>
    <w:lvl w:ilvl="0">
      <w:lvlJc w:val="left"/>
      <w:lvlText w:val="(%1)"/>
      <w:numFmt w:val="decimal"/>
      <w:start w:val="2"/>
    </w:lvl>
    <w:lvl w:ilvl="1">
      <w:lvlJc w:val="left"/>
      <w:lvlText w:val="(%2)"/>
      <w:numFmt w:val="lowerRoman"/>
      <w:start w:val="1"/>
    </w:lvl>
  </w:abstractNum>
  <w:abstractNum w:abstractNumId="20">
    <w:nsid w:val="628C895D"/>
    <w:multiLevelType w:val="hybridMultilevel"/>
    <w:lvl w:ilvl="0">
      <w:lvlJc w:val="left"/>
      <w:lvlText w:val="(%1)"/>
      <w:numFmt w:val="decimal"/>
      <w:start w:val="5"/>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jpe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66" Type="http://schemas.openxmlformats.org/officeDocument/2006/relationships/image" Target="media/image46.png"/><Relationship Id="rId67" Type="http://schemas.openxmlformats.org/officeDocument/2006/relationships/image" Target="media/image47.png"/><Relationship Id="rId68" Type="http://schemas.openxmlformats.org/officeDocument/2006/relationships/image" Target="media/image48.png"/><Relationship Id="rId69"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png"/><Relationship Id="rId44" Type="http://schemas.openxmlformats.org/officeDocument/2006/relationships/hyperlink" Target="https://www.sec.gov/Archives/edgar/data/1325702/000119312526108435/mx-20251231.htm" TargetMode="External"/><Relationship Id="rId45" Type="http://schemas.openxmlformats.org/officeDocument/2006/relationships/hyperlink" Target="https://www.sec.gov/Archives/edgar/data/1325702/000119312526214750/mx-20260331.htm" TargetMode="External"/><Relationship Id="rId46" Type="http://schemas.openxmlformats.org/officeDocument/2006/relationships/hyperlink" Target="https://www.sec.gov/Archives/edgar/data/1325702/000119312526197484/mx-20260430.htm" TargetMode="External"/><Relationship Id="rId47" Type="http://schemas.openxmlformats.org/officeDocument/2006/relationships/hyperlink" Target="https://www.sec.gov/Archives/edgar/data/1325702/000119312526012251/d25690d8k.htm" TargetMode="External"/><Relationship Id="rId48" Type="http://schemas.openxmlformats.org/officeDocument/2006/relationships/hyperlink" Target="https://www.sec.gov/Archives/edgar/data/1325702/000119312526015926/d75112d8k.htm" TargetMode="External"/><Relationship Id="rId49" Type="http://schemas.openxmlformats.org/officeDocument/2006/relationships/hyperlink" Target="https://www.sec.gov/Archives/edgar/data/1325702/000119312525054851/d920621dex41.htm" TargetMode="External"/><Relationship Id="rId59" Type="http://schemas.openxmlformats.org/officeDocument/2006/relationships/hyperlink" Target="https://www.sec.gov/Archives/edgar/data/1325702/000119312511062703/dex31.htm" TargetMode="External"/><Relationship Id="rId60" Type="http://schemas.openxmlformats.org/officeDocument/2006/relationships/hyperlink" Target="https://www.sec.gov/Archives/edgar/data/1325702/000119312511062703/dex32.htm" TargetMode="External"/><Relationship Id="rId61" Type="http://schemas.openxmlformats.org/officeDocument/2006/relationships/hyperlink" Target="https://www.sec.gov/Archives/edgar/data/1325702/000119312520329844/d85816dex31.htm" TargetMode="External"/><Relationship Id="rId62" Type="http://schemas.openxmlformats.org/officeDocument/2006/relationships/hyperlink" Target="https://www.sec.gov/Archives/edgar/data/1325702/000119312516582070/d161114dex31.htm" TargetMode="External"/><Relationship Id="rId63" Type="http://schemas.openxmlformats.org/officeDocument/2006/relationships/hyperlink" Target="https://www.sec.gov/Archives/edgar/data/1325702/000095012310047545/f54652a2exv3w6.htm" TargetMode="External"/><Relationship Id="rId64" Type="http://schemas.openxmlformats.org/officeDocument/2006/relationships/hyperlink" Target="https://www.sec.gov/Archives/edgar/data/1325702/000095014215000541/eh1500371_ex0301.htm" TargetMode="External"/><Relationship Id="rId65" Type="http://schemas.openxmlformats.org/officeDocument/2006/relationships/hyperlink" Target="https://www.sec.gov/Archives/edgar/data/1325702/000119312521355865/d152828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2026-06-12T23:19:06Z</dcterms:created>
  <dcterms:modified xsi:type="dcterms:W3CDTF">2026-06-12T23:19:06Z</dcterms:modified>
</cp:coreProperties>
</file>