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48921d8k.htm"/>
      <w:bookmarkStart w:id="1" w:name="ksd848921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July 31, 2024</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48"/>
        </w:rPr>
      </w:pPr>
      <w:r>
        <w:rPr>
          <w:rFonts w:ascii="Times New Roman" w:hAnsi="Times New Roman"/>
          <w:b/>
          <w:sz w:val="48"/>
        </w:rPr>
        <w:t>Magnachip Semiconductor Corporation</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6743" w:type="dxa"/>
        <w:jc w:val="left"/>
        <w:tblInd w:w="0" w:type="dxa"/>
        <w:tblLayout w:type="fixed"/>
        <w:tblCellMar>
          <w:top w:w="0" w:type="dxa"/>
          <w:left w:w="0" w:type="dxa"/>
          <w:bottom w:w="0" w:type="dxa"/>
          <w:right w:w="0" w:type="dxa"/>
        </w:tblCellMar>
      </w:tblPr>
      <w:tblGrid>
        <w:gridCol w:w="3321"/>
        <w:gridCol w:w="96"/>
        <w:gridCol w:w="1701"/>
        <w:gridCol w:w="60"/>
        <w:gridCol w:w="1565"/>
      </w:tblGrid>
      <w:tr>
        <w:trPr/>
        <w:tc>
          <w:tcPr>
            <w:tcW w:w="3321"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3321" w:type="dxa"/>
            <w:tcBorders/>
            <w:vAlign w:val="center"/>
          </w:tcPr>
          <w:p>
            <w:pPr>
              <w:pStyle w:val="TableContents"/>
              <w:bidi w:val="0"/>
              <w:spacing w:before="0" w:after="283"/>
              <w:jc w:val="center"/>
              <w:rPr>
                <w:b/>
              </w:rPr>
            </w:pPr>
            <w:r>
              <w:rPr>
                <w:b/>
              </w:rPr>
              <w:t>Delaware</w:t>
            </w:r>
          </w:p>
        </w:tc>
        <w:tc>
          <w:tcPr>
            <w:tcW w:w="96"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center"/>
              <w:rPr>
                <w:b/>
              </w:rPr>
            </w:pPr>
            <w:r>
              <w:rPr>
                <w:b/>
              </w:rPr>
              <w:t>001-34791</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rPr>
            </w:pPr>
            <w:r>
              <w:rPr>
                <w:b/>
              </w:rPr>
              <w:t>83-0406195</w:t>
            </w:r>
          </w:p>
        </w:tc>
      </w:tr>
      <w:tr>
        <w:trPr/>
        <w:tc>
          <w:tcPr>
            <w:tcW w:w="3321"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96"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5118" w:type="dxa"/>
            <w:gridSpan w:val="3"/>
            <w:tcBorders/>
            <w:vAlign w:val="center"/>
          </w:tcPr>
          <w:p>
            <w:pPr>
              <w:pStyle w:val="TableContents"/>
              <w:bidi w:val="0"/>
              <w:spacing w:before="0" w:after="283"/>
              <w:jc w:val="left"/>
              <w:rPr>
                <w:sz w:val="4"/>
                <w:szCs w:val="4"/>
              </w:rPr>
            </w:pPr>
            <w:r>
              <w:rPr>
                <w:sz w:val="4"/>
                <w:szCs w:val="4"/>
              </w:rPr>
            </w:r>
          </w:p>
        </w:tc>
        <w:tc>
          <w:tcPr>
            <w:tcW w:w="1625" w:type="dxa"/>
            <w:gridSpan w:val="2"/>
            <w:tcBorders/>
            <w:vAlign w:val="center"/>
          </w:tcPr>
          <w:p>
            <w:pPr>
              <w:pStyle w:val="TableContents"/>
              <w:bidi w:val="0"/>
              <w:spacing w:before="0" w:after="283"/>
              <w:jc w:val="left"/>
              <w:rPr>
                <w:sz w:val="4"/>
                <w:szCs w:val="4"/>
              </w:rPr>
            </w:pPr>
            <w:r>
              <w:rPr>
                <w:sz w:val="4"/>
                <w:szCs w:val="4"/>
              </w:rPr>
            </w:r>
          </w:p>
        </w:tc>
      </w:tr>
      <w:tr>
        <w:trPr/>
        <w:tc>
          <w:tcPr>
            <w:tcW w:w="5118" w:type="dxa"/>
            <w:gridSpan w:val="3"/>
            <w:tcBorders/>
            <w:vAlign w:val="center"/>
          </w:tcPr>
          <w:p>
            <w:pPr>
              <w:pStyle w:val="TableContents"/>
              <w:bidi w:val="0"/>
              <w:spacing w:before="0" w:after="0"/>
              <w:jc w:val="center"/>
              <w:rPr>
                <w:rFonts w:ascii="Times New Roman" w:hAnsi="Times New Roman"/>
                <w:b/>
                <w:sz w:val="20"/>
              </w:rPr>
            </w:pPr>
            <w:bookmarkStart w:id="2" w:name="Fact_2"/>
            <w:bookmarkEnd w:id="2"/>
            <w:r>
              <w:rPr>
                <w:rFonts w:ascii="Times New Roman" w:hAnsi="Times New Roman"/>
                <w:b/>
                <w:sz w:val="20"/>
              </w:rPr>
              <w:t>c/o Magnachip Semiconductor, Ltd.</w:t>
            </w:r>
          </w:p>
          <w:p>
            <w:pPr>
              <w:pStyle w:val="TableContents"/>
              <w:bidi w:val="0"/>
              <w:spacing w:before="0" w:after="0"/>
              <w:jc w:val="center"/>
              <w:rPr>
                <w:rFonts w:ascii="Times New Roman" w:hAnsi="Times New Roman"/>
                <w:b/>
                <w:sz w:val="20"/>
              </w:rPr>
            </w:pPr>
            <w:r>
              <w:rPr>
                <w:rFonts w:ascii="Times New Roman" w:hAnsi="Times New Roman"/>
                <w:b/>
                <w:sz w:val="20"/>
              </w:rPr>
              <w:t>15F, 76 Jikji-daero 436beon-gil, Heungdeok-gu</w:t>
            </w:r>
          </w:p>
          <w:p>
            <w:pPr>
              <w:pStyle w:val="TableContents"/>
              <w:bidi w:val="0"/>
              <w:spacing w:before="0" w:after="20"/>
              <w:jc w:val="center"/>
              <w:rPr>
                <w:rFonts w:ascii="Times New Roman" w:hAnsi="Times New Roman"/>
                <w:b/>
                <w:sz w:val="20"/>
              </w:rPr>
            </w:pPr>
            <w:r>
              <w:rPr>
                <w:rFonts w:ascii="Times New Roman" w:hAnsi="Times New Roman"/>
                <w:b/>
                <w:sz w:val="20"/>
              </w:rPr>
              <w:t>Cheongju-si, Chungcheongbuk-do, 28581, Republic of Korea</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rPr>
            </w:pPr>
            <w:r>
              <w:rPr>
                <w:b/>
              </w:rPr>
              <w:t>Not Applicable</w:t>
            </w:r>
          </w:p>
        </w:tc>
      </w:tr>
      <w:tr>
        <w:trPr/>
        <w:tc>
          <w:tcPr>
            <w:tcW w:w="5118" w:type="dxa"/>
            <w:gridSpan w:val="3"/>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+82 (2) 6903-3000</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410" w:type="dxa"/>
        <w:jc w:val="left"/>
        <w:tblInd w:w="0" w:type="dxa"/>
        <w:tblLayout w:type="fixed"/>
        <w:tblCellMar>
          <w:top w:w="0" w:type="dxa"/>
          <w:left w:w="0" w:type="dxa"/>
          <w:bottom w:w="0" w:type="dxa"/>
          <w:right w:w="0" w:type="dxa"/>
        </w:tblCellMar>
      </w:tblPr>
      <w:tblGrid>
        <w:gridCol w:w="4025"/>
        <w:gridCol w:w="60"/>
        <w:gridCol w:w="605"/>
        <w:gridCol w:w="60"/>
        <w:gridCol w:w="266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MX</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5005" w:type="dxa"/>
        <w:jc w:val="left"/>
        <w:tblInd w:w="0" w:type="dxa"/>
        <w:tblLayout w:type="fixed"/>
        <w:tblCellMar>
          <w:top w:w="0" w:type="dxa"/>
          <w:left w:w="0" w:type="dxa"/>
          <w:bottom w:w="0" w:type="dxa"/>
          <w:right w:w="0" w:type="dxa"/>
        </w:tblCellMar>
      </w:tblPr>
      <w:tblGrid>
        <w:gridCol w:w="1025"/>
        <w:gridCol w:w="3980"/>
      </w:tblGrid>
      <w:tr>
        <w:trPr/>
        <w:tc>
          <w:tcPr>
            <w:tcW w:w="1025" w:type="dxa"/>
            <w:tcBorders/>
            <w:vAlign w:val="center"/>
          </w:tcPr>
          <w:p>
            <w:pPr>
              <w:pStyle w:val="TableContents"/>
              <w:bidi w:val="0"/>
              <w:spacing w:before="0" w:after="283"/>
              <w:jc w:val="left"/>
              <w:rPr>
                <w:b/>
              </w:rPr>
            </w:pPr>
            <w:r>
              <w:rPr>
                <w:b/>
              </w:rPr>
              <w:t>Item 2.02.</w:t>
            </w:r>
          </w:p>
        </w:tc>
        <w:tc>
          <w:tcPr>
            <w:tcW w:w="39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Results of Operations and Financial Condition.</w:t>
            </w:r>
          </w:p>
        </w:tc>
      </w:tr>
    </w:tbl>
    <w:p>
      <w:pPr>
        <w:pStyle w:val="TextBody"/>
        <w:bidi w:val="0"/>
        <w:spacing w:before="120" w:after="0"/>
        <w:jc w:val="left"/>
        <w:rPr>
          <w:rFonts w:ascii="Times New Roman" w:hAnsi="Times New Roman"/>
          <w:sz w:val="20"/>
        </w:rPr>
      </w:pPr>
      <w:r>
        <w:rPr>
          <w:rFonts w:ascii="Times New Roman" w:hAnsi="Times New Roman"/>
          <w:sz w:val="20"/>
        </w:rPr>
        <w:t>Attached hereto as Exhibit 99.1 and incorporated by reference herein is financial information for Magnachip Semiconductor Corporation and its consolidated subsidiaries for the second quarter ended June 30, 2024, as presented in a press release dated July 31, 2024.</w:t>
      </w:r>
    </w:p>
    <w:p>
      <w:pPr>
        <w:pStyle w:val="TextBody"/>
        <w:bidi w:val="0"/>
        <w:spacing w:before="240" w:after="0"/>
        <w:jc w:val="left"/>
        <w:rPr>
          <w:rFonts w:ascii="Times New Roman" w:hAnsi="Times New Roman"/>
          <w:sz w:val="20"/>
        </w:rPr>
      </w:pPr>
      <w:r>
        <w:rPr>
          <w:rFonts w:ascii="Times New Roman" w:hAnsi="Times New Roman"/>
          <w:sz w:val="20"/>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1025"/>
        <w:gridCol w:w="2960"/>
      </w:tblGrid>
      <w:tr>
        <w:trPr/>
        <w:tc>
          <w:tcPr>
            <w:tcW w:w="102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120" w:after="0"/>
        <w:jc w:val="left"/>
        <w:rPr>
          <w:rFonts w:ascii="Times New Roman" w:hAnsi="Times New Roman"/>
          <w:b/>
          <w:sz w:val="20"/>
        </w:rPr>
      </w:pPr>
      <w:r>
        <w:rPr>
          <w:rFonts w:ascii="Times New Roman" w:hAnsi="Times New Roman"/>
          <w:b/>
          <w:sz w:val="20"/>
        </w:rPr>
        <w:t>(d) Exhibits.</w:t>
      </w:r>
    </w:p>
    <w:p>
      <w:pPr>
        <w:pStyle w:val="TextBody"/>
        <w:bidi w:val="0"/>
        <w:spacing w:before="120" w:after="0"/>
        <w:jc w:val="left"/>
        <w:rPr>
          <w:rFonts w:ascii="Times New Roman" w:hAnsi="Times New Roman"/>
          <w:sz w:val="20"/>
        </w:rPr>
      </w:pPr>
      <w:r>
        <w:rPr>
          <w:rFonts w:ascii="Times New Roman" w:hAnsi="Times New Roman"/>
          <w:sz w:val="20"/>
        </w:rPr>
        <w:t>The following exhibit is furnished as part of this report:</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848921dex991.htm">
              <w:r>
                <w:rPr>
                  <w:rStyle w:val="InternetLink"/>
                </w:rPr>
                <w:t xml:space="preserve">Press release for Magnachip Semiconductor Corporation dated July 31, 2024, announcing the results for the second quarter ended June 30, 2024.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SIGNATURE</w:t>
      </w:r>
    </w:p>
    <w:p>
      <w:pPr>
        <w:pStyle w:val="TextBody"/>
        <w:bidi w:val="0"/>
        <w:spacing w:before="240" w:after="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t> </w:t>
      </w:r>
    </w:p>
    <w:tbl>
      <w:tblPr>
        <w:tblW w:w="8138" w:type="dxa"/>
        <w:jc w:val="left"/>
        <w:tblInd w:w="0" w:type="dxa"/>
        <w:tblLayout w:type="fixed"/>
        <w:tblCellMar>
          <w:top w:w="0" w:type="dxa"/>
          <w:left w:w="0" w:type="dxa"/>
          <w:bottom w:w="0" w:type="dxa"/>
          <w:right w:w="0" w:type="dxa"/>
        </w:tblCellMar>
      </w:tblPr>
      <w:tblGrid>
        <w:gridCol w:w="2015"/>
        <w:gridCol w:w="60"/>
        <w:gridCol w:w="23"/>
        <w:gridCol w:w="60"/>
        <w:gridCol w:w="365"/>
        <w:gridCol w:w="60"/>
        <w:gridCol w:w="5555"/>
      </w:tblGrid>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55"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80" w:type="dxa"/>
            <w:gridSpan w:val="3"/>
            <w:tcBorders/>
            <w:vAlign w:val="center"/>
          </w:tcPr>
          <w:p>
            <w:pPr>
              <w:pStyle w:val="TableContents"/>
              <w:bidi w:val="0"/>
              <w:spacing w:before="0" w:after="283"/>
              <w:jc w:val="left"/>
              <w:rPr/>
            </w:pPr>
            <w:r>
              <w:rPr/>
              <w:t>MAGNACHIP SEMICONDUCTOR CORPORATION</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615" w:type="dxa"/>
            <w:gridSpan w:val="2"/>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pPr>
            <w:r>
              <w:rPr/>
              <w:t>Dated: July 31, 2024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Theodore Kim</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left"/>
              <w:rPr/>
            </w:pPr>
            <w:r>
              <w:rPr/>
              <w:t>Theodore Kim</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left"/>
              <w:rPr/>
            </w:pPr>
            <w:r>
              <w:rPr/>
              <w:t>Chief Compliance Officer, General Counsel and Secretary</w:t>
            </w:r>
          </w:p>
        </w:tc>
      </w:tr>
    </w:tbl>
    <w:p>
      <w:pPr>
        <w:pStyle w:val="TextBody"/>
        <w:bidi w:val="0"/>
        <w:spacing w:before="0" w:after="0"/>
        <w:jc w:val="right"/>
        <w:rPr>
          <w:rFonts w:ascii="Times New Roman" w:hAnsi="Times New Roman"/>
          <w:b/>
          <w:sz w:val="20"/>
        </w:rPr>
      </w:pPr>
      <w:bookmarkStart w:id="3" w:name="d848921dex991.htm"/>
      <w:bookmarkStart w:id="4" w:name="ksd848921dex991"/>
      <w:bookmarkEnd w:id="3"/>
      <w:bookmarkEnd w:id="4"/>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438400"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38400" cy="4857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Magnachip Reports Results for Second Quarter 2024 </w:t>
      </w:r>
    </w:p>
    <w:p>
      <w:pPr>
        <w:pStyle w:val="TextBody"/>
        <w:bidi w:val="0"/>
        <w:spacing w:before="240" w:after="0"/>
        <w:jc w:val="left"/>
        <w:rPr>
          <w:rFonts w:ascii="Times New Roman" w:hAnsi="Times New Roman"/>
          <w:b/>
          <w:sz w:val="20"/>
        </w:rPr>
      </w:pPr>
      <w:r>
        <w:rPr>
          <w:rFonts w:ascii="Times New Roman" w:hAnsi="Times New Roman"/>
          <w:b/>
          <w:sz w:val="20"/>
        </w:rPr>
        <w:t xml:space="preserve">Financial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Q2 consolidated revenue was $53.2 million, above the mid-point of guidance range of $49-54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0"/>
        <w:gridCol w:w="8882"/>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Q2 standard product business revenue was up 11.6% sequentially.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Q2 consolidated gross profit margin was 21.8%, above the upper end of guidance range of 17-19%.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Q2 standard product business gross profit margin was 23.1%, up nearly two percentage points sequentially.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Ended Q2 with cash of $132.5 million; and also have an additional short-term financial investment of $30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Repurchased approximately 0.5 million shares for aggregate purchase price of $2.3 million during the quarter.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Operational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Held formal opening ceremony in China for newly formed subsidiary, Magnachip Technology Company, Ltd. (MTC).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Secured a purchase commitment for OLED driver targeted for a premium smartphone OEM; mass production and revenue currently expected to begin by year-end.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Delivered samples of our next-generation OLED driver to a panel supplier for a leading Chinese smartphone OEMs winter 2024 model, now in the final design validation phase.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Taped out a new OLED driver designed with next-generation IP including sub-pixel rendering (SPR), refined color enhancement, color filter, brightness uniformity control and more than 20% reduction in power consumption than previous generation.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Sampled our first OLED smartwatch DDIC in Q2 following a Q1 tape-out, demonstrating our expansion into new, adjacent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Power IC revenue increased sequentially, driven primarily by demand for LCD TVs and OLED IT monitors.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Sequential revenue growth in PAS segment was driven by industrial, communication and consumer applications. Automotive rebounded with new design wins in Japan and China.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Launched new 75A/1200V IGBT for a design opportunity in solar applications; expected to begin mass production in the second half of the year. </w:t>
            </w:r>
          </w:p>
        </w:tc>
      </w:tr>
    </w:tbl>
    <w:p>
      <w:pPr>
        <w:pStyle w:val="TextBody"/>
        <w:bidi w:val="0"/>
        <w:spacing w:before="240" w:after="0"/>
        <w:jc w:val="left"/>
        <w:rPr>
          <w:rFonts w:ascii="Times New Roman" w:hAnsi="Times New Roman"/>
          <w:sz w:val="20"/>
        </w:rPr>
      </w:pPr>
      <w:r>
        <w:rPr>
          <w:rFonts w:ascii="Times New Roman" w:hAnsi="Times New Roman"/>
          <w:b/>
          <w:sz w:val="20"/>
        </w:rPr>
        <w:t>SEOUL, South Korea, July</w:t>
      </w:r>
      <w:r>
        <w:rPr>
          <w:rFonts w:ascii="Times New Roman" w:hAnsi="Times New Roman"/>
          <w:sz w:val="20"/>
        </w:rPr>
        <w:t> </w:t>
      </w:r>
      <w:r>
        <w:rPr>
          <w:rFonts w:ascii="Times New Roman" w:hAnsi="Times New Roman"/>
          <w:b/>
          <w:sz w:val="20"/>
        </w:rPr>
        <w:t>31, 2024</w:t>
      </w:r>
      <w:r>
        <w:rPr>
          <w:rFonts w:ascii="Times New Roman" w:hAnsi="Times New Roman"/>
          <w:sz w:val="20"/>
        </w:rPr>
        <w:t xml:space="preserve">  Magnachip Semiconductor Corporation (NYSE: MX) (Magnachip or the Company) today announced financial results for the second quarter 2024. </w:t>
      </w:r>
    </w:p>
    <w:p>
      <w:pPr>
        <w:pStyle w:val="TextBody"/>
        <w:bidi w:val="0"/>
        <w:spacing w:before="240" w:after="0"/>
        <w:jc w:val="left"/>
        <w:rPr>
          <w:rFonts w:ascii="Times New Roman" w:hAnsi="Times New Roman"/>
          <w:sz w:val="20"/>
        </w:rPr>
      </w:pPr>
      <w:r>
        <w:rPr>
          <w:rFonts w:ascii="Times New Roman" w:hAnsi="Times New Roman"/>
          <w:sz w:val="20"/>
        </w:rPr>
        <w:t xml:space="preserve">YJ Kim, Magnachips CEO, commented, Our Q2 revenue was above the mid-point of guidance and gross margin was better than expected. Revenue in our Standard Products Business, which is comprised of our MSS and PAS businesses, increased sequentially by double digits in Q2. We benefited from a recovery in our Power business, increased demand for OLED drivers for China smartphones and European autos, and an upturn in Power IC demand for OLED IT panels and LED TVs. </w:t>
      </w:r>
    </w:p>
    <w:p>
      <w:pPr>
        <w:pStyle w:val="TextBody"/>
        <w:bidi w:val="0"/>
        <w:spacing w:before="240" w:after="0"/>
        <w:jc w:val="left"/>
        <w:rPr>
          <w:rFonts w:ascii="Times New Roman" w:hAnsi="Times New Roman"/>
          <w:sz w:val="20"/>
        </w:rPr>
      </w:pPr>
      <w:r>
        <w:rPr>
          <w:rFonts w:ascii="Times New Roman" w:hAnsi="Times New Roman"/>
          <w:sz w:val="20"/>
        </w:rPr>
        <w:t xml:space="preserve">YJ Kim added, Looking ahead, we currently expect Standard Product Business revenue will increase sequentially once again in Q3, driven by leaner distribution channels in Power, as well as seasonality, and an increase in OLED and Power IC businesses.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476375" cy="285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76375" cy="2857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Q2 2024 Financial Highlights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37"/>
        <w:gridCol w:w="137"/>
        <w:gridCol w:w="63"/>
        <w:gridCol w:w="801"/>
        <w:gridCol w:w="284"/>
        <w:gridCol w:w="81"/>
        <w:gridCol w:w="63"/>
        <w:gridCol w:w="801"/>
        <w:gridCol w:w="284"/>
        <w:gridCol w:w="81"/>
        <w:gridCol w:w="577"/>
        <w:gridCol w:w="136"/>
        <w:gridCol w:w="60"/>
        <w:gridCol w:w="440"/>
        <w:gridCol w:w="563"/>
        <w:gridCol w:w="81"/>
        <w:gridCol w:w="63"/>
        <w:gridCol w:w="801"/>
        <w:gridCol w:w="284"/>
        <w:gridCol w:w="81"/>
        <w:gridCol w:w="577"/>
        <w:gridCol w:w="137"/>
        <w:gridCol w:w="60"/>
        <w:gridCol w:w="439"/>
        <w:gridCol w:w="574"/>
      </w:tblGrid>
      <w:tr>
        <w:trPr/>
        <w:tc>
          <w:tcPr>
            <w:tcW w:w="2737"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273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757" w:type="dxa"/>
            <w:gridSpan w:val="22"/>
            <w:tcBorders>
              <w:bottom w:val="single" w:sz="8" w:space="0" w:color="000000"/>
            </w:tcBorders>
            <w:tcMar>
              <w:bottom w:w="28" w:type="dxa"/>
            </w:tcMar>
            <w:vAlign w:val="bottom"/>
          </w:tcPr>
          <w:p>
            <w:pPr>
              <w:pStyle w:val="TableContents"/>
              <w:bidi w:val="0"/>
              <w:spacing w:before="0" w:after="283"/>
              <w:jc w:val="center"/>
              <w:rPr/>
            </w:pPr>
            <w:r>
              <w:rPr/>
              <w:t>In thousands of U.S. dollars, except share data</w:t>
            </w:r>
          </w:p>
        </w:tc>
        <w:tc>
          <w:tcPr>
            <w:tcW w:w="574" w:type="dxa"/>
            <w:tcBorders/>
            <w:vAlign w:val="bottom"/>
          </w:tcPr>
          <w:p>
            <w:pPr>
              <w:pStyle w:val="TableContents"/>
              <w:bidi w:val="0"/>
              <w:spacing w:before="0" w:after="283"/>
              <w:jc w:val="left"/>
              <w:rPr/>
            </w:pPr>
            <w:r>
              <w:rPr/>
              <w:t> </w:t>
            </w:r>
          </w:p>
        </w:tc>
      </w:tr>
      <w:tr>
        <w:trPr/>
        <w:tc>
          <w:tcPr>
            <w:tcW w:w="273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757"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GAAP</w:t>
            </w:r>
          </w:p>
        </w:tc>
        <w:tc>
          <w:tcPr>
            <w:tcW w:w="574" w:type="dxa"/>
            <w:tcBorders/>
            <w:vAlign w:val="bottom"/>
          </w:tcPr>
          <w:p>
            <w:pPr>
              <w:pStyle w:val="TableContents"/>
              <w:bidi w:val="0"/>
              <w:spacing w:before="0" w:after="283"/>
              <w:jc w:val="left"/>
              <w:rPr/>
            </w:pPr>
            <w:r>
              <w:rPr/>
              <w:t> </w:t>
            </w:r>
          </w:p>
        </w:tc>
      </w:tr>
      <w:tr>
        <w:trPr/>
        <w:tc>
          <w:tcPr>
            <w:tcW w:w="273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Q2 2024</w:t>
            </w:r>
          </w:p>
        </w:tc>
        <w:tc>
          <w:tcPr>
            <w:tcW w:w="28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Q1 2024</w:t>
            </w:r>
          </w:p>
        </w:tc>
        <w:tc>
          <w:tcPr>
            <w:tcW w:w="28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213" w:type="dxa"/>
            <w:gridSpan w:val="4"/>
            <w:tcBorders>
              <w:bottom w:val="single" w:sz="8" w:space="0" w:color="000000"/>
            </w:tcBorders>
            <w:tcMar>
              <w:bottom w:w="28" w:type="dxa"/>
            </w:tcMar>
            <w:vAlign w:val="bottom"/>
          </w:tcPr>
          <w:p>
            <w:pPr>
              <w:pStyle w:val="TableContents"/>
              <w:bidi w:val="0"/>
              <w:spacing w:before="0" w:after="283"/>
              <w:jc w:val="center"/>
              <w:rPr>
                <w:b/>
              </w:rPr>
            </w:pPr>
            <w:r>
              <w:rPr>
                <w:b/>
              </w:rPr>
              <w:t>Q/Q change</w:t>
            </w:r>
          </w:p>
        </w:tc>
        <w:tc>
          <w:tcPr>
            <w:tcW w:w="56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Q2 2023</w:t>
            </w:r>
          </w:p>
        </w:tc>
        <w:tc>
          <w:tcPr>
            <w:tcW w:w="28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213" w:type="dxa"/>
            <w:gridSpan w:val="4"/>
            <w:tcBorders>
              <w:bottom w:val="single" w:sz="8" w:space="0" w:color="000000"/>
            </w:tcBorders>
            <w:tcMar>
              <w:bottom w:w="28" w:type="dxa"/>
            </w:tcMar>
            <w:vAlign w:val="bottom"/>
          </w:tcPr>
          <w:p>
            <w:pPr>
              <w:pStyle w:val="TableContents"/>
              <w:bidi w:val="0"/>
              <w:spacing w:before="0" w:after="283"/>
              <w:jc w:val="center"/>
              <w:rPr>
                <w:b/>
              </w:rPr>
            </w:pPr>
            <w:r>
              <w:rPr>
                <w:b/>
              </w:rPr>
              <w:t>Y/Y change</w:t>
            </w:r>
          </w:p>
        </w:tc>
        <w:tc>
          <w:tcPr>
            <w:tcW w:w="574" w:type="dxa"/>
            <w:tcBorders/>
            <w:vAlign w:val="bottom"/>
          </w:tcPr>
          <w:p>
            <w:pPr>
              <w:pStyle w:val="TableContents"/>
              <w:bidi w:val="0"/>
              <w:spacing w:before="0" w:after="283"/>
              <w:jc w:val="left"/>
              <w:rPr/>
            </w:pPr>
            <w:r>
              <w:rPr/>
              <w:t> </w:t>
            </w:r>
          </w:p>
        </w:tc>
      </w:tr>
      <w:tr>
        <w:trPr/>
        <w:tc>
          <w:tcPr>
            <w:tcW w:w="273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Consolidated Revenues</w:t>
            </w:r>
          </w:p>
        </w:tc>
        <w:tc>
          <w:tcPr>
            <w:tcW w:w="13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53,171</w:t>
            </w:r>
          </w:p>
        </w:tc>
        <w:tc>
          <w:tcPr>
            <w:tcW w:w="28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49,067</w:t>
            </w:r>
          </w:p>
        </w:tc>
        <w:tc>
          <w:tcPr>
            <w:tcW w:w="28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pPr>
            <w:r>
              <w:rPr/>
              <w:t>up</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8.4</w:t>
            </w:r>
          </w:p>
        </w:tc>
        <w:tc>
          <w:tcPr>
            <w:tcW w:w="56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60,979</w:t>
            </w:r>
          </w:p>
        </w:tc>
        <w:tc>
          <w:tcPr>
            <w:tcW w:w="28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pPr>
            <w:r>
              <w:rPr/>
              <w:t>down</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12.8</w:t>
            </w:r>
          </w:p>
        </w:tc>
        <w:tc>
          <w:tcPr>
            <w:tcW w:w="574" w:type="dxa"/>
            <w:tcBorders/>
            <w:shd w:fill="CCEEFF" w:val="clear"/>
            <w:vAlign w:val="bottom"/>
          </w:tcPr>
          <w:p>
            <w:pPr>
              <w:pStyle w:val="TableContents"/>
              <w:bidi w:val="0"/>
              <w:spacing w:before="0" w:after="283"/>
              <w:jc w:val="left"/>
              <w:rPr/>
            </w:pPr>
            <w:r>
              <w:rPr/>
              <w:t>% </w:t>
            </w:r>
          </w:p>
        </w:tc>
      </w:tr>
      <w:tr>
        <w:trPr/>
        <w:tc>
          <w:tcPr>
            <w:tcW w:w="2737" w:type="dxa"/>
            <w:tcBorders/>
          </w:tcPr>
          <w:p>
            <w:pPr>
              <w:pStyle w:val="TableContents"/>
              <w:bidi w:val="0"/>
              <w:spacing w:before="0" w:after="0"/>
              <w:jc w:val="left"/>
              <w:rPr>
                <w:rFonts w:ascii="Times New Roman" w:hAnsi="Times New Roman"/>
                <w:sz w:val="20"/>
              </w:rPr>
            </w:pPr>
            <w:r>
              <w:rPr>
                <w:rFonts w:ascii="Times New Roman" w:hAnsi="Times New Roman"/>
                <w:sz w:val="20"/>
              </w:rPr>
              <w:t>Standard Products Business</w:t>
            </w:r>
          </w:p>
        </w:tc>
        <w:tc>
          <w:tcPr>
            <w:tcW w:w="13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50,835</w:t>
            </w:r>
          </w:p>
        </w:tc>
        <w:tc>
          <w:tcPr>
            <w:tcW w:w="28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45,541</w:t>
            </w:r>
          </w:p>
        </w:tc>
        <w:tc>
          <w:tcPr>
            <w:tcW w:w="28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up</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11.6</w:t>
            </w:r>
          </w:p>
        </w:tc>
        <w:tc>
          <w:tcPr>
            <w:tcW w:w="56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51,375</w:t>
            </w:r>
          </w:p>
        </w:tc>
        <w:tc>
          <w:tcPr>
            <w:tcW w:w="28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down</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1.1</w:t>
            </w:r>
          </w:p>
        </w:tc>
        <w:tc>
          <w:tcPr>
            <w:tcW w:w="574" w:type="dxa"/>
            <w:tcBorders/>
            <w:vAlign w:val="bottom"/>
          </w:tcPr>
          <w:p>
            <w:pPr>
              <w:pStyle w:val="TableContents"/>
              <w:bidi w:val="0"/>
              <w:spacing w:before="0" w:after="283"/>
              <w:jc w:val="left"/>
              <w:rPr/>
            </w:pPr>
            <w:r>
              <w:rPr/>
              <w:t>% </w:t>
            </w:r>
          </w:p>
        </w:tc>
      </w:tr>
      <w:tr>
        <w:trPr/>
        <w:tc>
          <w:tcPr>
            <w:tcW w:w="2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Mixed-Signal Solutions</w:t>
            </w:r>
          </w:p>
        </w:tc>
        <w:tc>
          <w:tcPr>
            <w:tcW w:w="13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11,595</w:t>
            </w:r>
          </w:p>
        </w:tc>
        <w:tc>
          <w:tcPr>
            <w:tcW w:w="28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9,006</w:t>
            </w:r>
          </w:p>
        </w:tc>
        <w:tc>
          <w:tcPr>
            <w:tcW w:w="28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pPr>
            <w:r>
              <w:rPr/>
              <w:t>up</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28.7</w:t>
            </w:r>
          </w:p>
        </w:tc>
        <w:tc>
          <w:tcPr>
            <w:tcW w:w="56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12,357</w:t>
            </w:r>
          </w:p>
        </w:tc>
        <w:tc>
          <w:tcPr>
            <w:tcW w:w="28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pPr>
            <w:r>
              <w:rPr/>
              <w:t>down</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6.2</w:t>
            </w:r>
          </w:p>
        </w:tc>
        <w:tc>
          <w:tcPr>
            <w:tcW w:w="574" w:type="dxa"/>
            <w:tcBorders/>
            <w:shd w:fill="CCEEFF" w:val="clear"/>
            <w:vAlign w:val="bottom"/>
          </w:tcPr>
          <w:p>
            <w:pPr>
              <w:pStyle w:val="TableContents"/>
              <w:bidi w:val="0"/>
              <w:spacing w:before="0" w:after="283"/>
              <w:jc w:val="left"/>
              <w:rPr/>
            </w:pPr>
            <w:r>
              <w:rPr/>
              <w:t>% </w:t>
            </w:r>
          </w:p>
        </w:tc>
      </w:tr>
      <w:tr>
        <w:trPr/>
        <w:tc>
          <w:tcPr>
            <w:tcW w:w="2737" w:type="dxa"/>
            <w:tcBorders/>
          </w:tcPr>
          <w:p>
            <w:pPr>
              <w:pStyle w:val="TableContents"/>
              <w:bidi w:val="0"/>
              <w:spacing w:before="0" w:after="0"/>
              <w:jc w:val="left"/>
              <w:rPr>
                <w:rFonts w:ascii="Times New Roman" w:hAnsi="Times New Roman"/>
                <w:sz w:val="20"/>
              </w:rPr>
            </w:pPr>
            <w:r>
              <w:rPr>
                <w:rFonts w:ascii="Times New Roman" w:hAnsi="Times New Roman"/>
                <w:sz w:val="20"/>
              </w:rPr>
              <w:t>Power Analog Solutions</w:t>
            </w:r>
          </w:p>
        </w:tc>
        <w:tc>
          <w:tcPr>
            <w:tcW w:w="13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39,240</w:t>
            </w:r>
          </w:p>
        </w:tc>
        <w:tc>
          <w:tcPr>
            <w:tcW w:w="28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36,535</w:t>
            </w:r>
          </w:p>
        </w:tc>
        <w:tc>
          <w:tcPr>
            <w:tcW w:w="28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up</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7.4</w:t>
            </w:r>
          </w:p>
        </w:tc>
        <w:tc>
          <w:tcPr>
            <w:tcW w:w="56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39,018</w:t>
            </w:r>
          </w:p>
        </w:tc>
        <w:tc>
          <w:tcPr>
            <w:tcW w:w="28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up</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0.6</w:t>
            </w:r>
          </w:p>
        </w:tc>
        <w:tc>
          <w:tcPr>
            <w:tcW w:w="574" w:type="dxa"/>
            <w:tcBorders/>
            <w:vAlign w:val="bottom"/>
          </w:tcPr>
          <w:p>
            <w:pPr>
              <w:pStyle w:val="TableContents"/>
              <w:bidi w:val="0"/>
              <w:spacing w:before="0" w:after="283"/>
              <w:jc w:val="left"/>
              <w:rPr/>
            </w:pPr>
            <w:r>
              <w:rPr/>
              <w:t>% </w:t>
            </w:r>
          </w:p>
        </w:tc>
      </w:tr>
      <w:tr>
        <w:trPr/>
        <w:tc>
          <w:tcPr>
            <w:tcW w:w="2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Transitional Fab 3 foundry services(1)</w:t>
            </w:r>
          </w:p>
        </w:tc>
        <w:tc>
          <w:tcPr>
            <w:tcW w:w="13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2,336</w:t>
            </w:r>
          </w:p>
        </w:tc>
        <w:tc>
          <w:tcPr>
            <w:tcW w:w="28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3,526</w:t>
            </w:r>
          </w:p>
        </w:tc>
        <w:tc>
          <w:tcPr>
            <w:tcW w:w="28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pPr>
            <w:r>
              <w:rPr/>
              <w:t>down</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33.7</w:t>
            </w:r>
          </w:p>
        </w:tc>
        <w:tc>
          <w:tcPr>
            <w:tcW w:w="56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9,604</w:t>
            </w:r>
          </w:p>
        </w:tc>
        <w:tc>
          <w:tcPr>
            <w:tcW w:w="28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pPr>
            <w:r>
              <w:rPr/>
              <w:t>down</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75.7</w:t>
            </w:r>
          </w:p>
        </w:tc>
        <w:tc>
          <w:tcPr>
            <w:tcW w:w="574" w:type="dxa"/>
            <w:tcBorders/>
            <w:shd w:fill="CCEEFF" w:val="clear"/>
            <w:vAlign w:val="bottom"/>
          </w:tcPr>
          <w:p>
            <w:pPr>
              <w:pStyle w:val="TableContents"/>
              <w:bidi w:val="0"/>
              <w:spacing w:before="0" w:after="283"/>
              <w:jc w:val="left"/>
              <w:rPr/>
            </w:pPr>
            <w:r>
              <w:rPr/>
              <w:t>% </w:t>
            </w:r>
          </w:p>
        </w:tc>
      </w:tr>
      <w:tr>
        <w:trPr/>
        <w:tc>
          <w:tcPr>
            <w:tcW w:w="2737" w:type="dxa"/>
            <w:tcBorders/>
          </w:tcPr>
          <w:p>
            <w:pPr>
              <w:pStyle w:val="TableContents"/>
              <w:bidi w:val="0"/>
              <w:spacing w:before="0" w:after="0"/>
              <w:jc w:val="left"/>
              <w:rPr>
                <w:rFonts w:ascii="Times New Roman" w:hAnsi="Times New Roman"/>
                <w:b/>
                <w:sz w:val="20"/>
              </w:rPr>
            </w:pPr>
            <w:r>
              <w:rPr>
                <w:rFonts w:ascii="Times New Roman" w:hAnsi="Times New Roman"/>
                <w:b/>
                <w:sz w:val="20"/>
              </w:rPr>
              <w:t>Consolidated Gross Profit Margin</w:t>
            </w:r>
          </w:p>
        </w:tc>
        <w:tc>
          <w:tcPr>
            <w:tcW w:w="13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21.8</w:t>
            </w:r>
          </w:p>
        </w:tc>
        <w:tc>
          <w:tcPr>
            <w:tcW w:w="28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18.3</w:t>
            </w:r>
          </w:p>
        </w:tc>
        <w:tc>
          <w:tcPr>
            <w:tcW w:w="28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up</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3.5</w:t>
            </w:r>
          </w:p>
        </w:tc>
        <w:tc>
          <w:tcPr>
            <w:tcW w:w="563" w:type="dxa"/>
            <w:tcBorders/>
            <w:vAlign w:val="bottom"/>
          </w:tcPr>
          <w:p>
            <w:pPr>
              <w:pStyle w:val="TableContents"/>
              <w:bidi w:val="0"/>
              <w:spacing w:before="0" w:after="283"/>
              <w:jc w:val="left"/>
              <w:rPr/>
            </w:pPr>
            <w:r>
              <w:rPr/>
              <w:t>%pts </w:t>
            </w:r>
          </w:p>
        </w:tc>
        <w:tc>
          <w:tcPr>
            <w:tcW w:w="8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22.2</w:t>
            </w:r>
          </w:p>
        </w:tc>
        <w:tc>
          <w:tcPr>
            <w:tcW w:w="28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down</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0.4</w:t>
            </w:r>
          </w:p>
        </w:tc>
        <w:tc>
          <w:tcPr>
            <w:tcW w:w="574" w:type="dxa"/>
            <w:tcBorders/>
            <w:vAlign w:val="bottom"/>
          </w:tcPr>
          <w:p>
            <w:pPr>
              <w:pStyle w:val="TableContents"/>
              <w:bidi w:val="0"/>
              <w:spacing w:before="0" w:after="283"/>
              <w:jc w:val="left"/>
              <w:rPr/>
            </w:pPr>
            <w:r>
              <w:rPr/>
              <w:t>%pts </w:t>
            </w:r>
          </w:p>
        </w:tc>
      </w:tr>
      <w:tr>
        <w:trPr/>
        <w:tc>
          <w:tcPr>
            <w:tcW w:w="2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Standard Products Business</w:t>
            </w:r>
          </w:p>
        </w:tc>
        <w:tc>
          <w:tcPr>
            <w:tcW w:w="13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23.1</w:t>
            </w:r>
          </w:p>
        </w:tc>
        <w:tc>
          <w:tcPr>
            <w:tcW w:w="28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21.2</w:t>
            </w:r>
          </w:p>
        </w:tc>
        <w:tc>
          <w:tcPr>
            <w:tcW w:w="28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pPr>
            <w:r>
              <w:rPr/>
              <w:t>up</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1.9</w:t>
            </w:r>
          </w:p>
        </w:tc>
        <w:tc>
          <w:tcPr>
            <w:tcW w:w="563" w:type="dxa"/>
            <w:tcBorders/>
            <w:shd w:fill="CCEEFF" w:val="clear"/>
            <w:vAlign w:val="bottom"/>
          </w:tcPr>
          <w:p>
            <w:pPr>
              <w:pStyle w:val="TableContents"/>
              <w:bidi w:val="0"/>
              <w:spacing w:before="0" w:after="283"/>
              <w:jc w:val="left"/>
              <w:rPr/>
            </w:pPr>
            <w:r>
              <w:rPr/>
              <w:t>%pts</w:t>
            </w:r>
          </w:p>
        </w:tc>
        <w:tc>
          <w:tcPr>
            <w:tcW w:w="8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26.3</w:t>
            </w:r>
          </w:p>
        </w:tc>
        <w:tc>
          <w:tcPr>
            <w:tcW w:w="28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pPr>
            <w:r>
              <w:rPr/>
              <w:t>down</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3.2</w:t>
            </w:r>
          </w:p>
        </w:tc>
        <w:tc>
          <w:tcPr>
            <w:tcW w:w="574" w:type="dxa"/>
            <w:tcBorders/>
            <w:shd w:fill="CCEEFF" w:val="clear"/>
            <w:vAlign w:val="bottom"/>
          </w:tcPr>
          <w:p>
            <w:pPr>
              <w:pStyle w:val="TableContents"/>
              <w:bidi w:val="0"/>
              <w:spacing w:before="0" w:after="283"/>
              <w:jc w:val="left"/>
              <w:rPr/>
            </w:pPr>
            <w:r>
              <w:rPr/>
              <w:t>%pts</w:t>
            </w:r>
          </w:p>
        </w:tc>
      </w:tr>
      <w:tr>
        <w:trPr/>
        <w:tc>
          <w:tcPr>
            <w:tcW w:w="2737" w:type="dxa"/>
            <w:tcBorders/>
          </w:tcPr>
          <w:p>
            <w:pPr>
              <w:pStyle w:val="TableContents"/>
              <w:bidi w:val="0"/>
              <w:spacing w:before="0" w:after="0"/>
              <w:jc w:val="left"/>
              <w:rPr>
                <w:rFonts w:ascii="Times New Roman" w:hAnsi="Times New Roman"/>
                <w:sz w:val="20"/>
              </w:rPr>
            </w:pPr>
            <w:r>
              <w:rPr>
                <w:rFonts w:ascii="Times New Roman" w:hAnsi="Times New Roman"/>
                <w:sz w:val="20"/>
              </w:rPr>
              <w:t>Mixed-Signal Solutions</w:t>
            </w:r>
          </w:p>
        </w:tc>
        <w:tc>
          <w:tcPr>
            <w:tcW w:w="13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34.6</w:t>
            </w:r>
          </w:p>
        </w:tc>
        <w:tc>
          <w:tcPr>
            <w:tcW w:w="28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44.6</w:t>
            </w:r>
          </w:p>
        </w:tc>
        <w:tc>
          <w:tcPr>
            <w:tcW w:w="28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down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10.0</w:t>
            </w:r>
          </w:p>
        </w:tc>
        <w:tc>
          <w:tcPr>
            <w:tcW w:w="563" w:type="dxa"/>
            <w:tcBorders/>
            <w:vAlign w:val="bottom"/>
          </w:tcPr>
          <w:p>
            <w:pPr>
              <w:pStyle w:val="TableContents"/>
              <w:bidi w:val="0"/>
              <w:spacing w:before="0" w:after="283"/>
              <w:jc w:val="left"/>
              <w:rPr/>
            </w:pPr>
            <w:r>
              <w:rPr/>
              <w:t>%pts</w:t>
            </w:r>
          </w:p>
        </w:tc>
        <w:tc>
          <w:tcPr>
            <w:tcW w:w="8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36.4</w:t>
            </w:r>
          </w:p>
        </w:tc>
        <w:tc>
          <w:tcPr>
            <w:tcW w:w="28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down</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1.8</w:t>
            </w:r>
          </w:p>
        </w:tc>
        <w:tc>
          <w:tcPr>
            <w:tcW w:w="574" w:type="dxa"/>
            <w:tcBorders/>
            <w:vAlign w:val="bottom"/>
          </w:tcPr>
          <w:p>
            <w:pPr>
              <w:pStyle w:val="TableContents"/>
              <w:bidi w:val="0"/>
              <w:spacing w:before="0" w:after="283"/>
              <w:jc w:val="left"/>
              <w:rPr/>
            </w:pPr>
            <w:r>
              <w:rPr/>
              <w:t>%pts</w:t>
            </w:r>
          </w:p>
        </w:tc>
      </w:tr>
      <w:tr>
        <w:trPr/>
        <w:tc>
          <w:tcPr>
            <w:tcW w:w="2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Power Analog Solutions</w:t>
            </w:r>
          </w:p>
        </w:tc>
        <w:tc>
          <w:tcPr>
            <w:tcW w:w="13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19.7</w:t>
            </w:r>
          </w:p>
        </w:tc>
        <w:tc>
          <w:tcPr>
            <w:tcW w:w="28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15.4</w:t>
            </w:r>
          </w:p>
        </w:tc>
        <w:tc>
          <w:tcPr>
            <w:tcW w:w="28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pPr>
            <w:r>
              <w:rPr/>
              <w:t>up</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4.3</w:t>
            </w:r>
          </w:p>
        </w:tc>
        <w:tc>
          <w:tcPr>
            <w:tcW w:w="563" w:type="dxa"/>
            <w:tcBorders/>
            <w:shd w:fill="CCEEFF" w:val="clear"/>
            <w:vAlign w:val="bottom"/>
          </w:tcPr>
          <w:p>
            <w:pPr>
              <w:pStyle w:val="TableContents"/>
              <w:bidi w:val="0"/>
              <w:spacing w:before="0" w:after="283"/>
              <w:jc w:val="left"/>
              <w:rPr/>
            </w:pPr>
            <w:r>
              <w:rPr/>
              <w:t>%pts</w:t>
            </w:r>
          </w:p>
        </w:tc>
        <w:tc>
          <w:tcPr>
            <w:tcW w:w="8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23.1</w:t>
            </w:r>
          </w:p>
        </w:tc>
        <w:tc>
          <w:tcPr>
            <w:tcW w:w="28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pPr>
            <w:r>
              <w:rPr/>
              <w:t>down</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3.4</w:t>
            </w:r>
          </w:p>
        </w:tc>
        <w:tc>
          <w:tcPr>
            <w:tcW w:w="574" w:type="dxa"/>
            <w:tcBorders/>
            <w:shd w:fill="CCEEFF" w:val="clear"/>
            <w:vAlign w:val="bottom"/>
          </w:tcPr>
          <w:p>
            <w:pPr>
              <w:pStyle w:val="TableContents"/>
              <w:bidi w:val="0"/>
              <w:spacing w:before="0" w:after="283"/>
              <w:jc w:val="left"/>
              <w:rPr/>
            </w:pPr>
            <w:r>
              <w:rPr/>
              <w:t>%pts</w:t>
            </w:r>
          </w:p>
        </w:tc>
      </w:tr>
      <w:tr>
        <w:trPr/>
        <w:tc>
          <w:tcPr>
            <w:tcW w:w="2737"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Loss</w:t>
            </w:r>
          </w:p>
        </w:tc>
        <w:tc>
          <w:tcPr>
            <w:tcW w:w="13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(12,824</w:t>
            </w:r>
          </w:p>
        </w:tc>
        <w:tc>
          <w:tcPr>
            <w:tcW w:w="28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(13,459</w:t>
            </w:r>
          </w:p>
        </w:tc>
        <w:tc>
          <w:tcPr>
            <w:tcW w:w="28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up</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n/a</w:t>
            </w:r>
          </w:p>
        </w:tc>
        <w:tc>
          <w:tcPr>
            <w:tcW w:w="56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(10,656</w:t>
            </w:r>
          </w:p>
        </w:tc>
        <w:tc>
          <w:tcPr>
            <w:tcW w:w="28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down</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n/a</w:t>
            </w:r>
          </w:p>
        </w:tc>
        <w:tc>
          <w:tcPr>
            <w:tcW w:w="574" w:type="dxa"/>
            <w:tcBorders/>
            <w:vAlign w:val="bottom"/>
          </w:tcPr>
          <w:p>
            <w:pPr>
              <w:pStyle w:val="TableContents"/>
              <w:bidi w:val="0"/>
              <w:spacing w:before="0" w:after="283"/>
              <w:jc w:val="left"/>
              <w:rPr/>
            </w:pPr>
            <w:r>
              <w:rPr/>
              <w:t> </w:t>
            </w:r>
          </w:p>
        </w:tc>
      </w:tr>
      <w:tr>
        <w:trPr/>
        <w:tc>
          <w:tcPr>
            <w:tcW w:w="273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13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(12,997</w:t>
            </w:r>
          </w:p>
        </w:tc>
        <w:tc>
          <w:tcPr>
            <w:tcW w:w="28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(15,417</w:t>
            </w:r>
          </w:p>
        </w:tc>
        <w:tc>
          <w:tcPr>
            <w:tcW w:w="28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pPr>
            <w:r>
              <w:rPr/>
              <w:t>up</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n/a</w:t>
            </w:r>
          </w:p>
        </w:tc>
        <w:tc>
          <w:tcPr>
            <w:tcW w:w="56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(3,947</w:t>
            </w:r>
          </w:p>
        </w:tc>
        <w:tc>
          <w:tcPr>
            <w:tcW w:w="28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pPr>
            <w:r>
              <w:rPr/>
              <w:t>down</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n/a</w:t>
            </w:r>
          </w:p>
        </w:tc>
        <w:tc>
          <w:tcPr>
            <w:tcW w:w="574" w:type="dxa"/>
            <w:tcBorders/>
            <w:shd w:fill="CCEEFF" w:val="clear"/>
            <w:vAlign w:val="bottom"/>
          </w:tcPr>
          <w:p>
            <w:pPr>
              <w:pStyle w:val="TableContents"/>
              <w:bidi w:val="0"/>
              <w:spacing w:before="0" w:after="283"/>
              <w:jc w:val="left"/>
              <w:rPr/>
            </w:pPr>
            <w:r>
              <w:rPr/>
              <w:t> </w:t>
            </w:r>
          </w:p>
        </w:tc>
      </w:tr>
      <w:tr>
        <w:trPr/>
        <w:tc>
          <w:tcPr>
            <w:tcW w:w="2737" w:type="dxa"/>
            <w:tcBorders/>
          </w:tcPr>
          <w:p>
            <w:pPr>
              <w:pStyle w:val="TableContents"/>
              <w:bidi w:val="0"/>
              <w:spacing w:before="0" w:after="0"/>
              <w:jc w:val="left"/>
              <w:rPr>
                <w:rFonts w:ascii="Times New Roman" w:hAnsi="Times New Roman"/>
                <w:b/>
                <w:sz w:val="20"/>
              </w:rPr>
            </w:pPr>
            <w:r>
              <w:rPr>
                <w:rFonts w:ascii="Times New Roman" w:hAnsi="Times New Roman"/>
                <w:b/>
                <w:sz w:val="20"/>
              </w:rPr>
              <w:t>Basic Loss per Common Share</w:t>
            </w:r>
          </w:p>
        </w:tc>
        <w:tc>
          <w:tcPr>
            <w:tcW w:w="13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(0.34</w:t>
            </w:r>
          </w:p>
        </w:tc>
        <w:tc>
          <w:tcPr>
            <w:tcW w:w="28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(0.40</w:t>
            </w:r>
          </w:p>
        </w:tc>
        <w:tc>
          <w:tcPr>
            <w:tcW w:w="28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up</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n/a</w:t>
            </w:r>
          </w:p>
        </w:tc>
        <w:tc>
          <w:tcPr>
            <w:tcW w:w="56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(0.09</w:t>
            </w:r>
          </w:p>
        </w:tc>
        <w:tc>
          <w:tcPr>
            <w:tcW w:w="28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down</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n/a</w:t>
            </w:r>
          </w:p>
        </w:tc>
        <w:tc>
          <w:tcPr>
            <w:tcW w:w="574" w:type="dxa"/>
            <w:tcBorders/>
            <w:vAlign w:val="bottom"/>
          </w:tcPr>
          <w:p>
            <w:pPr>
              <w:pStyle w:val="TableContents"/>
              <w:bidi w:val="0"/>
              <w:spacing w:before="0" w:after="283"/>
              <w:jc w:val="left"/>
              <w:rPr/>
            </w:pPr>
            <w:r>
              <w:rPr/>
              <w:t> </w:t>
            </w:r>
          </w:p>
        </w:tc>
      </w:tr>
      <w:tr>
        <w:trPr/>
        <w:tc>
          <w:tcPr>
            <w:tcW w:w="273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Diluted Loss per Common Share</w:t>
            </w:r>
          </w:p>
        </w:tc>
        <w:tc>
          <w:tcPr>
            <w:tcW w:w="13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(0.34</w:t>
            </w:r>
          </w:p>
        </w:tc>
        <w:tc>
          <w:tcPr>
            <w:tcW w:w="28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(0.40</w:t>
            </w:r>
          </w:p>
        </w:tc>
        <w:tc>
          <w:tcPr>
            <w:tcW w:w="28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pPr>
            <w:r>
              <w:rPr/>
              <w:t>up</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n/a</w:t>
            </w:r>
          </w:p>
        </w:tc>
        <w:tc>
          <w:tcPr>
            <w:tcW w:w="56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(0.09</w:t>
            </w:r>
          </w:p>
        </w:tc>
        <w:tc>
          <w:tcPr>
            <w:tcW w:w="28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pPr>
            <w:r>
              <w:rPr/>
              <w:t>down</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n/a</w:t>
            </w:r>
          </w:p>
        </w:tc>
        <w:tc>
          <w:tcPr>
            <w:tcW w:w="574" w:type="dxa"/>
            <w:tcBorders/>
            <w:shd w:fill="CCEEFF" w:val="clear"/>
            <w:vAlign w:val="bottom"/>
          </w:tcPr>
          <w:p>
            <w:pPr>
              <w:pStyle w:val="TableContents"/>
              <w:bidi w:val="0"/>
              <w:spacing w:before="0" w:after="283"/>
              <w:jc w:val="left"/>
              <w:rPr/>
            </w:pPr>
            <w:r>
              <w:rPr/>
              <w:t> </w:t>
            </w:r>
          </w:p>
        </w:tc>
      </w:tr>
      <w:tr>
        <w:trPr>
          <w:trHeight w:val="240" w:hRule="atLeast"/>
        </w:trPr>
        <w:tc>
          <w:tcPr>
            <w:tcW w:w="2737" w:type="dxa"/>
            <w:tcBorders/>
            <w:vAlign w:val="center"/>
          </w:tcPr>
          <w:p>
            <w:pPr>
              <w:pStyle w:val="TableContents"/>
              <w:bidi w:val="0"/>
              <w:spacing w:before="0" w:after="283"/>
              <w:jc w:val="left"/>
              <w:rPr>
                <w:sz w:val="4"/>
                <w:szCs w:val="4"/>
              </w:rPr>
            </w:pPr>
            <w:r>
              <w:rPr>
                <w:sz w:val="4"/>
                <w:szCs w:val="4"/>
              </w:rPr>
            </w:r>
          </w:p>
        </w:tc>
        <w:tc>
          <w:tcPr>
            <w:tcW w:w="7468" w:type="dxa"/>
            <w:gridSpan w:val="24"/>
            <w:tcBorders/>
            <w:vAlign w:val="center"/>
          </w:tcPr>
          <w:p>
            <w:pPr>
              <w:pStyle w:val="TableContents"/>
              <w:bidi w:val="0"/>
              <w:spacing w:before="0" w:after="283"/>
              <w:jc w:val="left"/>
              <w:rPr>
                <w:sz w:val="4"/>
                <w:szCs w:val="4"/>
              </w:rPr>
            </w:pPr>
            <w:r>
              <w:rPr>
                <w:sz w:val="4"/>
                <w:szCs w:val="4"/>
              </w:rPr>
            </w:r>
          </w:p>
        </w:tc>
      </w:tr>
      <w:tr>
        <w:trPr/>
        <w:tc>
          <w:tcPr>
            <w:tcW w:w="273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757" w:type="dxa"/>
            <w:gridSpan w:val="22"/>
            <w:tcBorders>
              <w:bottom w:val="single" w:sz="8" w:space="0" w:color="000000"/>
            </w:tcBorders>
            <w:tcMar>
              <w:bottom w:w="28" w:type="dxa"/>
            </w:tcMar>
            <w:vAlign w:val="bottom"/>
          </w:tcPr>
          <w:p>
            <w:pPr>
              <w:pStyle w:val="TableContents"/>
              <w:bidi w:val="0"/>
              <w:spacing w:before="0" w:after="283"/>
              <w:jc w:val="center"/>
              <w:rPr/>
            </w:pPr>
            <w:r>
              <w:rPr/>
              <w:t>In thousands of U.S. dollars, except share data</w:t>
            </w:r>
          </w:p>
        </w:tc>
        <w:tc>
          <w:tcPr>
            <w:tcW w:w="574" w:type="dxa"/>
            <w:tcBorders/>
            <w:vAlign w:val="bottom"/>
          </w:tcPr>
          <w:p>
            <w:pPr>
              <w:pStyle w:val="TableContents"/>
              <w:bidi w:val="0"/>
              <w:spacing w:before="0" w:after="283"/>
              <w:jc w:val="left"/>
              <w:rPr/>
            </w:pPr>
            <w:r>
              <w:rPr/>
              <w:t> </w:t>
            </w:r>
          </w:p>
        </w:tc>
      </w:tr>
      <w:tr>
        <w:trPr/>
        <w:tc>
          <w:tcPr>
            <w:tcW w:w="273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757"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Non-GAAP(2)</w:t>
            </w:r>
          </w:p>
        </w:tc>
        <w:tc>
          <w:tcPr>
            <w:tcW w:w="574" w:type="dxa"/>
            <w:tcBorders/>
            <w:vAlign w:val="bottom"/>
          </w:tcPr>
          <w:p>
            <w:pPr>
              <w:pStyle w:val="TableContents"/>
              <w:bidi w:val="0"/>
              <w:spacing w:before="0" w:after="283"/>
              <w:jc w:val="left"/>
              <w:rPr/>
            </w:pPr>
            <w:r>
              <w:rPr/>
              <w:t> </w:t>
            </w:r>
          </w:p>
        </w:tc>
      </w:tr>
      <w:tr>
        <w:trPr/>
        <w:tc>
          <w:tcPr>
            <w:tcW w:w="273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Q2 2024</w:t>
            </w:r>
          </w:p>
        </w:tc>
        <w:tc>
          <w:tcPr>
            <w:tcW w:w="28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Q1 2024</w:t>
            </w:r>
          </w:p>
        </w:tc>
        <w:tc>
          <w:tcPr>
            <w:tcW w:w="28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213" w:type="dxa"/>
            <w:gridSpan w:val="4"/>
            <w:tcBorders>
              <w:bottom w:val="single" w:sz="8" w:space="0" w:color="000000"/>
            </w:tcBorders>
            <w:tcMar>
              <w:bottom w:w="28" w:type="dxa"/>
            </w:tcMar>
            <w:vAlign w:val="bottom"/>
          </w:tcPr>
          <w:p>
            <w:pPr>
              <w:pStyle w:val="TableContents"/>
              <w:bidi w:val="0"/>
              <w:spacing w:before="0" w:after="283"/>
              <w:jc w:val="center"/>
              <w:rPr>
                <w:b/>
              </w:rPr>
            </w:pPr>
            <w:r>
              <w:rPr>
                <w:b/>
              </w:rPr>
              <w:t>Q/Q change</w:t>
            </w:r>
          </w:p>
        </w:tc>
        <w:tc>
          <w:tcPr>
            <w:tcW w:w="56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Q2 2023</w:t>
            </w:r>
          </w:p>
        </w:tc>
        <w:tc>
          <w:tcPr>
            <w:tcW w:w="28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213" w:type="dxa"/>
            <w:gridSpan w:val="4"/>
            <w:tcBorders>
              <w:bottom w:val="single" w:sz="8" w:space="0" w:color="000000"/>
            </w:tcBorders>
            <w:tcMar>
              <w:bottom w:w="28" w:type="dxa"/>
            </w:tcMar>
            <w:vAlign w:val="bottom"/>
          </w:tcPr>
          <w:p>
            <w:pPr>
              <w:pStyle w:val="TableContents"/>
              <w:bidi w:val="0"/>
              <w:spacing w:before="0" w:after="283"/>
              <w:jc w:val="center"/>
              <w:rPr>
                <w:b/>
              </w:rPr>
            </w:pPr>
            <w:r>
              <w:rPr>
                <w:b/>
              </w:rPr>
              <w:t>Y/Y change</w:t>
            </w:r>
          </w:p>
        </w:tc>
        <w:tc>
          <w:tcPr>
            <w:tcW w:w="574" w:type="dxa"/>
            <w:tcBorders/>
            <w:vAlign w:val="bottom"/>
          </w:tcPr>
          <w:p>
            <w:pPr>
              <w:pStyle w:val="TableContents"/>
              <w:bidi w:val="0"/>
              <w:spacing w:before="0" w:after="283"/>
              <w:jc w:val="left"/>
              <w:rPr/>
            </w:pPr>
            <w:r>
              <w:rPr/>
              <w:t> </w:t>
            </w:r>
          </w:p>
        </w:tc>
      </w:tr>
      <w:tr>
        <w:trPr/>
        <w:tc>
          <w:tcPr>
            <w:tcW w:w="273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Operating Loss</w:t>
            </w:r>
          </w:p>
        </w:tc>
        <w:tc>
          <w:tcPr>
            <w:tcW w:w="13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(11,608</w:t>
            </w:r>
          </w:p>
        </w:tc>
        <w:tc>
          <w:tcPr>
            <w:tcW w:w="28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(12,559</w:t>
            </w:r>
          </w:p>
        </w:tc>
        <w:tc>
          <w:tcPr>
            <w:tcW w:w="28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pPr>
            <w:r>
              <w:rPr/>
              <w:t>up</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n/a</w:t>
            </w:r>
          </w:p>
        </w:tc>
        <w:tc>
          <w:tcPr>
            <w:tcW w:w="56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(7,762</w:t>
            </w:r>
          </w:p>
        </w:tc>
        <w:tc>
          <w:tcPr>
            <w:tcW w:w="28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pPr>
            <w:r>
              <w:rPr/>
              <w:t>down</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n/a</w:t>
            </w:r>
          </w:p>
        </w:tc>
        <w:tc>
          <w:tcPr>
            <w:tcW w:w="574" w:type="dxa"/>
            <w:tcBorders/>
            <w:shd w:fill="CCEEFF" w:val="clear"/>
            <w:vAlign w:val="bottom"/>
          </w:tcPr>
          <w:p>
            <w:pPr>
              <w:pStyle w:val="TableContents"/>
              <w:bidi w:val="0"/>
              <w:spacing w:before="0" w:after="283"/>
              <w:jc w:val="left"/>
              <w:rPr/>
            </w:pPr>
            <w:r>
              <w:rPr/>
              <w:t> </w:t>
            </w:r>
          </w:p>
        </w:tc>
      </w:tr>
      <w:tr>
        <w:trPr/>
        <w:tc>
          <w:tcPr>
            <w:tcW w:w="2737"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13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(7,569</w:t>
            </w:r>
          </w:p>
        </w:tc>
        <w:tc>
          <w:tcPr>
            <w:tcW w:w="28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(8,441</w:t>
            </w:r>
          </w:p>
        </w:tc>
        <w:tc>
          <w:tcPr>
            <w:tcW w:w="28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up</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n/a</w:t>
            </w:r>
          </w:p>
        </w:tc>
        <w:tc>
          <w:tcPr>
            <w:tcW w:w="56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(3,594</w:t>
            </w:r>
          </w:p>
        </w:tc>
        <w:tc>
          <w:tcPr>
            <w:tcW w:w="28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down</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n/a</w:t>
            </w:r>
          </w:p>
        </w:tc>
        <w:tc>
          <w:tcPr>
            <w:tcW w:w="574" w:type="dxa"/>
            <w:tcBorders/>
            <w:vAlign w:val="bottom"/>
          </w:tcPr>
          <w:p>
            <w:pPr>
              <w:pStyle w:val="TableContents"/>
              <w:bidi w:val="0"/>
              <w:spacing w:before="0" w:after="283"/>
              <w:jc w:val="left"/>
              <w:rPr/>
            </w:pPr>
            <w:r>
              <w:rPr/>
              <w:t> </w:t>
            </w:r>
          </w:p>
        </w:tc>
      </w:tr>
      <w:tr>
        <w:trPr/>
        <w:tc>
          <w:tcPr>
            <w:tcW w:w="273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Net Loss</w:t>
            </w:r>
          </w:p>
        </w:tc>
        <w:tc>
          <w:tcPr>
            <w:tcW w:w="13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(8,134</w:t>
            </w:r>
          </w:p>
        </w:tc>
        <w:tc>
          <w:tcPr>
            <w:tcW w:w="28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(10,884</w:t>
            </w:r>
          </w:p>
        </w:tc>
        <w:tc>
          <w:tcPr>
            <w:tcW w:w="28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pPr>
            <w:r>
              <w:rPr/>
              <w:t>up</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n/a</w:t>
            </w:r>
          </w:p>
        </w:tc>
        <w:tc>
          <w:tcPr>
            <w:tcW w:w="56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(2,472</w:t>
            </w:r>
          </w:p>
        </w:tc>
        <w:tc>
          <w:tcPr>
            <w:tcW w:w="28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pPr>
            <w:r>
              <w:rPr/>
              <w:t>down</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n/a</w:t>
            </w:r>
          </w:p>
        </w:tc>
        <w:tc>
          <w:tcPr>
            <w:tcW w:w="574" w:type="dxa"/>
            <w:tcBorders/>
            <w:shd w:fill="CCEEFF" w:val="clear"/>
            <w:vAlign w:val="bottom"/>
          </w:tcPr>
          <w:p>
            <w:pPr>
              <w:pStyle w:val="TableContents"/>
              <w:bidi w:val="0"/>
              <w:spacing w:before="0" w:after="283"/>
              <w:jc w:val="left"/>
              <w:rPr/>
            </w:pPr>
            <w:r>
              <w:rPr/>
              <w:t> </w:t>
            </w:r>
          </w:p>
        </w:tc>
      </w:tr>
      <w:tr>
        <w:trPr/>
        <w:tc>
          <w:tcPr>
            <w:tcW w:w="2737"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Loss per Common ShareDiluted</w:t>
            </w:r>
          </w:p>
        </w:tc>
        <w:tc>
          <w:tcPr>
            <w:tcW w:w="13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(0.21</w:t>
            </w:r>
          </w:p>
        </w:tc>
        <w:tc>
          <w:tcPr>
            <w:tcW w:w="28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(0.28</w:t>
            </w:r>
          </w:p>
        </w:tc>
        <w:tc>
          <w:tcPr>
            <w:tcW w:w="28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up</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n/a</w:t>
            </w:r>
          </w:p>
        </w:tc>
        <w:tc>
          <w:tcPr>
            <w:tcW w:w="56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(0.06</w:t>
            </w:r>
          </w:p>
        </w:tc>
        <w:tc>
          <w:tcPr>
            <w:tcW w:w="28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down</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n/a</w:t>
            </w:r>
          </w:p>
        </w:tc>
        <w:tc>
          <w:tcPr>
            <w:tcW w:w="574"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consummation of the sale of the Foundry Services Group business and Fab 4 in Q3 2020, we provided transitional foundry services to the buyer for foundry products manufactured in our fabrication facility located in Gumi, Korea, known as Fab 3 (Transitional Fab 3 Foundry Services). The contractual obligation to provide the Transitional Fab 3 Foundry Services ended August 31, 2023, and we are winding down these foundry services and planning to convert portions of the idle capacity to PAS products beginning around the second half of 2024. Because these foundry services during the wind-down period are still provided to the same buyer by us using our Fab 3 based on mutually agreed terms and conditions, we will continue to report our revenue from providing these foundry services and related cost of sales within the Transitional Fab 3 Foundry Services line in our consolidated statement of operations until such wind down is completed. Management believes that disclosing revenue of Transitional Fab 3 Foundry Services separately from the standard products business allows investors to better understand the results of our core standard products MSS and PAS businesses.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Management believes that non-GAAP financial measures, when viewed in conjunction with GAAP results, can provide a meaningful understanding of the factors and trends affecting our business and operations and assist in evaluating our core operating performance. However, such non-GAAP financial measures have limitations and should not be considered as a substitute for net loss or as a better indicator of our operating performance than measures that are presented in accordance with GAAP. A reconciliation of GAAP results to non-GAAP results is included in this press release.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Q3 and Full-year 2024 Financial Guidance </w:t>
      </w:r>
    </w:p>
    <w:p>
      <w:pPr>
        <w:pStyle w:val="TextBody"/>
        <w:bidi w:val="0"/>
        <w:spacing w:before="120" w:after="0"/>
        <w:jc w:val="left"/>
        <w:rPr>
          <w:rFonts w:ascii="Times New Roman" w:hAnsi="Times New Roman"/>
          <w:sz w:val="20"/>
        </w:rPr>
      </w:pPr>
      <w:r>
        <w:rPr>
          <w:rFonts w:ascii="Times New Roman" w:hAnsi="Times New Roman"/>
          <w:sz w:val="20"/>
        </w:rPr>
        <w:t xml:space="preserve">Beginning in Q1, the Company began reporting results under its newly organized businesses: MSS (Mixed-Signal Solutions) and PAS (Power Analog Solutions). While actual results may vary, Magnachip currently expects the following: </w:t>
      </w:r>
    </w:p>
    <w:p>
      <w:pPr>
        <w:pStyle w:val="TextBody"/>
        <w:bidi w:val="0"/>
        <w:spacing w:before="360" w:after="0"/>
        <w:jc w:val="left"/>
        <w:rPr>
          <w:rFonts w:ascii="Times New Roman" w:hAnsi="Times New Roman"/>
          <w:b/>
          <w:sz w:val="20"/>
        </w:rPr>
      </w:pPr>
      <w:r>
        <w:rPr>
          <w:rFonts w:ascii="Times New Roman" w:hAnsi="Times New Roman"/>
          <w:b/>
          <w:sz w:val="20"/>
        </w:rPr>
        <w:t xml:space="preserve">For Q3 2024: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revenue to be in the range of $61.5 to $66.5 million, including approximately $1.5 million of Transitional Foundry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MSS revenue to be in the range of $14.5 to $16.5 million, up 33.7% sequentially and 46.2% year-over-year at the mid-point. This compares with MSS equivalent revenue of $11.6 million in Q2 2024 and $10.6 million in Q3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PAS revenue to be in the range of $45.5 to $48.5 million, up 19.8% sequentially and 14.6% year-over-year at the mid-point. This compares with PAS equivalent revenue of $39.2 million in Q2 2024 and $41.0 million in Q3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gross profit margin to be in the range of 22.5% to 24.5%.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MSS gross profit margin to be in the range of 36.5% to 39.5%. This compares with MSS equivalent gross profit margin of 34.6% in Q2 2024 and 28.8% in Q3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PAS gross profit margin to be in the range of 18.5% to 20.5%. This compares with PAS equivalent gross profit margin of 19.7% in Q2 2024 and 28.6% in Q3 2023.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For the full-year 2024, we currently expect: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MSS revenue to grow double digits year-over-year as compared with MSS equivalent revenue of $44.4 million in 2023, consistent with what we communicated at the beginning of the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PAS revenue to grow double digits year-over-year as compared with PAS equivalent revenue of $151.3 million in 2023, consistent with what we communicated at the beginning of the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Transitional Foundry Services revenue will decline in 2024, as expected. We expect this revenue to phase out by the end of the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revenue flattish-to-slightly down, compared to prior expectation of flat-to-up-slightly year-over-year.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gross profit margin between 19% to 22%, above our prior expectation of 17% to 20%. This compares with the consolidated gross profit margin of 22.4% in 2023. </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497330" cy="29019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97330" cy="29019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Q2 2024 Earnings 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Magnachip will host a corresponding conference call at 2:00 p.m. PT / 5:00 p.m. ET on Wednesday, July 31, 2024, to discuss its financial results. In advance of the conference call, all participants must use the following link to complete the online registration process. Upon registering, each participant will receive access details for this event including the dial-in numbers, a PIN number, and an e-mail with detailed instructions to join the conference call. A live and archived webcast of the conference call and a copy of earnings release will be accessible from the Investors section of the Companys website at </w:t>
      </w:r>
      <w:r>
        <w:rPr>
          <w:rFonts w:ascii="Times New Roman" w:hAnsi="Times New Roman"/>
          <w:sz w:val="20"/>
          <w:u w:val="single"/>
        </w:rPr>
        <w:t>www.magnachip.com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Online registration:</w:t>
      </w:r>
      <w:r>
        <w:rPr>
          <w:rFonts w:ascii="Times New Roman" w:hAnsi="Times New Roman"/>
          <w:sz w:val="20"/>
        </w:rPr>
        <w:t xml:space="preserve"> </w:t>
      </w:r>
      <w:r>
        <w:rPr>
          <w:rFonts w:ascii="Times New Roman" w:hAnsi="Times New Roman"/>
          <w:sz w:val="20"/>
          <w:u w:val="single"/>
        </w:rPr>
        <w:t>https://register.vevent.com/register/BId7d466aa72124a439fec483c2b65d307</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Safe Harbor for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Information in this release regarding Magnachips forecasts, business outlook, expectations and beliefs are forward-looking statements within the meaning of the Private Securities Litigation Reform Act of 1995 that involve risks and uncertainties. These statements include expectations about estimated historical or future operating results and financial performance, outlook and business plans, including third quarter and full year 2024 revenue and gross profit margin expectations, future growth and revenue opportunities from new and existing products and customers, the timing and extent of future revenue contributions by our products and businesses, and the impact of market conditions associated with inflation and higher interest rates, geopolitical conflicts between Russia-Ukraine and between Israel-Hamas, sustained military action and conflict in the Red Sea, and trade tensions between the U.S. and China, on Magnachips third quarter and full year 2024 and future operating results.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among others: the impact of changes in macroeconomic conditions, including those caused by or related to inflation, potential recessions or other deteriorations, economic instability or civil unrest; the geopolitical conflicts between Russia-Ukraine and between Israel-Hamas, sustained military action and conflict in the Red Sea, and trade tensions between the U.S. and China; manufacturing capacity constraints or supply chain disruptions that may impact our ability to deliver our products or affect the price of components, which may lead to an increase in our costs and impact demand for our products from customers who are similarly affected by such capacity constraints or disruptions; the impact of competitive products and pricing; timely acceptance of our designs by customers; timely introduction of new products and technologies; our ability to ramp new products into volume production; industry-wide shifts in supply and demand for semiconductor products; overcapacity within the industry or at Magnachip; effective and cost-efficient utilization of manufacturing capacity; financial stability in foreign markets and the impact of foreign exchange rates; unanticipated costs and expenses or the inability to identify expenses that can be eliminated; compliance with U.S. and international trade and export laws and regulations by us, our customers and our distributors; change to or ratification of local or international laws and regulations, including those related to environment, health and safety; public health issues, other business interruptions that could disrupt supply or delivery of, or demand for, Magnachips products; and other risks detailed from time to time in Magnachips filings with the U.S. Securities and Exchange Commission (the SEC), including our Form 10-K filed on March 8, 2024, and subsequent registration statements, amendments or other reports that we may file from time to time with the SEC and/or make available on our website. Magnachip assumes no obligation and does not intend to update the forward-looking statements provided, whether as a result of new information, future events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About Magnachip Semiconductor </w:t>
      </w:r>
    </w:p>
    <w:p>
      <w:pPr>
        <w:pStyle w:val="TextBody"/>
        <w:bidi w:val="0"/>
        <w:spacing w:before="120" w:after="0"/>
        <w:jc w:val="left"/>
        <w:rPr>
          <w:rFonts w:ascii="Times New Roman" w:hAnsi="Times New Roman"/>
          <w:sz w:val="20"/>
        </w:rPr>
      </w:pPr>
      <w:r>
        <w:rPr>
          <w:rFonts w:ascii="Times New Roman" w:hAnsi="Times New Roman"/>
          <w:sz w:val="20"/>
        </w:rPr>
        <w:t xml:space="preserve">Magnachip is a designer and manufacturer of analog and mixed-signal semiconductor platform solutions for communication, Internet of Things (IoT), consumer, computing, industrial and automotive applications. The Company provides a broad range of standard products to customers worldwide. Magnachip, with more than 40 years of operating history, owns a portfolio of approximately 1,050 registered patents and pending applications, and has extensive engineering, design, and manufacturing process expertise. For more information, please visit </w:t>
      </w:r>
      <w:r>
        <w:rPr>
          <w:rFonts w:ascii="Times New Roman" w:hAnsi="Times New Roman"/>
          <w:sz w:val="20"/>
          <w:u w:val="single"/>
        </w:rPr>
        <w:t>www.magnachip.com</w:t>
      </w:r>
      <w:r>
        <w:rPr>
          <w:rFonts w:ascii="Times New Roman" w:hAnsi="Times New Roman"/>
          <w:sz w:val="20"/>
        </w:rPr>
        <w:t xml:space="preserve">. Information on or accessible through Magnachips website is not a part of, and is not incorporated into, this release.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497330" cy="29019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97330" cy="29019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CONTACT: </w:t>
      </w:r>
    </w:p>
    <w:p>
      <w:pPr>
        <w:pStyle w:val="TextBody"/>
        <w:bidi w:val="0"/>
        <w:spacing w:before="120" w:after="0"/>
        <w:jc w:val="left"/>
        <w:rPr>
          <w:rFonts w:ascii="Times New Roman" w:hAnsi="Times New Roman"/>
          <w:sz w:val="20"/>
        </w:rPr>
      </w:pPr>
      <w:r>
        <w:rPr>
          <w:rFonts w:ascii="Times New Roman" w:hAnsi="Times New Roman"/>
          <w:sz w:val="20"/>
        </w:rPr>
        <w:t xml:space="preserve">Steven C. Pelayo, CFA </w:t>
      </w:r>
    </w:p>
    <w:p>
      <w:pPr>
        <w:pStyle w:val="TextBody"/>
        <w:bidi w:val="0"/>
        <w:spacing w:before="0" w:after="0"/>
        <w:jc w:val="left"/>
        <w:rPr>
          <w:rFonts w:ascii="Times New Roman" w:hAnsi="Times New Roman"/>
          <w:sz w:val="20"/>
        </w:rPr>
      </w:pPr>
      <w:r>
        <w:rPr>
          <w:rFonts w:ascii="Times New Roman" w:hAnsi="Times New Roman"/>
          <w:sz w:val="20"/>
        </w:rPr>
        <w:t xml:space="preserve">The Blueshirt Group </w:t>
      </w:r>
    </w:p>
    <w:p>
      <w:pPr>
        <w:pStyle w:val="TextBody"/>
        <w:bidi w:val="0"/>
        <w:spacing w:before="0" w:after="0"/>
        <w:jc w:val="left"/>
        <w:rPr>
          <w:rFonts w:ascii="Times New Roman" w:hAnsi="Times New Roman"/>
          <w:sz w:val="20"/>
        </w:rPr>
      </w:pPr>
      <w:r>
        <w:rPr>
          <w:rFonts w:ascii="Times New Roman" w:hAnsi="Times New Roman"/>
          <w:sz w:val="20"/>
        </w:rPr>
        <w:t xml:space="preserve">Tel. +1 (360) 808-5154 </w:t>
      </w:r>
    </w:p>
    <w:p>
      <w:pPr>
        <w:pStyle w:val="TextBody"/>
        <w:bidi w:val="0"/>
        <w:spacing w:before="0" w:after="0"/>
        <w:jc w:val="left"/>
        <w:rPr>
          <w:rFonts w:ascii="Times New Roman" w:hAnsi="Times New Roman"/>
          <w:sz w:val="20"/>
        </w:rPr>
      </w:pPr>
      <w:r>
        <w:rPr>
          <w:rFonts w:ascii="Times New Roman" w:hAnsi="Times New Roman"/>
          <w:sz w:val="20"/>
        </w:rPr>
        <w:t xml:space="preserve">steven@blueshirtgroup.co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497330" cy="29019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97330" cy="29019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of U.S. dollars, except share data)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92"/>
        <w:gridCol w:w="191"/>
        <w:gridCol w:w="140"/>
        <w:gridCol w:w="1101"/>
        <w:gridCol w:w="275"/>
        <w:gridCol w:w="134"/>
        <w:gridCol w:w="140"/>
        <w:gridCol w:w="1101"/>
        <w:gridCol w:w="275"/>
        <w:gridCol w:w="134"/>
        <w:gridCol w:w="140"/>
        <w:gridCol w:w="1101"/>
        <w:gridCol w:w="275"/>
        <w:gridCol w:w="134"/>
        <w:gridCol w:w="140"/>
        <w:gridCol w:w="1101"/>
        <w:gridCol w:w="275"/>
        <w:gridCol w:w="134"/>
        <w:gridCol w:w="140"/>
        <w:gridCol w:w="1101"/>
        <w:gridCol w:w="281"/>
      </w:tblGrid>
      <w:tr>
        <w:trPr/>
        <w:tc>
          <w:tcPr>
            <w:tcW w:w="1892"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89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454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89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281" w:type="dxa"/>
            <w:tcBorders/>
            <w:vAlign w:val="bottom"/>
          </w:tcPr>
          <w:p>
            <w:pPr>
              <w:pStyle w:val="TableContents"/>
              <w:bidi w:val="0"/>
              <w:spacing w:before="0" w:after="283"/>
              <w:jc w:val="left"/>
              <w:rPr/>
            </w:pPr>
            <w:r>
              <w:rPr/>
              <w:t> </w:t>
            </w:r>
          </w:p>
        </w:tc>
      </w:tr>
      <w:tr>
        <w:trPr/>
        <w:tc>
          <w:tcPr>
            <w:tcW w:w="189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2024</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2024</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2023</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2024</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2023</w:t>
            </w:r>
          </w:p>
        </w:tc>
        <w:tc>
          <w:tcPr>
            <w:tcW w:w="281" w:type="dxa"/>
            <w:tcBorders/>
            <w:vAlign w:val="bottom"/>
          </w:tcPr>
          <w:p>
            <w:pPr>
              <w:pStyle w:val="TableContents"/>
              <w:bidi w:val="0"/>
              <w:spacing w:before="0" w:after="283"/>
              <w:jc w:val="left"/>
              <w:rPr/>
            </w:pPr>
            <w:r>
              <w:rPr/>
              <w:t> </w:t>
            </w:r>
          </w:p>
        </w:tc>
      </w:tr>
      <w:tr>
        <w:trPr/>
        <w:tc>
          <w:tcPr>
            <w:tcW w:w="1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1"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1892" w:type="dxa"/>
            <w:tcBorders/>
          </w:tcPr>
          <w:p>
            <w:pPr>
              <w:pStyle w:val="TableContents"/>
              <w:bidi w:val="0"/>
              <w:spacing w:before="0" w:after="0"/>
              <w:jc w:val="left"/>
              <w:rPr>
                <w:rFonts w:ascii="Times New Roman" w:hAnsi="Times New Roman"/>
                <w:sz w:val="20"/>
              </w:rPr>
            </w:pPr>
            <w:r>
              <w:rPr>
                <w:rFonts w:ascii="Times New Roman" w:hAnsi="Times New Roman"/>
                <w:sz w:val="20"/>
              </w:rPr>
              <w:t>Net sales  standard products business</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50,835</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45,541</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51,375</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96,376</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102,889</w:t>
            </w:r>
          </w:p>
        </w:tc>
        <w:tc>
          <w:tcPr>
            <w:tcW w:w="281" w:type="dxa"/>
            <w:tcBorders/>
            <w:vAlign w:val="bottom"/>
          </w:tcPr>
          <w:p>
            <w:pPr>
              <w:pStyle w:val="TableContents"/>
              <w:bidi w:val="0"/>
              <w:spacing w:before="0" w:after="283"/>
              <w:jc w:val="left"/>
              <w:rPr/>
            </w:pPr>
            <w:r>
              <w:rPr/>
              <w:t> </w:t>
            </w:r>
          </w:p>
        </w:tc>
      </w:tr>
      <w:tr>
        <w:trPr/>
        <w:tc>
          <w:tcPr>
            <w:tcW w:w="1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  transitional Fab 3 foundry services</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2,336</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3,526</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9,604</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5,862</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15,095</w:t>
            </w:r>
          </w:p>
        </w:tc>
        <w:tc>
          <w:tcPr>
            <w:tcW w:w="281" w:type="dxa"/>
            <w:tcBorders/>
            <w:shd w:fill="CCEEFF" w:val="clear"/>
            <w:vAlign w:val="bottom"/>
          </w:tcPr>
          <w:p>
            <w:pPr>
              <w:pStyle w:val="TableContents"/>
              <w:bidi w:val="0"/>
              <w:spacing w:before="0" w:after="283"/>
              <w:jc w:val="left"/>
              <w:rPr/>
            </w:pPr>
            <w:r>
              <w:rPr/>
              <w:t> </w:t>
            </w:r>
          </w:p>
        </w:tc>
      </w:tr>
      <w:tr>
        <w:trPr/>
        <w:tc>
          <w:tcPr>
            <w:tcW w:w="1892"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1892"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53,171</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49,067</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60,979</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102,238</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117,984</w:t>
            </w:r>
          </w:p>
        </w:tc>
        <w:tc>
          <w:tcPr>
            <w:tcW w:w="281" w:type="dxa"/>
            <w:tcBorders/>
            <w:vAlign w:val="bottom"/>
          </w:tcPr>
          <w:p>
            <w:pPr>
              <w:pStyle w:val="TableContents"/>
              <w:bidi w:val="0"/>
              <w:spacing w:before="0" w:after="283"/>
              <w:jc w:val="left"/>
              <w:rPr/>
            </w:pPr>
            <w:r>
              <w:rPr/>
              <w:t> </w:t>
            </w:r>
          </w:p>
        </w:tc>
      </w:tr>
      <w:tr>
        <w:trPr/>
        <w:tc>
          <w:tcPr>
            <w:tcW w:w="1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1"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1892"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  standard products business</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39,113</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35,888</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37,867</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75,001</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75,179</w:t>
            </w:r>
          </w:p>
        </w:tc>
        <w:tc>
          <w:tcPr>
            <w:tcW w:w="281" w:type="dxa"/>
            <w:tcBorders/>
            <w:vAlign w:val="bottom"/>
          </w:tcPr>
          <w:p>
            <w:pPr>
              <w:pStyle w:val="TableContents"/>
              <w:bidi w:val="0"/>
              <w:spacing w:before="0" w:after="283"/>
              <w:jc w:val="left"/>
              <w:rPr/>
            </w:pPr>
            <w:r>
              <w:rPr/>
              <w:t> </w:t>
            </w:r>
          </w:p>
        </w:tc>
      </w:tr>
      <w:tr>
        <w:trPr/>
        <w:tc>
          <w:tcPr>
            <w:tcW w:w="1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sales  transitional Fab 3 foundry services</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2,457</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4,211</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9,574</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6,668</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17,173</w:t>
            </w:r>
          </w:p>
        </w:tc>
        <w:tc>
          <w:tcPr>
            <w:tcW w:w="281" w:type="dxa"/>
            <w:tcBorders/>
            <w:shd w:fill="CCEEFF" w:val="clear"/>
            <w:vAlign w:val="bottom"/>
          </w:tcPr>
          <w:p>
            <w:pPr>
              <w:pStyle w:val="TableContents"/>
              <w:bidi w:val="0"/>
              <w:spacing w:before="0" w:after="283"/>
              <w:jc w:val="left"/>
              <w:rPr/>
            </w:pPr>
            <w:r>
              <w:rPr/>
              <w:t> </w:t>
            </w:r>
          </w:p>
        </w:tc>
      </w:tr>
      <w:tr>
        <w:trPr/>
        <w:tc>
          <w:tcPr>
            <w:tcW w:w="1892"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1892" w:type="dxa"/>
            <w:tcBorders/>
          </w:tcPr>
          <w:p>
            <w:pPr>
              <w:pStyle w:val="TableContents"/>
              <w:bidi w:val="0"/>
              <w:spacing w:before="0" w:after="0"/>
              <w:jc w:val="left"/>
              <w:rPr>
                <w:rFonts w:ascii="Times New Roman" w:hAnsi="Times New Roman"/>
                <w:sz w:val="20"/>
              </w:rPr>
            </w:pPr>
            <w:r>
              <w:rPr>
                <w:rFonts w:ascii="Times New Roman" w:hAnsi="Times New Roman"/>
                <w:sz w:val="20"/>
              </w:rPr>
              <w:t>Total cost of sales</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41,570</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40,099</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47,441</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81,669</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92,352</w:t>
            </w:r>
          </w:p>
        </w:tc>
        <w:tc>
          <w:tcPr>
            <w:tcW w:w="281" w:type="dxa"/>
            <w:tcBorders/>
            <w:vAlign w:val="bottom"/>
          </w:tcPr>
          <w:p>
            <w:pPr>
              <w:pStyle w:val="TableContents"/>
              <w:bidi w:val="0"/>
              <w:spacing w:before="0" w:after="283"/>
              <w:jc w:val="left"/>
              <w:rPr/>
            </w:pPr>
            <w:r>
              <w:rPr/>
              <w:t> </w:t>
            </w:r>
          </w:p>
        </w:tc>
      </w:tr>
      <w:tr>
        <w:trPr/>
        <w:tc>
          <w:tcPr>
            <w:tcW w:w="1892"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1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11,601</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8,968</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13,538</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20,569</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25,632</w:t>
            </w:r>
          </w:p>
        </w:tc>
        <w:tc>
          <w:tcPr>
            <w:tcW w:w="281" w:type="dxa"/>
            <w:tcBorders/>
            <w:shd w:fill="CCEEFF" w:val="clear"/>
            <w:vAlign w:val="bottom"/>
          </w:tcPr>
          <w:p>
            <w:pPr>
              <w:pStyle w:val="TableContents"/>
              <w:bidi w:val="0"/>
              <w:spacing w:before="0" w:after="283"/>
              <w:jc w:val="left"/>
              <w:rPr/>
            </w:pPr>
            <w:r>
              <w:rPr/>
              <w:t> </w:t>
            </w:r>
          </w:p>
        </w:tc>
      </w:tr>
      <w:tr>
        <w:trPr/>
        <w:tc>
          <w:tcPr>
            <w:tcW w:w="1892" w:type="dxa"/>
            <w:tcBorders/>
          </w:tcPr>
          <w:p>
            <w:pPr>
              <w:pStyle w:val="TableContents"/>
              <w:bidi w:val="0"/>
              <w:spacing w:before="0" w:after="0"/>
              <w:jc w:val="left"/>
              <w:rPr>
                <w:rFonts w:ascii="Times New Roman" w:hAnsi="Times New Roman"/>
                <w:sz w:val="20"/>
              </w:rPr>
            </w:pPr>
            <w:r>
              <w:rPr>
                <w:rFonts w:ascii="Times New Roman" w:hAnsi="Times New Roman"/>
                <w:sz w:val="20"/>
              </w:rPr>
              <w:t>Gross profit as a percentage of standard products business net sales</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23.1</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21.2</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26.3</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22.2</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26.9</w:t>
            </w:r>
          </w:p>
        </w:tc>
        <w:tc>
          <w:tcPr>
            <w:tcW w:w="281" w:type="dxa"/>
            <w:tcBorders/>
            <w:vAlign w:val="bottom"/>
          </w:tcPr>
          <w:p>
            <w:pPr>
              <w:pStyle w:val="TableContents"/>
              <w:bidi w:val="0"/>
              <w:spacing w:before="0" w:after="283"/>
              <w:jc w:val="left"/>
              <w:rPr/>
            </w:pPr>
            <w:r>
              <w:rPr/>
              <w:t>% </w:t>
            </w:r>
          </w:p>
        </w:tc>
      </w:tr>
      <w:tr>
        <w:trPr/>
        <w:tc>
          <w:tcPr>
            <w:tcW w:w="1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 as a percentage of total revenues</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21.8</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18.3</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22.2</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20.1</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21.7</w:t>
            </w:r>
          </w:p>
        </w:tc>
        <w:tc>
          <w:tcPr>
            <w:tcW w:w="281" w:type="dxa"/>
            <w:tcBorders/>
            <w:shd w:fill="CCEEFF" w:val="clear"/>
            <w:vAlign w:val="bottom"/>
          </w:tcPr>
          <w:p>
            <w:pPr>
              <w:pStyle w:val="TableContents"/>
              <w:bidi w:val="0"/>
              <w:spacing w:before="0" w:after="283"/>
              <w:jc w:val="left"/>
              <w:rPr/>
            </w:pPr>
            <w:r>
              <w:rPr/>
              <w:t>% </w:t>
            </w:r>
          </w:p>
        </w:tc>
      </w:tr>
      <w:tr>
        <w:trPr/>
        <w:tc>
          <w:tcPr>
            <w:tcW w:w="1892"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1"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1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11,734</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11,264</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12,137</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22,998</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24,302</w:t>
            </w:r>
          </w:p>
        </w:tc>
        <w:tc>
          <w:tcPr>
            <w:tcW w:w="281" w:type="dxa"/>
            <w:tcBorders/>
            <w:shd w:fill="CCEEFF" w:val="clear"/>
            <w:vAlign w:val="bottom"/>
          </w:tcPr>
          <w:p>
            <w:pPr>
              <w:pStyle w:val="TableContents"/>
              <w:bidi w:val="0"/>
              <w:spacing w:before="0" w:after="283"/>
              <w:jc w:val="left"/>
              <w:rPr/>
            </w:pPr>
            <w:r>
              <w:rPr/>
              <w:t> </w:t>
            </w:r>
          </w:p>
        </w:tc>
      </w:tr>
      <w:tr>
        <w:trPr/>
        <w:tc>
          <w:tcPr>
            <w:tcW w:w="1892"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12,691</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11,163</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11,255</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23,854</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24,553</w:t>
            </w:r>
          </w:p>
        </w:tc>
        <w:tc>
          <w:tcPr>
            <w:tcW w:w="281" w:type="dxa"/>
            <w:tcBorders/>
            <w:vAlign w:val="bottom"/>
          </w:tcPr>
          <w:p>
            <w:pPr>
              <w:pStyle w:val="TableContents"/>
              <w:bidi w:val="0"/>
              <w:spacing w:before="0" w:after="283"/>
              <w:jc w:val="left"/>
              <w:rPr/>
            </w:pPr>
            <w:r>
              <w:rPr/>
              <w:t> </w:t>
            </w:r>
          </w:p>
        </w:tc>
      </w:tr>
      <w:tr>
        <w:trPr/>
        <w:tc>
          <w:tcPr>
            <w:tcW w:w="1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Early termination and other charges</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802</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9,251</w:t>
            </w:r>
          </w:p>
        </w:tc>
        <w:tc>
          <w:tcPr>
            <w:tcW w:w="281" w:type="dxa"/>
            <w:tcBorders/>
            <w:shd w:fill="CCEEFF" w:val="clear"/>
            <w:vAlign w:val="bottom"/>
          </w:tcPr>
          <w:p>
            <w:pPr>
              <w:pStyle w:val="TableContents"/>
              <w:bidi w:val="0"/>
              <w:spacing w:before="0" w:after="283"/>
              <w:jc w:val="left"/>
              <w:rPr/>
            </w:pPr>
            <w:r>
              <w:rPr/>
              <w:t> </w:t>
            </w:r>
          </w:p>
        </w:tc>
      </w:tr>
      <w:tr>
        <w:trPr/>
        <w:tc>
          <w:tcPr>
            <w:tcW w:w="1892"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1892"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24,425</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22,427</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24,194</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46,852</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58,106</w:t>
            </w:r>
          </w:p>
        </w:tc>
        <w:tc>
          <w:tcPr>
            <w:tcW w:w="281" w:type="dxa"/>
            <w:tcBorders/>
            <w:vAlign w:val="bottom"/>
          </w:tcPr>
          <w:p>
            <w:pPr>
              <w:pStyle w:val="TableContents"/>
              <w:bidi w:val="0"/>
              <w:spacing w:before="0" w:after="283"/>
              <w:jc w:val="left"/>
              <w:rPr/>
            </w:pPr>
            <w:r>
              <w:rPr/>
              <w:t> </w:t>
            </w:r>
          </w:p>
        </w:tc>
      </w:tr>
      <w:tr>
        <w:trPr/>
        <w:tc>
          <w:tcPr>
            <w:tcW w:w="1892"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1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(12,824</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(13,459</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(10,656</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(26,283</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(32,474</w:t>
            </w:r>
          </w:p>
        </w:tc>
        <w:tc>
          <w:tcPr>
            <w:tcW w:w="281" w:type="dxa"/>
            <w:tcBorders/>
            <w:shd w:fill="CCEEFF" w:val="clear"/>
            <w:vAlign w:val="bottom"/>
          </w:tcPr>
          <w:p>
            <w:pPr>
              <w:pStyle w:val="TableContents"/>
              <w:bidi w:val="0"/>
              <w:spacing w:before="0" w:after="283"/>
              <w:jc w:val="left"/>
              <w:rPr/>
            </w:pPr>
            <w:r>
              <w:rPr/>
              <w:t>) </w:t>
            </w:r>
          </w:p>
        </w:tc>
      </w:tr>
      <w:tr>
        <w:trPr/>
        <w:tc>
          <w:tcPr>
            <w:tcW w:w="1892"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2,228</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2,213</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2,692</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4,441</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5,534</w:t>
            </w:r>
          </w:p>
        </w:tc>
        <w:tc>
          <w:tcPr>
            <w:tcW w:w="281" w:type="dxa"/>
            <w:tcBorders/>
            <w:vAlign w:val="bottom"/>
          </w:tcPr>
          <w:p>
            <w:pPr>
              <w:pStyle w:val="TableContents"/>
              <w:bidi w:val="0"/>
              <w:spacing w:before="0" w:after="283"/>
              <w:jc w:val="left"/>
              <w:rPr/>
            </w:pPr>
            <w:r>
              <w:rPr/>
              <w:t> </w:t>
            </w:r>
          </w:p>
        </w:tc>
      </w:tr>
      <w:tr>
        <w:trPr/>
        <w:tc>
          <w:tcPr>
            <w:tcW w:w="1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(554</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(238</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(200</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(792</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(456</w:t>
            </w:r>
          </w:p>
        </w:tc>
        <w:tc>
          <w:tcPr>
            <w:tcW w:w="281" w:type="dxa"/>
            <w:tcBorders/>
            <w:shd w:fill="CCEEFF" w:val="clear"/>
            <w:vAlign w:val="bottom"/>
          </w:tcPr>
          <w:p>
            <w:pPr>
              <w:pStyle w:val="TableContents"/>
              <w:bidi w:val="0"/>
              <w:spacing w:before="0" w:after="283"/>
              <w:jc w:val="left"/>
              <w:rPr/>
            </w:pPr>
            <w:r>
              <w:rPr/>
              <w:t>) </w:t>
            </w:r>
          </w:p>
        </w:tc>
      </w:tr>
      <w:tr>
        <w:trPr/>
        <w:tc>
          <w:tcPr>
            <w:tcW w:w="1892"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gain (loss), net</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(3,557</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(5,001</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1,237</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(8,558</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(2,193</w:t>
            </w:r>
          </w:p>
        </w:tc>
        <w:tc>
          <w:tcPr>
            <w:tcW w:w="281" w:type="dxa"/>
            <w:tcBorders/>
            <w:vAlign w:val="bottom"/>
          </w:tcPr>
          <w:p>
            <w:pPr>
              <w:pStyle w:val="TableContents"/>
              <w:bidi w:val="0"/>
              <w:spacing w:before="0" w:after="283"/>
              <w:jc w:val="left"/>
              <w:rPr/>
            </w:pPr>
            <w:r>
              <w:rPr/>
              <w:t>) </w:t>
            </w:r>
          </w:p>
        </w:tc>
      </w:tr>
      <w:tr>
        <w:trPr/>
        <w:tc>
          <w:tcPr>
            <w:tcW w:w="1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(loss), net</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108</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44</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3</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152</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(32</w:t>
            </w:r>
          </w:p>
        </w:tc>
        <w:tc>
          <w:tcPr>
            <w:tcW w:w="281" w:type="dxa"/>
            <w:tcBorders/>
            <w:shd w:fill="CCEEFF" w:val="clear"/>
            <w:vAlign w:val="bottom"/>
          </w:tcPr>
          <w:p>
            <w:pPr>
              <w:pStyle w:val="TableContents"/>
              <w:bidi w:val="0"/>
              <w:spacing w:before="0" w:after="283"/>
              <w:jc w:val="left"/>
              <w:rPr/>
            </w:pPr>
            <w:r>
              <w:rPr/>
              <w:t>) </w:t>
            </w:r>
          </w:p>
        </w:tc>
      </w:tr>
      <w:tr>
        <w:trPr/>
        <w:tc>
          <w:tcPr>
            <w:tcW w:w="1892"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1892"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income tax benefit</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(14,599</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(16,441</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(6,924</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(31,040</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(29,621</w:t>
            </w:r>
          </w:p>
        </w:tc>
        <w:tc>
          <w:tcPr>
            <w:tcW w:w="281" w:type="dxa"/>
            <w:tcBorders/>
            <w:vAlign w:val="bottom"/>
          </w:tcPr>
          <w:p>
            <w:pPr>
              <w:pStyle w:val="TableContents"/>
              <w:bidi w:val="0"/>
              <w:spacing w:before="0" w:after="283"/>
              <w:jc w:val="left"/>
              <w:rPr/>
            </w:pPr>
            <w:r>
              <w:rPr/>
              <w:t>) </w:t>
            </w:r>
          </w:p>
        </w:tc>
      </w:tr>
      <w:tr>
        <w:trPr/>
        <w:tc>
          <w:tcPr>
            <w:tcW w:w="1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benefit</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(1,602</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(1,024</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(2,977</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(2,626</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(4,204</w:t>
            </w:r>
          </w:p>
        </w:tc>
        <w:tc>
          <w:tcPr>
            <w:tcW w:w="281" w:type="dxa"/>
            <w:tcBorders/>
            <w:shd w:fill="CCEEFF" w:val="clear"/>
            <w:vAlign w:val="bottom"/>
          </w:tcPr>
          <w:p>
            <w:pPr>
              <w:pStyle w:val="TableContents"/>
              <w:bidi w:val="0"/>
              <w:spacing w:before="0" w:after="283"/>
              <w:jc w:val="left"/>
              <w:rPr/>
            </w:pPr>
            <w:r>
              <w:rPr/>
              <w:t>) </w:t>
            </w:r>
          </w:p>
        </w:tc>
      </w:tr>
      <w:tr>
        <w:trPr/>
        <w:tc>
          <w:tcPr>
            <w:tcW w:w="1892"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1892"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(12,997</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(15,417</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(3,947</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(28,414</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(25,417</w:t>
            </w:r>
          </w:p>
        </w:tc>
        <w:tc>
          <w:tcPr>
            <w:tcW w:w="281" w:type="dxa"/>
            <w:tcBorders/>
            <w:vAlign w:val="bottom"/>
          </w:tcPr>
          <w:p>
            <w:pPr>
              <w:pStyle w:val="TableContents"/>
              <w:bidi w:val="0"/>
              <w:spacing w:before="0" w:after="283"/>
              <w:jc w:val="left"/>
              <w:rPr/>
            </w:pPr>
            <w:r>
              <w:rPr/>
              <w:t>) </w:t>
            </w:r>
          </w:p>
        </w:tc>
      </w:tr>
      <w:tr>
        <w:trPr/>
        <w:tc>
          <w:tcPr>
            <w:tcW w:w="1892"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1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loss per common share</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1" w:type="dxa"/>
            <w:tcBorders/>
            <w:shd w:fill="CCEEFF" w:val="clear"/>
            <w:vAlign w:val="bottom"/>
          </w:tcPr>
          <w:p>
            <w:pPr>
              <w:pStyle w:val="TableContents"/>
              <w:bidi w:val="0"/>
              <w:spacing w:before="0" w:after="283"/>
              <w:jc w:val="right"/>
              <w:rPr/>
            </w:pPr>
            <w:r>
              <w:rPr/>
              <w:t>(0.34</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(0.40</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1" w:type="dxa"/>
            <w:tcBorders/>
            <w:shd w:fill="CCEEFF" w:val="clear"/>
            <w:vAlign w:val="bottom"/>
          </w:tcPr>
          <w:p>
            <w:pPr>
              <w:pStyle w:val="TableContents"/>
              <w:bidi w:val="0"/>
              <w:spacing w:before="0" w:after="283"/>
              <w:jc w:val="right"/>
              <w:rPr/>
            </w:pPr>
            <w:r>
              <w:rPr/>
              <w:t>(0.09</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1" w:type="dxa"/>
            <w:tcBorders/>
            <w:shd w:fill="CCEEFF" w:val="clear"/>
            <w:vAlign w:val="bottom"/>
          </w:tcPr>
          <w:p>
            <w:pPr>
              <w:pStyle w:val="TableContents"/>
              <w:bidi w:val="0"/>
              <w:spacing w:before="0" w:after="283"/>
              <w:jc w:val="right"/>
              <w:rPr/>
            </w:pPr>
            <w:r>
              <w:rPr/>
              <w:t>(0.74</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1" w:type="dxa"/>
            <w:tcBorders/>
            <w:shd w:fill="CCEEFF" w:val="clear"/>
            <w:vAlign w:val="bottom"/>
          </w:tcPr>
          <w:p>
            <w:pPr>
              <w:pStyle w:val="TableContents"/>
              <w:bidi w:val="0"/>
              <w:spacing w:before="0" w:after="283"/>
              <w:jc w:val="right"/>
              <w:rPr/>
            </w:pPr>
            <w:r>
              <w:rPr/>
              <w:t>(0.60</w:t>
            </w:r>
          </w:p>
        </w:tc>
        <w:tc>
          <w:tcPr>
            <w:tcW w:w="281" w:type="dxa"/>
            <w:tcBorders/>
            <w:shd w:fill="CCEEFF" w:val="clear"/>
            <w:vAlign w:val="bottom"/>
          </w:tcPr>
          <w:p>
            <w:pPr>
              <w:pStyle w:val="TableContents"/>
              <w:bidi w:val="0"/>
              <w:spacing w:before="0" w:after="283"/>
              <w:jc w:val="left"/>
              <w:rPr/>
            </w:pPr>
            <w:r>
              <w:rPr/>
              <w:t>) </w:t>
            </w:r>
          </w:p>
        </w:tc>
      </w:tr>
      <w:tr>
        <w:trPr/>
        <w:tc>
          <w:tcPr>
            <w:tcW w:w="1892" w:type="dxa"/>
            <w:tcBorders/>
          </w:tcPr>
          <w:p>
            <w:pPr>
              <w:pStyle w:val="TableContents"/>
              <w:bidi w:val="0"/>
              <w:spacing w:before="0" w:after="0"/>
              <w:jc w:val="left"/>
              <w:rPr>
                <w:rFonts w:ascii="Times New Roman" w:hAnsi="Times New Roman"/>
                <w:sz w:val="20"/>
              </w:rPr>
            </w:pPr>
            <w:r>
              <w:rPr>
                <w:rFonts w:ascii="Times New Roman" w:hAnsi="Times New Roman"/>
                <w:sz w:val="20"/>
              </w:rPr>
              <w:t>Diluted loss per common share</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(0.34</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(0.40</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(0.09</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(0.74</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(0.60</w:t>
            </w:r>
          </w:p>
        </w:tc>
        <w:tc>
          <w:tcPr>
            <w:tcW w:w="281" w:type="dxa"/>
            <w:tcBorders/>
            <w:vAlign w:val="bottom"/>
          </w:tcPr>
          <w:p>
            <w:pPr>
              <w:pStyle w:val="TableContents"/>
              <w:bidi w:val="0"/>
              <w:spacing w:before="0" w:after="283"/>
              <w:jc w:val="left"/>
              <w:rPr/>
            </w:pPr>
            <w:r>
              <w:rPr/>
              <w:t>) </w:t>
            </w:r>
          </w:p>
        </w:tc>
      </w:tr>
      <w:tr>
        <w:trPr/>
        <w:tc>
          <w:tcPr>
            <w:tcW w:w="1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1"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1892"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38,174,920</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38,544,781</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41,741,310</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38,359,851</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42,561,514</w:t>
            </w:r>
          </w:p>
        </w:tc>
        <w:tc>
          <w:tcPr>
            <w:tcW w:w="281" w:type="dxa"/>
            <w:tcBorders/>
            <w:vAlign w:val="bottom"/>
          </w:tcPr>
          <w:p>
            <w:pPr>
              <w:pStyle w:val="TableContents"/>
              <w:bidi w:val="0"/>
              <w:spacing w:before="0" w:after="283"/>
              <w:jc w:val="left"/>
              <w:rPr/>
            </w:pPr>
            <w:r>
              <w:rPr/>
              <w:t> </w:t>
            </w:r>
          </w:p>
        </w:tc>
      </w:tr>
      <w:tr>
        <w:trPr/>
        <w:tc>
          <w:tcPr>
            <w:tcW w:w="1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38,174,920</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38,544,781</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41,741,310</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38,359,851</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42,561,514</w:t>
            </w:r>
          </w:p>
        </w:tc>
        <w:tc>
          <w:tcPr>
            <w:tcW w:w="281"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497330" cy="29019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97330" cy="29019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of U.S. dollars, except share data)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10"/>
        <w:gridCol w:w="223"/>
        <w:gridCol w:w="140"/>
        <w:gridCol w:w="882"/>
        <w:gridCol w:w="155"/>
        <w:gridCol w:w="181"/>
        <w:gridCol w:w="195"/>
        <w:gridCol w:w="1260"/>
        <w:gridCol w:w="159"/>
      </w:tblGrid>
      <w:tr>
        <w:trPr/>
        <w:tc>
          <w:tcPr>
            <w:tcW w:w="701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1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22"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2024</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55"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2023</w:t>
            </w:r>
          </w:p>
        </w:tc>
        <w:tc>
          <w:tcPr>
            <w:tcW w:w="159" w:type="dxa"/>
            <w:tcBorders/>
            <w:vAlign w:val="bottom"/>
          </w:tcPr>
          <w:p>
            <w:pPr>
              <w:pStyle w:val="TableContents"/>
              <w:bidi w:val="0"/>
              <w:spacing w:before="0" w:after="283"/>
              <w:jc w:val="left"/>
              <w:rPr/>
            </w:pPr>
            <w:r>
              <w:rPr/>
              <w:t> </w:t>
            </w:r>
          </w:p>
        </w:tc>
      </w:tr>
      <w:tr>
        <w:trPr/>
        <w:tc>
          <w:tcPr>
            <w:tcW w:w="70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010"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6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132,467</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60" w:type="dxa"/>
            <w:tcBorders/>
            <w:shd w:fill="CCEEFF" w:val="clear"/>
            <w:vAlign w:val="bottom"/>
          </w:tcPr>
          <w:p>
            <w:pPr>
              <w:pStyle w:val="TableContents"/>
              <w:bidi w:val="0"/>
              <w:spacing w:before="0" w:after="283"/>
              <w:jc w:val="right"/>
              <w:rPr/>
            </w:pPr>
            <w:r>
              <w:rPr/>
              <w:t>158,092</w:t>
            </w:r>
          </w:p>
        </w:tc>
        <w:tc>
          <w:tcPr>
            <w:tcW w:w="159" w:type="dxa"/>
            <w:tcBorders/>
            <w:shd w:fill="CCEEFF" w:val="clear"/>
            <w:vAlign w:val="bottom"/>
          </w:tcPr>
          <w:p>
            <w:pPr>
              <w:pStyle w:val="TableContents"/>
              <w:bidi w:val="0"/>
              <w:spacing w:before="0" w:after="283"/>
              <w:jc w:val="left"/>
              <w:rPr/>
            </w:pPr>
            <w:r>
              <w:rPr/>
              <w:t> </w:t>
            </w:r>
          </w:p>
        </w:tc>
      </w:tr>
      <w:tr>
        <w:trPr/>
        <w:tc>
          <w:tcPr>
            <w:tcW w:w="7010" w:type="dxa"/>
            <w:tcBorders/>
          </w:tcPr>
          <w:p>
            <w:pPr>
              <w:pStyle w:val="TableContents"/>
              <w:bidi w:val="0"/>
              <w:spacing w:before="0" w:after="0"/>
              <w:jc w:val="left"/>
              <w:rPr>
                <w:rFonts w:ascii="Times New Roman" w:hAnsi="Times New Roman"/>
                <w:sz w:val="20"/>
              </w:rPr>
            </w:pPr>
            <w:r>
              <w:rPr>
                <w:rFonts w:ascii="Times New Roman" w:hAnsi="Times New Roman"/>
                <w:sz w:val="20"/>
              </w:rPr>
              <w:t>Short-term financial instruments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30,000</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31,175</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32,641</w:t>
            </w:r>
          </w:p>
        </w:tc>
        <w:tc>
          <w:tcPr>
            <w:tcW w:w="159" w:type="dxa"/>
            <w:tcBorders/>
            <w:shd w:fill="CCEEFF" w:val="clear"/>
            <w:vAlign w:val="bottom"/>
          </w:tcPr>
          <w:p>
            <w:pPr>
              <w:pStyle w:val="TableContents"/>
              <w:bidi w:val="0"/>
              <w:spacing w:before="0" w:after="283"/>
              <w:jc w:val="left"/>
              <w:rPr/>
            </w:pPr>
            <w:r>
              <w:rPr/>
              <w:t> </w:t>
            </w:r>
          </w:p>
        </w:tc>
      </w:tr>
      <w:tr>
        <w:trPr/>
        <w:tc>
          <w:tcPr>
            <w:tcW w:w="7010" w:type="dxa"/>
            <w:tcBorders/>
          </w:tcPr>
          <w:p>
            <w:pPr>
              <w:pStyle w:val="TableContents"/>
              <w:bidi w:val="0"/>
              <w:spacing w:before="0" w:after="0"/>
              <w:jc w:val="left"/>
              <w:rPr>
                <w:rFonts w:ascii="Times New Roman" w:hAnsi="Times New Roman"/>
                <w:sz w:val="20"/>
              </w:rPr>
            </w:pPr>
            <w:r>
              <w:rPr>
                <w:rFonts w:ascii="Times New Roman" w:hAnsi="Times New Roman"/>
                <w:sz w:val="20"/>
              </w:rPr>
              <w:t>Inventories, net</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34,783</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32,733</w:t>
            </w:r>
          </w:p>
        </w:tc>
        <w:tc>
          <w:tcPr>
            <w:tcW w:w="159" w:type="dxa"/>
            <w:tcBorders/>
            <w:vAlign w:val="bottom"/>
          </w:tcPr>
          <w:p>
            <w:pPr>
              <w:pStyle w:val="TableContents"/>
              <w:bidi w:val="0"/>
              <w:spacing w:before="0" w:after="283"/>
              <w:jc w:val="left"/>
              <w:rPr/>
            </w:pPr>
            <w:r>
              <w:rPr/>
              <w:t> </w:t>
            </w:r>
          </w:p>
        </w:tc>
      </w:tr>
      <w:tr>
        <w:trPr/>
        <w:tc>
          <w:tcPr>
            <w:tcW w:w="7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receivables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3,977</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4,295</w:t>
            </w:r>
          </w:p>
        </w:tc>
        <w:tc>
          <w:tcPr>
            <w:tcW w:w="159" w:type="dxa"/>
            <w:tcBorders/>
            <w:shd w:fill="CCEEFF" w:val="clear"/>
            <w:vAlign w:val="bottom"/>
          </w:tcPr>
          <w:p>
            <w:pPr>
              <w:pStyle w:val="TableContents"/>
              <w:bidi w:val="0"/>
              <w:spacing w:before="0" w:after="283"/>
              <w:jc w:val="left"/>
              <w:rPr/>
            </w:pPr>
            <w:r>
              <w:rPr/>
              <w:t> </w:t>
            </w:r>
          </w:p>
        </w:tc>
      </w:tr>
      <w:tr>
        <w:trPr/>
        <w:tc>
          <w:tcPr>
            <w:tcW w:w="7010"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8,548</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7,390</w:t>
            </w:r>
          </w:p>
        </w:tc>
        <w:tc>
          <w:tcPr>
            <w:tcW w:w="159" w:type="dxa"/>
            <w:tcBorders/>
            <w:vAlign w:val="bottom"/>
          </w:tcPr>
          <w:p>
            <w:pPr>
              <w:pStyle w:val="TableContents"/>
              <w:bidi w:val="0"/>
              <w:spacing w:before="0" w:after="283"/>
              <w:jc w:val="left"/>
              <w:rPr/>
            </w:pPr>
            <w:r>
              <w:rPr/>
              <w:t> </w:t>
            </w:r>
          </w:p>
        </w:tc>
      </w:tr>
      <w:tr>
        <w:trPr/>
        <w:tc>
          <w:tcPr>
            <w:tcW w:w="7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Hedge collateral</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1,600</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1,000</w:t>
            </w:r>
          </w:p>
        </w:tc>
        <w:tc>
          <w:tcPr>
            <w:tcW w:w="159" w:type="dxa"/>
            <w:tcBorders/>
            <w:shd w:fill="CCEEFF" w:val="clear"/>
            <w:vAlign w:val="bottom"/>
          </w:tcPr>
          <w:p>
            <w:pPr>
              <w:pStyle w:val="TableContents"/>
              <w:bidi w:val="0"/>
              <w:spacing w:before="0" w:after="283"/>
              <w:jc w:val="left"/>
              <w:rPr/>
            </w:pPr>
            <w:r>
              <w:rPr/>
              <w:t> </w:t>
            </w:r>
          </w:p>
        </w:tc>
      </w:tr>
      <w:tr>
        <w:trPr/>
        <w:tc>
          <w:tcPr>
            <w:tcW w:w="7010"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11,653</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9,283</w:t>
            </w:r>
          </w:p>
        </w:tc>
        <w:tc>
          <w:tcPr>
            <w:tcW w:w="159" w:type="dxa"/>
            <w:tcBorders/>
            <w:vAlign w:val="bottom"/>
          </w:tcPr>
          <w:p>
            <w:pPr>
              <w:pStyle w:val="TableContents"/>
              <w:bidi w:val="0"/>
              <w:spacing w:before="0" w:after="283"/>
              <w:jc w:val="left"/>
              <w:rPr/>
            </w:pPr>
            <w:r>
              <w:rPr/>
              <w:t> </w:t>
            </w:r>
          </w:p>
        </w:tc>
      </w:tr>
      <w:tr>
        <w:trPr/>
        <w:tc>
          <w:tcPr>
            <w:tcW w:w="7010"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254,203</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245,434</w:t>
            </w:r>
          </w:p>
        </w:tc>
        <w:tc>
          <w:tcPr>
            <w:tcW w:w="159" w:type="dxa"/>
            <w:tcBorders/>
            <w:shd w:fill="CCEEFF" w:val="clear"/>
            <w:vAlign w:val="bottom"/>
          </w:tcPr>
          <w:p>
            <w:pPr>
              <w:pStyle w:val="TableContents"/>
              <w:bidi w:val="0"/>
              <w:spacing w:before="0" w:after="283"/>
              <w:jc w:val="left"/>
              <w:rPr/>
            </w:pPr>
            <w:r>
              <w:rPr/>
              <w:t> </w:t>
            </w:r>
          </w:p>
        </w:tc>
      </w:tr>
      <w:tr>
        <w:trPr/>
        <w:tc>
          <w:tcPr>
            <w:tcW w:w="7010"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88,330</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100,122</w:t>
            </w:r>
          </w:p>
        </w:tc>
        <w:tc>
          <w:tcPr>
            <w:tcW w:w="159" w:type="dxa"/>
            <w:tcBorders/>
            <w:vAlign w:val="bottom"/>
          </w:tcPr>
          <w:p>
            <w:pPr>
              <w:pStyle w:val="TableContents"/>
              <w:bidi w:val="0"/>
              <w:spacing w:before="0" w:after="283"/>
              <w:jc w:val="left"/>
              <w:rPr/>
            </w:pPr>
            <w:r>
              <w:rPr/>
              <w:t> </w:t>
            </w:r>
          </w:p>
        </w:tc>
      </w:tr>
      <w:tr>
        <w:trPr/>
        <w:tc>
          <w:tcPr>
            <w:tcW w:w="7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4,181</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4,639</w:t>
            </w:r>
          </w:p>
        </w:tc>
        <w:tc>
          <w:tcPr>
            <w:tcW w:w="159" w:type="dxa"/>
            <w:tcBorders/>
            <w:shd w:fill="CCEEFF" w:val="clear"/>
            <w:vAlign w:val="bottom"/>
          </w:tcPr>
          <w:p>
            <w:pPr>
              <w:pStyle w:val="TableContents"/>
              <w:bidi w:val="0"/>
              <w:spacing w:before="0" w:after="283"/>
              <w:jc w:val="left"/>
              <w:rPr/>
            </w:pPr>
            <w:r>
              <w:rPr/>
              <w:t> </w:t>
            </w:r>
          </w:p>
        </w:tc>
      </w:tr>
      <w:tr>
        <w:trPr/>
        <w:tc>
          <w:tcPr>
            <w:tcW w:w="7010"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1,320</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1,537</w:t>
            </w:r>
          </w:p>
        </w:tc>
        <w:tc>
          <w:tcPr>
            <w:tcW w:w="159" w:type="dxa"/>
            <w:tcBorders/>
            <w:vAlign w:val="bottom"/>
          </w:tcPr>
          <w:p>
            <w:pPr>
              <w:pStyle w:val="TableContents"/>
              <w:bidi w:val="0"/>
              <w:spacing w:before="0" w:after="283"/>
              <w:jc w:val="left"/>
              <w:rPr/>
            </w:pPr>
            <w:r>
              <w:rPr/>
              <w:t> </w:t>
            </w:r>
          </w:p>
        </w:tc>
      </w:tr>
      <w:tr>
        <w:trPr/>
        <w:tc>
          <w:tcPr>
            <w:tcW w:w="7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prepaid expenses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8,085</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5,736</w:t>
            </w:r>
          </w:p>
        </w:tc>
        <w:tc>
          <w:tcPr>
            <w:tcW w:w="159" w:type="dxa"/>
            <w:tcBorders/>
            <w:shd w:fill="CCEEFF" w:val="clear"/>
            <w:vAlign w:val="bottom"/>
          </w:tcPr>
          <w:p>
            <w:pPr>
              <w:pStyle w:val="TableContents"/>
              <w:bidi w:val="0"/>
              <w:spacing w:before="0" w:after="283"/>
              <w:jc w:val="left"/>
              <w:rPr/>
            </w:pPr>
            <w:r>
              <w:rPr/>
              <w:t> </w:t>
            </w:r>
          </w:p>
        </w:tc>
      </w:tr>
      <w:tr>
        <w:trPr/>
        <w:tc>
          <w:tcPr>
            <w:tcW w:w="7010"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44,578</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50,836</w:t>
            </w:r>
          </w:p>
        </w:tc>
        <w:tc>
          <w:tcPr>
            <w:tcW w:w="159" w:type="dxa"/>
            <w:tcBorders/>
            <w:vAlign w:val="bottom"/>
          </w:tcPr>
          <w:p>
            <w:pPr>
              <w:pStyle w:val="TableContents"/>
              <w:bidi w:val="0"/>
              <w:spacing w:before="0" w:after="283"/>
              <w:jc w:val="left"/>
              <w:rPr/>
            </w:pPr>
            <w:r>
              <w:rPr/>
              <w:t> </w:t>
            </w:r>
          </w:p>
        </w:tc>
      </w:tr>
      <w:tr>
        <w:trPr/>
        <w:tc>
          <w:tcPr>
            <w:tcW w:w="7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11,998</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12,187</w:t>
            </w:r>
          </w:p>
        </w:tc>
        <w:tc>
          <w:tcPr>
            <w:tcW w:w="159" w:type="dxa"/>
            <w:tcBorders/>
            <w:shd w:fill="CCEEFF" w:val="clear"/>
            <w:vAlign w:val="bottom"/>
          </w:tcPr>
          <w:p>
            <w:pPr>
              <w:pStyle w:val="TableContents"/>
              <w:bidi w:val="0"/>
              <w:spacing w:before="0" w:after="283"/>
              <w:jc w:val="left"/>
              <w:rPr/>
            </w:pPr>
            <w:r>
              <w:rPr/>
              <w:t> </w:t>
            </w:r>
          </w:p>
        </w:tc>
      </w:tr>
      <w:tr>
        <w:trPr/>
        <w:tc>
          <w:tcPr>
            <w:tcW w:w="7010"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10"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412,695</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60" w:type="dxa"/>
            <w:tcBorders/>
            <w:vAlign w:val="bottom"/>
          </w:tcPr>
          <w:p>
            <w:pPr>
              <w:pStyle w:val="TableContents"/>
              <w:bidi w:val="0"/>
              <w:spacing w:before="0" w:after="283"/>
              <w:jc w:val="right"/>
              <w:rPr/>
            </w:pPr>
            <w:r>
              <w:rPr/>
              <w:t>420,491</w:t>
            </w:r>
          </w:p>
        </w:tc>
        <w:tc>
          <w:tcPr>
            <w:tcW w:w="159" w:type="dxa"/>
            <w:tcBorders/>
            <w:vAlign w:val="bottom"/>
          </w:tcPr>
          <w:p>
            <w:pPr>
              <w:pStyle w:val="TableContents"/>
              <w:bidi w:val="0"/>
              <w:spacing w:before="0" w:after="283"/>
              <w:jc w:val="left"/>
              <w:rPr/>
            </w:pPr>
            <w:r>
              <w:rPr/>
              <w:t> </w:t>
            </w:r>
          </w:p>
        </w:tc>
      </w:tr>
      <w:tr>
        <w:trPr/>
        <w:tc>
          <w:tcPr>
            <w:tcW w:w="7010"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6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010"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6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25,575</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60" w:type="dxa"/>
            <w:tcBorders/>
            <w:shd w:fill="CCEEFF" w:val="clear"/>
            <w:vAlign w:val="bottom"/>
          </w:tcPr>
          <w:p>
            <w:pPr>
              <w:pStyle w:val="TableContents"/>
              <w:bidi w:val="0"/>
              <w:spacing w:before="0" w:after="283"/>
              <w:jc w:val="right"/>
              <w:rPr/>
            </w:pPr>
            <w:r>
              <w:rPr/>
              <w:t>24,443</w:t>
            </w:r>
          </w:p>
        </w:tc>
        <w:tc>
          <w:tcPr>
            <w:tcW w:w="159" w:type="dxa"/>
            <w:tcBorders/>
            <w:shd w:fill="CCEEFF" w:val="clear"/>
            <w:vAlign w:val="bottom"/>
          </w:tcPr>
          <w:p>
            <w:pPr>
              <w:pStyle w:val="TableContents"/>
              <w:bidi w:val="0"/>
              <w:spacing w:before="0" w:after="283"/>
              <w:jc w:val="left"/>
              <w:rPr/>
            </w:pPr>
            <w:r>
              <w:rPr/>
              <w:t> </w:t>
            </w:r>
          </w:p>
        </w:tc>
      </w:tr>
      <w:tr>
        <w:trPr/>
        <w:tc>
          <w:tcPr>
            <w:tcW w:w="7010" w:type="dxa"/>
            <w:tcBorders/>
          </w:tcPr>
          <w:p>
            <w:pPr>
              <w:pStyle w:val="TableContents"/>
              <w:bidi w:val="0"/>
              <w:spacing w:before="0" w:after="0"/>
              <w:jc w:val="left"/>
              <w:rPr>
                <w:rFonts w:ascii="Times New Roman" w:hAnsi="Times New Roman"/>
                <w:sz w:val="20"/>
              </w:rPr>
            </w:pPr>
            <w:r>
              <w:rPr>
                <w:rFonts w:ascii="Times New Roman" w:hAnsi="Times New Roman"/>
                <w:sz w:val="20"/>
              </w:rPr>
              <w:t>Other accounts payable</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8,383</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5,292</w:t>
            </w:r>
          </w:p>
        </w:tc>
        <w:tc>
          <w:tcPr>
            <w:tcW w:w="159" w:type="dxa"/>
            <w:tcBorders/>
            <w:vAlign w:val="bottom"/>
          </w:tcPr>
          <w:p>
            <w:pPr>
              <w:pStyle w:val="TableContents"/>
              <w:bidi w:val="0"/>
              <w:spacing w:before="0" w:after="283"/>
              <w:jc w:val="left"/>
              <w:rPr/>
            </w:pPr>
            <w:r>
              <w:rPr/>
              <w:t> </w:t>
            </w:r>
          </w:p>
        </w:tc>
      </w:tr>
      <w:tr>
        <w:trPr/>
        <w:tc>
          <w:tcPr>
            <w:tcW w:w="7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9,199</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10,457</w:t>
            </w:r>
          </w:p>
        </w:tc>
        <w:tc>
          <w:tcPr>
            <w:tcW w:w="159" w:type="dxa"/>
            <w:tcBorders/>
            <w:shd w:fill="CCEEFF" w:val="clear"/>
            <w:vAlign w:val="bottom"/>
          </w:tcPr>
          <w:p>
            <w:pPr>
              <w:pStyle w:val="TableContents"/>
              <w:bidi w:val="0"/>
              <w:spacing w:before="0" w:after="283"/>
              <w:jc w:val="left"/>
              <w:rPr/>
            </w:pPr>
            <w:r>
              <w:rPr/>
              <w:t> </w:t>
            </w:r>
          </w:p>
        </w:tc>
      </w:tr>
      <w:tr>
        <w:trPr/>
        <w:tc>
          <w:tcPr>
            <w:tcW w:w="7010" w:type="dxa"/>
            <w:tcBorders/>
          </w:tcPr>
          <w:p>
            <w:pPr>
              <w:pStyle w:val="TableContents"/>
              <w:bidi w:val="0"/>
              <w:spacing w:before="0" w:after="0"/>
              <w:jc w:val="left"/>
              <w:rPr>
                <w:rFonts w:ascii="Times New Roman" w:hAnsi="Times New Roman"/>
                <w:sz w:val="20"/>
              </w:rPr>
            </w:pPr>
            <w:r>
              <w:rPr>
                <w:rFonts w:ascii="Times New Roman" w:hAnsi="Times New Roman"/>
                <w:sz w:val="20"/>
              </w:rPr>
              <w:t>Accrued income taxes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1,422</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1,496</w:t>
            </w:r>
          </w:p>
        </w:tc>
        <w:tc>
          <w:tcPr>
            <w:tcW w:w="159" w:type="dxa"/>
            <w:tcBorders/>
            <w:vAlign w:val="bottom"/>
          </w:tcPr>
          <w:p>
            <w:pPr>
              <w:pStyle w:val="TableContents"/>
              <w:bidi w:val="0"/>
              <w:spacing w:before="0" w:after="283"/>
              <w:jc w:val="left"/>
              <w:rPr/>
            </w:pPr>
            <w:r>
              <w:rPr/>
              <w:t> </w:t>
            </w:r>
          </w:p>
        </w:tc>
      </w:tr>
      <w:tr>
        <w:trPr/>
        <w:tc>
          <w:tcPr>
            <w:tcW w:w="7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1,805</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1,914</w:t>
            </w:r>
          </w:p>
        </w:tc>
        <w:tc>
          <w:tcPr>
            <w:tcW w:w="159" w:type="dxa"/>
            <w:tcBorders/>
            <w:shd w:fill="CCEEFF" w:val="clear"/>
            <w:vAlign w:val="bottom"/>
          </w:tcPr>
          <w:p>
            <w:pPr>
              <w:pStyle w:val="TableContents"/>
              <w:bidi w:val="0"/>
              <w:spacing w:before="0" w:after="283"/>
              <w:jc w:val="left"/>
              <w:rPr/>
            </w:pPr>
            <w:r>
              <w:rPr/>
              <w:t> </w:t>
            </w:r>
          </w:p>
        </w:tc>
      </w:tr>
      <w:tr>
        <w:trPr/>
        <w:tc>
          <w:tcPr>
            <w:tcW w:w="7010"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4,168</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3,286</w:t>
            </w:r>
          </w:p>
        </w:tc>
        <w:tc>
          <w:tcPr>
            <w:tcW w:w="159" w:type="dxa"/>
            <w:tcBorders/>
            <w:vAlign w:val="bottom"/>
          </w:tcPr>
          <w:p>
            <w:pPr>
              <w:pStyle w:val="TableContents"/>
              <w:bidi w:val="0"/>
              <w:spacing w:before="0" w:after="283"/>
              <w:jc w:val="left"/>
              <w:rPr/>
            </w:pPr>
            <w:r>
              <w:rPr/>
              <w:t> </w:t>
            </w:r>
          </w:p>
        </w:tc>
      </w:tr>
      <w:tr>
        <w:trPr/>
        <w:tc>
          <w:tcPr>
            <w:tcW w:w="7010"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50,552</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46,888</w:t>
            </w:r>
          </w:p>
        </w:tc>
        <w:tc>
          <w:tcPr>
            <w:tcW w:w="159" w:type="dxa"/>
            <w:tcBorders/>
            <w:shd w:fill="CCEEFF" w:val="clear"/>
            <w:vAlign w:val="bottom"/>
          </w:tcPr>
          <w:p>
            <w:pPr>
              <w:pStyle w:val="TableContents"/>
              <w:bidi w:val="0"/>
              <w:spacing w:before="0" w:after="283"/>
              <w:jc w:val="left"/>
              <w:rPr/>
            </w:pPr>
            <w:r>
              <w:rPr/>
              <w:t> </w:t>
            </w:r>
          </w:p>
        </w:tc>
      </w:tr>
      <w:tr>
        <w:trPr/>
        <w:tc>
          <w:tcPr>
            <w:tcW w:w="7010"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10" w:type="dxa"/>
            <w:tcBorders/>
          </w:tcPr>
          <w:p>
            <w:pPr>
              <w:pStyle w:val="TableContents"/>
              <w:bidi w:val="0"/>
              <w:spacing w:before="0" w:after="0"/>
              <w:jc w:val="left"/>
              <w:rPr>
                <w:rFonts w:ascii="Times New Roman" w:hAnsi="Times New Roman"/>
                <w:sz w:val="20"/>
              </w:rPr>
            </w:pPr>
            <w:r>
              <w:rPr>
                <w:rFonts w:ascii="Times New Roman" w:hAnsi="Times New Roman"/>
                <w:sz w:val="20"/>
              </w:rPr>
              <w:t>Long-term borrowing</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28,794</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w:t>
            </w:r>
          </w:p>
        </w:tc>
        <w:tc>
          <w:tcPr>
            <w:tcW w:w="159" w:type="dxa"/>
            <w:tcBorders/>
            <w:vAlign w:val="bottom"/>
          </w:tcPr>
          <w:p>
            <w:pPr>
              <w:pStyle w:val="TableContents"/>
              <w:bidi w:val="0"/>
              <w:spacing w:before="0" w:after="283"/>
              <w:jc w:val="left"/>
              <w:rPr/>
            </w:pPr>
            <w:r>
              <w:rPr/>
              <w:t> </w:t>
            </w:r>
          </w:p>
        </w:tc>
      </w:tr>
      <w:tr>
        <w:trPr/>
        <w:tc>
          <w:tcPr>
            <w:tcW w:w="7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severance benefits, net</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15,759</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16,020</w:t>
            </w:r>
          </w:p>
        </w:tc>
        <w:tc>
          <w:tcPr>
            <w:tcW w:w="159" w:type="dxa"/>
            <w:tcBorders/>
            <w:shd w:fill="CCEEFF" w:val="clear"/>
            <w:vAlign w:val="bottom"/>
          </w:tcPr>
          <w:p>
            <w:pPr>
              <w:pStyle w:val="TableContents"/>
              <w:bidi w:val="0"/>
              <w:spacing w:before="0" w:after="283"/>
              <w:jc w:val="left"/>
              <w:rPr/>
            </w:pPr>
            <w:r>
              <w:rPr/>
              <w:t> </w:t>
            </w:r>
          </w:p>
        </w:tc>
      </w:tr>
      <w:tr>
        <w:trPr/>
        <w:tc>
          <w:tcPr>
            <w:tcW w:w="7010" w:type="dxa"/>
            <w:tcBorders/>
          </w:tcPr>
          <w:p>
            <w:pPr>
              <w:pStyle w:val="TableContents"/>
              <w:bidi w:val="0"/>
              <w:spacing w:before="0" w:after="0"/>
              <w:jc w:val="left"/>
              <w:rPr>
                <w:rFonts w:ascii="Times New Roman" w:hAnsi="Times New Roman"/>
                <w:sz w:val="20"/>
              </w:rPr>
            </w:pPr>
            <w:r>
              <w:rPr>
                <w:rFonts w:ascii="Times New Roman" w:hAnsi="Times New Roman"/>
                <w:sz w:val="20"/>
              </w:rPr>
              <w:t>Non-current operating lease liabilities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2,514</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2,897</w:t>
            </w:r>
          </w:p>
        </w:tc>
        <w:tc>
          <w:tcPr>
            <w:tcW w:w="159" w:type="dxa"/>
            <w:tcBorders/>
            <w:vAlign w:val="bottom"/>
          </w:tcPr>
          <w:p>
            <w:pPr>
              <w:pStyle w:val="TableContents"/>
              <w:bidi w:val="0"/>
              <w:spacing w:before="0" w:after="283"/>
              <w:jc w:val="left"/>
              <w:rPr/>
            </w:pPr>
            <w:r>
              <w:rPr/>
              <w:t> </w:t>
            </w:r>
          </w:p>
        </w:tc>
      </w:tr>
      <w:tr>
        <w:trPr/>
        <w:tc>
          <w:tcPr>
            <w:tcW w:w="7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9,228</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10,088</w:t>
            </w:r>
          </w:p>
        </w:tc>
        <w:tc>
          <w:tcPr>
            <w:tcW w:w="159" w:type="dxa"/>
            <w:tcBorders/>
            <w:shd w:fill="CCEEFF" w:val="clear"/>
            <w:vAlign w:val="bottom"/>
          </w:tcPr>
          <w:p>
            <w:pPr>
              <w:pStyle w:val="TableContents"/>
              <w:bidi w:val="0"/>
              <w:spacing w:before="0" w:after="283"/>
              <w:jc w:val="left"/>
              <w:rPr/>
            </w:pPr>
            <w:r>
              <w:rPr/>
              <w:t> </w:t>
            </w:r>
          </w:p>
        </w:tc>
      </w:tr>
      <w:tr>
        <w:trPr/>
        <w:tc>
          <w:tcPr>
            <w:tcW w:w="7010"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10"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106,847</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75,893</w:t>
            </w:r>
          </w:p>
        </w:tc>
        <w:tc>
          <w:tcPr>
            <w:tcW w:w="159" w:type="dxa"/>
            <w:tcBorders/>
            <w:vAlign w:val="bottom"/>
          </w:tcPr>
          <w:p>
            <w:pPr>
              <w:pStyle w:val="TableContents"/>
              <w:bidi w:val="0"/>
              <w:spacing w:before="0" w:after="283"/>
              <w:jc w:val="left"/>
              <w:rPr/>
            </w:pPr>
            <w:r>
              <w:rPr/>
              <w:t> </w:t>
            </w:r>
          </w:p>
        </w:tc>
      </w:tr>
      <w:tr>
        <w:trPr/>
        <w:tc>
          <w:tcPr>
            <w:tcW w:w="7010"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010"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6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$0.01 par value, 150,000,000 shares authorized, 57,015,569 shares issued and 37,799,482 outstanding at June 30, 2024 and 56,971,394 shares issued and 38,852,742 outstanding at December 31, 2023</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569</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569</w:t>
            </w:r>
          </w:p>
        </w:tc>
        <w:tc>
          <w:tcPr>
            <w:tcW w:w="159" w:type="dxa"/>
            <w:tcBorders/>
            <w:shd w:fill="CCEEFF" w:val="clear"/>
            <w:vAlign w:val="bottom"/>
          </w:tcPr>
          <w:p>
            <w:pPr>
              <w:pStyle w:val="TableContents"/>
              <w:bidi w:val="0"/>
              <w:spacing w:before="0" w:after="283"/>
              <w:jc w:val="left"/>
              <w:rPr/>
            </w:pPr>
            <w:r>
              <w:rPr/>
              <w:t> </w:t>
            </w:r>
          </w:p>
        </w:tc>
      </w:tr>
      <w:tr>
        <w:trPr/>
        <w:tc>
          <w:tcPr>
            <w:tcW w:w="7010"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275,329</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273,256</w:t>
            </w:r>
          </w:p>
        </w:tc>
        <w:tc>
          <w:tcPr>
            <w:tcW w:w="159" w:type="dxa"/>
            <w:tcBorders/>
            <w:vAlign w:val="bottom"/>
          </w:tcPr>
          <w:p>
            <w:pPr>
              <w:pStyle w:val="TableContents"/>
              <w:bidi w:val="0"/>
              <w:spacing w:before="0" w:after="283"/>
              <w:jc w:val="left"/>
              <w:rPr/>
            </w:pPr>
            <w:r>
              <w:rPr/>
              <w:t> </w:t>
            </w:r>
          </w:p>
        </w:tc>
      </w:tr>
      <w:tr>
        <w:trPr/>
        <w:tc>
          <w:tcPr>
            <w:tcW w:w="7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270,470</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298,884</w:t>
            </w:r>
          </w:p>
        </w:tc>
        <w:tc>
          <w:tcPr>
            <w:tcW w:w="159" w:type="dxa"/>
            <w:tcBorders/>
            <w:shd w:fill="CCEEFF" w:val="clear"/>
            <w:vAlign w:val="bottom"/>
          </w:tcPr>
          <w:p>
            <w:pPr>
              <w:pStyle w:val="TableContents"/>
              <w:bidi w:val="0"/>
              <w:spacing w:before="0" w:after="283"/>
              <w:jc w:val="left"/>
              <w:rPr/>
            </w:pPr>
            <w:r>
              <w:rPr/>
              <w:t> </w:t>
            </w:r>
          </w:p>
        </w:tc>
      </w:tr>
      <w:tr>
        <w:trPr/>
        <w:tc>
          <w:tcPr>
            <w:tcW w:w="7010" w:type="dxa"/>
            <w:tcBorders/>
          </w:tcPr>
          <w:p>
            <w:pPr>
              <w:pStyle w:val="TableContents"/>
              <w:bidi w:val="0"/>
              <w:spacing w:before="0" w:after="0"/>
              <w:jc w:val="left"/>
              <w:rPr>
                <w:rFonts w:ascii="Times New Roman" w:hAnsi="Times New Roman"/>
                <w:sz w:val="20"/>
              </w:rPr>
            </w:pPr>
            <w:r>
              <w:rPr>
                <w:rFonts w:ascii="Times New Roman" w:hAnsi="Times New Roman"/>
                <w:sz w:val="20"/>
              </w:rPr>
              <w:t>Treasury stock, 19,216,087 shares at June 30, 2024 and 18,118,652 shares at December 31, 2023, respectively</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(219,949</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(213,454</w:t>
            </w:r>
          </w:p>
        </w:tc>
        <w:tc>
          <w:tcPr>
            <w:tcW w:w="159" w:type="dxa"/>
            <w:tcBorders/>
            <w:vAlign w:val="bottom"/>
          </w:tcPr>
          <w:p>
            <w:pPr>
              <w:pStyle w:val="TableContents"/>
              <w:bidi w:val="0"/>
              <w:spacing w:before="0" w:after="283"/>
              <w:jc w:val="left"/>
              <w:rPr/>
            </w:pPr>
            <w:r>
              <w:rPr/>
              <w:t>) </w:t>
            </w:r>
          </w:p>
        </w:tc>
      </w:tr>
      <w:tr>
        <w:trPr/>
        <w:tc>
          <w:tcPr>
            <w:tcW w:w="7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(20,571</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(14,657</w:t>
            </w:r>
          </w:p>
        </w:tc>
        <w:tc>
          <w:tcPr>
            <w:tcW w:w="159" w:type="dxa"/>
            <w:tcBorders/>
            <w:shd w:fill="CCEEFF" w:val="clear"/>
            <w:vAlign w:val="bottom"/>
          </w:tcPr>
          <w:p>
            <w:pPr>
              <w:pStyle w:val="TableContents"/>
              <w:bidi w:val="0"/>
              <w:spacing w:before="0" w:after="283"/>
              <w:jc w:val="left"/>
              <w:rPr/>
            </w:pPr>
            <w:r>
              <w:rPr/>
              <w:t>) </w:t>
            </w:r>
          </w:p>
        </w:tc>
      </w:tr>
      <w:tr>
        <w:trPr/>
        <w:tc>
          <w:tcPr>
            <w:tcW w:w="7010"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10"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305,848</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344,598</w:t>
            </w:r>
          </w:p>
        </w:tc>
        <w:tc>
          <w:tcPr>
            <w:tcW w:w="159" w:type="dxa"/>
            <w:tcBorders/>
            <w:vAlign w:val="bottom"/>
          </w:tcPr>
          <w:p>
            <w:pPr>
              <w:pStyle w:val="TableContents"/>
              <w:bidi w:val="0"/>
              <w:spacing w:before="0" w:after="283"/>
              <w:jc w:val="left"/>
              <w:rPr/>
            </w:pPr>
            <w:r>
              <w:rPr/>
              <w:t> </w:t>
            </w:r>
          </w:p>
        </w:tc>
      </w:tr>
      <w:tr>
        <w:trPr/>
        <w:tc>
          <w:tcPr>
            <w:tcW w:w="7010"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412,695</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60" w:type="dxa"/>
            <w:tcBorders/>
            <w:shd w:fill="CCEEFF" w:val="clear"/>
            <w:vAlign w:val="bottom"/>
          </w:tcPr>
          <w:p>
            <w:pPr>
              <w:pStyle w:val="TableContents"/>
              <w:bidi w:val="0"/>
              <w:spacing w:before="0" w:after="283"/>
              <w:jc w:val="right"/>
              <w:rPr/>
            </w:pPr>
            <w:r>
              <w:rPr/>
              <w:t>420,491</w:t>
            </w:r>
          </w:p>
        </w:tc>
        <w:tc>
          <w:tcPr>
            <w:tcW w:w="159" w:type="dxa"/>
            <w:tcBorders/>
            <w:shd w:fill="CCEEFF" w:val="clear"/>
            <w:vAlign w:val="bottom"/>
          </w:tcPr>
          <w:p>
            <w:pPr>
              <w:pStyle w:val="TableContents"/>
              <w:bidi w:val="0"/>
              <w:spacing w:before="0" w:after="283"/>
              <w:jc w:val="left"/>
              <w:rPr/>
            </w:pPr>
            <w:r>
              <w:rPr/>
              <w:t> </w:t>
            </w:r>
          </w:p>
        </w:tc>
      </w:tr>
      <w:tr>
        <w:trPr/>
        <w:tc>
          <w:tcPr>
            <w:tcW w:w="7010"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6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497330" cy="29019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97330" cy="29019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of U.S. dollars)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31"/>
        <w:gridCol w:w="149"/>
        <w:gridCol w:w="140"/>
        <w:gridCol w:w="805"/>
        <w:gridCol w:w="155"/>
        <w:gridCol w:w="111"/>
        <w:gridCol w:w="140"/>
        <w:gridCol w:w="805"/>
        <w:gridCol w:w="155"/>
        <w:gridCol w:w="111"/>
        <w:gridCol w:w="140"/>
        <w:gridCol w:w="805"/>
        <w:gridCol w:w="158"/>
      </w:tblGrid>
      <w:tr>
        <w:trPr/>
        <w:tc>
          <w:tcPr>
            <w:tcW w:w="6531"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31"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pPr>
            <w:r>
              <w:rPr>
                <w:b/>
              </w:rPr>
              <w:t>Three</w:t>
            </w:r>
            <w:r>
              <w:rPr/>
              <w:br/>
            </w:r>
            <w:r>
              <w:rPr>
                <w:b/>
              </w:rPr>
              <w:t>Months</w:t>
            </w:r>
            <w:r>
              <w:rPr/>
              <w:br/>
            </w:r>
            <w:r>
              <w:rPr>
                <w:b/>
              </w:rPr>
              <w:t>Ended</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2156" w:type="dxa"/>
            <w:gridSpan w:val="6"/>
            <w:tcBorders>
              <w:bottom w:val="single" w:sz="8" w:space="0" w:color="000000"/>
            </w:tcBorders>
            <w:tcMar>
              <w:bottom w:w="28" w:type="dxa"/>
            </w:tcMar>
            <w:vAlign w:val="bottom"/>
          </w:tcPr>
          <w:p>
            <w:pPr>
              <w:pStyle w:val="TableContents"/>
              <w:bidi w:val="0"/>
              <w:spacing w:before="0" w:after="283"/>
              <w:jc w:val="center"/>
              <w:rPr/>
            </w:pPr>
            <w:r>
              <w:rPr>
                <w:b/>
              </w:rPr>
              <w:t>Six Months</w:t>
            </w:r>
            <w:r>
              <w:rPr/>
              <w:br/>
            </w:r>
            <w:r>
              <w:rPr>
                <w:b/>
              </w:rPr>
              <w:t>Ended</w:t>
            </w:r>
          </w:p>
        </w:tc>
        <w:tc>
          <w:tcPr>
            <w:tcW w:w="158" w:type="dxa"/>
            <w:tcBorders/>
            <w:vAlign w:val="bottom"/>
          </w:tcPr>
          <w:p>
            <w:pPr>
              <w:pStyle w:val="TableContents"/>
              <w:bidi w:val="0"/>
              <w:spacing w:before="0" w:after="283"/>
              <w:jc w:val="left"/>
              <w:rPr/>
            </w:pPr>
            <w:r>
              <w:rPr/>
              <w:t> </w:t>
            </w:r>
          </w:p>
        </w:tc>
      </w:tr>
      <w:tr>
        <w:trPr/>
        <w:tc>
          <w:tcPr>
            <w:tcW w:w="6531"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2024</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2024</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2023</w:t>
            </w:r>
          </w:p>
        </w:tc>
        <w:tc>
          <w:tcPr>
            <w:tcW w:w="158" w:type="dxa"/>
            <w:tcBorders/>
            <w:vAlign w:val="bottom"/>
          </w:tcPr>
          <w:p>
            <w:pPr>
              <w:pStyle w:val="TableContents"/>
              <w:bidi w:val="0"/>
              <w:spacing w:before="0" w:after="283"/>
              <w:jc w:val="left"/>
              <w:rPr/>
            </w:pPr>
            <w:r>
              <w:rPr/>
              <w:t> </w:t>
            </w:r>
          </w:p>
        </w:tc>
      </w:tr>
      <w:tr>
        <w:trPr/>
        <w:tc>
          <w:tcPr>
            <w:tcW w:w="65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531"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(12,997</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(28,414</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(25,417</w:t>
            </w:r>
          </w:p>
        </w:tc>
        <w:tc>
          <w:tcPr>
            <w:tcW w:w="158" w:type="dxa"/>
            <w:tcBorders/>
            <w:vAlign w:val="bottom"/>
          </w:tcPr>
          <w:p>
            <w:pPr>
              <w:pStyle w:val="TableContents"/>
              <w:bidi w:val="0"/>
              <w:spacing w:before="0" w:after="283"/>
              <w:jc w:val="left"/>
              <w:rPr/>
            </w:pPr>
            <w:r>
              <w:rPr/>
              <w:t>) </w:t>
            </w:r>
          </w:p>
        </w:tc>
      </w:tr>
      <w:tr>
        <w:trPr/>
        <w:tc>
          <w:tcPr>
            <w:tcW w:w="65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provided by operating activities</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531"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4,016</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8,115</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8,502</w:t>
            </w:r>
          </w:p>
        </w:tc>
        <w:tc>
          <w:tcPr>
            <w:tcW w:w="158" w:type="dxa"/>
            <w:tcBorders/>
            <w:vAlign w:val="bottom"/>
          </w:tcPr>
          <w:p>
            <w:pPr>
              <w:pStyle w:val="TableContents"/>
              <w:bidi w:val="0"/>
              <w:spacing w:before="0" w:after="283"/>
              <w:jc w:val="left"/>
              <w:rPr/>
            </w:pPr>
            <w:r>
              <w:rPr/>
              <w:t> </w:t>
            </w:r>
          </w:p>
        </w:tc>
      </w:tr>
      <w:tr>
        <w:trPr/>
        <w:tc>
          <w:tcPr>
            <w:tcW w:w="65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severance benefits</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1,565</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2,970</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4,091</w:t>
            </w:r>
          </w:p>
        </w:tc>
        <w:tc>
          <w:tcPr>
            <w:tcW w:w="158" w:type="dxa"/>
            <w:tcBorders/>
            <w:shd w:fill="CCEEFF" w:val="clear"/>
            <w:vAlign w:val="bottom"/>
          </w:tcPr>
          <w:p>
            <w:pPr>
              <w:pStyle w:val="TableContents"/>
              <w:bidi w:val="0"/>
              <w:spacing w:before="0" w:after="283"/>
              <w:jc w:val="left"/>
              <w:rPr/>
            </w:pPr>
            <w:r>
              <w:rPr/>
              <w:t> </w:t>
            </w:r>
          </w:p>
        </w:tc>
      </w:tr>
      <w:tr>
        <w:trPr/>
        <w:tc>
          <w:tcPr>
            <w:tcW w:w="6531" w:type="dxa"/>
            <w:tcBorders/>
          </w:tcPr>
          <w:p>
            <w:pPr>
              <w:pStyle w:val="TableContents"/>
              <w:bidi w:val="0"/>
              <w:spacing w:before="0" w:after="0"/>
              <w:jc w:val="left"/>
              <w:rPr>
                <w:rFonts w:ascii="Times New Roman" w:hAnsi="Times New Roman"/>
                <w:sz w:val="20"/>
              </w:rPr>
            </w:pPr>
            <w:r>
              <w:rPr>
                <w:rFonts w:ascii="Times New Roman" w:hAnsi="Times New Roman"/>
                <w:sz w:val="20"/>
              </w:rPr>
              <w:t>Loss on foreign currency, net</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6,622</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16,848</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9,117</w:t>
            </w:r>
          </w:p>
        </w:tc>
        <w:tc>
          <w:tcPr>
            <w:tcW w:w="158" w:type="dxa"/>
            <w:tcBorders/>
            <w:vAlign w:val="bottom"/>
          </w:tcPr>
          <w:p>
            <w:pPr>
              <w:pStyle w:val="TableContents"/>
              <w:bidi w:val="0"/>
              <w:spacing w:before="0" w:after="283"/>
              <w:jc w:val="left"/>
              <w:rPr/>
            </w:pPr>
            <w:r>
              <w:rPr/>
              <w:t> </w:t>
            </w:r>
          </w:p>
        </w:tc>
      </w:tr>
      <w:tr>
        <w:trPr/>
        <w:tc>
          <w:tcPr>
            <w:tcW w:w="65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inventory reserves</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(77</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(1,024</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1,121</w:t>
            </w:r>
          </w:p>
        </w:tc>
        <w:tc>
          <w:tcPr>
            <w:tcW w:w="158" w:type="dxa"/>
            <w:tcBorders/>
            <w:shd w:fill="CCEEFF" w:val="clear"/>
            <w:vAlign w:val="bottom"/>
          </w:tcPr>
          <w:p>
            <w:pPr>
              <w:pStyle w:val="TableContents"/>
              <w:bidi w:val="0"/>
              <w:spacing w:before="0" w:after="283"/>
              <w:jc w:val="left"/>
              <w:rPr/>
            </w:pPr>
            <w:r>
              <w:rPr/>
              <w:t> </w:t>
            </w:r>
          </w:p>
        </w:tc>
      </w:tr>
      <w:tr>
        <w:trPr/>
        <w:tc>
          <w:tcPr>
            <w:tcW w:w="6531"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1,216</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2,116</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3,212</w:t>
            </w:r>
          </w:p>
        </w:tc>
        <w:tc>
          <w:tcPr>
            <w:tcW w:w="158" w:type="dxa"/>
            <w:tcBorders/>
            <w:vAlign w:val="bottom"/>
          </w:tcPr>
          <w:p>
            <w:pPr>
              <w:pStyle w:val="TableContents"/>
              <w:bidi w:val="0"/>
              <w:spacing w:before="0" w:after="283"/>
              <w:jc w:val="left"/>
              <w:rPr/>
            </w:pPr>
            <w:r>
              <w:rPr/>
              <w:t> </w:t>
            </w:r>
          </w:p>
        </w:tc>
      </w:tr>
      <w:tr>
        <w:trPr/>
        <w:tc>
          <w:tcPr>
            <w:tcW w:w="65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 assets</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1.845</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3,158</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27</w:t>
            </w:r>
          </w:p>
        </w:tc>
        <w:tc>
          <w:tcPr>
            <w:tcW w:w="158" w:type="dxa"/>
            <w:tcBorders/>
            <w:shd w:fill="CCEEFF" w:val="clear"/>
            <w:vAlign w:val="bottom"/>
          </w:tcPr>
          <w:p>
            <w:pPr>
              <w:pStyle w:val="TableContents"/>
              <w:bidi w:val="0"/>
              <w:spacing w:before="0" w:after="283"/>
              <w:jc w:val="left"/>
              <w:rPr/>
            </w:pPr>
            <w:r>
              <w:rPr/>
              <w:t> </w:t>
            </w:r>
          </w:p>
        </w:tc>
      </w:tr>
      <w:tr>
        <w:trPr/>
        <w:tc>
          <w:tcPr>
            <w:tcW w:w="6531" w:type="dxa"/>
            <w:tcBorders/>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163</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426</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423</w:t>
            </w:r>
          </w:p>
        </w:tc>
        <w:tc>
          <w:tcPr>
            <w:tcW w:w="158" w:type="dxa"/>
            <w:tcBorders/>
            <w:vAlign w:val="bottom"/>
          </w:tcPr>
          <w:p>
            <w:pPr>
              <w:pStyle w:val="TableContents"/>
              <w:bidi w:val="0"/>
              <w:spacing w:before="0" w:after="283"/>
              <w:jc w:val="left"/>
              <w:rPr/>
            </w:pPr>
            <w:r>
              <w:rPr/>
              <w:t> </w:t>
            </w:r>
          </w:p>
        </w:tc>
      </w:tr>
      <w:tr>
        <w:trPr/>
        <w:tc>
          <w:tcPr>
            <w:tcW w:w="65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531"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(1,636</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(235</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(342</w:t>
            </w:r>
          </w:p>
        </w:tc>
        <w:tc>
          <w:tcPr>
            <w:tcW w:w="158" w:type="dxa"/>
            <w:tcBorders/>
            <w:vAlign w:val="bottom"/>
          </w:tcPr>
          <w:p>
            <w:pPr>
              <w:pStyle w:val="TableContents"/>
              <w:bidi w:val="0"/>
              <w:spacing w:before="0" w:after="283"/>
              <w:jc w:val="left"/>
              <w:rPr/>
            </w:pPr>
            <w:r>
              <w:rPr/>
              <w:t>) </w:t>
            </w:r>
          </w:p>
        </w:tc>
      </w:tr>
      <w:tr>
        <w:trPr/>
        <w:tc>
          <w:tcPr>
            <w:tcW w:w="65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(4,250</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(3,449</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4,911</w:t>
            </w:r>
          </w:p>
        </w:tc>
        <w:tc>
          <w:tcPr>
            <w:tcW w:w="158" w:type="dxa"/>
            <w:tcBorders/>
            <w:shd w:fill="CCEEFF" w:val="clear"/>
            <w:vAlign w:val="bottom"/>
          </w:tcPr>
          <w:p>
            <w:pPr>
              <w:pStyle w:val="TableContents"/>
              <w:bidi w:val="0"/>
              <w:spacing w:before="0" w:after="283"/>
              <w:jc w:val="left"/>
              <w:rPr/>
            </w:pPr>
            <w:r>
              <w:rPr/>
              <w:t> </w:t>
            </w:r>
          </w:p>
        </w:tc>
      </w:tr>
      <w:tr>
        <w:trPr/>
        <w:tc>
          <w:tcPr>
            <w:tcW w:w="6531" w:type="dxa"/>
            <w:tcBorders/>
          </w:tcPr>
          <w:p>
            <w:pPr>
              <w:pStyle w:val="TableContents"/>
              <w:bidi w:val="0"/>
              <w:spacing w:before="0" w:after="0"/>
              <w:jc w:val="left"/>
              <w:rPr>
                <w:rFonts w:ascii="Times New Roman" w:hAnsi="Times New Roman"/>
                <w:sz w:val="20"/>
              </w:rPr>
            </w:pPr>
            <w:r>
              <w:rPr>
                <w:rFonts w:ascii="Times New Roman" w:hAnsi="Times New Roman"/>
                <w:sz w:val="20"/>
              </w:rPr>
              <w:t>Other receivables</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986</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601</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4,407</w:t>
            </w:r>
          </w:p>
        </w:tc>
        <w:tc>
          <w:tcPr>
            <w:tcW w:w="158" w:type="dxa"/>
            <w:tcBorders/>
            <w:vAlign w:val="bottom"/>
          </w:tcPr>
          <w:p>
            <w:pPr>
              <w:pStyle w:val="TableContents"/>
              <w:bidi w:val="0"/>
              <w:spacing w:before="0" w:after="283"/>
              <w:jc w:val="left"/>
              <w:rPr/>
            </w:pPr>
            <w:r>
              <w:rPr/>
              <w:t> </w:t>
            </w:r>
          </w:p>
        </w:tc>
      </w:tr>
      <w:tr>
        <w:trPr/>
        <w:tc>
          <w:tcPr>
            <w:tcW w:w="65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2,922</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3,827</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4,073</w:t>
            </w:r>
          </w:p>
        </w:tc>
        <w:tc>
          <w:tcPr>
            <w:tcW w:w="158" w:type="dxa"/>
            <w:tcBorders/>
            <w:shd w:fill="CCEEFF" w:val="clear"/>
            <w:vAlign w:val="bottom"/>
          </w:tcPr>
          <w:p>
            <w:pPr>
              <w:pStyle w:val="TableContents"/>
              <w:bidi w:val="0"/>
              <w:spacing w:before="0" w:after="283"/>
              <w:jc w:val="left"/>
              <w:rPr/>
            </w:pPr>
            <w:r>
              <w:rPr/>
              <w:t> </w:t>
            </w:r>
          </w:p>
        </w:tc>
      </w:tr>
      <w:tr>
        <w:trPr/>
        <w:tc>
          <w:tcPr>
            <w:tcW w:w="6531"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(3,262</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(2,931</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(3,678</w:t>
            </w:r>
          </w:p>
        </w:tc>
        <w:tc>
          <w:tcPr>
            <w:tcW w:w="158" w:type="dxa"/>
            <w:tcBorders/>
            <w:vAlign w:val="bottom"/>
          </w:tcPr>
          <w:p>
            <w:pPr>
              <w:pStyle w:val="TableContents"/>
              <w:bidi w:val="0"/>
              <w:spacing w:before="0" w:after="283"/>
              <w:jc w:val="left"/>
              <w:rPr/>
            </w:pPr>
            <w:r>
              <w:rPr/>
              <w:t>) </w:t>
            </w:r>
          </w:p>
        </w:tc>
      </w:tr>
      <w:tr>
        <w:trPr/>
        <w:tc>
          <w:tcPr>
            <w:tcW w:w="65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1,381</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1,944</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2,880</w:t>
            </w:r>
          </w:p>
        </w:tc>
        <w:tc>
          <w:tcPr>
            <w:tcW w:w="158" w:type="dxa"/>
            <w:tcBorders/>
            <w:shd w:fill="CCEEFF" w:val="clear"/>
            <w:vAlign w:val="bottom"/>
          </w:tcPr>
          <w:p>
            <w:pPr>
              <w:pStyle w:val="TableContents"/>
              <w:bidi w:val="0"/>
              <w:spacing w:before="0" w:after="283"/>
              <w:jc w:val="left"/>
              <w:rPr/>
            </w:pPr>
            <w:r>
              <w:rPr/>
              <w:t> </w:t>
            </w:r>
          </w:p>
        </w:tc>
      </w:tr>
      <w:tr>
        <w:trPr/>
        <w:tc>
          <w:tcPr>
            <w:tcW w:w="6531" w:type="dxa"/>
            <w:tcBorders/>
          </w:tcPr>
          <w:p>
            <w:pPr>
              <w:pStyle w:val="TableContents"/>
              <w:bidi w:val="0"/>
              <w:spacing w:before="0" w:after="0"/>
              <w:jc w:val="left"/>
              <w:rPr>
                <w:rFonts w:ascii="Times New Roman" w:hAnsi="Times New Roman"/>
                <w:sz w:val="20"/>
              </w:rPr>
            </w:pPr>
            <w:r>
              <w:rPr>
                <w:rFonts w:ascii="Times New Roman" w:hAnsi="Times New Roman"/>
                <w:sz w:val="20"/>
              </w:rPr>
              <w:t>Other accounts payable</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(1,420</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(6,676</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(6,488</w:t>
            </w:r>
          </w:p>
        </w:tc>
        <w:tc>
          <w:tcPr>
            <w:tcW w:w="158" w:type="dxa"/>
            <w:tcBorders/>
            <w:vAlign w:val="bottom"/>
          </w:tcPr>
          <w:p>
            <w:pPr>
              <w:pStyle w:val="TableContents"/>
              <w:bidi w:val="0"/>
              <w:spacing w:before="0" w:after="283"/>
              <w:jc w:val="left"/>
              <w:rPr/>
            </w:pPr>
            <w:r>
              <w:rPr/>
              <w:t>) </w:t>
            </w:r>
          </w:p>
        </w:tc>
      </w:tr>
      <w:tr>
        <w:trPr/>
        <w:tc>
          <w:tcPr>
            <w:tcW w:w="65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1,618</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(427</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1,104</w:t>
            </w:r>
          </w:p>
        </w:tc>
        <w:tc>
          <w:tcPr>
            <w:tcW w:w="158" w:type="dxa"/>
            <w:tcBorders/>
            <w:shd w:fill="CCEEFF" w:val="clear"/>
            <w:vAlign w:val="bottom"/>
          </w:tcPr>
          <w:p>
            <w:pPr>
              <w:pStyle w:val="TableContents"/>
              <w:bidi w:val="0"/>
              <w:spacing w:before="0" w:after="283"/>
              <w:jc w:val="left"/>
              <w:rPr/>
            </w:pPr>
            <w:r>
              <w:rPr/>
              <w:t> </w:t>
            </w:r>
          </w:p>
        </w:tc>
      </w:tr>
      <w:tr>
        <w:trPr/>
        <w:tc>
          <w:tcPr>
            <w:tcW w:w="6531" w:type="dxa"/>
            <w:tcBorders/>
          </w:tcPr>
          <w:p>
            <w:pPr>
              <w:pStyle w:val="TableContents"/>
              <w:bidi w:val="0"/>
              <w:spacing w:before="0" w:after="0"/>
              <w:jc w:val="left"/>
              <w:rPr>
                <w:rFonts w:ascii="Times New Roman" w:hAnsi="Times New Roman"/>
                <w:sz w:val="20"/>
              </w:rPr>
            </w:pPr>
            <w:r>
              <w:rPr>
                <w:rFonts w:ascii="Times New Roman" w:hAnsi="Times New Roman"/>
                <w:sz w:val="20"/>
              </w:rPr>
              <w:t>Accrued income taxes</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(184</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(17</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(2,972</w:t>
            </w:r>
          </w:p>
        </w:tc>
        <w:tc>
          <w:tcPr>
            <w:tcW w:w="158" w:type="dxa"/>
            <w:tcBorders/>
            <w:vAlign w:val="bottom"/>
          </w:tcPr>
          <w:p>
            <w:pPr>
              <w:pStyle w:val="TableContents"/>
              <w:bidi w:val="0"/>
              <w:spacing w:before="0" w:after="283"/>
              <w:jc w:val="left"/>
              <w:rPr/>
            </w:pPr>
            <w:r>
              <w:rPr/>
              <w:t>) </w:t>
            </w:r>
          </w:p>
        </w:tc>
      </w:tr>
      <w:tr>
        <w:trPr/>
        <w:tc>
          <w:tcPr>
            <w:tcW w:w="65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840</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453</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(471</w:t>
            </w:r>
          </w:p>
        </w:tc>
        <w:tc>
          <w:tcPr>
            <w:tcW w:w="158" w:type="dxa"/>
            <w:tcBorders/>
            <w:shd w:fill="CCEEFF" w:val="clear"/>
            <w:vAlign w:val="bottom"/>
          </w:tcPr>
          <w:p>
            <w:pPr>
              <w:pStyle w:val="TableContents"/>
              <w:bidi w:val="0"/>
              <w:spacing w:before="0" w:after="283"/>
              <w:jc w:val="left"/>
              <w:rPr/>
            </w:pPr>
            <w:r>
              <w:rPr/>
              <w:t>) </w:t>
            </w:r>
          </w:p>
        </w:tc>
      </w:tr>
      <w:tr>
        <w:trPr/>
        <w:tc>
          <w:tcPr>
            <w:tcW w:w="6531"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378</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(246</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(214</w:t>
            </w:r>
          </w:p>
        </w:tc>
        <w:tc>
          <w:tcPr>
            <w:tcW w:w="158" w:type="dxa"/>
            <w:tcBorders/>
            <w:vAlign w:val="bottom"/>
          </w:tcPr>
          <w:p>
            <w:pPr>
              <w:pStyle w:val="TableContents"/>
              <w:bidi w:val="0"/>
              <w:spacing w:before="0" w:after="283"/>
              <w:jc w:val="left"/>
              <w:rPr/>
            </w:pPr>
            <w:r>
              <w:rPr/>
              <w:t>) </w:t>
            </w:r>
          </w:p>
        </w:tc>
      </w:tr>
      <w:tr>
        <w:trPr/>
        <w:tc>
          <w:tcPr>
            <w:tcW w:w="65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severance benefits</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(478</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(1,362</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(5,728</w:t>
            </w:r>
          </w:p>
        </w:tc>
        <w:tc>
          <w:tcPr>
            <w:tcW w:w="158" w:type="dxa"/>
            <w:tcBorders/>
            <w:shd w:fill="CCEEFF" w:val="clear"/>
            <w:vAlign w:val="bottom"/>
          </w:tcPr>
          <w:p>
            <w:pPr>
              <w:pStyle w:val="TableContents"/>
              <w:bidi w:val="0"/>
              <w:spacing w:before="0" w:after="283"/>
              <w:jc w:val="left"/>
              <w:rPr/>
            </w:pPr>
            <w:r>
              <w:rPr/>
              <w:t>) </w:t>
            </w:r>
          </w:p>
        </w:tc>
      </w:tr>
      <w:tr>
        <w:trPr/>
        <w:tc>
          <w:tcPr>
            <w:tcW w:w="6531" w:type="dxa"/>
            <w:tcBorders/>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(360</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(761</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(487</w:t>
            </w:r>
          </w:p>
        </w:tc>
        <w:tc>
          <w:tcPr>
            <w:tcW w:w="158" w:type="dxa"/>
            <w:tcBorders/>
            <w:vAlign w:val="bottom"/>
          </w:tcPr>
          <w:p>
            <w:pPr>
              <w:pStyle w:val="TableContents"/>
              <w:bidi w:val="0"/>
              <w:spacing w:before="0" w:after="283"/>
              <w:jc w:val="left"/>
              <w:rPr/>
            </w:pPr>
            <w:r>
              <w:rPr/>
              <w:t>) </w:t>
            </w:r>
          </w:p>
        </w:tc>
      </w:tr>
      <w:tr>
        <w:trPr/>
        <w:tc>
          <w:tcPr>
            <w:tcW w:w="653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(1,112</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(5,084</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(1,929</w:t>
            </w:r>
          </w:p>
        </w:tc>
        <w:tc>
          <w:tcPr>
            <w:tcW w:w="158" w:type="dxa"/>
            <w:tcBorders/>
            <w:shd w:fill="CCEEFF" w:val="clear"/>
            <w:vAlign w:val="bottom"/>
          </w:tcPr>
          <w:p>
            <w:pPr>
              <w:pStyle w:val="TableContents"/>
              <w:bidi w:val="0"/>
              <w:spacing w:before="0" w:after="283"/>
              <w:jc w:val="left"/>
              <w:rPr/>
            </w:pPr>
            <w:r>
              <w:rPr/>
              <w:t>) </w:t>
            </w:r>
          </w:p>
        </w:tc>
      </w:tr>
      <w:tr>
        <w:trPr/>
        <w:tc>
          <w:tcPr>
            <w:tcW w:w="6531"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5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settlement of hedge collateral</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3,335</w:t>
            </w:r>
          </w:p>
        </w:tc>
        <w:tc>
          <w:tcPr>
            <w:tcW w:w="158" w:type="dxa"/>
            <w:tcBorders/>
            <w:shd w:fill="CCEEFF" w:val="clear"/>
            <w:vAlign w:val="bottom"/>
          </w:tcPr>
          <w:p>
            <w:pPr>
              <w:pStyle w:val="TableContents"/>
              <w:bidi w:val="0"/>
              <w:spacing w:before="0" w:after="283"/>
              <w:jc w:val="left"/>
              <w:rPr/>
            </w:pPr>
            <w:r>
              <w:rPr/>
              <w:t> </w:t>
            </w:r>
          </w:p>
        </w:tc>
      </w:tr>
      <w:tr>
        <w:trPr/>
        <w:tc>
          <w:tcPr>
            <w:tcW w:w="6531" w:type="dxa"/>
            <w:tcBorders/>
          </w:tcPr>
          <w:p>
            <w:pPr>
              <w:pStyle w:val="TableContents"/>
              <w:bidi w:val="0"/>
              <w:spacing w:before="0" w:after="0"/>
              <w:jc w:val="left"/>
              <w:rPr>
                <w:rFonts w:ascii="Times New Roman" w:hAnsi="Times New Roman"/>
                <w:sz w:val="20"/>
              </w:rPr>
            </w:pPr>
            <w:r>
              <w:rPr>
                <w:rFonts w:ascii="Times New Roman" w:hAnsi="Times New Roman"/>
                <w:sz w:val="20"/>
              </w:rPr>
              <w:t>Payment of hedge collateral</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(612</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(612</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(2,586</w:t>
            </w:r>
          </w:p>
        </w:tc>
        <w:tc>
          <w:tcPr>
            <w:tcW w:w="158" w:type="dxa"/>
            <w:tcBorders/>
            <w:vAlign w:val="bottom"/>
          </w:tcPr>
          <w:p>
            <w:pPr>
              <w:pStyle w:val="TableContents"/>
              <w:bidi w:val="0"/>
              <w:spacing w:before="0" w:after="283"/>
              <w:jc w:val="left"/>
              <w:rPr/>
            </w:pPr>
            <w:r>
              <w:rPr/>
              <w:t>) </w:t>
            </w:r>
          </w:p>
        </w:tc>
      </w:tr>
      <w:tr>
        <w:trPr/>
        <w:tc>
          <w:tcPr>
            <w:tcW w:w="65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 of property, plant and equipment</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(898</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(1,566</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(1,518</w:t>
            </w:r>
          </w:p>
        </w:tc>
        <w:tc>
          <w:tcPr>
            <w:tcW w:w="158" w:type="dxa"/>
            <w:tcBorders/>
            <w:shd w:fill="CCEEFF" w:val="clear"/>
            <w:vAlign w:val="bottom"/>
          </w:tcPr>
          <w:p>
            <w:pPr>
              <w:pStyle w:val="TableContents"/>
              <w:bidi w:val="0"/>
              <w:spacing w:before="0" w:after="283"/>
              <w:jc w:val="left"/>
              <w:rPr/>
            </w:pPr>
            <w:r>
              <w:rPr/>
              <w:t>) </w:t>
            </w:r>
          </w:p>
        </w:tc>
      </w:tr>
      <w:tr>
        <w:trPr/>
        <w:tc>
          <w:tcPr>
            <w:tcW w:w="6531" w:type="dxa"/>
            <w:tcBorders/>
          </w:tcPr>
          <w:p>
            <w:pPr>
              <w:pStyle w:val="TableContents"/>
              <w:bidi w:val="0"/>
              <w:spacing w:before="0" w:after="0"/>
              <w:jc w:val="left"/>
              <w:rPr>
                <w:rFonts w:ascii="Times New Roman" w:hAnsi="Times New Roman"/>
                <w:sz w:val="20"/>
              </w:rPr>
            </w:pPr>
            <w:r>
              <w:rPr>
                <w:rFonts w:ascii="Times New Roman" w:hAnsi="Times New Roman"/>
                <w:sz w:val="20"/>
              </w:rPr>
              <w:t>Payment for intellectual property registration</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(118</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(178</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(163</w:t>
            </w:r>
          </w:p>
        </w:tc>
        <w:tc>
          <w:tcPr>
            <w:tcW w:w="158" w:type="dxa"/>
            <w:tcBorders/>
            <w:vAlign w:val="bottom"/>
          </w:tcPr>
          <w:p>
            <w:pPr>
              <w:pStyle w:val="TableContents"/>
              <w:bidi w:val="0"/>
              <w:spacing w:before="0" w:after="283"/>
              <w:jc w:val="left"/>
              <w:rPr/>
            </w:pPr>
            <w:r>
              <w:rPr/>
              <w:t>) </w:t>
            </w:r>
          </w:p>
        </w:tc>
      </w:tr>
      <w:tr>
        <w:trPr/>
        <w:tc>
          <w:tcPr>
            <w:tcW w:w="65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Collection of guarantee deposits</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1,138</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1,445</w:t>
            </w:r>
          </w:p>
        </w:tc>
        <w:tc>
          <w:tcPr>
            <w:tcW w:w="158" w:type="dxa"/>
            <w:tcBorders/>
            <w:shd w:fill="CCEEFF" w:val="clear"/>
            <w:vAlign w:val="bottom"/>
          </w:tcPr>
          <w:p>
            <w:pPr>
              <w:pStyle w:val="TableContents"/>
              <w:bidi w:val="0"/>
              <w:spacing w:before="0" w:after="283"/>
              <w:jc w:val="left"/>
              <w:rPr/>
            </w:pPr>
            <w:r>
              <w:rPr/>
              <w:t> </w:t>
            </w:r>
          </w:p>
        </w:tc>
      </w:tr>
      <w:tr>
        <w:trPr/>
        <w:tc>
          <w:tcPr>
            <w:tcW w:w="6531" w:type="dxa"/>
            <w:tcBorders/>
          </w:tcPr>
          <w:p>
            <w:pPr>
              <w:pStyle w:val="TableContents"/>
              <w:bidi w:val="0"/>
              <w:spacing w:before="0" w:after="0"/>
              <w:jc w:val="left"/>
              <w:rPr>
                <w:rFonts w:ascii="Times New Roman" w:hAnsi="Times New Roman"/>
                <w:sz w:val="20"/>
              </w:rPr>
            </w:pPr>
            <w:r>
              <w:rPr>
                <w:rFonts w:ascii="Times New Roman" w:hAnsi="Times New Roman"/>
                <w:sz w:val="20"/>
              </w:rPr>
              <w:t>Payment of guarantee deposits</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(36</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(1,910</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(6,907</w:t>
            </w:r>
          </w:p>
        </w:tc>
        <w:tc>
          <w:tcPr>
            <w:tcW w:w="158" w:type="dxa"/>
            <w:tcBorders/>
            <w:vAlign w:val="bottom"/>
          </w:tcPr>
          <w:p>
            <w:pPr>
              <w:pStyle w:val="TableContents"/>
              <w:bidi w:val="0"/>
              <w:spacing w:before="0" w:after="283"/>
              <w:jc w:val="left"/>
              <w:rPr/>
            </w:pPr>
            <w:r>
              <w:rPr/>
              <w:t>) </w:t>
            </w:r>
          </w:p>
        </w:tc>
      </w:tr>
      <w:tr>
        <w:trPr/>
        <w:tc>
          <w:tcPr>
            <w:tcW w:w="65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short-term financial instruments</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(30,000</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(30,000</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531" w:type="dxa"/>
            <w:tcBorders/>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0</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53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(31,660</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(33,128</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(6,394</w:t>
            </w:r>
          </w:p>
        </w:tc>
        <w:tc>
          <w:tcPr>
            <w:tcW w:w="158" w:type="dxa"/>
            <w:tcBorders/>
            <w:shd w:fill="CCEEFF" w:val="clear"/>
            <w:vAlign w:val="bottom"/>
          </w:tcPr>
          <w:p>
            <w:pPr>
              <w:pStyle w:val="TableContents"/>
              <w:bidi w:val="0"/>
              <w:spacing w:before="0" w:after="283"/>
              <w:jc w:val="left"/>
              <w:rPr/>
            </w:pPr>
            <w:r>
              <w:rPr/>
              <w:t>) </w:t>
            </w:r>
          </w:p>
        </w:tc>
      </w:tr>
      <w:tr>
        <w:trPr/>
        <w:tc>
          <w:tcPr>
            <w:tcW w:w="6531"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5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long-term borrowings</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30,059</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531"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exercise of stock options</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27</w:t>
            </w:r>
          </w:p>
        </w:tc>
        <w:tc>
          <w:tcPr>
            <w:tcW w:w="158" w:type="dxa"/>
            <w:tcBorders/>
            <w:vAlign w:val="bottom"/>
          </w:tcPr>
          <w:p>
            <w:pPr>
              <w:pStyle w:val="TableContents"/>
              <w:bidi w:val="0"/>
              <w:spacing w:before="0" w:after="283"/>
              <w:jc w:val="left"/>
              <w:rPr/>
            </w:pPr>
            <w:r>
              <w:rPr/>
              <w:t> </w:t>
            </w:r>
          </w:p>
        </w:tc>
      </w:tr>
      <w:tr>
        <w:trPr/>
        <w:tc>
          <w:tcPr>
            <w:tcW w:w="65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 of treasury stock</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(2,200</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(6,859</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(36,840</w:t>
            </w:r>
          </w:p>
        </w:tc>
        <w:tc>
          <w:tcPr>
            <w:tcW w:w="158" w:type="dxa"/>
            <w:tcBorders/>
            <w:shd w:fill="CCEEFF" w:val="clear"/>
            <w:vAlign w:val="bottom"/>
          </w:tcPr>
          <w:p>
            <w:pPr>
              <w:pStyle w:val="TableContents"/>
              <w:bidi w:val="0"/>
              <w:spacing w:before="0" w:after="283"/>
              <w:jc w:val="left"/>
              <w:rPr/>
            </w:pPr>
            <w:r>
              <w:rPr/>
              <w:t>) </w:t>
            </w:r>
          </w:p>
        </w:tc>
      </w:tr>
      <w:tr>
        <w:trPr/>
        <w:tc>
          <w:tcPr>
            <w:tcW w:w="6531" w:type="dxa"/>
            <w:tcBorders/>
          </w:tcPr>
          <w:p>
            <w:pPr>
              <w:pStyle w:val="TableContents"/>
              <w:bidi w:val="0"/>
              <w:spacing w:before="0" w:after="0"/>
              <w:jc w:val="left"/>
              <w:rPr>
                <w:rFonts w:ascii="Times New Roman" w:hAnsi="Times New Roman"/>
                <w:sz w:val="20"/>
              </w:rPr>
            </w:pPr>
            <w:r>
              <w:rPr>
                <w:rFonts w:ascii="Times New Roman" w:hAnsi="Times New Roman"/>
                <w:sz w:val="20"/>
              </w:rPr>
              <w:t>Repayment of financing related to water treatment facility arrangement</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(238</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(248</w:t>
            </w:r>
          </w:p>
        </w:tc>
        <w:tc>
          <w:tcPr>
            <w:tcW w:w="158" w:type="dxa"/>
            <w:tcBorders/>
            <w:vAlign w:val="bottom"/>
          </w:tcPr>
          <w:p>
            <w:pPr>
              <w:pStyle w:val="TableContents"/>
              <w:bidi w:val="0"/>
              <w:spacing w:before="0" w:after="283"/>
              <w:jc w:val="left"/>
              <w:rPr/>
            </w:pPr>
            <w:r>
              <w:rPr/>
              <w:t>) </w:t>
            </w:r>
          </w:p>
        </w:tc>
      </w:tr>
      <w:tr>
        <w:trPr/>
        <w:tc>
          <w:tcPr>
            <w:tcW w:w="65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 of principal portion of finance lease liabilities</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(34</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(69</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(46</w:t>
            </w:r>
          </w:p>
        </w:tc>
        <w:tc>
          <w:tcPr>
            <w:tcW w:w="158" w:type="dxa"/>
            <w:tcBorders/>
            <w:shd w:fill="CCEEFF" w:val="clear"/>
            <w:vAlign w:val="bottom"/>
          </w:tcPr>
          <w:p>
            <w:pPr>
              <w:pStyle w:val="TableContents"/>
              <w:bidi w:val="0"/>
              <w:spacing w:before="0" w:after="283"/>
              <w:jc w:val="left"/>
              <w:rPr/>
            </w:pPr>
            <w:r>
              <w:rPr/>
              <w:t>) </w:t>
            </w:r>
          </w:p>
        </w:tc>
      </w:tr>
      <w:tr>
        <w:trPr/>
        <w:tc>
          <w:tcPr>
            <w:tcW w:w="653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31"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(2,351</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22,893</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(37,107</w:t>
            </w:r>
          </w:p>
        </w:tc>
        <w:tc>
          <w:tcPr>
            <w:tcW w:w="158" w:type="dxa"/>
            <w:tcBorders/>
            <w:vAlign w:val="bottom"/>
          </w:tcPr>
          <w:p>
            <w:pPr>
              <w:pStyle w:val="TableContents"/>
              <w:bidi w:val="0"/>
              <w:spacing w:before="0" w:after="283"/>
              <w:jc w:val="left"/>
              <w:rPr/>
            </w:pPr>
            <w:r>
              <w:rPr/>
              <w:t>) </w:t>
            </w:r>
          </w:p>
        </w:tc>
      </w:tr>
      <w:tr>
        <w:trPr/>
        <w:tc>
          <w:tcPr>
            <w:tcW w:w="65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 exchange rates on cash and cash equivalents</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(4,012</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(10,306</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(7,093</w:t>
            </w:r>
          </w:p>
        </w:tc>
        <w:tc>
          <w:tcPr>
            <w:tcW w:w="158" w:type="dxa"/>
            <w:tcBorders/>
            <w:shd w:fill="CCEEFF" w:val="clear"/>
            <w:vAlign w:val="bottom"/>
          </w:tcPr>
          <w:p>
            <w:pPr>
              <w:pStyle w:val="TableContents"/>
              <w:bidi w:val="0"/>
              <w:spacing w:before="0" w:after="283"/>
              <w:jc w:val="left"/>
              <w:rPr/>
            </w:pPr>
            <w:r>
              <w:rPr/>
              <w:t>) </w:t>
            </w:r>
          </w:p>
        </w:tc>
      </w:tr>
      <w:tr>
        <w:trPr/>
        <w:tc>
          <w:tcPr>
            <w:tcW w:w="653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31" w:type="dxa"/>
            <w:tcBorders/>
          </w:tcPr>
          <w:p>
            <w:pPr>
              <w:pStyle w:val="TableContents"/>
              <w:bidi w:val="0"/>
              <w:spacing w:before="0" w:after="0"/>
              <w:jc w:val="left"/>
              <w:rPr>
                <w:rFonts w:ascii="Times New Roman" w:hAnsi="Times New Roman"/>
                <w:sz w:val="20"/>
              </w:rPr>
            </w:pPr>
            <w:r>
              <w:rPr>
                <w:rFonts w:ascii="Times New Roman" w:hAnsi="Times New Roman"/>
                <w:sz w:val="20"/>
              </w:rPr>
              <w:t>Net decrease in cash and cash equivalents</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(39,135</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(25,625</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(52,523</w:t>
            </w:r>
          </w:p>
        </w:tc>
        <w:tc>
          <w:tcPr>
            <w:tcW w:w="158" w:type="dxa"/>
            <w:tcBorders/>
            <w:vAlign w:val="bottom"/>
          </w:tcPr>
          <w:p>
            <w:pPr>
              <w:pStyle w:val="TableContents"/>
              <w:bidi w:val="0"/>
              <w:spacing w:before="0" w:after="283"/>
              <w:jc w:val="left"/>
              <w:rPr/>
            </w:pPr>
            <w:r>
              <w:rPr/>
              <w:t>) </w:t>
            </w:r>
          </w:p>
        </w:tc>
      </w:tr>
      <w:tr>
        <w:trPr/>
        <w:tc>
          <w:tcPr>
            <w:tcW w:w="65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and cash equivalents</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531" w:type="dxa"/>
            <w:tcBorders/>
          </w:tcPr>
          <w:p>
            <w:pPr>
              <w:pStyle w:val="TableContents"/>
              <w:bidi w:val="0"/>
              <w:spacing w:before="0" w:after="0"/>
              <w:jc w:val="left"/>
              <w:rPr>
                <w:rFonts w:ascii="Times New Roman" w:hAnsi="Times New Roman"/>
                <w:sz w:val="20"/>
              </w:rPr>
            </w:pPr>
            <w:r>
              <w:rPr>
                <w:rFonts w:ascii="Times New Roman" w:hAnsi="Times New Roman"/>
                <w:sz w:val="20"/>
              </w:rPr>
              <w:t>Beginning of the period</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171,602</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158,092</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225,477</w:t>
            </w:r>
          </w:p>
        </w:tc>
        <w:tc>
          <w:tcPr>
            <w:tcW w:w="158" w:type="dxa"/>
            <w:tcBorders/>
            <w:vAlign w:val="bottom"/>
          </w:tcPr>
          <w:p>
            <w:pPr>
              <w:pStyle w:val="TableContents"/>
              <w:bidi w:val="0"/>
              <w:spacing w:before="0" w:after="283"/>
              <w:jc w:val="left"/>
              <w:rPr/>
            </w:pPr>
            <w:r>
              <w:rPr/>
              <w:t> </w:t>
            </w:r>
          </w:p>
        </w:tc>
      </w:tr>
      <w:tr>
        <w:trPr/>
        <w:tc>
          <w:tcPr>
            <w:tcW w:w="653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End of the period</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132,467</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132,467</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172,954</w:t>
            </w:r>
          </w:p>
        </w:tc>
        <w:tc>
          <w:tcPr>
            <w:tcW w:w="158" w:type="dxa"/>
            <w:tcBorders/>
            <w:shd w:fill="CCEEFF" w:val="clear"/>
            <w:vAlign w:val="bottom"/>
          </w:tcPr>
          <w:p>
            <w:pPr>
              <w:pStyle w:val="TableContents"/>
              <w:bidi w:val="0"/>
              <w:spacing w:before="0" w:after="283"/>
              <w:jc w:val="left"/>
              <w:rPr/>
            </w:pPr>
            <w:r>
              <w:rPr/>
              <w:t> </w:t>
            </w:r>
          </w:p>
        </w:tc>
      </w:tr>
      <w:tr>
        <w:trPr/>
        <w:tc>
          <w:tcPr>
            <w:tcW w:w="653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497330" cy="29019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497330" cy="29019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OPERATING LOSS TO ADJUSTED OPERATING LOSS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of U.S. dollars)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00"/>
        <w:gridCol w:w="143"/>
        <w:gridCol w:w="140"/>
        <w:gridCol w:w="791"/>
        <w:gridCol w:w="155"/>
        <w:gridCol w:w="96"/>
        <w:gridCol w:w="167"/>
        <w:gridCol w:w="907"/>
        <w:gridCol w:w="155"/>
        <w:gridCol w:w="96"/>
        <w:gridCol w:w="140"/>
        <w:gridCol w:w="791"/>
        <w:gridCol w:w="155"/>
        <w:gridCol w:w="96"/>
        <w:gridCol w:w="140"/>
        <w:gridCol w:w="791"/>
        <w:gridCol w:w="154"/>
        <w:gridCol w:w="96"/>
        <w:gridCol w:w="140"/>
        <w:gridCol w:w="791"/>
        <w:gridCol w:w="161"/>
      </w:tblGrid>
      <w:tr>
        <w:trPr/>
        <w:tc>
          <w:tcPr>
            <w:tcW w:w="410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0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343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11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161" w:type="dxa"/>
            <w:tcBorders/>
            <w:vAlign w:val="bottom"/>
          </w:tcPr>
          <w:p>
            <w:pPr>
              <w:pStyle w:val="TableContents"/>
              <w:bidi w:val="0"/>
              <w:spacing w:before="0" w:after="283"/>
              <w:jc w:val="left"/>
              <w:rPr/>
            </w:pPr>
            <w:r>
              <w:rPr/>
              <w:t> </w:t>
            </w:r>
          </w:p>
        </w:tc>
      </w:tr>
      <w:tr>
        <w:trPr/>
        <w:tc>
          <w:tcPr>
            <w:tcW w:w="410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2024</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2024</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9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2023</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9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2024</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9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2023</w:t>
            </w:r>
          </w:p>
        </w:tc>
        <w:tc>
          <w:tcPr>
            <w:tcW w:w="161" w:type="dxa"/>
            <w:tcBorders/>
            <w:vAlign w:val="bottom"/>
          </w:tcPr>
          <w:p>
            <w:pPr>
              <w:pStyle w:val="TableContents"/>
              <w:bidi w:val="0"/>
              <w:spacing w:before="0" w:after="283"/>
              <w:jc w:val="left"/>
              <w:rPr/>
            </w:pPr>
            <w:r>
              <w:rPr/>
              <w:t> </w:t>
            </w:r>
          </w:p>
        </w:tc>
      </w:tr>
      <w:tr>
        <w:trPr/>
        <w:tc>
          <w:tcPr>
            <w:tcW w:w="41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91" w:type="dxa"/>
            <w:tcBorders/>
            <w:shd w:fill="CCEEFF" w:val="clear"/>
            <w:vAlign w:val="bottom"/>
          </w:tcPr>
          <w:p>
            <w:pPr>
              <w:pStyle w:val="TableContents"/>
              <w:bidi w:val="0"/>
              <w:spacing w:before="0" w:after="283"/>
              <w:jc w:val="right"/>
              <w:rPr/>
            </w:pPr>
            <w:r>
              <w:rPr/>
              <w:t>(12,824</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907" w:type="dxa"/>
            <w:tcBorders/>
            <w:shd w:fill="CCEEFF" w:val="clear"/>
            <w:vAlign w:val="bottom"/>
          </w:tcPr>
          <w:p>
            <w:pPr>
              <w:pStyle w:val="TableContents"/>
              <w:bidi w:val="0"/>
              <w:spacing w:before="0" w:after="283"/>
              <w:jc w:val="right"/>
              <w:rPr/>
            </w:pPr>
            <w:r>
              <w:rPr/>
              <w:t>(13,459</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91" w:type="dxa"/>
            <w:tcBorders/>
            <w:shd w:fill="CCEEFF" w:val="clear"/>
            <w:vAlign w:val="bottom"/>
          </w:tcPr>
          <w:p>
            <w:pPr>
              <w:pStyle w:val="TableContents"/>
              <w:bidi w:val="0"/>
              <w:spacing w:before="0" w:after="283"/>
              <w:jc w:val="right"/>
              <w:rPr/>
            </w:pPr>
            <w:r>
              <w:rPr/>
              <w:t>(10,656</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91" w:type="dxa"/>
            <w:tcBorders/>
            <w:shd w:fill="CCEEFF" w:val="clear"/>
            <w:vAlign w:val="bottom"/>
          </w:tcPr>
          <w:p>
            <w:pPr>
              <w:pStyle w:val="TableContents"/>
              <w:bidi w:val="0"/>
              <w:spacing w:before="0" w:after="283"/>
              <w:jc w:val="right"/>
              <w:rPr/>
            </w:pPr>
            <w:r>
              <w:rPr/>
              <w:t>(26,283</w:t>
            </w:r>
          </w:p>
        </w:tc>
        <w:tc>
          <w:tcPr>
            <w:tcW w:w="154"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91" w:type="dxa"/>
            <w:tcBorders/>
            <w:shd w:fill="CCEEFF" w:val="clear"/>
            <w:vAlign w:val="bottom"/>
          </w:tcPr>
          <w:p>
            <w:pPr>
              <w:pStyle w:val="TableContents"/>
              <w:bidi w:val="0"/>
              <w:spacing w:before="0" w:after="283"/>
              <w:jc w:val="right"/>
              <w:rPr/>
            </w:pPr>
            <w:r>
              <w:rPr/>
              <w:t>(32,474</w:t>
            </w:r>
          </w:p>
        </w:tc>
        <w:tc>
          <w:tcPr>
            <w:tcW w:w="161" w:type="dxa"/>
            <w:tcBorders/>
            <w:shd w:fill="CCEEFF" w:val="clear"/>
            <w:vAlign w:val="bottom"/>
          </w:tcPr>
          <w:p>
            <w:pPr>
              <w:pStyle w:val="TableContents"/>
              <w:bidi w:val="0"/>
              <w:spacing w:before="0" w:after="283"/>
              <w:jc w:val="left"/>
              <w:rPr/>
            </w:pPr>
            <w:r>
              <w:rPr/>
              <w:t>) </w:t>
            </w:r>
          </w:p>
        </w:tc>
      </w:tr>
      <w:tr>
        <w:trPr/>
        <w:tc>
          <w:tcPr>
            <w:tcW w:w="4100" w:type="dxa"/>
            <w:tcBorders/>
          </w:tcPr>
          <w:p>
            <w:pPr>
              <w:pStyle w:val="TableContents"/>
              <w:bidi w:val="0"/>
              <w:spacing w:before="0" w:after="0"/>
              <w:jc w:val="left"/>
              <w:rPr>
                <w:rFonts w:ascii="Times New Roman" w:hAnsi="Times New Roman"/>
                <w:sz w:val="20"/>
              </w:rPr>
            </w:pPr>
            <w:r>
              <w:rPr>
                <w:rFonts w:ascii="Times New Roman" w:hAnsi="Times New Roman"/>
                <w:sz w:val="20"/>
              </w:rPr>
              <w:t>Adjustments:</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1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Equity-based compensation expense</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1,216</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900</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2,092</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2,116</w:t>
            </w:r>
          </w:p>
        </w:tc>
        <w:tc>
          <w:tcPr>
            <w:tcW w:w="154"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3,212</w:t>
            </w:r>
          </w:p>
        </w:tc>
        <w:tc>
          <w:tcPr>
            <w:tcW w:w="161" w:type="dxa"/>
            <w:tcBorders/>
            <w:shd w:fill="CCEEFF" w:val="clear"/>
            <w:vAlign w:val="bottom"/>
          </w:tcPr>
          <w:p>
            <w:pPr>
              <w:pStyle w:val="TableContents"/>
              <w:bidi w:val="0"/>
              <w:spacing w:before="0" w:after="283"/>
              <w:jc w:val="left"/>
              <w:rPr/>
            </w:pPr>
            <w:r>
              <w:rPr/>
              <w:t> </w:t>
            </w:r>
          </w:p>
        </w:tc>
      </w:tr>
      <w:tr>
        <w:trPr/>
        <w:tc>
          <w:tcPr>
            <w:tcW w:w="4100" w:type="dxa"/>
            <w:tcBorders/>
          </w:tcPr>
          <w:p>
            <w:pPr>
              <w:pStyle w:val="TableContents"/>
              <w:bidi w:val="0"/>
              <w:spacing w:before="0" w:after="0"/>
              <w:jc w:val="left"/>
              <w:rPr>
                <w:rFonts w:ascii="Times New Roman" w:hAnsi="Times New Roman"/>
                <w:sz w:val="20"/>
              </w:rPr>
            </w:pPr>
            <w:r>
              <w:rPr>
                <w:rFonts w:ascii="Times New Roman" w:hAnsi="Times New Roman"/>
                <w:sz w:val="20"/>
              </w:rPr>
              <w:t>Early termination and other charges</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802</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9,251</w:t>
            </w:r>
          </w:p>
        </w:tc>
        <w:tc>
          <w:tcPr>
            <w:tcW w:w="161" w:type="dxa"/>
            <w:tcBorders/>
            <w:vAlign w:val="bottom"/>
          </w:tcPr>
          <w:p>
            <w:pPr>
              <w:pStyle w:val="TableContents"/>
              <w:bidi w:val="0"/>
              <w:spacing w:before="0" w:after="283"/>
              <w:jc w:val="left"/>
              <w:rPr/>
            </w:pPr>
            <w:r>
              <w:rPr/>
              <w:t> </w:t>
            </w:r>
          </w:p>
        </w:tc>
      </w:tr>
      <w:tr>
        <w:trPr/>
        <w:tc>
          <w:tcPr>
            <w:tcW w:w="410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1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Operating Income Loss</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91" w:type="dxa"/>
            <w:tcBorders/>
            <w:shd w:fill="CCEEFF" w:val="clear"/>
            <w:vAlign w:val="bottom"/>
          </w:tcPr>
          <w:p>
            <w:pPr>
              <w:pStyle w:val="TableContents"/>
              <w:bidi w:val="0"/>
              <w:spacing w:before="0" w:after="283"/>
              <w:jc w:val="right"/>
              <w:rPr/>
            </w:pPr>
            <w:r>
              <w:rPr/>
              <w:t>(11,608</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907" w:type="dxa"/>
            <w:tcBorders/>
            <w:shd w:fill="CCEEFF" w:val="clear"/>
            <w:vAlign w:val="bottom"/>
          </w:tcPr>
          <w:p>
            <w:pPr>
              <w:pStyle w:val="TableContents"/>
              <w:bidi w:val="0"/>
              <w:spacing w:before="0" w:after="283"/>
              <w:jc w:val="right"/>
              <w:rPr/>
            </w:pPr>
            <w:r>
              <w:rPr/>
              <w:t>(12,559</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$(7,762</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91" w:type="dxa"/>
            <w:tcBorders/>
            <w:shd w:fill="CCEEFF" w:val="clear"/>
            <w:vAlign w:val="bottom"/>
          </w:tcPr>
          <w:p>
            <w:pPr>
              <w:pStyle w:val="TableContents"/>
              <w:bidi w:val="0"/>
              <w:spacing w:before="0" w:after="283"/>
              <w:jc w:val="right"/>
              <w:rPr/>
            </w:pPr>
            <w:r>
              <w:rPr/>
              <w:t>(24,167</w:t>
            </w:r>
          </w:p>
        </w:tc>
        <w:tc>
          <w:tcPr>
            <w:tcW w:w="154"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91" w:type="dxa"/>
            <w:tcBorders/>
            <w:shd w:fill="CCEEFF" w:val="clear"/>
            <w:vAlign w:val="bottom"/>
          </w:tcPr>
          <w:p>
            <w:pPr>
              <w:pStyle w:val="TableContents"/>
              <w:bidi w:val="0"/>
              <w:spacing w:before="0" w:after="283"/>
              <w:jc w:val="right"/>
              <w:rPr/>
            </w:pPr>
            <w:r>
              <w:rPr/>
              <w:t>(20,011</w:t>
            </w:r>
          </w:p>
        </w:tc>
        <w:tc>
          <w:tcPr>
            <w:tcW w:w="161" w:type="dxa"/>
            <w:tcBorders/>
            <w:shd w:fill="CCEEFF" w:val="clear"/>
            <w:vAlign w:val="bottom"/>
          </w:tcPr>
          <w:p>
            <w:pPr>
              <w:pStyle w:val="TableContents"/>
              <w:bidi w:val="0"/>
              <w:spacing w:before="0" w:after="283"/>
              <w:jc w:val="left"/>
              <w:rPr/>
            </w:pPr>
            <w:r>
              <w:rPr/>
              <w:t>) </w:t>
            </w:r>
          </w:p>
        </w:tc>
      </w:tr>
      <w:tr>
        <w:trPr/>
        <w:tc>
          <w:tcPr>
            <w:tcW w:w="410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9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91"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91"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present Adjusted Operating Loss as a supplemental measure of our performance. We define Adjusted Operating Loss for the periods indicated as operating loss adjusted to exclude (i) Equity-based compensation expense and (ii) Early termination and other charges. </w:t>
      </w:r>
    </w:p>
    <w:p>
      <w:pPr>
        <w:pStyle w:val="TextBody"/>
        <w:bidi w:val="0"/>
        <w:spacing w:before="240" w:after="0"/>
        <w:jc w:val="left"/>
        <w:rPr>
          <w:rFonts w:ascii="Times New Roman" w:hAnsi="Times New Roman"/>
          <w:sz w:val="20"/>
        </w:rPr>
      </w:pPr>
      <w:r>
        <w:rPr>
          <w:rFonts w:ascii="Times New Roman" w:hAnsi="Times New Roman"/>
          <w:sz w:val="20"/>
        </w:rPr>
        <w:t xml:space="preserve">For the six months ended June 30, 2023, we recorded in our consolidated statement of operations $8,449 thousand of termination related charges in connection with the voluntary resignation program that we offered to certain employees during the first quarter of 2023. For the three and six months ended June 30, 2023, we recorded $802 thousand of one-time employee incentives.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476375" cy="2857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476375" cy="2857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NET LOSS TO ADJUSTED EBITDA AND ADJUSTED NET LOSS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of U.S. dollars, except share data)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70"/>
        <w:gridCol w:w="212"/>
        <w:gridCol w:w="140"/>
        <w:gridCol w:w="1102"/>
        <w:gridCol w:w="155"/>
        <w:gridCol w:w="157"/>
        <w:gridCol w:w="140"/>
        <w:gridCol w:w="1102"/>
        <w:gridCol w:w="155"/>
        <w:gridCol w:w="157"/>
        <w:gridCol w:w="140"/>
        <w:gridCol w:w="1102"/>
        <w:gridCol w:w="155"/>
        <w:gridCol w:w="157"/>
        <w:gridCol w:w="140"/>
        <w:gridCol w:w="1102"/>
        <w:gridCol w:w="154"/>
        <w:gridCol w:w="157"/>
        <w:gridCol w:w="140"/>
        <w:gridCol w:w="1102"/>
        <w:gridCol w:w="166"/>
      </w:tblGrid>
      <w:tr>
        <w:trPr/>
        <w:tc>
          <w:tcPr>
            <w:tcW w:w="2370"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37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435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27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166" w:type="dxa"/>
            <w:tcBorders/>
            <w:vAlign w:val="bottom"/>
          </w:tcPr>
          <w:p>
            <w:pPr>
              <w:pStyle w:val="TableContents"/>
              <w:bidi w:val="0"/>
              <w:spacing w:before="0" w:after="283"/>
              <w:jc w:val="left"/>
              <w:rPr/>
            </w:pPr>
            <w:r>
              <w:rPr/>
              <w:t> </w:t>
            </w:r>
          </w:p>
        </w:tc>
      </w:tr>
      <w:tr>
        <w:trPr/>
        <w:tc>
          <w:tcPr>
            <w:tcW w:w="237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2024</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2024</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2023</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2024</w:t>
            </w:r>
          </w:p>
        </w:tc>
        <w:tc>
          <w:tcPr>
            <w:tcW w:w="154"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2023</w:t>
            </w:r>
          </w:p>
        </w:tc>
        <w:tc>
          <w:tcPr>
            <w:tcW w:w="166" w:type="dxa"/>
            <w:tcBorders/>
            <w:vAlign w:val="bottom"/>
          </w:tcPr>
          <w:p>
            <w:pPr>
              <w:pStyle w:val="TableContents"/>
              <w:bidi w:val="0"/>
              <w:spacing w:before="0" w:after="283"/>
              <w:jc w:val="left"/>
              <w:rPr/>
            </w:pPr>
            <w:r>
              <w:rPr/>
              <w:t> </w:t>
            </w:r>
          </w:p>
        </w:tc>
      </w:tr>
      <w:tr>
        <w:trPr/>
        <w:tc>
          <w:tcPr>
            <w:tcW w:w="2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(12,997</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(15,417</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(3,947</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(28,414</w:t>
            </w:r>
          </w:p>
        </w:tc>
        <w:tc>
          <w:tcPr>
            <w:tcW w:w="154"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(25,417</w:t>
            </w:r>
          </w:p>
        </w:tc>
        <w:tc>
          <w:tcPr>
            <w:tcW w:w="166" w:type="dxa"/>
            <w:tcBorders/>
            <w:shd w:fill="CCEEFF" w:val="clear"/>
            <w:vAlign w:val="bottom"/>
          </w:tcPr>
          <w:p>
            <w:pPr>
              <w:pStyle w:val="TableContents"/>
              <w:bidi w:val="0"/>
              <w:spacing w:before="0" w:after="283"/>
              <w:jc w:val="left"/>
              <w:rPr/>
            </w:pPr>
            <w:r>
              <w:rPr/>
              <w:t>) </w:t>
            </w:r>
          </w:p>
        </w:tc>
      </w:tr>
      <w:tr>
        <w:trPr/>
        <w:tc>
          <w:tcPr>
            <w:tcW w:w="2370" w:type="dxa"/>
            <w:tcBorders/>
          </w:tcPr>
          <w:p>
            <w:pPr>
              <w:pStyle w:val="TableContents"/>
              <w:bidi w:val="0"/>
              <w:spacing w:before="0" w:after="0"/>
              <w:jc w:val="left"/>
              <w:rPr>
                <w:rFonts w:ascii="Times New Roman" w:hAnsi="Times New Roman"/>
                <w:sz w:val="20"/>
              </w:rPr>
            </w:pPr>
            <w:r>
              <w:rPr>
                <w:rFonts w:ascii="Times New Roman" w:hAnsi="Times New Roman"/>
                <w:sz w:val="20"/>
              </w:rPr>
              <w:t>Adjustments:</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2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(2,228</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(2,213</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(2,692</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(4,441</w:t>
            </w:r>
          </w:p>
        </w:tc>
        <w:tc>
          <w:tcPr>
            <w:tcW w:w="154"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(5,534</w:t>
            </w:r>
          </w:p>
        </w:tc>
        <w:tc>
          <w:tcPr>
            <w:tcW w:w="166" w:type="dxa"/>
            <w:tcBorders/>
            <w:shd w:fill="CCEEFF" w:val="clear"/>
            <w:vAlign w:val="bottom"/>
          </w:tcPr>
          <w:p>
            <w:pPr>
              <w:pStyle w:val="TableContents"/>
              <w:bidi w:val="0"/>
              <w:spacing w:before="0" w:after="283"/>
              <w:jc w:val="left"/>
              <w:rPr/>
            </w:pPr>
            <w:r>
              <w:rPr/>
              <w:t>) </w:t>
            </w:r>
          </w:p>
        </w:tc>
      </w:tr>
      <w:tr>
        <w:trPr/>
        <w:tc>
          <w:tcPr>
            <w:tcW w:w="2370"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554</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238</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200</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792</w:t>
            </w:r>
          </w:p>
        </w:tc>
        <w:tc>
          <w:tcPr>
            <w:tcW w:w="154"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456</w:t>
            </w:r>
          </w:p>
        </w:tc>
        <w:tc>
          <w:tcPr>
            <w:tcW w:w="166" w:type="dxa"/>
            <w:tcBorders/>
            <w:vAlign w:val="bottom"/>
          </w:tcPr>
          <w:p>
            <w:pPr>
              <w:pStyle w:val="TableContents"/>
              <w:bidi w:val="0"/>
              <w:spacing w:before="0" w:after="283"/>
              <w:jc w:val="left"/>
              <w:rPr/>
            </w:pPr>
            <w:r>
              <w:rPr/>
              <w:t> </w:t>
            </w:r>
          </w:p>
        </w:tc>
      </w:tr>
      <w:tr>
        <w:trPr/>
        <w:tc>
          <w:tcPr>
            <w:tcW w:w="2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benefit</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(1,602</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(1,024</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(2,977</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(2,626</w:t>
            </w:r>
          </w:p>
        </w:tc>
        <w:tc>
          <w:tcPr>
            <w:tcW w:w="154"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(4,204</w:t>
            </w:r>
          </w:p>
        </w:tc>
        <w:tc>
          <w:tcPr>
            <w:tcW w:w="166" w:type="dxa"/>
            <w:tcBorders/>
            <w:shd w:fill="CCEEFF" w:val="clear"/>
            <w:vAlign w:val="bottom"/>
          </w:tcPr>
          <w:p>
            <w:pPr>
              <w:pStyle w:val="TableContents"/>
              <w:bidi w:val="0"/>
              <w:spacing w:before="0" w:after="283"/>
              <w:jc w:val="left"/>
              <w:rPr/>
            </w:pPr>
            <w:r>
              <w:rPr/>
              <w:t>) </w:t>
            </w:r>
          </w:p>
        </w:tc>
      </w:tr>
      <w:tr>
        <w:trPr/>
        <w:tc>
          <w:tcPr>
            <w:tcW w:w="237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4,016</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4,099</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4,145</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8,115</w:t>
            </w:r>
          </w:p>
        </w:tc>
        <w:tc>
          <w:tcPr>
            <w:tcW w:w="154"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8,502</w:t>
            </w:r>
          </w:p>
        </w:tc>
        <w:tc>
          <w:tcPr>
            <w:tcW w:w="166" w:type="dxa"/>
            <w:tcBorders/>
            <w:vAlign w:val="bottom"/>
          </w:tcPr>
          <w:p>
            <w:pPr>
              <w:pStyle w:val="TableContents"/>
              <w:bidi w:val="0"/>
              <w:spacing w:before="0" w:after="283"/>
              <w:jc w:val="left"/>
              <w:rPr/>
            </w:pPr>
            <w:r>
              <w:rPr/>
              <w:t> </w:t>
            </w:r>
          </w:p>
        </w:tc>
      </w:tr>
      <w:tr>
        <w:trPr/>
        <w:tc>
          <w:tcPr>
            <w:tcW w:w="2370"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2"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2"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(12,257</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(14,317</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(5,271</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(26,574</w:t>
            </w:r>
          </w:p>
        </w:tc>
        <w:tc>
          <w:tcPr>
            <w:tcW w:w="154"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(26,197</w:t>
            </w:r>
          </w:p>
        </w:tc>
        <w:tc>
          <w:tcPr>
            <w:tcW w:w="166" w:type="dxa"/>
            <w:tcBorders/>
            <w:shd w:fill="CCEEFF" w:val="clear"/>
            <w:vAlign w:val="bottom"/>
          </w:tcPr>
          <w:p>
            <w:pPr>
              <w:pStyle w:val="TableContents"/>
              <w:bidi w:val="0"/>
              <w:spacing w:before="0" w:after="283"/>
              <w:jc w:val="left"/>
              <w:rPr/>
            </w:pPr>
            <w:r>
              <w:rPr/>
              <w:t>) </w:t>
            </w:r>
          </w:p>
        </w:tc>
      </w:tr>
      <w:tr>
        <w:trPr/>
        <w:tc>
          <w:tcPr>
            <w:tcW w:w="2370" w:type="dxa"/>
            <w:tcBorders/>
          </w:tcPr>
          <w:p>
            <w:pPr>
              <w:pStyle w:val="TableContents"/>
              <w:bidi w:val="0"/>
              <w:spacing w:before="0" w:after="0"/>
              <w:jc w:val="left"/>
              <w:rPr>
                <w:rFonts w:ascii="Times New Roman" w:hAnsi="Times New Roman"/>
                <w:sz w:val="20"/>
              </w:rPr>
            </w:pPr>
            <w:r>
              <w:rPr>
                <w:rFonts w:ascii="Times New Roman" w:hAnsi="Times New Roman"/>
                <w:sz w:val="20"/>
              </w:rPr>
              <w:t>Equity-based compensation expense</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1,216</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900</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2,092</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2,116</w:t>
            </w:r>
          </w:p>
        </w:tc>
        <w:tc>
          <w:tcPr>
            <w:tcW w:w="154"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3,212</w:t>
            </w:r>
          </w:p>
        </w:tc>
        <w:tc>
          <w:tcPr>
            <w:tcW w:w="166" w:type="dxa"/>
            <w:tcBorders/>
            <w:vAlign w:val="bottom"/>
          </w:tcPr>
          <w:p>
            <w:pPr>
              <w:pStyle w:val="TableContents"/>
              <w:bidi w:val="0"/>
              <w:spacing w:before="0" w:after="283"/>
              <w:jc w:val="left"/>
              <w:rPr/>
            </w:pPr>
            <w:r>
              <w:rPr/>
              <w:t> </w:t>
            </w:r>
          </w:p>
        </w:tc>
      </w:tr>
      <w:tr>
        <w:trPr/>
        <w:tc>
          <w:tcPr>
            <w:tcW w:w="2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loss (gain), net</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3,557</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5,001</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(1,237</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8,558</w:t>
            </w:r>
          </w:p>
        </w:tc>
        <w:tc>
          <w:tcPr>
            <w:tcW w:w="154"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2,193</w:t>
            </w:r>
          </w:p>
        </w:tc>
        <w:tc>
          <w:tcPr>
            <w:tcW w:w="166" w:type="dxa"/>
            <w:tcBorders/>
            <w:shd w:fill="CCEEFF" w:val="clear"/>
            <w:vAlign w:val="bottom"/>
          </w:tcPr>
          <w:p>
            <w:pPr>
              <w:pStyle w:val="TableContents"/>
              <w:bidi w:val="0"/>
              <w:spacing w:before="0" w:after="283"/>
              <w:jc w:val="left"/>
              <w:rPr/>
            </w:pPr>
            <w:r>
              <w:rPr/>
              <w:t> </w:t>
            </w:r>
          </w:p>
        </w:tc>
      </w:tr>
      <w:tr>
        <w:trPr/>
        <w:tc>
          <w:tcPr>
            <w:tcW w:w="2370" w:type="dxa"/>
            <w:tcBorders/>
          </w:tcPr>
          <w:p>
            <w:pPr>
              <w:pStyle w:val="TableContents"/>
              <w:bidi w:val="0"/>
              <w:spacing w:before="0" w:after="0"/>
              <w:jc w:val="left"/>
              <w:rPr>
                <w:rFonts w:ascii="Times New Roman" w:hAnsi="Times New Roman"/>
                <w:sz w:val="20"/>
              </w:rPr>
            </w:pPr>
            <w:r>
              <w:rPr>
                <w:rFonts w:ascii="Times New Roman" w:hAnsi="Times New Roman"/>
                <w:sz w:val="20"/>
              </w:rPr>
              <w:t>Derivative valuation loss (gain), net</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(85</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(25</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(110</w:t>
            </w:r>
          </w:p>
        </w:tc>
        <w:tc>
          <w:tcPr>
            <w:tcW w:w="154"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74</w:t>
            </w:r>
          </w:p>
        </w:tc>
        <w:tc>
          <w:tcPr>
            <w:tcW w:w="166" w:type="dxa"/>
            <w:tcBorders/>
            <w:vAlign w:val="bottom"/>
          </w:tcPr>
          <w:p>
            <w:pPr>
              <w:pStyle w:val="TableContents"/>
              <w:bidi w:val="0"/>
              <w:spacing w:before="0" w:after="283"/>
              <w:jc w:val="left"/>
              <w:rPr/>
            </w:pPr>
            <w:r>
              <w:rPr/>
              <w:t> </w:t>
            </w:r>
          </w:p>
        </w:tc>
      </w:tr>
      <w:tr>
        <w:trPr/>
        <w:tc>
          <w:tcPr>
            <w:tcW w:w="2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Early termination and other charges</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802</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9,251</w:t>
            </w:r>
          </w:p>
        </w:tc>
        <w:tc>
          <w:tcPr>
            <w:tcW w:w="166" w:type="dxa"/>
            <w:tcBorders/>
            <w:shd w:fill="CCEEFF" w:val="clear"/>
            <w:vAlign w:val="bottom"/>
          </w:tcPr>
          <w:p>
            <w:pPr>
              <w:pStyle w:val="TableContents"/>
              <w:bidi w:val="0"/>
              <w:spacing w:before="0" w:after="283"/>
              <w:jc w:val="left"/>
              <w:rPr/>
            </w:pPr>
            <w:r>
              <w:rPr/>
              <w:t> </w:t>
            </w:r>
          </w:p>
        </w:tc>
      </w:tr>
      <w:tr>
        <w:trPr/>
        <w:tc>
          <w:tcPr>
            <w:tcW w:w="2370"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2"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2"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370"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(7,569</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(8,441</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(3,594</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(16,010</w:t>
            </w:r>
          </w:p>
        </w:tc>
        <w:tc>
          <w:tcPr>
            <w:tcW w:w="154"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(11,467</w:t>
            </w:r>
          </w:p>
        </w:tc>
        <w:tc>
          <w:tcPr>
            <w:tcW w:w="166" w:type="dxa"/>
            <w:tcBorders/>
            <w:vAlign w:val="bottom"/>
          </w:tcPr>
          <w:p>
            <w:pPr>
              <w:pStyle w:val="TableContents"/>
              <w:bidi w:val="0"/>
              <w:spacing w:before="0" w:after="283"/>
              <w:jc w:val="left"/>
              <w:rPr/>
            </w:pPr>
            <w:r>
              <w:rPr/>
              <w:t>) </w:t>
            </w:r>
          </w:p>
        </w:tc>
      </w:tr>
      <w:tr>
        <w:trPr/>
        <w:tc>
          <w:tcPr>
            <w:tcW w:w="2370"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2"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2"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(12,997</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(15,417</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(3,947</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(28,414</w:t>
            </w:r>
          </w:p>
        </w:tc>
        <w:tc>
          <w:tcPr>
            <w:tcW w:w="154"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(25,417</w:t>
            </w:r>
          </w:p>
        </w:tc>
        <w:tc>
          <w:tcPr>
            <w:tcW w:w="166" w:type="dxa"/>
            <w:tcBorders/>
            <w:shd w:fill="CCEEFF" w:val="clear"/>
            <w:vAlign w:val="bottom"/>
          </w:tcPr>
          <w:p>
            <w:pPr>
              <w:pStyle w:val="TableContents"/>
              <w:bidi w:val="0"/>
              <w:spacing w:before="0" w:after="283"/>
              <w:jc w:val="left"/>
              <w:rPr/>
            </w:pPr>
            <w:r>
              <w:rPr/>
              <w:t>) </w:t>
            </w:r>
          </w:p>
        </w:tc>
      </w:tr>
      <w:tr>
        <w:trPr/>
        <w:tc>
          <w:tcPr>
            <w:tcW w:w="2370" w:type="dxa"/>
            <w:tcBorders/>
          </w:tcPr>
          <w:p>
            <w:pPr>
              <w:pStyle w:val="TableContents"/>
              <w:bidi w:val="0"/>
              <w:spacing w:before="0" w:after="0"/>
              <w:jc w:val="left"/>
              <w:rPr>
                <w:rFonts w:ascii="Times New Roman" w:hAnsi="Times New Roman"/>
                <w:sz w:val="20"/>
              </w:rPr>
            </w:pPr>
            <w:r>
              <w:rPr>
                <w:rFonts w:ascii="Times New Roman" w:hAnsi="Times New Roman"/>
                <w:sz w:val="20"/>
              </w:rPr>
              <w:t>Adjustments:</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2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Equity-based compensation expense</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1,216</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900</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2,092</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2,116</w:t>
            </w:r>
          </w:p>
        </w:tc>
        <w:tc>
          <w:tcPr>
            <w:tcW w:w="154"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3,212</w:t>
            </w:r>
          </w:p>
        </w:tc>
        <w:tc>
          <w:tcPr>
            <w:tcW w:w="166" w:type="dxa"/>
            <w:tcBorders/>
            <w:shd w:fill="CCEEFF" w:val="clear"/>
            <w:vAlign w:val="bottom"/>
          </w:tcPr>
          <w:p>
            <w:pPr>
              <w:pStyle w:val="TableContents"/>
              <w:bidi w:val="0"/>
              <w:spacing w:before="0" w:after="283"/>
              <w:jc w:val="left"/>
              <w:rPr/>
            </w:pPr>
            <w:r>
              <w:rPr/>
              <w:t> </w:t>
            </w:r>
          </w:p>
        </w:tc>
      </w:tr>
      <w:tr>
        <w:trPr/>
        <w:tc>
          <w:tcPr>
            <w:tcW w:w="2370"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loss (gain), net</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3,557</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5,001</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(1,237</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8,558</w:t>
            </w:r>
          </w:p>
        </w:tc>
        <w:tc>
          <w:tcPr>
            <w:tcW w:w="154"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2,193</w:t>
            </w:r>
          </w:p>
        </w:tc>
        <w:tc>
          <w:tcPr>
            <w:tcW w:w="166" w:type="dxa"/>
            <w:tcBorders/>
            <w:vAlign w:val="bottom"/>
          </w:tcPr>
          <w:p>
            <w:pPr>
              <w:pStyle w:val="TableContents"/>
              <w:bidi w:val="0"/>
              <w:spacing w:before="0" w:after="283"/>
              <w:jc w:val="left"/>
              <w:rPr/>
            </w:pPr>
            <w:r>
              <w:rPr/>
              <w:t> </w:t>
            </w:r>
          </w:p>
        </w:tc>
      </w:tr>
      <w:tr>
        <w:trPr/>
        <w:tc>
          <w:tcPr>
            <w:tcW w:w="2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Derivative valuation loss (gain), net</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(85</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(25</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(110</w:t>
            </w:r>
          </w:p>
        </w:tc>
        <w:tc>
          <w:tcPr>
            <w:tcW w:w="154"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74</w:t>
            </w:r>
          </w:p>
        </w:tc>
        <w:tc>
          <w:tcPr>
            <w:tcW w:w="166" w:type="dxa"/>
            <w:tcBorders/>
            <w:shd w:fill="CCEEFF" w:val="clear"/>
            <w:vAlign w:val="bottom"/>
          </w:tcPr>
          <w:p>
            <w:pPr>
              <w:pStyle w:val="TableContents"/>
              <w:bidi w:val="0"/>
              <w:spacing w:before="0" w:after="283"/>
              <w:jc w:val="left"/>
              <w:rPr/>
            </w:pPr>
            <w:r>
              <w:rPr/>
              <w:t> </w:t>
            </w:r>
          </w:p>
        </w:tc>
      </w:tr>
      <w:tr>
        <w:trPr/>
        <w:tc>
          <w:tcPr>
            <w:tcW w:w="2370" w:type="dxa"/>
            <w:tcBorders/>
          </w:tcPr>
          <w:p>
            <w:pPr>
              <w:pStyle w:val="TableContents"/>
              <w:bidi w:val="0"/>
              <w:spacing w:before="0" w:after="0"/>
              <w:jc w:val="left"/>
              <w:rPr>
                <w:rFonts w:ascii="Times New Roman" w:hAnsi="Times New Roman"/>
                <w:sz w:val="20"/>
              </w:rPr>
            </w:pPr>
            <w:r>
              <w:rPr>
                <w:rFonts w:ascii="Times New Roman" w:hAnsi="Times New Roman"/>
                <w:sz w:val="20"/>
              </w:rPr>
              <w:t>Early termination and other charges</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802</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9,251</w:t>
            </w:r>
          </w:p>
        </w:tc>
        <w:tc>
          <w:tcPr>
            <w:tcW w:w="166" w:type="dxa"/>
            <w:tcBorders/>
            <w:vAlign w:val="bottom"/>
          </w:tcPr>
          <w:p>
            <w:pPr>
              <w:pStyle w:val="TableContents"/>
              <w:bidi w:val="0"/>
              <w:spacing w:before="0" w:after="283"/>
              <w:jc w:val="left"/>
              <w:rPr/>
            </w:pPr>
            <w:r>
              <w:rPr/>
              <w:t> </w:t>
            </w:r>
          </w:p>
        </w:tc>
      </w:tr>
      <w:tr>
        <w:trPr/>
        <w:tc>
          <w:tcPr>
            <w:tcW w:w="2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effect on non-GAAP adjustments</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175</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(1,343</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(202</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(1,168</w:t>
            </w:r>
          </w:p>
        </w:tc>
        <w:tc>
          <w:tcPr>
            <w:tcW w:w="154"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(2,152</w:t>
            </w:r>
          </w:p>
        </w:tc>
        <w:tc>
          <w:tcPr>
            <w:tcW w:w="166" w:type="dxa"/>
            <w:tcBorders/>
            <w:shd w:fill="CCEEFF" w:val="clear"/>
            <w:vAlign w:val="bottom"/>
          </w:tcPr>
          <w:p>
            <w:pPr>
              <w:pStyle w:val="TableContents"/>
              <w:bidi w:val="0"/>
              <w:spacing w:before="0" w:after="283"/>
              <w:jc w:val="left"/>
              <w:rPr/>
            </w:pPr>
            <w:r>
              <w:rPr/>
              <w:t>) </w:t>
            </w:r>
          </w:p>
        </w:tc>
      </w:tr>
      <w:tr>
        <w:trPr/>
        <w:tc>
          <w:tcPr>
            <w:tcW w:w="2370"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2"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2"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370" w:type="dxa"/>
            <w:tcBorders/>
          </w:tcPr>
          <w:p>
            <w:pPr>
              <w:pStyle w:val="TableContents"/>
              <w:bidi w:val="0"/>
              <w:spacing w:before="0" w:after="0"/>
              <w:jc w:val="left"/>
              <w:rPr>
                <w:rFonts w:ascii="Times New Roman" w:hAnsi="Times New Roman"/>
                <w:sz w:val="20"/>
              </w:rPr>
            </w:pPr>
            <w:r>
              <w:rPr>
                <w:rFonts w:ascii="Times New Roman" w:hAnsi="Times New Roman"/>
                <w:sz w:val="20"/>
              </w:rPr>
              <w:t>Adjusted Net Loss</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(8,134</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(10,884</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(2,472</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(19,018</w:t>
            </w:r>
          </w:p>
        </w:tc>
        <w:tc>
          <w:tcPr>
            <w:tcW w:w="154"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(12,839</w:t>
            </w:r>
          </w:p>
        </w:tc>
        <w:tc>
          <w:tcPr>
            <w:tcW w:w="166" w:type="dxa"/>
            <w:tcBorders/>
            <w:vAlign w:val="bottom"/>
          </w:tcPr>
          <w:p>
            <w:pPr>
              <w:pStyle w:val="TableContents"/>
              <w:bidi w:val="0"/>
              <w:spacing w:before="0" w:after="283"/>
              <w:jc w:val="left"/>
              <w:rPr/>
            </w:pPr>
            <w:r>
              <w:rPr/>
              <w:t>) </w:t>
            </w:r>
          </w:p>
        </w:tc>
      </w:tr>
      <w:tr>
        <w:trPr/>
        <w:tc>
          <w:tcPr>
            <w:tcW w:w="2370"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2"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2"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Net Loss per common share</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2370" w:type="dxa"/>
            <w:tcBorders/>
          </w:tcPr>
          <w:p>
            <w:pPr>
              <w:pStyle w:val="TableContents"/>
              <w:bidi w:val="0"/>
              <w:spacing w:before="0" w:after="0"/>
              <w:jc w:val="left"/>
              <w:rPr>
                <w:rFonts w:ascii="Times New Roman" w:hAnsi="Times New Roman"/>
                <w:sz w:val="20"/>
              </w:rPr>
            </w:pPr>
            <w:r>
              <w:rPr>
                <w:rFonts w:ascii="Times New Roman" w:hAnsi="Times New Roman"/>
                <w:sz w:val="20"/>
              </w:rPr>
              <w:t>- Basic</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(0.21</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(0.28</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(0.06</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(0.50</w:t>
            </w:r>
          </w:p>
        </w:tc>
        <w:tc>
          <w:tcPr>
            <w:tcW w:w="154"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(0.30</w:t>
            </w:r>
          </w:p>
        </w:tc>
        <w:tc>
          <w:tcPr>
            <w:tcW w:w="166" w:type="dxa"/>
            <w:tcBorders/>
            <w:vAlign w:val="bottom"/>
          </w:tcPr>
          <w:p>
            <w:pPr>
              <w:pStyle w:val="TableContents"/>
              <w:bidi w:val="0"/>
              <w:spacing w:before="0" w:after="283"/>
              <w:jc w:val="left"/>
              <w:rPr/>
            </w:pPr>
            <w:r>
              <w:rPr/>
              <w:t>) </w:t>
            </w:r>
          </w:p>
        </w:tc>
      </w:tr>
      <w:tr>
        <w:trPr/>
        <w:tc>
          <w:tcPr>
            <w:tcW w:w="2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Diluted</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(0.21</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(0.28</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(0.06</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(0.50</w:t>
            </w:r>
          </w:p>
        </w:tc>
        <w:tc>
          <w:tcPr>
            <w:tcW w:w="154"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(0.30</w:t>
            </w:r>
          </w:p>
        </w:tc>
        <w:tc>
          <w:tcPr>
            <w:tcW w:w="166" w:type="dxa"/>
            <w:tcBorders/>
            <w:shd w:fill="CCEEFF" w:val="clear"/>
            <w:vAlign w:val="bottom"/>
          </w:tcPr>
          <w:p>
            <w:pPr>
              <w:pStyle w:val="TableContents"/>
              <w:bidi w:val="0"/>
              <w:spacing w:before="0" w:after="283"/>
              <w:jc w:val="left"/>
              <w:rPr/>
            </w:pPr>
            <w:r>
              <w:rPr/>
              <w:t>) </w:t>
            </w:r>
          </w:p>
        </w:tc>
      </w:tr>
      <w:tr>
        <w:trPr/>
        <w:tc>
          <w:tcPr>
            <w:tcW w:w="2370"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  basic</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38,174,920</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38,544,781</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41,741,310</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38,359,851</w:t>
            </w:r>
          </w:p>
        </w:tc>
        <w:tc>
          <w:tcPr>
            <w:tcW w:w="154"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42,561,514</w:t>
            </w:r>
          </w:p>
        </w:tc>
        <w:tc>
          <w:tcPr>
            <w:tcW w:w="166" w:type="dxa"/>
            <w:tcBorders/>
            <w:vAlign w:val="bottom"/>
          </w:tcPr>
          <w:p>
            <w:pPr>
              <w:pStyle w:val="TableContents"/>
              <w:bidi w:val="0"/>
              <w:spacing w:before="0" w:after="283"/>
              <w:jc w:val="left"/>
              <w:rPr/>
            </w:pPr>
            <w:r>
              <w:rPr/>
              <w:t> </w:t>
            </w:r>
          </w:p>
        </w:tc>
      </w:tr>
      <w:tr>
        <w:trPr/>
        <w:tc>
          <w:tcPr>
            <w:tcW w:w="2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  diluted</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38,174,920</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38,544,781</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41,741,310</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38,359,851</w:t>
            </w:r>
          </w:p>
        </w:tc>
        <w:tc>
          <w:tcPr>
            <w:tcW w:w="154"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42,561,514</w:t>
            </w:r>
          </w:p>
        </w:tc>
        <w:tc>
          <w:tcPr>
            <w:tcW w:w="166"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present Adjusted EBITDA and Adjusted Net Loss as supplemental measures of our performance. We define Adjusted EBITDA for the periods indicated as EBITDA (as defined below), adjusted to exclude (i) Equity-based compensation expense, (ii) Foreign currency loss (gain), net, (iii) Derivative valuation loss (gain), net and (iv) Early termination and other charges. EBITDA for the periods indicated is defined as net loss before interest income, interest expense, income tax benefit and depreciation and amortization. </w:t>
      </w:r>
    </w:p>
    <w:p>
      <w:pPr>
        <w:pStyle w:val="TextBody"/>
        <w:bidi w:val="0"/>
        <w:spacing w:before="240" w:after="0"/>
        <w:jc w:val="left"/>
        <w:rPr>
          <w:rFonts w:ascii="Times New Roman" w:hAnsi="Times New Roman"/>
          <w:sz w:val="20"/>
        </w:rPr>
      </w:pPr>
      <w:r>
        <w:rPr>
          <w:rFonts w:ascii="Times New Roman" w:hAnsi="Times New Roman"/>
          <w:sz w:val="20"/>
        </w:rPr>
        <w:t xml:space="preserve">We prepare Adjusted Net Loss by adjusting net loss to eliminate the impact of a number of non-cash expenses and other items that may be either one time or recurring that we do not consider to be indicative of our core ongoing operating performance. We believe that Adjusted Net Loss is particularly useful because it reflects the impact of our asset base and capital structure on our operating performance. We define Adjusted Net Loss for the periods as net loss, adjusted to exclude (i) Equity-based compensation expense, (ii) Foreign currency loss (gain), net, (iii) Derivative valuation loss (gain), net, (iv) Early termination and other charges and (v) Income tax effect on non-GAAP adjustments. </w:t>
      </w:r>
    </w:p>
    <w:p>
      <w:pPr>
        <w:pStyle w:val="TextBody"/>
        <w:bidi w:val="0"/>
        <w:spacing w:before="240" w:after="0"/>
        <w:jc w:val="left"/>
        <w:rPr>
          <w:rFonts w:ascii="Times New Roman" w:hAnsi="Times New Roman"/>
          <w:sz w:val="20"/>
        </w:rPr>
      </w:pPr>
      <w:r>
        <w:rPr>
          <w:rFonts w:ascii="Times New Roman" w:hAnsi="Times New Roman"/>
          <w:sz w:val="20"/>
        </w:rPr>
        <w:t xml:space="preserve">For the six months ended June 30, 2023, we recorded in our consolidated statement of operations $8,449 thousand of termination related charges in connection with the voluntary resignation program that we offered to certain employees during the first quarter of 2023. For the three and six months ended June 30, 2023, we recorded $802 thousand of one-time employee incentives.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4453</Words>
  <Characters>23467</Characters>
  <CharactersWithSpaces>29282</CharactersWithSpaces>
  <Paragraphs>3346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