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9128d10q.htm"/>
      <w:bookmarkStart w:id="1" w:name="ksd29128d10q"/>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10-Q</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quarterly period ended September 30,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001-34791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1813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81350" cy="628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83-0406195</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 Magnachip Semiconductor, Ltd. </w:t>
      </w:r>
    </w:p>
    <w:p>
      <w:pPr>
        <w:pStyle w:val="TextBody"/>
        <w:bidi w:val="0"/>
        <w:spacing w:before="0" w:after="0"/>
        <w:jc w:val="center"/>
        <w:rPr>
          <w:rFonts w:ascii="Times New Roman" w:hAnsi="Times New Roman"/>
          <w:b/>
          <w:sz w:val="20"/>
        </w:rPr>
      </w:pPr>
      <w:r>
        <w:rPr>
          <w:rFonts w:ascii="Times New Roman" w:hAnsi="Times New Roman"/>
          <w:b/>
          <w:sz w:val="20"/>
        </w:rPr>
        <w:t xml:space="preserve">15F, 76 Jikji-daero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436beon-gil</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Heungdeok-gu</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Cheongju-si,</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Chungcheongbuk-do,</w:t>
      </w:r>
    </w:p>
    <w:p>
      <w:pPr>
        <w:pStyle w:val="TextBody"/>
        <w:bidi w:val="0"/>
        <w:spacing w:before="0" w:after="0"/>
        <w:jc w:val="center"/>
        <w:rPr>
          <w:rFonts w:ascii="Times New Roman" w:hAnsi="Times New Roman"/>
          <w:b/>
          <w:sz w:val="20"/>
        </w:rPr>
      </w:pPr>
      <w:r>
        <w:rPr>
          <w:rFonts w:ascii="Times New Roman" w:hAnsi="Times New Roman"/>
          <w:b/>
          <w:sz w:val="20"/>
        </w:rPr>
        <w:t xml:space="preserve">Republic of Korea 28581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16"/>
        </w:rPr>
      </w:pPr>
      <w:r>
        <w:rPr>
          <w:rFonts w:ascii="Times New Roman" w:hAnsi="Times New Roman"/>
          <w:b/>
          <w:sz w:val="16"/>
        </w:rPr>
        <w:t xml:space="preserve">Registrant’s telephone number, including area code: +82 (2) 6903-3000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7965" w:type="dxa"/>
        <w:jc w:val="left"/>
        <w:tblInd w:w="0" w:type="dxa"/>
        <w:tblLayout w:type="fixed"/>
        <w:tblCellMar>
          <w:top w:w="0" w:type="dxa"/>
          <w:left w:w="0" w:type="dxa"/>
          <w:bottom w:w="0" w:type="dxa"/>
          <w:right w:w="0" w:type="dxa"/>
        </w:tblCellMar>
      </w:tblPr>
      <w:tblGrid>
        <w:gridCol w:w="4310"/>
        <w:gridCol w:w="60"/>
        <w:gridCol w:w="740"/>
        <w:gridCol w:w="60"/>
        <w:gridCol w:w="2795"/>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10" w:type="dxa"/>
            <w:tcBorders/>
            <w:vAlign w:val="center"/>
          </w:tcPr>
          <w:p>
            <w:pPr>
              <w:pStyle w:val="TableContents"/>
              <w:bidi w:val="0"/>
              <w:spacing w:before="0" w:after="0"/>
              <w:jc w:val="center"/>
              <w:rPr>
                <w:b/>
                <w:spacing w:val="0"/>
              </w:rPr>
            </w:pPr>
            <w:r>
              <w:rPr>
                <w:b/>
                <w:spacing w:val="0"/>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MX</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Act). ☐ Yes ☒ No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2025, the registrant had 35,981,823 shares of common stock outstanding.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8290"/>
        <w:gridCol w:w="120"/>
        <w:gridCol w:w="175"/>
        <w:gridCol w:w="760"/>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 No.</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fin29128_1">
              <w:r>
                <w:rPr>
                  <w:rStyle w:val="InternetLink"/>
                  <w:rFonts w:ascii="Times New Roman" w:hAnsi="Times New Roman"/>
                  <w:sz w:val="20"/>
                </w:rPr>
                <w:t xml:space="preserve">PART I FINANCIAL INFORMATION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2">
              <w:r>
                <w:rPr>
                  <w:rStyle w:val="InternetLink"/>
                  <w:rFonts w:ascii="Times New Roman" w:hAnsi="Times New Roman"/>
                  <w:sz w:val="20"/>
                </w:rPr>
                <w:t>Interim Consolidated Financial Statements (Unaudited)</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3">
              <w:r>
                <w:rPr>
                  <w:rStyle w:val="InternetLink"/>
                  <w:rFonts w:ascii="Times New Roman" w:hAnsi="Times New Roman"/>
                  <w:sz w:val="20"/>
                </w:rPr>
                <w:t>Magnachip Semiconductor Corporation and Subsidiaries Consolidated Balance Sheets as of September 30, 2025 and December 31,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4">
              <w:r>
                <w:rPr>
                  <w:rStyle w:val="InternetLink"/>
                  <w:rFonts w:ascii="Times New Roman" w:hAnsi="Times New Roman"/>
                  <w:sz w:val="20"/>
                </w:rPr>
                <w:t>Magnachip Semiconductor Corporation and Subsidiaries Consolidated Statements of Operations for the Three and Nine Months Ended September 30,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5">
              <w:r>
                <w:rPr>
                  <w:rStyle w:val="InternetLink"/>
                  <w:rFonts w:ascii="Times New Roman" w:hAnsi="Times New Roman"/>
                  <w:sz w:val="20"/>
                </w:rPr>
                <w:t>Magnachip Semiconductor Corporation and Subsidiaries Consolidated Statements of Comprehensive Loss for the Three and Nine Months Ended September 30,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6">
              <w:r>
                <w:rPr>
                  <w:rStyle w:val="InternetLink"/>
                  <w:rFonts w:ascii="Times New Roman" w:hAnsi="Times New Roman"/>
                  <w:sz w:val="20"/>
                </w:rPr>
                <w:t>Magnachip Semiconductor Corporation and Subsidiaries Consolidated Statements of Changes in Stockholders’ Equity for the Three and Nine Months Ended September 30,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7">
              <w:r>
                <w:rPr>
                  <w:rStyle w:val="InternetLink"/>
                  <w:rFonts w:ascii="Times New Roman" w:hAnsi="Times New Roman"/>
                  <w:sz w:val="20"/>
                </w:rPr>
                <w:t>Magnachip Semiconductor Corporation and Subsidiaries Consolidated Statements of Cash Flows for the Nine Months Ended September 30,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8">
              <w:r>
                <w:rPr>
                  <w:rStyle w:val="InternetLink"/>
                  <w:rFonts w:ascii="Times New Roman" w:hAnsi="Times New Roman"/>
                  <w:sz w:val="20"/>
                </w:rPr>
                <w:t>Magnachip Semiconductor Corporation and Subsidiaries Notes to Consolidated Financial Statements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9">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10">
              <w:r>
                <w:rPr>
                  <w:rStyle w:val="InternetLink"/>
                  <w:rFonts w:ascii="Times New Roman" w:hAnsi="Times New Roman"/>
                  <w:sz w:val="20"/>
                </w:rPr>
                <w:t>[Reserved]</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11">
              <w:r>
                <w:rPr>
                  <w:rStyle w:val="InternetLink"/>
                  <w:rFonts w:ascii="Times New Roman" w:hAnsi="Times New Roman"/>
                  <w:sz w:val="20"/>
                </w:rPr>
                <w:t>Controls and Procedures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9075" w:type="dxa"/>
            <w:gridSpan w:val="3"/>
            <w:tcBorders/>
            <w:vAlign w:val="center"/>
          </w:tcPr>
          <w:p>
            <w:pPr>
              <w:pStyle w:val="TableContents"/>
              <w:bidi w:val="0"/>
              <w:spacing w:before="0" w:after="0"/>
              <w:jc w:val="left"/>
              <w:rPr/>
            </w:pPr>
            <w:hyperlink w:anchor="fin29128_12">
              <w:r>
                <w:rPr>
                  <w:rStyle w:val="InternetLink"/>
                  <w:rFonts w:ascii="Times New Roman" w:hAnsi="Times New Roman"/>
                  <w:sz w:val="20"/>
                </w:rPr>
                <w:t xml:space="preserve">PART II OTHER INFORMATION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13">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1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15">
              <w:r>
                <w:rPr>
                  <w:rStyle w:val="InternetLink"/>
                  <w:rFonts w:ascii="Times New Roman" w:hAnsi="Times New Roman"/>
                  <w:sz w:val="20"/>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16">
              <w:r>
                <w:rPr>
                  <w:rStyle w:val="InternetLink"/>
                  <w:rFonts w:ascii="Times New Roman" w:hAnsi="Times New Roman"/>
                  <w:sz w:val="20"/>
                </w:rPr>
                <w:t>Defaults Upon Senior Securities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17">
              <w:r>
                <w:rPr>
                  <w:rStyle w:val="InternetLink"/>
                  <w:rFonts w:ascii="Times New Roman" w:hAnsi="Times New Roman"/>
                  <w:sz w:val="20"/>
                </w:rPr>
                <w:t>Mine Safety Disclosures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18">
              <w:r>
                <w:rPr>
                  <w:rStyle w:val="InternetLink"/>
                  <w:rFonts w:ascii="Times New Roman" w:hAnsi="Times New Roman"/>
                  <w:sz w:val="20"/>
                </w:rPr>
                <w:t>Other Information</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fin29128_19">
              <w:r>
                <w:rPr>
                  <w:rStyle w:val="InternetLink"/>
                  <w:rFonts w:ascii="Times New Roman" w:hAnsi="Times New Roman"/>
                  <w:sz w:val="20"/>
                </w:rPr>
                <w:t>Exhibits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9075" w:type="dxa"/>
            <w:gridSpan w:val="3"/>
            <w:tcBorders/>
            <w:vAlign w:val="center"/>
          </w:tcPr>
          <w:p>
            <w:pPr>
              <w:pStyle w:val="TableContents"/>
              <w:bidi w:val="0"/>
              <w:spacing w:before="0" w:after="0"/>
              <w:jc w:val="left"/>
              <w:rPr/>
            </w:pPr>
            <w:hyperlink w:anchor="fin29128_20">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PART I—FINANCIAL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25"/>
        <w:gridCol w:w="4730"/>
      </w:tblGrid>
      <w:tr>
        <w:trPr/>
        <w:tc>
          <w:tcPr>
            <w:tcW w:w="725" w:type="dxa"/>
            <w:tcBorders/>
            <w:vAlign w:val="center"/>
          </w:tcPr>
          <w:p>
            <w:pPr>
              <w:pStyle w:val="TableContents"/>
              <w:bidi w:val="0"/>
              <w:spacing w:before="0" w:after="0"/>
              <w:jc w:val="left"/>
              <w:rPr>
                <w:b/>
                <w:spacing w:val="0"/>
              </w:rPr>
            </w:pPr>
            <w:bookmarkStart w:id="3" w:name="TOC29128_2"/>
            <w:bookmarkEnd w:id="3"/>
            <w:r>
              <w:rPr>
                <w:b/>
                <w:spacing w:val="0"/>
              </w:rPr>
              <w:t>Item 1.</w:t>
            </w:r>
          </w:p>
        </w:tc>
        <w:tc>
          <w:tcPr>
            <w:tcW w:w="4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Interim Consolidated Financial Statements (Unaudited)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95"/>
        <w:gridCol w:w="120"/>
        <w:gridCol w:w="314"/>
        <w:gridCol w:w="1974"/>
        <w:gridCol w:w="239"/>
        <w:gridCol w:w="92"/>
        <w:gridCol w:w="301"/>
        <w:gridCol w:w="1896"/>
        <w:gridCol w:w="174"/>
      </w:tblGrid>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9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16" w:type="dxa"/>
            <w:gridSpan w:val="6"/>
            <w:tcBorders/>
            <w:vAlign w:val="center"/>
          </w:tcPr>
          <w:p>
            <w:pPr>
              <w:pStyle w:val="TableContents"/>
              <w:bidi w:val="0"/>
              <w:spacing w:before="0" w:after="0"/>
              <w:jc w:val="center"/>
              <w:rPr>
                <w:b/>
                <w:spacing w:val="0"/>
              </w:rPr>
            </w:pPr>
            <w:r>
              <w:rPr>
                <w:b/>
                <w:spacing w:val="0"/>
              </w:rPr>
              <w:t>(In thousands of U.S. dollars, except share data)</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sz w:val="4"/>
                <w:szCs w:val="4"/>
              </w:rPr>
            </w:pPr>
            <w:r>
              <w:rPr>
                <w:sz w:val="4"/>
                <w:szCs w:val="4"/>
              </w:rPr>
            </w:r>
          </w:p>
        </w:tc>
        <w:tc>
          <w:tcPr>
            <w:tcW w:w="1974"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1896"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1974" w:type="dxa"/>
            <w:tcBorders/>
            <w:shd w:fill="CCEEFF" w:val="clear"/>
            <w:vAlign w:val="center"/>
          </w:tcPr>
          <w:p>
            <w:pPr>
              <w:pStyle w:val="TableContents"/>
              <w:bidi w:val="0"/>
              <w:spacing w:before="0" w:after="283"/>
              <w:jc w:val="right"/>
              <w:rPr/>
            </w:pPr>
            <w:r>
              <w:rPr/>
              <w:t>108,005</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896" w:type="dxa"/>
            <w:tcBorders/>
            <w:shd w:fill="CCEEFF" w:val="clear"/>
            <w:vAlign w:val="center"/>
          </w:tcPr>
          <w:p>
            <w:pPr>
              <w:pStyle w:val="TableContents"/>
              <w:bidi w:val="0"/>
              <w:spacing w:before="0" w:after="283"/>
              <w:jc w:val="right"/>
              <w:rPr/>
            </w:pPr>
            <w:r>
              <w:rPr/>
              <w:t>138,610</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31,431</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28,402</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37,375</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30,535</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4,155</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4,444</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6,022</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10,379</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Hedge collateral (Note 8)</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2,080</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 (Note 19)</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10,375</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4,779</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0"/>
              <w:jc w:val="left"/>
              <w:rPr>
                <w:bdr w:val="single" w:sz="2" w:space="1" w:color="000000"/>
              </w:rPr>
            </w:pPr>
            <w:r>
              <w:rPr>
                <w:bdr w:val="single" w:sz="2" w:space="1" w:color="000000"/>
              </w:rPr>
              <w:t> </w:t>
            </w:r>
          </w:p>
        </w:tc>
        <w:tc>
          <w:tcPr>
            <w:tcW w:w="1974" w:type="dxa"/>
            <w:tcBorders/>
            <w:vAlign w:val="center"/>
          </w:tcPr>
          <w:p>
            <w:pPr>
              <w:pStyle w:val="TableContents"/>
              <w:bidi w:val="0"/>
              <w:spacing w:before="0" w:after="0"/>
              <w:jc w:val="left"/>
              <w:rPr>
                <w:bdr w:val="single" w:sz="2" w:space="1" w:color="000000"/>
              </w:rPr>
            </w:pPr>
            <w:r>
              <w:rPr>
                <w:bdr w:val="single" w:sz="2" w:space="1" w:color="000000"/>
              </w:rPr>
              <w:t> </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1896"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197,363</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219,229</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94,918</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81,463</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2,423</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3,107</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498</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507</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prepaid expenses, net</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590</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165</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55,573</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52,889</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8,241</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21,956</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0"/>
              <w:jc w:val="left"/>
              <w:rPr>
                <w:bdr w:val="single" w:sz="2" w:space="1" w:color="000000"/>
              </w:rPr>
            </w:pPr>
            <w:r>
              <w:rPr>
                <w:bdr w:val="single" w:sz="2" w:space="1" w:color="000000"/>
              </w:rPr>
              <w:t> </w:t>
            </w:r>
          </w:p>
        </w:tc>
        <w:tc>
          <w:tcPr>
            <w:tcW w:w="1974" w:type="dxa"/>
            <w:tcBorders/>
            <w:vAlign w:val="center"/>
          </w:tcPr>
          <w:p>
            <w:pPr>
              <w:pStyle w:val="TableContents"/>
              <w:bidi w:val="0"/>
              <w:spacing w:before="0" w:after="0"/>
              <w:jc w:val="left"/>
              <w:rPr>
                <w:bdr w:val="single" w:sz="2" w:space="1" w:color="000000"/>
              </w:rPr>
            </w:pPr>
            <w:r>
              <w:rPr>
                <w:bdr w:val="single" w:sz="2" w:space="1" w:color="000000"/>
              </w:rPr>
              <w:t> </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1896"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1974" w:type="dxa"/>
            <w:tcBorders/>
            <w:shd w:fill="CCEEFF" w:val="clear"/>
            <w:vAlign w:val="center"/>
          </w:tcPr>
          <w:p>
            <w:pPr>
              <w:pStyle w:val="TableContents"/>
              <w:bidi w:val="0"/>
              <w:spacing w:before="0" w:after="283"/>
              <w:jc w:val="right"/>
              <w:rPr/>
            </w:pPr>
            <w:r>
              <w:rPr/>
              <w:t>359,606</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896" w:type="dxa"/>
            <w:tcBorders/>
            <w:shd w:fill="CCEEFF" w:val="clear"/>
            <w:vAlign w:val="center"/>
          </w:tcPr>
          <w:p>
            <w:pPr>
              <w:pStyle w:val="TableContents"/>
              <w:bidi w:val="0"/>
              <w:spacing w:before="0" w:after="283"/>
              <w:jc w:val="right"/>
              <w:rPr/>
            </w:pPr>
            <w:r>
              <w:rPr/>
              <w:t>379,316</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0"/>
              <w:jc w:val="left"/>
              <w:rPr>
                <w:bdr w:val="double" w:sz="6" w:space="1" w:color="000000"/>
              </w:rPr>
            </w:pPr>
            <w:r>
              <w:rPr>
                <w:bdr w:val="double" w:sz="6" w:space="1" w:color="000000"/>
              </w:rPr>
              <w:t> </w:t>
            </w:r>
          </w:p>
        </w:tc>
        <w:tc>
          <w:tcPr>
            <w:tcW w:w="1974" w:type="dxa"/>
            <w:tcBorders/>
            <w:vAlign w:val="center"/>
          </w:tcPr>
          <w:p>
            <w:pPr>
              <w:pStyle w:val="TableContents"/>
              <w:bidi w:val="0"/>
              <w:spacing w:before="0" w:after="0"/>
              <w:jc w:val="left"/>
              <w:rPr>
                <w:bdr w:val="double" w:sz="6" w:space="1" w:color="000000"/>
              </w:rPr>
            </w:pPr>
            <w:r>
              <w:rPr>
                <w:bdr w:val="double" w:sz="6" w:space="1" w:color="000000"/>
              </w:rPr>
              <w:t> </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1896"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sz w:val="4"/>
                <w:szCs w:val="4"/>
              </w:rPr>
            </w:pPr>
            <w:r>
              <w:rPr>
                <w:sz w:val="4"/>
                <w:szCs w:val="4"/>
              </w:rPr>
            </w:r>
          </w:p>
        </w:tc>
        <w:tc>
          <w:tcPr>
            <w:tcW w:w="1974"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1896"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w:t>
            </w:r>
          </w:p>
        </w:tc>
        <w:tc>
          <w:tcPr>
            <w:tcW w:w="1974" w:type="dxa"/>
            <w:tcBorders/>
            <w:vAlign w:val="center"/>
          </w:tcPr>
          <w:p>
            <w:pPr>
              <w:pStyle w:val="TableContents"/>
              <w:bidi w:val="0"/>
              <w:spacing w:before="0" w:after="283"/>
              <w:jc w:val="right"/>
              <w:rPr/>
            </w:pPr>
            <w:r>
              <w:rPr/>
              <w:t>17,546</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1896" w:type="dxa"/>
            <w:tcBorders/>
            <w:vAlign w:val="center"/>
          </w:tcPr>
          <w:p>
            <w:pPr>
              <w:pStyle w:val="TableContents"/>
              <w:bidi w:val="0"/>
              <w:spacing w:before="0" w:after="283"/>
              <w:jc w:val="right"/>
              <w:rPr/>
            </w:pPr>
            <w:r>
              <w:rPr/>
              <w:t>21,642</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12,334</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10,764</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(Note 7)</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12,019</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8,648</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44</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56</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1,428</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1,393</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2,308</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3,765</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0"/>
              <w:jc w:val="left"/>
              <w:rPr>
                <w:bdr w:val="single" w:sz="2" w:space="1" w:color="000000"/>
              </w:rPr>
            </w:pPr>
            <w:r>
              <w:rPr>
                <w:bdr w:val="single" w:sz="2" w:space="1" w:color="000000"/>
              </w:rPr>
              <w:t> </w:t>
            </w:r>
          </w:p>
        </w:tc>
        <w:tc>
          <w:tcPr>
            <w:tcW w:w="1974" w:type="dxa"/>
            <w:tcBorders/>
            <w:vAlign w:val="center"/>
          </w:tcPr>
          <w:p>
            <w:pPr>
              <w:pStyle w:val="TableContents"/>
              <w:bidi w:val="0"/>
              <w:spacing w:before="0" w:after="0"/>
              <w:jc w:val="left"/>
              <w:rPr>
                <w:bdr w:val="single" w:sz="2" w:space="1" w:color="000000"/>
              </w:rPr>
            </w:pPr>
            <w:r>
              <w:rPr>
                <w:bdr w:val="single" w:sz="2" w:space="1" w:color="000000"/>
              </w:rPr>
              <w:t> </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1896"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45,679</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46,268</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borrowings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38,935</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27,211</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14,213</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17,094</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1,018</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1,823</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4,412</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10,123</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0"/>
              <w:jc w:val="left"/>
              <w:rPr>
                <w:bdr w:val="single" w:sz="2" w:space="1" w:color="000000"/>
              </w:rPr>
            </w:pPr>
            <w:r>
              <w:rPr>
                <w:bdr w:val="single" w:sz="2" w:space="1" w:color="000000"/>
              </w:rPr>
              <w:t> </w:t>
            </w:r>
          </w:p>
        </w:tc>
        <w:tc>
          <w:tcPr>
            <w:tcW w:w="1974" w:type="dxa"/>
            <w:tcBorders/>
            <w:vAlign w:val="center"/>
          </w:tcPr>
          <w:p>
            <w:pPr>
              <w:pStyle w:val="TableContents"/>
              <w:bidi w:val="0"/>
              <w:spacing w:before="0" w:after="0"/>
              <w:jc w:val="left"/>
              <w:rPr>
                <w:bdr w:val="single" w:sz="2" w:space="1" w:color="000000"/>
              </w:rPr>
            </w:pPr>
            <w:r>
              <w:rPr>
                <w:bdr w:val="single" w:sz="2" w:space="1" w:color="000000"/>
              </w:rPr>
              <w:t> </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1896"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104,257</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102,519</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0"/>
              <w:jc w:val="left"/>
              <w:rPr>
                <w:bdr w:val="single" w:sz="2" w:space="1" w:color="000000"/>
              </w:rPr>
            </w:pPr>
            <w:r>
              <w:rPr>
                <w:bdr w:val="single" w:sz="2" w:space="1" w:color="000000"/>
              </w:rPr>
              <w:t> </w:t>
            </w:r>
          </w:p>
        </w:tc>
        <w:tc>
          <w:tcPr>
            <w:tcW w:w="1974" w:type="dxa"/>
            <w:tcBorders/>
            <w:vAlign w:val="center"/>
          </w:tcPr>
          <w:p>
            <w:pPr>
              <w:pStyle w:val="TableContents"/>
              <w:bidi w:val="0"/>
              <w:spacing w:before="0" w:after="0"/>
              <w:jc w:val="left"/>
              <w:rPr>
                <w:bdr w:val="single" w:sz="2" w:space="1" w:color="000000"/>
              </w:rPr>
            </w:pPr>
            <w:r>
              <w:rPr>
                <w:bdr w:val="single" w:sz="2" w:space="1" w:color="000000"/>
              </w:rPr>
              <w:t> </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1896"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19)</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sz w:val="4"/>
                <w:szCs w:val="4"/>
              </w:rPr>
            </w:pPr>
            <w:r>
              <w:rPr>
                <w:sz w:val="4"/>
                <w:szCs w:val="4"/>
              </w:rPr>
            </w:r>
          </w:p>
        </w:tc>
        <w:tc>
          <w:tcPr>
            <w:tcW w:w="1974"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1896"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$0.01 par value, 150,000,000 shares authorized, 57,674,256 shares issued and 35,948,422 outstanding at September 30, 2025 and 57,498,507 shares issued and 36,912,118 outstanding at December 31, 2024</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576</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574</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280,975</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279,423</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222,931</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244,576</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21,725,834 shares at September 30, 2025 and 20,586,389 shares at December 31, 2024, respectively</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(229,700</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(225,883</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(19,433</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(21,893</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0"/>
              <w:jc w:val="left"/>
              <w:rPr>
                <w:bdr w:val="single" w:sz="2" w:space="1" w:color="000000"/>
              </w:rPr>
            </w:pPr>
            <w:r>
              <w:rPr>
                <w:bdr w:val="single" w:sz="2" w:space="1" w:color="000000"/>
              </w:rPr>
              <w:t> </w:t>
            </w:r>
          </w:p>
        </w:tc>
        <w:tc>
          <w:tcPr>
            <w:tcW w:w="1974" w:type="dxa"/>
            <w:tcBorders/>
            <w:vAlign w:val="center"/>
          </w:tcPr>
          <w:p>
            <w:pPr>
              <w:pStyle w:val="TableContents"/>
              <w:bidi w:val="0"/>
              <w:spacing w:before="0" w:after="0"/>
              <w:jc w:val="left"/>
              <w:rPr>
                <w:bdr w:val="single" w:sz="2" w:space="1" w:color="000000"/>
              </w:rPr>
            </w:pPr>
            <w:r>
              <w:rPr>
                <w:bdr w:val="single" w:sz="2" w:space="1" w:color="000000"/>
              </w:rPr>
              <w:t> </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1896"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255,349</w:t>
            </w:r>
          </w:p>
        </w:tc>
        <w:tc>
          <w:tcPr>
            <w:tcW w:w="23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276,797</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0"/>
              <w:jc w:val="left"/>
              <w:rPr>
                <w:bdr w:val="single" w:sz="2" w:space="1" w:color="000000"/>
              </w:rPr>
            </w:pPr>
            <w:r>
              <w:rPr>
                <w:bdr w:val="single" w:sz="2" w:space="1" w:color="000000"/>
              </w:rPr>
              <w:t> </w:t>
            </w:r>
          </w:p>
        </w:tc>
        <w:tc>
          <w:tcPr>
            <w:tcW w:w="1974" w:type="dxa"/>
            <w:tcBorders/>
            <w:vAlign w:val="center"/>
          </w:tcPr>
          <w:p>
            <w:pPr>
              <w:pStyle w:val="TableContents"/>
              <w:bidi w:val="0"/>
              <w:spacing w:before="0" w:after="0"/>
              <w:jc w:val="left"/>
              <w:rPr>
                <w:bdr w:val="single" w:sz="2" w:space="1" w:color="000000"/>
              </w:rPr>
            </w:pPr>
            <w:r>
              <w:rPr>
                <w:bdr w:val="single" w:sz="2" w:space="1" w:color="000000"/>
              </w:rPr>
              <w:t> </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1896"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w:t>
            </w:r>
          </w:p>
        </w:tc>
        <w:tc>
          <w:tcPr>
            <w:tcW w:w="1974" w:type="dxa"/>
            <w:tcBorders/>
            <w:vAlign w:val="center"/>
          </w:tcPr>
          <w:p>
            <w:pPr>
              <w:pStyle w:val="TableContents"/>
              <w:bidi w:val="0"/>
              <w:spacing w:before="0" w:after="283"/>
              <w:jc w:val="right"/>
              <w:rPr/>
            </w:pPr>
            <w:r>
              <w:rPr/>
              <w:t>359,606</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1896" w:type="dxa"/>
            <w:tcBorders/>
            <w:vAlign w:val="center"/>
          </w:tcPr>
          <w:p>
            <w:pPr>
              <w:pStyle w:val="TableContents"/>
              <w:bidi w:val="0"/>
              <w:spacing w:before="0" w:after="283"/>
              <w:jc w:val="right"/>
              <w:rPr/>
            </w:pPr>
            <w:r>
              <w:rPr/>
              <w:t>379,316</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0"/>
              <w:jc w:val="left"/>
              <w:rPr>
                <w:bdr w:val="double" w:sz="6" w:space="1" w:color="000000"/>
              </w:rPr>
            </w:pPr>
            <w:r>
              <w:rPr>
                <w:bdr w:val="double" w:sz="6" w:space="1" w:color="000000"/>
              </w:rPr>
              <w:t> </w:t>
            </w:r>
          </w:p>
        </w:tc>
        <w:tc>
          <w:tcPr>
            <w:tcW w:w="1974" w:type="dxa"/>
            <w:tcBorders/>
            <w:vAlign w:val="center"/>
          </w:tcPr>
          <w:p>
            <w:pPr>
              <w:pStyle w:val="TableContents"/>
              <w:bidi w:val="0"/>
              <w:spacing w:before="0" w:after="0"/>
              <w:jc w:val="left"/>
              <w:rPr>
                <w:bdr w:val="double" w:sz="6" w:space="1" w:color="000000"/>
              </w:rPr>
            </w:pPr>
            <w:r>
              <w:rPr>
                <w:bdr w:val="double" w:sz="6" w:space="1" w:color="000000"/>
              </w:rPr>
              <w:t> </w:t>
            </w:r>
          </w:p>
        </w:tc>
        <w:tc>
          <w:tcPr>
            <w:tcW w:w="23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1896"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70"/>
        <w:gridCol w:w="120"/>
        <w:gridCol w:w="166"/>
        <w:gridCol w:w="1309"/>
        <w:gridCol w:w="155"/>
        <w:gridCol w:w="60"/>
        <w:gridCol w:w="166"/>
        <w:gridCol w:w="1309"/>
        <w:gridCol w:w="155"/>
        <w:gridCol w:w="60"/>
        <w:gridCol w:w="166"/>
        <w:gridCol w:w="1309"/>
        <w:gridCol w:w="155"/>
        <w:gridCol w:w="60"/>
        <w:gridCol w:w="166"/>
        <w:gridCol w:w="1309"/>
        <w:gridCol w:w="170"/>
      </w:tblGrid>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45"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379" w:type="dxa"/>
            <w:gridSpan w:val="13"/>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45,946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52,994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138,290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136,970</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2,440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8,302</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45,946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55,434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138,290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145,272</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Power solutions business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37,405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41,329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110,675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108,354</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2,599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9,267</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37,405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43,928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110,675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117,621</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8,541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11,506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27,615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27,651</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8,312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9,521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26,491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28,341</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7,773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6,472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19,698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18,455</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3,994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4,840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20,079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15,993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51,029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46,796</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(11,538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(4,487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(23,414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(19,145</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1,939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6,214</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(1,265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(1,143</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(4,280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5,247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6,112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(3,388</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before income tax expense (benefit), net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(14,779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2,196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(14,166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(17,341</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 net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6,117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(8,709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2,267</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(10,609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(3,921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(5,457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(19,608</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(2,481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(5,696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(16,188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(18,423</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(13,090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(9,617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(21,645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(38,031</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(0.52</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(0.48</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(1.00</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loss per common share—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(0.52</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(0.48</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(1.00</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35,934,406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37,468,849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36,298,491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38,060,682</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35,934,406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37,468,849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36,298,491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38,060,682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LOSS (Unaudited)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27"/>
        <w:gridCol w:w="120"/>
        <w:gridCol w:w="230"/>
        <w:gridCol w:w="1245"/>
        <w:gridCol w:w="181"/>
        <w:gridCol w:w="70"/>
        <w:gridCol w:w="265"/>
        <w:gridCol w:w="1210"/>
        <w:gridCol w:w="155"/>
        <w:gridCol w:w="60"/>
        <w:gridCol w:w="229"/>
        <w:gridCol w:w="1246"/>
        <w:gridCol w:w="160"/>
        <w:gridCol w:w="62"/>
        <w:gridCol w:w="228"/>
        <w:gridCol w:w="1247"/>
        <w:gridCol w:w="170"/>
      </w:tblGrid>
      <w:tr>
        <w:trPr/>
        <w:tc>
          <w:tcPr>
            <w:tcW w:w="33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1"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33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70" w:type="dxa"/>
            <w:tcBorders/>
            <w:vAlign w:val="center"/>
          </w:tcPr>
          <w:p>
            <w:pPr>
              <w:pStyle w:val="TableContents"/>
              <w:bidi w:val="0"/>
              <w:spacing w:before="0" w:after="283"/>
              <w:jc w:val="left"/>
              <w:rPr/>
            </w:pPr>
            <w:r>
              <w:rPr/>
              <w:t> </w:t>
            </w:r>
          </w:p>
        </w:tc>
      </w:tr>
      <w:tr>
        <w:trPr/>
        <w:tc>
          <w:tcPr>
            <w:tcW w:w="33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88" w:type="dxa"/>
            <w:gridSpan w:val="14"/>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33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(13,090</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(9,617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(21,645</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(38,031</w:t>
            </w:r>
          </w:p>
        </w:tc>
        <w:tc>
          <w:tcPr>
            <w:tcW w:w="170" w:type="dxa"/>
            <w:tcBorders/>
            <w:shd w:fill="CCEEFF" w:val="clear"/>
            <w:vAlign w:val="center"/>
          </w:tcPr>
          <w:p>
            <w:pPr>
              <w:pStyle w:val="TableContents"/>
              <w:bidi w:val="0"/>
              <w:spacing w:before="0" w:after="283"/>
              <w:jc w:val="left"/>
              <w:rPr/>
            </w:pPr>
            <w:r>
              <w:rPr/>
              <w:t>) </w:t>
            </w:r>
          </w:p>
        </w:tc>
      </w:tr>
      <w:tr>
        <w:trPr/>
        <w:tc>
          <w:tcPr>
            <w:tcW w:w="33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(Note 16)</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(505</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2,866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1,125</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(2,222</w:t>
            </w:r>
          </w:p>
        </w:tc>
        <w:tc>
          <w:tcPr>
            <w:tcW w:w="170" w:type="dxa"/>
            <w:tcBorders/>
            <w:shd w:fill="CCEEFF" w:val="clear"/>
            <w:vAlign w:val="center"/>
          </w:tcPr>
          <w:p>
            <w:pPr>
              <w:pStyle w:val="TableContents"/>
              <w:bidi w:val="0"/>
              <w:spacing w:before="0" w:after="283"/>
              <w:jc w:val="left"/>
              <w:rPr/>
            </w:pPr>
            <w:r>
              <w:rPr/>
              <w:t>) </w:t>
            </w:r>
          </w:p>
        </w:tc>
      </w:tr>
      <w:tr>
        <w:trPr/>
        <w:tc>
          <w:tcPr>
            <w:tcW w:w="33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(1,022</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1,053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1,335</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227</w:t>
            </w:r>
          </w:p>
        </w:tc>
        <w:tc>
          <w:tcPr>
            <w:tcW w:w="170" w:type="dxa"/>
            <w:tcBorders/>
            <w:vAlign w:val="center"/>
          </w:tcPr>
          <w:p>
            <w:pPr>
              <w:pStyle w:val="TableContents"/>
              <w:bidi w:val="0"/>
              <w:spacing w:before="0" w:after="283"/>
              <w:jc w:val="left"/>
              <w:rPr/>
            </w:pPr>
            <w:r>
              <w:rPr/>
              <w:t> </w:t>
            </w:r>
          </w:p>
        </w:tc>
      </w:tr>
      <w:tr>
        <w:trPr/>
        <w:tc>
          <w:tcPr>
            <w:tcW w:w="33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(1,527</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3,919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2,460</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(1,995</w:t>
            </w:r>
          </w:p>
        </w:tc>
        <w:tc>
          <w:tcPr>
            <w:tcW w:w="170" w:type="dxa"/>
            <w:tcBorders/>
            <w:shd w:fill="CCEEFF" w:val="clear"/>
            <w:vAlign w:val="center"/>
          </w:tcPr>
          <w:p>
            <w:pPr>
              <w:pStyle w:val="TableContents"/>
              <w:bidi w:val="0"/>
              <w:spacing w:before="0" w:after="283"/>
              <w:jc w:val="left"/>
              <w:rPr/>
            </w:pPr>
            <w:r>
              <w:rPr/>
              <w:t>) </w:t>
            </w:r>
          </w:p>
        </w:tc>
      </w:tr>
      <w:tr>
        <w:trPr/>
        <w:tc>
          <w:tcPr>
            <w:tcW w:w="33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(14,617</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right"/>
              <w:rPr/>
            </w:pPr>
            <w:r>
              <w:rPr/>
              <w:t>(5,698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283"/>
              <w:jc w:val="right"/>
              <w:rPr/>
            </w:pPr>
            <w:r>
              <w:rPr/>
              <w:t>(19,185</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247" w:type="dxa"/>
            <w:tcBorders/>
            <w:vAlign w:val="center"/>
          </w:tcPr>
          <w:p>
            <w:pPr>
              <w:pStyle w:val="TableContents"/>
              <w:bidi w:val="0"/>
              <w:spacing w:before="0" w:after="283"/>
              <w:jc w:val="right"/>
              <w:rPr/>
            </w:pPr>
            <w:r>
              <w:rPr/>
              <w:t>(40,026</w:t>
            </w:r>
          </w:p>
        </w:tc>
        <w:tc>
          <w:tcPr>
            <w:tcW w:w="170" w:type="dxa"/>
            <w:tcBorders/>
            <w:vAlign w:val="center"/>
          </w:tcPr>
          <w:p>
            <w:pPr>
              <w:pStyle w:val="TableContents"/>
              <w:bidi w:val="0"/>
              <w:spacing w:before="0" w:after="283"/>
              <w:jc w:val="left"/>
              <w:rPr/>
            </w:pPr>
            <w:r>
              <w:rPr/>
              <w:t>) </w:t>
            </w:r>
          </w:p>
        </w:tc>
      </w:tr>
      <w:tr>
        <w:trPr/>
        <w:tc>
          <w:tcPr>
            <w:tcW w:w="33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double" w:sz="6" w:space="1" w:color="000000"/>
              </w:rPr>
            </w:pPr>
            <w:r>
              <w:rPr>
                <w:bdr w:val="double" w:sz="6" w:space="1" w:color="000000"/>
              </w:rPr>
              <w:t> </w:t>
            </w:r>
          </w:p>
        </w:tc>
        <w:tc>
          <w:tcPr>
            <w:tcW w:w="1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double" w:sz="6" w:space="1" w:color="000000"/>
              </w:rPr>
            </w:pPr>
            <w:r>
              <w:rPr>
                <w:bdr w:val="double" w:sz="6" w:space="1" w:color="000000"/>
              </w:rPr>
              <w:t> </w:t>
            </w:r>
          </w:p>
        </w:tc>
        <w:tc>
          <w:tcPr>
            <w:tcW w:w="1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STOCKHOLDERS’ EQUITY (Unaudited) </w:t>
      </w:r>
    </w:p>
    <w:p>
      <w:pPr>
        <w:pStyle w:val="TextBody"/>
        <w:bidi w:val="0"/>
        <w:spacing w:before="0" w:after="0"/>
        <w:jc w:val="left"/>
        <w:rPr/>
      </w:pPr>
      <w:r>
        <w:rPr/>
        <w:t> </w:t>
      </w:r>
    </w:p>
    <w:tbl>
      <w:tblPr>
        <w:tblW w:w="1263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1"/>
        <w:gridCol w:w="809"/>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Loss</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br/>
              <w:t>Stock</w:t>
            </w:r>
          </w:p>
        </w:tc>
        <w:tc>
          <w:tcPr>
            <w:tcW w:w="155" w:type="dxa"/>
            <w:vMerge w:val="restart"/>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 of U.S. dollars, except share data)</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September 30,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35,954,038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280,853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236,021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(229,381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(17,906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270,162</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92,981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(98,597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(319</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(1,527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(1,527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(13,090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(13,090</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35,948,422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280,975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222,931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(229,700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(19,433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255,349</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September 30,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37,799,482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275,329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270,470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(219,949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(20,571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305,848</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1,977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1,977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16,637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(524,075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(2,554</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3,919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3,919</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(9,617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(9,617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37,292,044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277,306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260,853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(222,503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(16,652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299,573</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c>
          <w:tcPr>
            <w:tcW w:w="182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Loss</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br/>
              <w:t>Stock</w:t>
            </w:r>
          </w:p>
        </w:tc>
        <w:tc>
          <w:tcPr>
            <w:tcW w:w="155" w:type="dxa"/>
            <w:vMerge w:val="restart"/>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 of U.S. dollars, except share data)</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Nine Months Ended September 30,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36,912,118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279,423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244,576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(225,883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(21,893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276,797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1,615</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175,749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(1,139,445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(3,817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2,460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2,460</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(21,645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(21,645</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35,948,422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280,975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222,931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(229,700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(19,433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255,349</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Nine Months Ended September 30,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38,852,742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273,256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298,884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(213,454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(14,657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344,598</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4,093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4,093</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60,812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(1,621,510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(9,049</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(1,995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(1,995</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(38,031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(38,031</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37,292,044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277,306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260,853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(222,503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(16,652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299,573</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(Unaudited) </w:t>
      </w:r>
    </w:p>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5885"/>
        <w:gridCol w:w="120"/>
        <w:gridCol w:w="219"/>
        <w:gridCol w:w="1256"/>
        <w:gridCol w:w="155"/>
        <w:gridCol w:w="60"/>
        <w:gridCol w:w="219"/>
        <w:gridCol w:w="1256"/>
        <w:gridCol w:w="170"/>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5" w:type="dxa"/>
            <w:gridSpan w:val="6"/>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(21,645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(38,031</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9,938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12,171</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2,868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4,552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(gain) on foreign currency, net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(10,612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6,140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(reversal) for inventory reserves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1,919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(1,615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1,615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4,093</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charges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12,424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3,111</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552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(7,610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3,560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(7,131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(2,365</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(1,287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(1,030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2,078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6,800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619</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(6,803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(10,197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1,925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(1,339</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(1,459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(240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(345</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severance benefits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(1,889</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3,446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(1,077</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(29,639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(17,989</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settlement of hedge collateral</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2,237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627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hedge collateral</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(612</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disposal of property, plant and equipment</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(19,739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(4,175</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for intellectual property registration</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(263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Collection of guarantee deposits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1,153</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guarantee deposits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(2,090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short-term financial instruments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(30,000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(13,031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(35,397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borrowings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10,611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30,059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(4,340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(9,507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financing related to water treatment facility arrangement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(357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principal portion of finance lease liabilities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5,809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20,091</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rates on cash and cash equivalents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6,256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(3,702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(30,605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(36,997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138,610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158,092</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108,005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121,095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interest on long-term borrowings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927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618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(refunded) for income taxes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(1,043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788</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additions in other accounts payable</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2,220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2,324</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THOUSANDS, EXCEPT SHARE DATA) </w:t>
      </w:r>
    </w:p>
    <w:p>
      <w:pPr>
        <w:pStyle w:val="TextBody"/>
        <w:bidi w:val="0"/>
        <w:spacing w:before="240" w:after="0"/>
        <w:jc w:val="left"/>
        <w:rPr>
          <w:rFonts w:ascii="Times New Roman" w:hAnsi="Times New Roman"/>
          <w:b/>
          <w:sz w:val="20"/>
        </w:rPr>
      </w:pPr>
      <w:r>
        <w:rPr>
          <w:rFonts w:ascii="Times New Roman" w:hAnsi="Times New Roman"/>
          <w:b/>
          <w:sz w:val="20"/>
        </w:rPr>
        <w:t xml:space="preserve">1. Business, Basis of Presentation and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Business </w:t>
      </w:r>
    </w:p>
    <w:p>
      <w:pPr>
        <w:pStyle w:val="TextBody"/>
        <w:bidi w:val="0"/>
        <w:spacing w:before="120" w:after="0"/>
        <w:jc w:val="left"/>
        <w:rPr>
          <w:rFonts w:ascii="Times New Roman" w:hAnsi="Times New Roman"/>
          <w:sz w:val="20"/>
        </w:rPr>
      </w:pPr>
      <w:r>
        <w:rPr>
          <w:rFonts w:ascii="Times New Roman" w:hAnsi="Times New Roman"/>
          <w:sz w:val="20"/>
        </w:rPr>
        <w:t xml:space="preserve">Magnachip Semiconductor Corporation (together with its subsidiaries, the “Company”) is a designer and manufacturer of analog and mixed-signal power semiconductor platform solutions for various applications, including industrial, automotive, communication, consumer and computing.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develops and manufactures Power discrete products and develops Power integrated circuit (“IC”) products. Power discrete products include metal oxide semiconductor field effect transistors (“MOSFETs”) and insulated-gate bipolar transistors (“IGBTs”) for a range of devices, including televisions, smartphones, mobile phones, wearable devices, desktop personal computers (“PCs”), notebook PCs, tablet PCs, servers, other consumer electronics, as well as automotive and industrial applications such as power suppliers,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solar inverters, LED lighting and motor drives. Power IC products include </w:t>
      </w:r>
    </w:p>
    <w:p>
      <w:pPr>
        <w:pStyle w:val="TextBody"/>
        <w:bidi w:val="0"/>
        <w:spacing w:before="240" w:after="0"/>
        <w:jc w:val="left"/>
        <w:rPr>
          <w:rFonts w:ascii="Times New Roman" w:hAnsi="Times New Roman"/>
          <w:spacing w:val="0"/>
          <w:sz w:val="20"/>
        </w:rPr>
      </w:pPr>
      <w:r>
        <w:rPr>
          <w:rFonts w:ascii="Times New Roman" w:hAnsi="Times New Roman"/>
          <w:spacing w:val="0"/>
          <w:sz w:val="20"/>
        </w:rPr>
        <w:t>AC-DC/DC-DC</w:t>
      </w:r>
    </w:p>
    <w:p>
      <w:pPr>
        <w:pStyle w:val="TextBody"/>
        <w:bidi w:val="0"/>
        <w:spacing w:before="240" w:after="0"/>
        <w:jc w:val="left"/>
        <w:rPr>
          <w:rFonts w:ascii="Times New Roman" w:hAnsi="Times New Roman"/>
          <w:sz w:val="20"/>
        </w:rPr>
      </w:pPr>
      <w:r>
        <w:rPr>
          <w:rFonts w:ascii="Times New Roman" w:hAnsi="Times New Roman"/>
          <w:sz w:val="20"/>
        </w:rPr>
        <w:t xml:space="preserve">converters, LED drivers, regulators, power management integrated circuits (“PMICs”) and level shifter for a range of devices, including televisions, wearable devices, notebooks, tablet PCs and others consumer electronics, as well as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In 2024, the Power IC business was operated by Magnachip Mixed-Signal, Ltd. (“MMS”), which later transferred the business to Magnachip Semiconductor, Ltd. (“MSK”) effective January 1, 2025, pursuant to an intercompany business transfer agreement executed between MMS and MSK. The transfer was based on the mutual understanding that consolidating the Power IC and Power Analog Solutions businesses under a single company would create a more effective framework for expanding and strengthening the Company’s business for Power products.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reclassified certain prior year amounts to conform to the current year’s presentation for discontinued operations to reflect a plan to shut down the Company’s Display business and transition into a pure-play Power company. The assets and liabilities related to the discontinued Display business have not been reclassified on the consolidated balance sheets as of September 30, 2025. See Note 2 “Discontinued Operations” for additional information. The consolidated statements of cash flows have not been adjusted to separately disclose cash flows related to discontinued operations, but the material items in the operating and investing activities of cash flows relating to discontinued operations are disclosed in Note 2. Unless otherwise stated, information in these notes to consolidated financial statements relates to the Company’s continuing operations and excludes the discontinued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Company’s significant accounting policies as of and for the nine months ended September 30, 2025, except for those related to discontinued operations as described below, as compared to the significant accounting policies described in the Company’s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Financial Accounting Standards Board (“FASB”) issued Accounting Standards Update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pPr>
      <w:r>
        <w:rPr/>
        <w:t>“</w:t>
      </w:r>
      <w:r>
        <w:rPr>
          <w:rFonts w:ascii="Times New Roman" w:hAnsi="Times New Roman"/>
          <w:sz w:val="20"/>
        </w:rPr>
        <w:t xml:space="preserve">Income Statement - Reporting Comprehensive Income - Expense Disaggregation Disclosures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120" w:after="0"/>
        <w:jc w:val="left"/>
        <w:rPr>
          <w:rFonts w:ascii="Times New Roman" w:hAnsi="Times New Roman"/>
          <w:sz w:val="20"/>
        </w:rPr>
      </w:pPr>
      <w:r>
        <w:rPr>
          <w:rFonts w:ascii="Times New Roman" w:hAnsi="Times New Roman"/>
          <w:sz w:val="20"/>
        </w:rPr>
        <w:t xml:space="preserve">Disaggregation of Income Statement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(“ASU 2024-03”).</w:t>
      </w:r>
    </w:p>
    <w:p>
      <w:pPr>
        <w:pStyle w:val="TextBody"/>
        <w:bidi w:val="0"/>
        <w:spacing w:before="120" w:after="0"/>
        <w:jc w:val="left"/>
        <w:rPr>
          <w:rFonts w:ascii="Times New Roman" w:hAnsi="Times New Roman"/>
          <w:sz w:val="20"/>
        </w:rPr>
      </w:pPr>
      <w:r>
        <w:rPr>
          <w:rFonts w:ascii="Times New Roman" w:hAnsi="Times New Roman"/>
          <w:sz w:val="20"/>
        </w:rPr>
        <w:t xml:space="preserve">Additionally, in January 2025,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2025-01</w:t>
      </w:r>
    </w:p>
    <w:p>
      <w:pPr>
        <w:pStyle w:val="TextBody"/>
        <w:bidi w:val="0"/>
        <w:spacing w:before="120" w:after="0"/>
        <w:jc w:val="left"/>
        <w:rPr>
          <w:rFonts w:ascii="Times New Roman" w:hAnsi="Times New Roman"/>
          <w:sz w:val="20"/>
        </w:rPr>
      </w:pPr>
      <w:r>
        <w:rPr>
          <w:rFonts w:ascii="Times New Roman" w:hAnsi="Times New Roman"/>
          <w:sz w:val="20"/>
        </w:rPr>
        <w:t xml:space="preserve">to clarify the effective date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requires public companies to disclose, in the notes to the financial statements, specific information about certain costs and expenses at each interim and annual reporting period. This includes disclosing amounts related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purchases of inventory, employee compensation, depreciation, and intangible asset amortization. In addition, public companies will need to provide a qualitative description of the amounts remaining in relevant expense captions that are not separately disaggregated quantitatively. ASU </w:t>
      </w:r>
    </w:p>
    <w:p>
      <w:pPr>
        <w:pStyle w:val="TextBody"/>
        <w:bidi w:val="0"/>
        <w:spacing w:before="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0" w:after="0"/>
        <w:jc w:val="left"/>
        <w:rPr>
          <w:rFonts w:ascii="Times New Roman" w:hAnsi="Times New Roman"/>
          <w:sz w:val="20"/>
        </w:rPr>
      </w:pPr>
      <w:r>
        <w:rPr>
          <w:rFonts w:ascii="Times New Roman" w:hAnsi="Times New Roman"/>
          <w:sz w:val="20"/>
        </w:rPr>
        <w:t xml:space="preserve">is effective for public business entities for annual reporting periods beginning after December 15, 2026, and interim reporting periods beginning after December 15, 2027. Early adoption is permitted and the amendments in this update may be applied prospectively or retrospectively. The Company is currently evaluating the impact of this accounting standard update on its consolidated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 2023-09,</w:t>
      </w:r>
    </w:p>
    <w:p>
      <w:pPr>
        <w:pStyle w:val="TextBody"/>
        <w:bidi w:val="0"/>
        <w:spacing w:before="240" w:after="0"/>
        <w:jc w:val="left"/>
        <w:rPr/>
      </w:pPr>
      <w:r>
        <w:rPr/>
        <w:t>“</w:t>
      </w:r>
      <w:r>
        <w:rPr>
          <w:rFonts w:ascii="Times New Roman" w:hAnsi="Times New Roman"/>
          <w:sz w:val="20"/>
        </w:rPr>
        <w:t xml:space="preserve">Income Taxes (Topic 740): Improvements to Income Tax Disclosures”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(“ASU 2023-09”),</w:t>
      </w:r>
    </w:p>
    <w:p>
      <w:pPr>
        <w:pStyle w:val="TextBody"/>
        <w:bidi w:val="0"/>
        <w:spacing w:before="240" w:after="0"/>
        <w:jc w:val="left"/>
        <w:rPr>
          <w:rFonts w:ascii="Times New Roman" w:hAnsi="Times New Roman"/>
          <w:sz w:val="20"/>
        </w:rPr>
      </w:pPr>
      <w:r>
        <w:rPr>
          <w:rFonts w:ascii="Times New Roman" w:hAnsi="Times New Roman"/>
          <w:sz w:val="20"/>
        </w:rPr>
        <w:t xml:space="preserve">which intends to enhance the transparency and decision usefulness of income tax disclosures. It requires public business entities to disclose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240" w:after="0"/>
        <w:jc w:val="left"/>
        <w:rPr>
          <w:rFonts w:ascii="Times New Roman" w:hAnsi="Times New Roman"/>
          <w:sz w:val="20"/>
        </w:rPr>
      </w:pPr>
      <w:r>
        <w:rPr>
          <w:rFonts w:ascii="Times New Roman" w:hAnsi="Times New Roman"/>
          <w:sz w:val="20"/>
        </w:rPr>
        <w:t xml:space="preserve">is effective for annual periods beginning after December 15, 2024, though early adoption is permitted. The Company is currently evaluating the impact of this accounting standard update on its consolidated financial statements and related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On March 7, 2025, the Company’s Board of Directors authorized a strategy to transition to a pure-play Power company, focusing its investments on the Power Analog Solutions and Power IC businesses to enhance profitability and maximize shareholder value. As part of this strategy, the Company explored all strategic options including a sale, merger, joint venture, licensing, and wind-down for its Display business (Display IC products). However, the Company was not able to consummate a transaction following several months of discussions with several interested parties on terms that the Company’s Board of Directors believed were in the best interests of the Company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on April 6, 2025, the Company’s Board of Directors unanimously approved the plan to shut down the Company’s Display business (the “Discontinued Business”), including the liquidation of MMS, the Company’s indirect wholly owned subsidiary that operated the Discontinued Business. As a result, the Display business qualifies as a discontinued operation in accordance with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205-20.</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results from discontinued operations, net of tax, for the three and nine months ended September 30, 2025 and 2024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41"/>
        <w:gridCol w:w="120"/>
        <w:gridCol w:w="265"/>
        <w:gridCol w:w="1210"/>
        <w:gridCol w:w="183"/>
        <w:gridCol w:w="141"/>
        <w:gridCol w:w="250"/>
        <w:gridCol w:w="1225"/>
        <w:gridCol w:w="155"/>
        <w:gridCol w:w="120"/>
        <w:gridCol w:w="229"/>
        <w:gridCol w:w="1246"/>
        <w:gridCol w:w="155"/>
        <w:gridCol w:w="120"/>
        <w:gridCol w:w="228"/>
        <w:gridCol w:w="1247"/>
        <w:gridCol w:w="170"/>
      </w:tblGrid>
      <w:tr>
        <w:trPr/>
        <w:tc>
          <w:tcPr>
            <w:tcW w:w="3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4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7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70" w:type="dxa"/>
            <w:tcBorders/>
            <w:vAlign w:val="center"/>
          </w:tcPr>
          <w:p>
            <w:pPr>
              <w:pStyle w:val="TableContents"/>
              <w:bidi w:val="0"/>
              <w:spacing w:before="0" w:after="283"/>
              <w:jc w:val="left"/>
              <w:rPr/>
            </w:pPr>
            <w:r>
              <w:rPr/>
              <w:t> </w:t>
            </w:r>
          </w:p>
        </w:tc>
      </w:tr>
      <w:tr>
        <w:trPr/>
        <w:tc>
          <w:tcPr>
            <w:tcW w:w="31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7,233</w:t>
            </w:r>
          </w:p>
        </w:tc>
        <w:tc>
          <w:tcPr>
            <w:tcW w:w="18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11,026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24,519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23,426</w:t>
            </w:r>
          </w:p>
        </w:tc>
        <w:tc>
          <w:tcPr>
            <w:tcW w:w="170" w:type="dxa"/>
            <w:tcBorders/>
            <w:shd w:fill="CCEEFF" w:val="clear"/>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3,693</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7,071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14,200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15,047</w:t>
            </w:r>
          </w:p>
        </w:tc>
        <w:tc>
          <w:tcPr>
            <w:tcW w:w="170" w:type="dxa"/>
            <w:tcBorders/>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3,540</w:t>
            </w:r>
          </w:p>
        </w:tc>
        <w:tc>
          <w:tcPr>
            <w:tcW w:w="18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3,955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10,319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8,379</w:t>
            </w:r>
          </w:p>
        </w:tc>
        <w:tc>
          <w:tcPr>
            <w:tcW w:w="170" w:type="dxa"/>
            <w:tcBorders/>
            <w:shd w:fill="CCEEFF" w:val="clear"/>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(49</w:t>
            </w:r>
          </w:p>
        </w:tc>
        <w:tc>
          <w:tcPr>
            <w:tcW w:w="18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2,570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1,535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6,748</w:t>
            </w:r>
          </w:p>
        </w:tc>
        <w:tc>
          <w:tcPr>
            <w:tcW w:w="170" w:type="dxa"/>
            <w:tcBorders/>
            <w:shd w:fill="CCEEFF" w:val="clear"/>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326</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7,901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9,579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19,772</w:t>
            </w:r>
          </w:p>
        </w:tc>
        <w:tc>
          <w:tcPr>
            <w:tcW w:w="170" w:type="dxa"/>
            <w:tcBorders/>
            <w:vAlign w:val="center"/>
          </w:tcPr>
          <w:p>
            <w:pPr>
              <w:pStyle w:val="TableContents"/>
              <w:bidi w:val="0"/>
              <w:spacing w:before="0" w:after="283"/>
              <w:jc w:val="left"/>
              <w:rPr/>
            </w:pPr>
            <w:r>
              <w:rPr/>
              <w:t> </w:t>
            </w:r>
          </w:p>
        </w:tc>
      </w:tr>
      <w:tr>
        <w:trPr/>
        <w:tc>
          <w:tcPr>
            <w:tcW w:w="31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charges</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1,561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and other charges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5,171</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12,758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5,448</w:t>
            </w:r>
          </w:p>
        </w:tc>
        <w:tc>
          <w:tcPr>
            <w:tcW w:w="18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10,471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25,433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26,520</w:t>
            </w:r>
          </w:p>
        </w:tc>
        <w:tc>
          <w:tcPr>
            <w:tcW w:w="170" w:type="dxa"/>
            <w:tcBorders/>
            <w:shd w:fill="CCEEFF" w:val="clear"/>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 from discontinued operations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(1,908</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(6,516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(15,114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(18,141</w:t>
            </w:r>
          </w:p>
        </w:tc>
        <w:tc>
          <w:tcPr>
            <w:tcW w:w="170" w:type="dxa"/>
            <w:tcBorders/>
            <w:vAlign w:val="center"/>
          </w:tcPr>
          <w:p>
            <w:pPr>
              <w:pStyle w:val="TableContents"/>
              <w:bidi w:val="0"/>
              <w:spacing w:before="0" w:after="283"/>
              <w:jc w:val="left"/>
              <w:rPr/>
            </w:pPr>
            <w:r>
              <w:rPr/>
              <w:t>) </w:t>
            </w:r>
          </w:p>
        </w:tc>
      </w:tr>
      <w:tr>
        <w:trPr/>
        <w:tc>
          <w:tcPr>
            <w:tcW w:w="31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0</w:t>
            </w:r>
          </w:p>
        </w:tc>
        <w:tc>
          <w:tcPr>
            <w:tcW w:w="18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278</w:t>
            </w:r>
          </w:p>
        </w:tc>
        <w:tc>
          <w:tcPr>
            <w:tcW w:w="170" w:type="dxa"/>
            <w:tcBorders/>
            <w:shd w:fill="CCEEFF" w:val="clear"/>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(30</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(102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(272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(223</w:t>
            </w:r>
          </w:p>
        </w:tc>
        <w:tc>
          <w:tcPr>
            <w:tcW w:w="170" w:type="dxa"/>
            <w:tcBorders/>
            <w:vAlign w:val="center"/>
          </w:tcPr>
          <w:p>
            <w:pPr>
              <w:pStyle w:val="TableContents"/>
              <w:bidi w:val="0"/>
              <w:spacing w:before="0" w:after="283"/>
              <w:jc w:val="left"/>
              <w:rPr/>
            </w:pPr>
            <w:r>
              <w:rPr/>
              <w:t>) </w:t>
            </w:r>
          </w:p>
        </w:tc>
      </w:tr>
      <w:tr>
        <w:trPr/>
        <w:tc>
          <w:tcPr>
            <w:tcW w:w="31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132</w:t>
            </w:r>
          </w:p>
        </w:tc>
        <w:tc>
          <w:tcPr>
            <w:tcW w:w="18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(104</w:t>
            </w:r>
          </w:p>
        </w:tc>
        <w:tc>
          <w:tcPr>
            <w:tcW w:w="170" w:type="dxa"/>
            <w:tcBorders/>
            <w:shd w:fill="CCEEFF" w:val="clear"/>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58</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202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before income tax expense (benefit), net</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(1,748</w:t>
            </w:r>
          </w:p>
        </w:tc>
        <w:tc>
          <w:tcPr>
            <w:tcW w:w="18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(6,687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(15,265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(18,190</w:t>
            </w:r>
          </w:p>
        </w:tc>
        <w:tc>
          <w:tcPr>
            <w:tcW w:w="170" w:type="dxa"/>
            <w:tcBorders/>
            <w:shd w:fill="CCEEFF" w:val="clear"/>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 net</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733</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(991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923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233</w:t>
            </w:r>
          </w:p>
        </w:tc>
        <w:tc>
          <w:tcPr>
            <w:tcW w:w="170" w:type="dxa"/>
            <w:tcBorders/>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(2,481</w:t>
            </w:r>
          </w:p>
        </w:tc>
        <w:tc>
          <w:tcPr>
            <w:tcW w:w="18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(5,696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(16,188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(18,423</w:t>
            </w:r>
          </w:p>
        </w:tc>
        <w:tc>
          <w:tcPr>
            <w:tcW w:w="170" w:type="dxa"/>
            <w:tcBorders/>
            <w:shd w:fill="CCEEFF" w:val="clear"/>
            <w:vAlign w:val="center"/>
          </w:tcPr>
          <w:p>
            <w:pPr>
              <w:pStyle w:val="TableContents"/>
              <w:bidi w:val="0"/>
              <w:spacing w:before="0" w:after="283"/>
              <w:jc w:val="left"/>
              <w:rPr/>
            </w:pPr>
            <w:r>
              <w:rPr/>
              <w:t>) </w:t>
            </w:r>
          </w:p>
        </w:tc>
      </w:tr>
      <w:tr>
        <w:trPr/>
        <w:tc>
          <w:tcPr>
            <w:tcW w:w="3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double" w:sz="6" w:space="1" w:color="000000"/>
              </w:rPr>
            </w:pPr>
            <w:r>
              <w:rPr>
                <w:bdr w:val="double" w:sz="6" w:space="1" w:color="000000"/>
              </w:rPr>
              <w:t> </w:t>
            </w:r>
          </w:p>
        </w:tc>
        <w:tc>
          <w:tcPr>
            <w:tcW w:w="1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double" w:sz="6" w:space="1" w:color="000000"/>
              </w:rPr>
            </w:pPr>
            <w:r>
              <w:rPr>
                <w:bdr w:val="double" w:sz="6" w:space="1" w:color="000000"/>
              </w:rPr>
              <w:t> </w:t>
            </w:r>
          </w:p>
        </w:tc>
        <w:tc>
          <w:tcPr>
            <w:tcW w:w="1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For the nine months ended September 30, 2025, the Company recognized the impairment charges of $</w:t>
      </w:r>
    </w:p>
    <w:p>
      <w:pPr>
        <w:pStyle w:val="TextBody"/>
        <w:bidi w:val="0"/>
        <w:spacing w:before="240" w:after="0"/>
        <w:jc w:val="left"/>
        <w:rPr>
          <w:rFonts w:ascii="Times New Roman" w:hAnsi="Times New Roman"/>
          <w:sz w:val="20"/>
        </w:rPr>
      </w:pPr>
      <w:r>
        <w:rPr>
          <w:rFonts w:ascii="Times New Roman" w:hAnsi="Times New Roman"/>
          <w:sz w:val="20"/>
        </w:rPr>
        <w:t>12,424</w:t>
      </w:r>
    </w:p>
    <w:p>
      <w:pPr>
        <w:pStyle w:val="TextBody"/>
        <w:bidi w:val="0"/>
        <w:spacing w:before="240" w:after="0"/>
        <w:jc w:val="left"/>
        <w:rPr/>
      </w:pPr>
      <w:r>
        <w:rPr/>
        <w:t> </w:t>
      </w:r>
      <w:r>
        <w:rPr>
          <w:rFonts w:ascii="Times New Roman" w:hAnsi="Times New Roman"/>
          <w:sz w:val="20"/>
        </w:rPr>
        <w:t xml:space="preserve">thousand, primarily related to certain design tool software contracts in connection with the shutdown of the Display business.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major classes of assets of the discontinued operations that were included in the consolidated balance sheets (in thousands): </w:t>
      </w:r>
    </w:p>
    <w:p>
      <w:pPr>
        <w:pStyle w:val="TextBody"/>
        <w:bidi w:val="0"/>
        <w:spacing w:before="0" w:after="0"/>
        <w:jc w:val="left"/>
        <w:rPr/>
      </w:pPr>
      <w:r>
        <w:rPr/>
        <w:t> </w:t>
      </w:r>
    </w:p>
    <w:tbl>
      <w:tblPr>
        <w:tblW w:w="5295" w:type="dxa"/>
        <w:jc w:val="left"/>
        <w:tblInd w:w="0" w:type="dxa"/>
        <w:tblLayout w:type="fixed"/>
        <w:tblCellMar>
          <w:top w:w="0" w:type="dxa"/>
          <w:left w:w="0" w:type="dxa"/>
          <w:bottom w:w="0" w:type="dxa"/>
          <w:right w:w="0" w:type="dxa"/>
        </w:tblCellMar>
      </w:tblPr>
      <w:tblGrid>
        <w:gridCol w:w="2030"/>
        <w:gridCol w:w="120"/>
        <w:gridCol w:w="295"/>
        <w:gridCol w:w="1180"/>
        <w:gridCol w:w="60"/>
        <w:gridCol w:w="120"/>
        <w:gridCol w:w="283"/>
        <w:gridCol w:w="1132"/>
        <w:gridCol w:w="75"/>
      </w:tblGrid>
      <w:tr>
        <w:trPr/>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4,765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4,797</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2,593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3,698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supplemental cash flows information related to discontinued operations (in thousands): </w:t>
      </w:r>
    </w:p>
    <w:p>
      <w:pPr>
        <w:pStyle w:val="TextBody"/>
        <w:bidi w:val="0"/>
        <w:spacing w:before="0" w:after="0"/>
        <w:jc w:val="left"/>
        <w:rPr/>
      </w:pPr>
      <w:r>
        <w:rPr/>
        <w:t> </w:t>
      </w:r>
    </w:p>
    <w:tbl>
      <w:tblPr>
        <w:tblW w:w="6159" w:type="dxa"/>
        <w:jc w:val="left"/>
        <w:tblInd w:w="0" w:type="dxa"/>
        <w:tblLayout w:type="fixed"/>
        <w:tblCellMar>
          <w:top w:w="0" w:type="dxa"/>
          <w:left w:w="0" w:type="dxa"/>
          <w:bottom w:w="0" w:type="dxa"/>
          <w:right w:w="0" w:type="dxa"/>
        </w:tblCellMar>
      </w:tblPr>
      <w:tblGrid>
        <w:gridCol w:w="2615"/>
        <w:gridCol w:w="120"/>
        <w:gridCol w:w="251"/>
        <w:gridCol w:w="1224"/>
        <w:gridCol w:w="171"/>
        <w:gridCol w:w="133"/>
        <w:gridCol w:w="266"/>
        <w:gridCol w:w="1209"/>
        <w:gridCol w:w="170"/>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71"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7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3"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224" w:type="dxa"/>
            <w:tcBorders/>
            <w:vAlign w:val="center"/>
          </w:tcPr>
          <w:p>
            <w:pPr>
              <w:pStyle w:val="TableContents"/>
              <w:bidi w:val="0"/>
              <w:spacing w:before="0" w:after="283"/>
              <w:jc w:val="right"/>
              <w:rPr/>
            </w:pPr>
            <w:r>
              <w:rPr/>
              <w:t>376</w:t>
            </w:r>
          </w:p>
        </w:tc>
        <w:tc>
          <w:tcPr>
            <w:tcW w:w="171"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1,183</w:t>
            </w:r>
          </w:p>
        </w:tc>
        <w:tc>
          <w:tcPr>
            <w:tcW w:w="17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(225</w:t>
            </w:r>
          </w:p>
        </w:tc>
        <w:tc>
          <w:tcPr>
            <w:tcW w:w="17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979</w:t>
            </w:r>
          </w:p>
        </w:tc>
        <w:tc>
          <w:tcPr>
            <w:tcW w:w="17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(353</w:t>
            </w:r>
          </w:p>
        </w:tc>
        <w:tc>
          <w:tcPr>
            <w:tcW w:w="171"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576</w:t>
            </w:r>
          </w:p>
        </w:tc>
        <w:tc>
          <w:tcPr>
            <w:tcW w:w="17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charges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12,424</w:t>
            </w:r>
          </w:p>
        </w:tc>
        <w:tc>
          <w:tcPr>
            <w:tcW w:w="17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(99</w:t>
            </w:r>
          </w:p>
        </w:tc>
        <w:tc>
          <w:tcPr>
            <w:tcW w:w="17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(1,597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Company has ceased active operations of its Display business, it continues to have limited involvement after the shutdown. Specifically, the Company’s Korean subsidiary, MSK, continues to fulfill remaining customer obligations, including the sale of certain “end of life” (“EOL”) Display products. A small team has been retained to manage the transition and to provide ongoing customer support. </w:t>
      </w:r>
    </w:p>
    <w:p>
      <w:pPr>
        <w:pStyle w:val="TextBody"/>
        <w:bidi w:val="0"/>
        <w:spacing w:before="240" w:after="0"/>
        <w:jc w:val="left"/>
        <w:rPr>
          <w:rFonts w:ascii="Times New Roman" w:hAnsi="Times New Roman"/>
          <w:sz w:val="20"/>
        </w:rPr>
      </w:pPr>
      <w:r>
        <w:rPr>
          <w:rFonts w:ascii="Times New Roman" w:hAnsi="Times New Roman"/>
          <w:sz w:val="20"/>
        </w:rPr>
        <w:t xml:space="preserve">As such, the result of these limited ongoing activities do not qualify for presentation as part of continuing operations and are instead presented as part of discontinued operations. The following table presents the revenue, gross profit and operating expenses related to the Company’s continuing involvement with the Discontinued Business for the periods presented (in thousands): </w:t>
      </w:r>
    </w:p>
    <w:p>
      <w:pPr>
        <w:pStyle w:val="TextBody"/>
        <w:bidi w:val="0"/>
        <w:spacing w:before="0" w:after="0"/>
        <w:jc w:val="left"/>
        <w:rPr/>
      </w:pPr>
      <w:r>
        <w:rPr/>
        <w:t> </w:t>
      </w:r>
    </w:p>
    <w:tbl>
      <w:tblPr>
        <w:tblW w:w="6285" w:type="dxa"/>
        <w:jc w:val="left"/>
        <w:tblInd w:w="0" w:type="dxa"/>
        <w:tblLayout w:type="fixed"/>
        <w:tblCellMar>
          <w:top w:w="0" w:type="dxa"/>
          <w:left w:w="0" w:type="dxa"/>
          <w:bottom w:w="0" w:type="dxa"/>
          <w:right w:w="0" w:type="dxa"/>
        </w:tblCellMar>
      </w:tblPr>
      <w:tblGrid>
        <w:gridCol w:w="1625"/>
        <w:gridCol w:w="120"/>
        <w:gridCol w:w="442"/>
        <w:gridCol w:w="1768"/>
        <w:gridCol w:w="60"/>
        <w:gridCol w:w="120"/>
        <w:gridCol w:w="415"/>
        <w:gridCol w:w="1660"/>
        <w:gridCol w:w="75"/>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2025</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768" w:type="dxa"/>
            <w:tcBorders/>
            <w:shd w:fill="CCEEFF" w:val="clear"/>
            <w:vAlign w:val="center"/>
          </w:tcPr>
          <w:p>
            <w:pPr>
              <w:pStyle w:val="TableContents"/>
              <w:bidi w:val="0"/>
              <w:spacing w:before="0" w:after="283"/>
              <w:jc w:val="right"/>
              <w:rPr/>
            </w:pPr>
            <w:r>
              <w:rPr/>
              <w:t>7,233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9,551</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3,540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right"/>
              <w:rPr/>
            </w:pPr>
            <w:r>
              <w:rPr/>
              <w:t>4,473</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342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485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sale of EOL Display products and the potential monetization of the intellectual property assets of the Discontinued Business are currently expected to generate cash inflow of approximately $20 million over a period of approximately 2 years from the second half of 2025, depending upon customer demand and monetization efforts of the Display intellectual property assets. </w:t>
      </w:r>
    </w:p>
    <w:p>
      <w:pPr>
        <w:pStyle w:val="TextBody"/>
        <w:bidi w:val="0"/>
        <w:spacing w:before="120" w:after="0"/>
        <w:jc w:val="left"/>
        <w:rPr>
          <w:rFonts w:ascii="Times New Roman" w:hAnsi="Times New Roman"/>
          <w:sz w:val="20"/>
        </w:rPr>
      </w:pPr>
      <w:r>
        <w:rPr>
          <w:rFonts w:ascii="Times New Roman" w:hAnsi="Times New Roman"/>
          <w:sz w:val="20"/>
        </w:rPr>
        <w:t xml:space="preserve">The total estimated cash cost of the liquidation is approximately $12 to $15 million, which is expected to be offset by the cash inflow that may be generated as described above.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120" w:after="0"/>
        <w:jc w:val="left"/>
        <w:rPr>
          <w:rFonts w:ascii="Times New Roman" w:hAnsi="Times New Roman"/>
          <w:sz w:val="20"/>
        </w:rPr>
      </w:pPr>
      <w:r>
        <w:rPr>
          <w:rFonts w:ascii="Times New Roman" w:hAnsi="Times New Roman"/>
          <w:sz w:val="20"/>
        </w:rPr>
        <w:t xml:space="preserve">liquidation cost is expected to consist of statutory severance and other employee-related costs, contract termination charges and other associated costs. Of this estimated total cash cost, the Company paid $6.5 million of statutory severance and other employee-related costs in the second quarter of 2025. Further, the Company originally expected to pay certain contract termination charges in full along with the statutory severance and other employee-related costs, but negotiated with the respective vendors for those contract termination charges totaling $6.5 million to be paid over the duration of the remaining existing contract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3.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as of September 30, 2025 and December 31, 2024 consist of the following (in thousands): </w:t>
      </w:r>
    </w:p>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2090"/>
        <w:gridCol w:w="120"/>
        <w:gridCol w:w="251"/>
        <w:gridCol w:w="1224"/>
        <w:gridCol w:w="155"/>
        <w:gridCol w:w="120"/>
        <w:gridCol w:w="241"/>
        <w:gridCol w:w="1174"/>
        <w:gridCol w:w="1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7,897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7,802</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Semi-finished goods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work-in-process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31,135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26,797</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4,842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3,607</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in-transit</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61</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inventory reserve</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(6,573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(7,732</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224" w:type="dxa"/>
            <w:tcBorders/>
            <w:vAlign w:val="center"/>
          </w:tcPr>
          <w:p>
            <w:pPr>
              <w:pStyle w:val="TableContents"/>
              <w:bidi w:val="0"/>
              <w:spacing w:before="0" w:after="283"/>
              <w:jc w:val="right"/>
              <w:rPr/>
            </w:pPr>
            <w:r>
              <w:rPr/>
              <w:t>37,375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30,535</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inventory reserve for the three and nine months ended September 30, 2025 and 2024 are as follows (in thousands): </w:t>
      </w:r>
    </w:p>
    <w:p>
      <w:pPr>
        <w:pStyle w:val="TextBody"/>
        <w:bidi w:val="0"/>
        <w:spacing w:before="0" w:after="0"/>
        <w:jc w:val="left"/>
        <w:rPr/>
      </w:pPr>
      <w:r>
        <w:rPr/>
        <w:t> </w:t>
      </w:r>
    </w:p>
    <w:tbl>
      <w:tblPr>
        <w:tblW w:w="10185" w:type="dxa"/>
        <w:jc w:val="left"/>
        <w:tblInd w:w="0" w:type="dxa"/>
        <w:tblLayout w:type="fixed"/>
        <w:tblCellMar>
          <w:top w:w="0" w:type="dxa"/>
          <w:left w:w="0" w:type="dxa"/>
          <w:bottom w:w="0" w:type="dxa"/>
          <w:right w:w="0" w:type="dxa"/>
        </w:tblCellMar>
      </w:tblPr>
      <w:tblGrid>
        <w:gridCol w:w="3440"/>
        <w:gridCol w:w="120"/>
        <w:gridCol w:w="266"/>
        <w:gridCol w:w="1209"/>
        <w:gridCol w:w="155"/>
        <w:gridCol w:w="120"/>
        <w:gridCol w:w="242"/>
        <w:gridCol w:w="1098"/>
        <w:gridCol w:w="155"/>
        <w:gridCol w:w="120"/>
        <w:gridCol w:w="266"/>
        <w:gridCol w:w="1209"/>
        <w:gridCol w:w="155"/>
        <w:gridCol w:w="120"/>
        <w:gridCol w:w="209"/>
        <w:gridCol w:w="1131"/>
        <w:gridCol w:w="17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w:t>
              <w:b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w:t>
              <w:br/>
              <w:t>Ended</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9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9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2024</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(8,495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(7,732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(8,541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(10,599</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reserve</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 charged to costs of sales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(1,637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(5,293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(1,273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(4,234</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 of previously reserved inventory</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554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3,400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1,835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5,962</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single" w:sz="2" w:space="1" w:color="000000"/>
              </w:rPr>
            </w:pPr>
            <w:r>
              <w:rPr>
                <w:bdr w:val="single" w:sz="2" w:space="1" w:color="000000"/>
              </w:rPr>
              <w:t> </w:t>
            </w:r>
          </w:p>
        </w:tc>
        <w:tc>
          <w:tcPr>
            <w:tcW w:w="10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(1,083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(1,893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562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1,728</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 off</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2,736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3,471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390</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(419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(441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124</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single" w:sz="2" w:space="1" w:color="000000"/>
              </w:rPr>
            </w:pPr>
            <w:r>
              <w:rPr>
                <w:bdr w:val="single" w:sz="2" w:space="1" w:color="000000"/>
              </w:rPr>
              <w:t> </w:t>
            </w:r>
          </w:p>
        </w:tc>
        <w:tc>
          <w:tcPr>
            <w:tcW w:w="10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(6,573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283"/>
              <w:jc w:val="right"/>
              <w:rPr/>
            </w:pPr>
            <w:r>
              <w:rPr/>
              <w:t>(6,573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(8,357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(8,357</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1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double" w:sz="6" w:space="1" w:color="000000"/>
              </w:rPr>
            </w:pPr>
            <w:r>
              <w:rPr>
                <w:bdr w:val="double" w:sz="6" w:space="1" w:color="000000"/>
              </w:rPr>
              <w:t> </w:t>
            </w:r>
          </w:p>
        </w:tc>
        <w:tc>
          <w:tcPr>
            <w:tcW w:w="109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1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13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work-in-process</w:t>
      </w:r>
    </w:p>
    <w:p>
      <w:pPr>
        <w:pStyle w:val="TextBody"/>
        <w:bidi w:val="0"/>
        <w:spacing w:before="240" w:after="0"/>
        <w:jc w:val="left"/>
        <w:rPr>
          <w:rFonts w:ascii="Times New Roman" w:hAnsi="Times New Roman"/>
          <w:sz w:val="20"/>
        </w:rPr>
      </w:pPr>
      <w:r>
        <w:rPr>
          <w:rFonts w:ascii="Times New Roman" w:hAnsi="Times New Roman"/>
          <w:sz w:val="20"/>
        </w:rPr>
        <w:t>and raw materials. Write off of this reserve is recognized only when the related invent</w:t>
      </w:r>
    </w:p>
    <w:p>
      <w:pPr>
        <w:pStyle w:val="TextBody"/>
        <w:bidi w:val="0"/>
        <w:spacing w:before="240" w:after="0"/>
        <w:jc w:val="left"/>
        <w:rPr>
          <w:rFonts w:ascii="Times New Roman" w:hAnsi="Times New Roman"/>
          <w:sz w:val="20"/>
        </w:rPr>
      </w:pPr>
      <w:r>
        <w:rPr>
          <w:rFonts w:ascii="Times New Roman" w:hAnsi="Times New Roman"/>
          <w:sz w:val="20"/>
        </w:rPr>
        <w:t>or</w:t>
      </w:r>
    </w:p>
    <w:p>
      <w:pPr>
        <w:pStyle w:val="TextBody"/>
        <w:bidi w:val="0"/>
        <w:spacing w:before="240" w:after="0"/>
        <w:jc w:val="left"/>
        <w:rPr>
          <w:rFonts w:ascii="Times New Roman" w:hAnsi="Times New Roman"/>
          <w:sz w:val="20"/>
        </w:rPr>
      </w:pPr>
      <w:r>
        <w:rPr>
          <w:rFonts w:ascii="Times New Roman" w:hAnsi="Times New Roman"/>
          <w:sz w:val="20"/>
        </w:rPr>
        <w:t xml:space="preserve">y has been disposed or scrapped.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4.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as of September 30, 2025 and December 31, 2024 are comprised of the following (in thousands): </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2840"/>
        <w:gridCol w:w="120"/>
        <w:gridCol w:w="203"/>
        <w:gridCol w:w="1272"/>
        <w:gridCol w:w="155"/>
        <w:gridCol w:w="120"/>
        <w:gridCol w:w="195"/>
        <w:gridCol w:w="1220"/>
        <w:gridCol w:w="170"/>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 and related structures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24,750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21,873</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138,733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126,971</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611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606</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32,677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33,274</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196,771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182,724</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(128,790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(115,236</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11,951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11,237</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14,986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2,738</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94,918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81,463</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12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depreciation expenses associated with continuing operations totaled $9,368 thousand and $10,750 thousand for the nine months ended September 30,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240" w:after="0"/>
        <w:jc w:val="left"/>
        <w:rPr>
          <w:rFonts w:ascii="Times New Roman" w:hAnsi="Times New Roman"/>
          <w:sz w:val="20"/>
        </w:rPr>
      </w:pPr>
      <w:r>
        <w:rPr>
          <w:rFonts w:ascii="Times New Roman" w:hAnsi="Times New Roman"/>
          <w:sz w:val="20"/>
        </w:rPr>
        <w:t xml:space="preserve">(Mortgage) Agreement (the “Pledge Agreement”) with KDB pursuant to which MSK pledged its real property and buildings located in Gumi, Korea in favor of KDB. </w:t>
      </w:r>
    </w:p>
    <w:p>
      <w:pPr>
        <w:pStyle w:val="TextBody"/>
        <w:bidi w:val="0"/>
        <w:spacing w:before="240" w:after="0"/>
        <w:jc w:val="left"/>
        <w:rPr>
          <w:rFonts w:ascii="Times New Roman" w:hAnsi="Times New Roman"/>
          <w:sz w:val="20"/>
        </w:rPr>
      </w:pPr>
      <w:r>
        <w:rPr>
          <w:rFonts w:ascii="Times New Roman" w:hAnsi="Times New Roman"/>
          <w:sz w:val="20"/>
        </w:rPr>
        <w:t xml:space="preserve">On December 16, 2024, MSK executed a Standard Credit Agreement (as amended) (together with its General Terms and Conditions, the “Equipment Financing Credit Agreement”) with KDB. In connection with the Equipment Financing Credit Agreement, on December 8, 2024, MSK amended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240" w:after="0"/>
        <w:jc w:val="left"/>
        <w:rPr>
          <w:rFonts w:ascii="Times New Roman" w:hAnsi="Times New Roman"/>
          <w:sz w:val="20"/>
        </w:rPr>
      </w:pPr>
      <w:r>
        <w:rPr>
          <w:rFonts w:ascii="Times New Roman" w:hAnsi="Times New Roman"/>
          <w:sz w:val="20"/>
        </w:rPr>
        <w:t xml:space="preserve">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w:t>
      </w:r>
    </w:p>
    <w:p>
      <w:pPr>
        <w:pStyle w:val="TextBody"/>
        <w:bidi w:val="0"/>
        <w:spacing w:before="240" w:after="0"/>
        <w:jc w:val="left"/>
        <w:rPr>
          <w:rFonts w:ascii="Times New Roman" w:hAnsi="Times New Roman"/>
          <w:sz w:val="20"/>
        </w:rPr>
      </w:pPr>
      <w:r>
        <w:rPr>
          <w:rFonts w:ascii="Times New Roman" w:hAnsi="Times New Roman"/>
          <w:sz w:val="20"/>
        </w:rPr>
        <w:t>See “Note 11. Long-Term Borrowings” to these consolidated financial statements belo</w:t>
      </w:r>
    </w:p>
    <w:p>
      <w:pPr>
        <w:pStyle w:val="TextBody"/>
        <w:bidi w:val="0"/>
        <w:spacing w:before="240" w:after="0"/>
        <w:jc w:val="left"/>
        <w:rPr>
          <w:rFonts w:ascii="Times New Roman" w:hAnsi="Times New Roman"/>
          <w:sz w:val="20"/>
        </w:rPr>
      </w:pPr>
      <w:r>
        <w:rPr>
          <w:rFonts w:ascii="Times New Roman" w:hAnsi="Times New Roman"/>
          <w:sz w:val="20"/>
        </w:rPr>
        <w:t>w</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regarding the Loan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5.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as of September 30, 2025 and December 31, 2024 are comprised of the following (in thousands): </w:t>
      </w:r>
    </w:p>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215"/>
        <w:gridCol w:w="585"/>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2025</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7,886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(7,388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498</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single" w:sz="2" w:space="1" w:color="000000"/>
              </w:rPr>
            </w:pPr>
            <w:r>
              <w:rPr>
                <w:bdr w:val="single" w:sz="2" w:space="1" w:color="000000"/>
              </w:rPr>
              <w:t> </w:t>
            </w:r>
          </w:p>
        </w:tc>
        <w:tc>
          <w:tcPr>
            <w:tcW w:w="58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7,886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(7,388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498</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double" w:sz="6" w:space="1" w:color="000000"/>
              </w:rPr>
            </w:pPr>
            <w:r>
              <w:rPr>
                <w:bdr w:val="double" w:sz="6" w:space="1" w:color="000000"/>
              </w:rPr>
              <w:t> </w:t>
            </w:r>
          </w:p>
        </w:tc>
        <w:tc>
          <w:tcPr>
            <w:tcW w:w="58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3620" w:type="dxa"/>
            <w:gridSpan w:val="12"/>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2024</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7,599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(7,092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507</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single" w:sz="2" w:space="1" w:color="000000"/>
              </w:rPr>
            </w:pPr>
            <w:r>
              <w:rPr>
                <w:bdr w:val="single" w:sz="2" w:space="1" w:color="000000"/>
              </w:rPr>
              <w:t> </w:t>
            </w:r>
          </w:p>
        </w:tc>
        <w:tc>
          <w:tcPr>
            <w:tcW w:w="58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7,599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(7,092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507</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double" w:sz="6" w:space="1" w:color="000000"/>
              </w:rPr>
            </w:pPr>
            <w:r>
              <w:rPr>
                <w:bdr w:val="double" w:sz="6" w:space="1" w:color="000000"/>
              </w:rPr>
              <w:t> </w:t>
            </w:r>
          </w:p>
        </w:tc>
        <w:tc>
          <w:tcPr>
            <w:tcW w:w="58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amortization expenses associated with continuing operations totaled $194 thousand and $238 thousand for the nine months ended September 30,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6.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operating and finance leases for buildings and other assets such as vehicles and office equipment. The Company’s leases have remaining lease terms ranging from one year to four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tables below present financial information related to the Company’s leases. </w:t>
      </w:r>
    </w:p>
    <w:p>
      <w:pPr>
        <w:pStyle w:val="TextBody"/>
        <w:bidi w:val="0"/>
        <w:spacing w:before="240" w:after="0"/>
        <w:jc w:val="left"/>
        <w:rPr>
          <w:rFonts w:ascii="Times New Roman" w:hAnsi="Times New Roman"/>
          <w:sz w:val="20"/>
        </w:rPr>
      </w:pPr>
      <w:r>
        <w:rPr>
          <w:rFonts w:ascii="Times New Roman" w:hAnsi="Times New Roman"/>
          <w:sz w:val="20"/>
        </w:rPr>
        <w:t xml:space="preserve">Supplemental balance sheets information related to leases as of September 30, 2025 and December 31, 2024 are as follows (in thousands): </w:t>
      </w:r>
    </w:p>
    <w:p>
      <w:pPr>
        <w:pStyle w:val="TextBody"/>
        <w:bidi w:val="0"/>
        <w:spacing w:before="0" w:after="0"/>
        <w:jc w:val="left"/>
        <w:rPr/>
      </w:pPr>
      <w:r>
        <w:rPr/>
        <w:t> </w:t>
      </w:r>
    </w:p>
    <w:tbl>
      <w:tblPr>
        <w:tblW w:w="8015" w:type="dxa"/>
        <w:jc w:val="left"/>
        <w:tblInd w:w="0" w:type="dxa"/>
        <w:tblLayout w:type="fixed"/>
        <w:tblCellMar>
          <w:top w:w="0" w:type="dxa"/>
          <w:left w:w="0" w:type="dxa"/>
          <w:bottom w:w="0" w:type="dxa"/>
          <w:right w:w="0" w:type="dxa"/>
        </w:tblCellMar>
      </w:tblPr>
      <w:tblGrid>
        <w:gridCol w:w="1805"/>
        <w:gridCol w:w="120"/>
        <w:gridCol w:w="2825"/>
        <w:gridCol w:w="120"/>
        <w:gridCol w:w="295"/>
        <w:gridCol w:w="1180"/>
        <w:gridCol w:w="60"/>
        <w:gridCol w:w="120"/>
        <w:gridCol w:w="283"/>
        <w:gridCol w:w="1132"/>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Leases</w:t>
            </w:r>
          </w:p>
        </w:tc>
        <w:tc>
          <w:tcPr>
            <w:tcW w:w="12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Classification</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right-of-use assets</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2,423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3,107</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390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assets</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2,733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3,497</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1,428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1,393</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153</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1,823</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294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liabilities</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2,807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3,663</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weighted average remaining lease term and discount rate: </w:t>
      </w:r>
    </w:p>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3425"/>
        <w:gridCol w:w="120"/>
        <w:gridCol w:w="94"/>
        <w:gridCol w:w="1381"/>
        <w:gridCol w:w="275"/>
        <w:gridCol w:w="60"/>
        <w:gridCol w:w="90"/>
        <w:gridCol w:w="1325"/>
        <w:gridCol w:w="29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29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remaining lease term</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1.8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2.5 years</w:t>
            </w:r>
          </w:p>
        </w:tc>
        <w:tc>
          <w:tcPr>
            <w:tcW w:w="29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2.3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2.9 years</w:t>
            </w:r>
          </w:p>
        </w:tc>
        <w:tc>
          <w:tcPr>
            <w:tcW w:w="29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discount rate</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6.8</w:t>
            </w:r>
          </w:p>
        </w:tc>
        <w:tc>
          <w:tcPr>
            <w:tcW w:w="29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7.1</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The components of lease cost from continuing operations included in the Company’s consolidated statem</w:t>
      </w:r>
    </w:p>
    <w:p>
      <w:pPr>
        <w:pStyle w:val="TextBody"/>
        <w:bidi w:val="0"/>
        <w:spacing w:before="240" w:after="0"/>
        <w:jc w:val="left"/>
        <w:rPr>
          <w:rFonts w:ascii="Times New Roman" w:hAnsi="Times New Roman"/>
          <w:sz w:val="20"/>
        </w:rPr>
      </w:pPr>
      <w:r>
        <w:rPr>
          <w:rFonts w:ascii="Times New Roman" w:hAnsi="Times New Roman"/>
          <w:sz w:val="20"/>
        </w:rPr>
        <w:t>ent</w:t>
      </w:r>
    </w:p>
    <w:p>
      <w:pPr>
        <w:pStyle w:val="TextBody"/>
        <w:bidi w:val="0"/>
        <w:spacing w:before="240" w:after="0"/>
        <w:jc w:val="left"/>
        <w:rPr>
          <w:rFonts w:ascii="Times New Roman" w:hAnsi="Times New Roman"/>
          <w:sz w:val="20"/>
        </w:rPr>
      </w:pPr>
      <w:r>
        <w:rPr>
          <w:rFonts w:ascii="Times New Roman" w:hAnsi="Times New Roman"/>
          <w:sz w:val="20"/>
        </w:rPr>
        <w:t>s of op</w:t>
      </w:r>
    </w:p>
    <w:p>
      <w:pPr>
        <w:pStyle w:val="TextBody"/>
        <w:bidi w:val="0"/>
        <w:spacing w:before="240" w:after="0"/>
        <w:jc w:val="left"/>
        <w:rPr>
          <w:rFonts w:ascii="Times New Roman" w:hAnsi="Times New Roman"/>
          <w:sz w:val="20"/>
        </w:rPr>
      </w:pPr>
      <w:r>
        <w:rPr>
          <w:rFonts w:ascii="Times New Roman" w:hAnsi="Times New Roman"/>
          <w:sz w:val="20"/>
        </w:rPr>
        <w:t>erati</w:t>
      </w:r>
    </w:p>
    <w:p>
      <w:pPr>
        <w:pStyle w:val="TextBody"/>
        <w:bidi w:val="0"/>
        <w:spacing w:before="240" w:after="0"/>
        <w:jc w:val="left"/>
        <w:rPr>
          <w:rFonts w:ascii="Times New Roman" w:hAnsi="Times New Roman"/>
          <w:sz w:val="20"/>
        </w:rPr>
      </w:pPr>
      <w:r>
        <w:rPr>
          <w:rFonts w:ascii="Times New Roman" w:hAnsi="Times New Roman"/>
          <w:sz w:val="20"/>
        </w:rPr>
        <w:t xml:space="preserve">ons, are as follows (in thousands): </w:t>
      </w:r>
    </w:p>
    <w:p>
      <w:pPr>
        <w:pStyle w:val="TextBody"/>
        <w:bidi w:val="0"/>
        <w:spacing w:before="0" w:after="0"/>
        <w:jc w:val="left"/>
        <w:rPr/>
      </w:pPr>
      <w:r>
        <w:rPr/>
        <w:t> </w:t>
      </w:r>
    </w:p>
    <w:tbl>
      <w:tblPr>
        <w:tblW w:w="9000" w:type="dxa"/>
        <w:jc w:val="left"/>
        <w:tblInd w:w="0" w:type="dxa"/>
        <w:tblLayout w:type="fixed"/>
        <w:tblCellMar>
          <w:top w:w="0" w:type="dxa"/>
          <w:left w:w="0" w:type="dxa"/>
          <w:bottom w:w="0" w:type="dxa"/>
          <w:right w:w="0" w:type="dxa"/>
        </w:tblCellMar>
      </w:tblPr>
      <w:tblGrid>
        <w:gridCol w:w="2165"/>
        <w:gridCol w:w="120"/>
        <w:gridCol w:w="397"/>
        <w:gridCol w:w="1078"/>
        <w:gridCol w:w="108"/>
        <w:gridCol w:w="217"/>
        <w:gridCol w:w="397"/>
        <w:gridCol w:w="1078"/>
        <w:gridCol w:w="60"/>
        <w:gridCol w:w="120"/>
        <w:gridCol w:w="295"/>
        <w:gridCol w:w="1180"/>
        <w:gridCol w:w="78"/>
        <w:gridCol w:w="157"/>
        <w:gridCol w:w="295"/>
        <w:gridCol w:w="1180"/>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430</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456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1,408</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1,385</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39</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112</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102</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6</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21</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475</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497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1,541</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1,514</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jc w:val="left"/>
              <w:rPr>
                <w:bdr w:val="double" w:sz="6" w:space="1" w:color="000000"/>
              </w:rPr>
            </w:pPr>
            <w:r>
              <w:rPr>
                <w:bdr w:val="double" w:sz="6" w:space="1" w:color="000000"/>
              </w:rPr>
              <w:t> </w:t>
            </w:r>
          </w:p>
        </w:tc>
        <w:tc>
          <w:tcPr>
            <w:tcW w:w="1078" w:type="dxa"/>
            <w:tcBorders/>
            <w:vAlign w:val="center"/>
          </w:tcPr>
          <w:p>
            <w:pPr>
              <w:pStyle w:val="TableContents"/>
              <w:bidi w:val="0"/>
              <w:spacing w:before="0" w:after="0"/>
              <w:jc w:val="left"/>
              <w:rPr>
                <w:bdr w:val="double" w:sz="6" w:space="1" w:color="000000"/>
              </w:rPr>
            </w:pPr>
            <w:r>
              <w:rPr>
                <w:bdr w:val="double" w:sz="6"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jc w:val="left"/>
              <w:rPr>
                <w:bdr w:val="double" w:sz="6" w:space="1" w:color="000000"/>
              </w:rPr>
            </w:pPr>
            <w:r>
              <w:rPr>
                <w:bdr w:val="double" w:sz="6" w:space="1" w:color="000000"/>
              </w:rPr>
              <w:t> </w:t>
            </w:r>
          </w:p>
        </w:tc>
        <w:tc>
          <w:tcPr>
            <w:tcW w:w="107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table does not include an immaterial cost of short-term leases for the three and nine months ended September 30,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lease information associated with continuing operations is as follows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67"/>
        <w:gridCol w:w="120"/>
        <w:gridCol w:w="397"/>
        <w:gridCol w:w="1078"/>
        <w:gridCol w:w="84"/>
        <w:gridCol w:w="169"/>
        <w:gridCol w:w="397"/>
        <w:gridCol w:w="1078"/>
        <w:gridCol w:w="60"/>
        <w:gridCol w:w="120"/>
        <w:gridCol w:w="295"/>
        <w:gridCol w:w="1180"/>
        <w:gridCol w:w="69"/>
        <w:gridCol w:w="138"/>
        <w:gridCol w:w="295"/>
        <w:gridCol w:w="1180"/>
        <w:gridCol w:w="78"/>
      </w:tblGrid>
      <w:tr>
        <w:trPr/>
        <w:tc>
          <w:tcPr>
            <w:tcW w:w="34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34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8" w:type="dxa"/>
            <w:tcBorders/>
            <w:vAlign w:val="center"/>
          </w:tcPr>
          <w:p>
            <w:pPr>
              <w:pStyle w:val="TableContents"/>
              <w:bidi w:val="0"/>
              <w:spacing w:before="0" w:after="283"/>
              <w:jc w:val="left"/>
              <w:rPr/>
            </w:pPr>
            <w:r>
              <w:rPr/>
              <w:t> </w:t>
            </w:r>
          </w:p>
        </w:tc>
      </w:tr>
      <w:tr>
        <w:trPr/>
        <w:tc>
          <w:tcPr>
            <w:tcW w:w="34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8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78" w:type="dxa"/>
            <w:tcBorders/>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169"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69"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r>
      <w:tr>
        <w:trPr/>
        <w:tc>
          <w:tcPr>
            <w:tcW w:w="34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operating leases</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404</w:t>
            </w:r>
          </w:p>
        </w:tc>
        <w:tc>
          <w:tcPr>
            <w:tcW w:w="8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467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1,495</w:t>
            </w:r>
          </w:p>
        </w:tc>
        <w:tc>
          <w:tcPr>
            <w:tcW w:w="6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1,419</w:t>
            </w:r>
          </w:p>
        </w:tc>
        <w:tc>
          <w:tcPr>
            <w:tcW w:w="78" w:type="dxa"/>
            <w:tcBorders/>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finance leases</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6</w:t>
            </w:r>
          </w:p>
        </w:tc>
        <w:tc>
          <w:tcPr>
            <w:tcW w:w="8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21</w:t>
            </w:r>
          </w:p>
        </w:tc>
        <w:tc>
          <w:tcPr>
            <w:tcW w:w="69"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27</w:t>
            </w:r>
          </w:p>
        </w:tc>
        <w:tc>
          <w:tcPr>
            <w:tcW w:w="78" w:type="dxa"/>
            <w:tcBorders/>
            <w:shd w:fill="CCEEFF" w:val="clear"/>
            <w:vAlign w:val="center"/>
          </w:tcPr>
          <w:p>
            <w:pPr>
              <w:pStyle w:val="TableContents"/>
              <w:bidi w:val="0"/>
              <w:spacing w:before="0" w:after="283"/>
              <w:jc w:val="left"/>
              <w:rPr/>
            </w:pPr>
            <w:r>
              <w:rPr/>
              <w:t> </w:t>
            </w:r>
          </w:p>
        </w:tc>
      </w:tr>
      <w:tr>
        <w:trPr/>
        <w:tc>
          <w:tcPr>
            <w:tcW w:w="34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cash flows from finance leases</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41</w:t>
            </w:r>
          </w:p>
        </w:tc>
        <w:tc>
          <w:tcPr>
            <w:tcW w:w="8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119</w:t>
            </w:r>
          </w:p>
        </w:tc>
        <w:tc>
          <w:tcPr>
            <w:tcW w:w="6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104</w:t>
            </w:r>
          </w:p>
        </w:tc>
        <w:tc>
          <w:tcPr>
            <w:tcW w:w="7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transaction amounts of lease liabilities arising from obtaining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were $1,170 thousand and $736 thousand for the nine months ended September 30,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aggregate future lease payments for operating and finance leases as of September 30, 2025 are as follows (in thousands): </w:t>
      </w:r>
    </w:p>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2675"/>
        <w:gridCol w:w="120"/>
        <w:gridCol w:w="211"/>
        <w:gridCol w:w="844"/>
        <w:gridCol w:w="155"/>
        <w:gridCol w:w="120"/>
        <w:gridCol w:w="223"/>
        <w:gridCol w:w="607"/>
        <w:gridCol w:w="17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Operating</w:t>
              <w:br/>
              <w:t>Leases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Finance</w:t>
            </w:r>
          </w:p>
          <w:p>
            <w:pPr>
              <w:pStyle w:val="TableContents"/>
              <w:bidi w:val="0"/>
              <w:spacing w:before="0" w:after="0"/>
              <w:jc w:val="center"/>
              <w:rPr>
                <w:b/>
                <w:spacing w:val="0"/>
              </w:rPr>
            </w:pPr>
            <w:r>
              <w:rPr>
                <w:b/>
                <w:spacing w:val="0"/>
              </w:rPr>
              <w:br/>
              <w:t>Leases</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Remainder of 2025</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356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47</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1,530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177</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700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143</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single" w:sz="2" w:space="1" w:color="000000"/>
              </w:rPr>
            </w:pPr>
            <w:r>
              <w:rPr>
                <w:bdr w:val="single" w:sz="2" w:space="1" w:color="000000"/>
              </w:rPr>
              <w:t> </w:t>
            </w:r>
          </w:p>
        </w:tc>
        <w:tc>
          <w:tcPr>
            <w:tcW w:w="84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future lease payments</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2,597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392</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(31</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single" w:sz="2" w:space="1" w:color="000000"/>
              </w:rPr>
            </w:pPr>
            <w:r>
              <w:rPr>
                <w:bdr w:val="single" w:sz="2" w:space="1" w:color="000000"/>
              </w:rPr>
              <w:t> </w:t>
            </w:r>
          </w:p>
        </w:tc>
        <w:tc>
          <w:tcPr>
            <w:tcW w:w="84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future payments</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2,446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607" w:type="dxa"/>
            <w:tcBorders/>
            <w:vAlign w:val="center"/>
          </w:tcPr>
          <w:p>
            <w:pPr>
              <w:pStyle w:val="TableContents"/>
              <w:bidi w:val="0"/>
              <w:spacing w:before="0" w:after="283"/>
              <w:jc w:val="right"/>
              <w:rPr/>
            </w:pPr>
            <w:r>
              <w:rPr/>
              <w:t>361</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double" w:sz="6" w:space="1" w:color="000000"/>
              </w:rPr>
            </w:pPr>
            <w:r>
              <w:rPr>
                <w:bdr w:val="double" w:sz="6" w:space="1" w:color="000000"/>
              </w:rPr>
              <w:t> </w:t>
            </w:r>
          </w:p>
        </w:tc>
        <w:tc>
          <w:tcPr>
            <w:tcW w:w="84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60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as of September 30, 2025 and December 31, 2024 are comprised of the following (in thousands): </w:t>
      </w:r>
    </w:p>
    <w:p>
      <w:pPr>
        <w:pStyle w:val="TextBody"/>
        <w:bidi w:val="0"/>
        <w:spacing w:before="0" w:after="0"/>
        <w:jc w:val="left"/>
        <w:rPr/>
      </w:pPr>
      <w:r>
        <w:rPr/>
        <w:t> </w:t>
      </w:r>
    </w:p>
    <w:tbl>
      <w:tblPr>
        <w:tblW w:w="8475" w:type="dxa"/>
        <w:jc w:val="left"/>
        <w:tblInd w:w="0" w:type="dxa"/>
        <w:tblLayout w:type="fixed"/>
        <w:tblCellMar>
          <w:top w:w="0" w:type="dxa"/>
          <w:left w:w="0" w:type="dxa"/>
          <w:bottom w:w="0" w:type="dxa"/>
          <w:right w:w="0" w:type="dxa"/>
        </w:tblCellMar>
      </w:tblPr>
      <w:tblGrid>
        <w:gridCol w:w="5210"/>
        <w:gridCol w:w="120"/>
        <w:gridCol w:w="251"/>
        <w:gridCol w:w="1224"/>
        <w:gridCol w:w="60"/>
        <w:gridCol w:w="120"/>
        <w:gridCol w:w="283"/>
        <w:gridCol w:w="1132"/>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Payroll, benefits and related taxes, excluding severance benefits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9,508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5,518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 attributable to intercompany interest income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1,012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1,419</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Outside service fees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994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1,221</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505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490</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8,648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Payroll, benefits and related taxes payable as of September 30, 2025 in the table above includes $2,599 thousand of accrued expenses related to the voluntary resignation program offered to certain employees during the third quarter of 2025 (the “Program”), which are expected to be paid in the fourth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See “Note 12. Early Termination and Other Charges” for more information regarding the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8. Derivative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Korean subsidiary, Magnachip Semiconductor, Ltd., from time to time has entered into zero cost collar contracts to hedge the risk of changes in the functional-currency-equivalent cash flows attributable to currency rate changes on U.S. dollar denominated revenues. </w:t>
      </w:r>
    </w:p>
    <w:p>
      <w:pPr>
        <w:pStyle w:val="TextBody"/>
        <w:bidi w:val="0"/>
        <w:spacing w:before="240" w:after="0"/>
        <w:jc w:val="left"/>
        <w:rPr>
          <w:rFonts w:ascii="Times New Roman" w:hAnsi="Times New Roman"/>
          <w:sz w:val="20"/>
        </w:rPr>
      </w:pPr>
      <w:r>
        <w:rPr>
          <w:rFonts w:ascii="Times New Roman" w:hAnsi="Times New Roman"/>
          <w:sz w:val="20"/>
        </w:rPr>
        <w:t xml:space="preserve">Details of the zero cost collar contracts as of September 30, 2025 are as follows (in thousands): </w:t>
      </w:r>
    </w:p>
    <w:p>
      <w:pPr>
        <w:pStyle w:val="TextBody"/>
        <w:bidi w:val="0"/>
        <w:spacing w:before="0" w:after="0"/>
        <w:jc w:val="left"/>
        <w:rPr/>
      </w:pPr>
      <w:r>
        <w:rPr/>
        <w:t> </w:t>
      </w:r>
    </w:p>
    <w:tbl>
      <w:tblPr>
        <w:tblW w:w="7515" w:type="dxa"/>
        <w:jc w:val="left"/>
        <w:tblInd w:w="0" w:type="dxa"/>
        <w:tblLayout w:type="fixed"/>
        <w:tblCellMar>
          <w:top w:w="0" w:type="dxa"/>
          <w:left w:w="0" w:type="dxa"/>
          <w:bottom w:w="0" w:type="dxa"/>
          <w:right w:w="0" w:type="dxa"/>
        </w:tblCellMar>
      </w:tblPr>
      <w:tblGrid>
        <w:gridCol w:w="1655"/>
        <w:gridCol w:w="120"/>
        <w:gridCol w:w="390"/>
        <w:gridCol w:w="1895"/>
        <w:gridCol w:w="60"/>
        <w:gridCol w:w="120"/>
        <w:gridCol w:w="60"/>
        <w:gridCol w:w="3140"/>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October 17, 2024</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0" w:type="dxa"/>
            <w:tcBorders/>
            <w:shd w:fill="CCEEFF" w:val="clear"/>
            <w:vAlign w:val="center"/>
          </w:tcPr>
          <w:p>
            <w:pPr>
              <w:pStyle w:val="TableContents"/>
              <w:bidi w:val="0"/>
              <w:spacing w:before="0" w:after="283"/>
              <w:jc w:val="right"/>
              <w:rPr/>
            </w:pPr>
            <w:r>
              <w:rPr/>
              <w:t>October 2025 to December 2025</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03, 2025</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right"/>
              <w:rPr/>
            </w:pPr>
            <w:r>
              <w:rPr/>
              <w:t>January 2026 to March 2026</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10, 2025</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0" w:type="dxa"/>
            <w:tcBorders/>
            <w:shd w:fill="CCEEFF" w:val="clear"/>
            <w:vAlign w:val="center"/>
          </w:tcPr>
          <w:p>
            <w:pPr>
              <w:pStyle w:val="TableContents"/>
              <w:bidi w:val="0"/>
              <w:spacing w:before="0" w:after="283"/>
              <w:jc w:val="right"/>
              <w:rPr/>
            </w:pPr>
            <w:r>
              <w:rPr/>
              <w:t>April 2026 to June 2026</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July 17, 2025</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right"/>
              <w:rPr/>
            </w:pPr>
            <w:r>
              <w:rPr/>
              <w:t>July 2026 to September 2026</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30, 2025</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27,000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0" w:type="dxa"/>
            <w:tcBorders/>
            <w:shd w:fill="CCEEFF" w:val="clear"/>
            <w:vAlign w:val="center"/>
          </w:tcPr>
          <w:p>
            <w:pPr>
              <w:pStyle w:val="TableContents"/>
              <w:bidi w:val="0"/>
              <w:spacing w:before="0" w:after="283"/>
              <w:jc w:val="right"/>
              <w:rPr/>
            </w:pPr>
            <w:r>
              <w:rPr/>
              <w:t>January 2026 to December 2026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Details of the zero cost collar contracts as of December 31, 2024 are as follows (in thousands): </w:t>
      </w:r>
    </w:p>
    <w:p>
      <w:pPr>
        <w:pStyle w:val="TextBody"/>
        <w:bidi w:val="0"/>
        <w:spacing w:before="0" w:after="0"/>
        <w:jc w:val="left"/>
        <w:rPr/>
      </w:pPr>
      <w:r>
        <w:rPr/>
        <w:t> </w:t>
      </w:r>
    </w:p>
    <w:tbl>
      <w:tblPr>
        <w:tblW w:w="7305"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60"/>
        <w:gridCol w:w="3140"/>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05, 2024</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0" w:type="dxa"/>
            <w:tcBorders/>
            <w:shd w:fill="CCEEFF" w:val="clear"/>
            <w:vAlign w:val="center"/>
          </w:tcPr>
          <w:p>
            <w:pPr>
              <w:pStyle w:val="TableContents"/>
              <w:bidi w:val="0"/>
              <w:spacing w:before="0" w:after="283"/>
              <w:jc w:val="right"/>
              <w:rPr/>
            </w:pPr>
            <w:r>
              <w:rPr/>
              <w:t>January 2025 to March 2025</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July 09, 2024</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right"/>
              <w:rPr/>
            </w:pPr>
            <w:r>
              <w:rPr/>
              <w:t>April 2025 to September 2025</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October 17, 2024</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0" w:type="dxa"/>
            <w:tcBorders/>
            <w:shd w:fill="CCEEFF" w:val="clear"/>
            <w:vAlign w:val="center"/>
          </w:tcPr>
          <w:p>
            <w:pPr>
              <w:pStyle w:val="TableContents"/>
              <w:bidi w:val="0"/>
              <w:spacing w:before="0" w:after="283"/>
              <w:jc w:val="right"/>
              <w:rPr/>
            </w:pPr>
            <w:r>
              <w:rPr/>
              <w:t>October 2025 to December 2025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the Company’s outstanding zero cost collar contracts recorded as assets and liabilities as of September 30, 2025 and December 31, 2024 are as follows (in thousands): </w:t>
      </w:r>
    </w:p>
    <w:p>
      <w:pPr>
        <w:pStyle w:val="TextBody"/>
        <w:bidi w:val="0"/>
        <w:spacing w:before="0" w:after="0"/>
        <w:jc w:val="left"/>
        <w:rPr/>
      </w:pPr>
      <w:r>
        <w:rPr/>
        <w:t> </w:t>
      </w:r>
    </w:p>
    <w:tbl>
      <w:tblPr>
        <w:tblW w:w="9545" w:type="dxa"/>
        <w:jc w:val="left"/>
        <w:tblInd w:w="0" w:type="dxa"/>
        <w:tblLayout w:type="fixed"/>
        <w:tblCellMar>
          <w:top w:w="0" w:type="dxa"/>
          <w:left w:w="0" w:type="dxa"/>
          <w:bottom w:w="0" w:type="dxa"/>
          <w:right w:w="0" w:type="dxa"/>
        </w:tblCellMar>
      </w:tblPr>
      <w:tblGrid>
        <w:gridCol w:w="3425"/>
        <w:gridCol w:w="120"/>
        <w:gridCol w:w="60"/>
        <w:gridCol w:w="2615"/>
        <w:gridCol w:w="60"/>
        <w:gridCol w:w="120"/>
        <w:gridCol w:w="397"/>
        <w:gridCol w:w="1078"/>
        <w:gridCol w:w="60"/>
        <w:gridCol w:w="120"/>
        <w:gridCol w:w="283"/>
        <w:gridCol w:w="1132"/>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Derivatives designated as hedging instruments:</w:t>
            </w:r>
          </w:p>
        </w:tc>
        <w:tc>
          <w:tcPr>
            <w:tcW w:w="120" w:type="dxa"/>
            <w:tcBorders/>
            <w:vAlign w:val="center"/>
          </w:tcPr>
          <w:p>
            <w:pPr>
              <w:pStyle w:val="TableContents"/>
              <w:bidi w:val="0"/>
              <w:spacing w:before="0" w:after="283"/>
              <w:jc w:val="left"/>
              <w:rPr/>
            </w:pPr>
            <w:r>
              <w:rPr/>
              <w:t>  </w:t>
            </w:r>
          </w:p>
        </w:tc>
        <w:tc>
          <w:tcPr>
            <w:tcW w:w="26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6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Other current 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6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Other current 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693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1,956</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5" w:type="dxa"/>
            <w:tcBorders/>
            <w:shd w:fill="CCEEFF" w:val="clear"/>
            <w:vAlign w:val="center"/>
          </w:tcPr>
          <w:p>
            <w:pPr>
              <w:pStyle w:val="TableContents"/>
              <w:bidi w:val="0"/>
              <w:spacing w:before="0" w:after="0"/>
              <w:jc w:val="left"/>
              <w:rPr>
                <w:spacing w:val="0"/>
              </w:rPr>
            </w:pPr>
            <w:r>
              <w:rPr>
                <w:spacing w:val="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Offsetting of derivative assets and liabilities as of September 30, 2025 is as follows (in thousands): </w:t>
      </w:r>
    </w:p>
    <w:p>
      <w:pPr>
        <w:pStyle w:val="TextBody"/>
        <w:bidi w:val="0"/>
        <w:spacing w:before="0" w:after="0"/>
        <w:jc w:val="left"/>
        <w:rPr/>
      </w:pPr>
      <w:r>
        <w:rPr/>
        <w:t> </w:t>
      </w:r>
    </w:p>
    <w:tbl>
      <w:tblPr>
        <w:tblW w:w="11105" w:type="dxa"/>
        <w:jc w:val="left"/>
        <w:tblInd w:w="0" w:type="dxa"/>
        <w:tblLayout w:type="fixed"/>
        <w:tblCellMar>
          <w:top w:w="0" w:type="dxa"/>
          <w:left w:w="0" w:type="dxa"/>
          <w:bottom w:w="0" w:type="dxa"/>
          <w:right w:w="0" w:type="dxa"/>
        </w:tblCellMar>
      </w:tblPr>
      <w:tblGrid>
        <w:gridCol w:w="1070"/>
        <w:gridCol w:w="120"/>
        <w:gridCol w:w="481"/>
        <w:gridCol w:w="1309"/>
        <w:gridCol w:w="60"/>
        <w:gridCol w:w="120"/>
        <w:gridCol w:w="537"/>
        <w:gridCol w:w="998"/>
        <w:gridCol w:w="60"/>
        <w:gridCol w:w="120"/>
        <w:gridCol w:w="441"/>
        <w:gridCol w:w="1199"/>
        <w:gridCol w:w="60"/>
        <w:gridCol w:w="120"/>
        <w:gridCol w:w="427"/>
        <w:gridCol w:w="793"/>
        <w:gridCol w:w="60"/>
        <w:gridCol w:w="120"/>
        <w:gridCol w:w="537"/>
        <w:gridCol w:w="998"/>
        <w:gridCol w:w="60"/>
        <w:gridCol w:w="120"/>
        <w:gridCol w:w="328"/>
        <w:gridCol w:w="892"/>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September 30, 2025</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br/>
              <w:t>recognized</w:t>
              <w:br/>
              <w:t>assets/liabilities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br/>
              <w:t>offset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br/>
              <w:t>assets/liabilities</w:t>
              <w:br/>
              <w:t>presented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br/>
              <w:t>in the balance sheets</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107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b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br/>
              <w:t>pledged</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 Derivatives:</w:t>
            </w:r>
          </w:p>
        </w:tc>
        <w:tc>
          <w:tcPr>
            <w:tcW w:w="12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787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787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787</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Offsetting of derivative liabilities as of December 31, 2024 is as follows (in thousands): </w:t>
      </w:r>
    </w:p>
    <w:p>
      <w:pPr>
        <w:pStyle w:val="TextBody"/>
        <w:bidi w:val="0"/>
        <w:spacing w:before="0" w:after="0"/>
        <w:jc w:val="left"/>
        <w:rPr/>
      </w:pPr>
      <w:r>
        <w:rPr/>
        <w:t> </w:t>
      </w:r>
    </w:p>
    <w:tbl>
      <w:tblPr>
        <w:tblW w:w="11095" w:type="dxa"/>
        <w:jc w:val="left"/>
        <w:tblInd w:w="0" w:type="dxa"/>
        <w:tblLayout w:type="fixed"/>
        <w:tblCellMar>
          <w:top w:w="0" w:type="dxa"/>
          <w:left w:w="0" w:type="dxa"/>
          <w:bottom w:w="0" w:type="dxa"/>
          <w:right w:w="0" w:type="dxa"/>
        </w:tblCellMar>
      </w:tblPr>
      <w:tblGrid>
        <w:gridCol w:w="1025"/>
        <w:gridCol w:w="120"/>
        <w:gridCol w:w="358"/>
        <w:gridCol w:w="1432"/>
        <w:gridCol w:w="60"/>
        <w:gridCol w:w="120"/>
        <w:gridCol w:w="537"/>
        <w:gridCol w:w="998"/>
        <w:gridCol w:w="60"/>
        <w:gridCol w:w="120"/>
        <w:gridCol w:w="328"/>
        <w:gridCol w:w="1312"/>
        <w:gridCol w:w="60"/>
        <w:gridCol w:w="120"/>
        <w:gridCol w:w="427"/>
        <w:gridCol w:w="793"/>
        <w:gridCol w:w="60"/>
        <w:gridCol w:w="120"/>
        <w:gridCol w:w="277"/>
        <w:gridCol w:w="1258"/>
        <w:gridCol w:w="155"/>
        <w:gridCol w:w="60"/>
        <w:gridCol w:w="328"/>
        <w:gridCol w:w="892"/>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December 31, 2024</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br/>
              <w:t>recognized</w:t>
              <w:br/>
              <w:t>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br/>
              <w:t>offset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br/>
              <w:t>liabilities</w:t>
              <w:br/>
              <w:t>presented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br/>
              <w:t>in the balance sheets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102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b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br/>
              <w:t>pledged</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sz w:val="4"/>
                <w:szCs w:val="4"/>
              </w:rPr>
            </w:pPr>
            <w:r>
              <w:rPr>
                <w:sz w:val="4"/>
                <w:szCs w:val="4"/>
              </w:rPr>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13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25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(1,080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876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impact of derivative instruments on the consolidated statements of operations for the three months ended September 30, 2025 and 2024 (in thousands): </w:t>
      </w:r>
    </w:p>
    <w:p>
      <w:pPr>
        <w:pStyle w:val="TextBody"/>
        <w:bidi w:val="0"/>
        <w:spacing w:before="0" w:after="0"/>
        <w:jc w:val="left"/>
        <w:rPr/>
      </w:pPr>
      <w:r>
        <w:rPr/>
        <w:t> </w:t>
      </w:r>
    </w:p>
    <w:tbl>
      <w:tblPr>
        <w:tblW w:w="11515" w:type="dxa"/>
        <w:jc w:val="left"/>
        <w:tblInd w:w="0" w:type="dxa"/>
        <w:tblLayout w:type="fixed"/>
        <w:tblCellMar>
          <w:top w:w="0" w:type="dxa"/>
          <w:left w:w="0" w:type="dxa"/>
          <w:bottom w:w="0" w:type="dxa"/>
          <w:right w:w="0" w:type="dxa"/>
        </w:tblCellMar>
      </w:tblPr>
      <w:tblGrid>
        <w:gridCol w:w="995"/>
        <w:gridCol w:w="120"/>
        <w:gridCol w:w="217"/>
        <w:gridCol w:w="986"/>
        <w:gridCol w:w="240"/>
        <w:gridCol w:w="93"/>
        <w:gridCol w:w="217"/>
        <w:gridCol w:w="592"/>
        <w:gridCol w:w="60"/>
        <w:gridCol w:w="120"/>
        <w:gridCol w:w="60"/>
        <w:gridCol w:w="875"/>
        <w:gridCol w:w="60"/>
        <w:gridCol w:w="120"/>
        <w:gridCol w:w="263"/>
        <w:gridCol w:w="489"/>
        <w:gridCol w:w="112"/>
        <w:gridCol w:w="225"/>
        <w:gridCol w:w="263"/>
        <w:gridCol w:w="858"/>
        <w:gridCol w:w="155"/>
        <w:gridCol w:w="60"/>
        <w:gridCol w:w="60"/>
        <w:gridCol w:w="1715"/>
        <w:gridCol w:w="60"/>
        <w:gridCol w:w="120"/>
        <w:gridCol w:w="293"/>
        <w:gridCol w:w="544"/>
        <w:gridCol w:w="125"/>
        <w:gridCol w:w="251"/>
        <w:gridCol w:w="293"/>
        <w:gridCol w:w="704"/>
        <w:gridCol w:w="170"/>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in ASC</w:t>
            </w:r>
          </w:p>
          <w:p>
            <w:pPr>
              <w:pStyle w:val="TableContents"/>
              <w:bidi w:val="0"/>
              <w:spacing w:before="0" w:after="0"/>
              <w:jc w:val="left"/>
              <w:rPr>
                <w:rFonts w:ascii="Times New Roman" w:hAnsi="Times New Roman"/>
                <w:b/>
                <w:sz w:val="16"/>
              </w:rPr>
            </w:pPr>
            <w:r>
              <w:rPr>
                <w:rFonts w:ascii="Times New Roman" w:hAnsi="Times New Roman"/>
                <w:b/>
                <w:sz w:val="16"/>
              </w:rPr>
              <w:t>815 Cash Flow Hedging</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Relationships</w:t>
            </w:r>
          </w:p>
        </w:tc>
        <w:tc>
          <w:tcPr>
            <w:tcW w:w="120" w:type="dxa"/>
            <w:tcBorders/>
            <w:vAlign w:val="center"/>
          </w:tcPr>
          <w:p>
            <w:pPr>
              <w:pStyle w:val="TableContents"/>
              <w:bidi w:val="0"/>
              <w:spacing w:before="0" w:after="283"/>
              <w:jc w:val="left"/>
              <w:rPr/>
            </w:pPr>
            <w:r>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of Gain (Loss)</w:t>
              <w:br/>
              <w:t>Recognized in</w:t>
              <w:br/>
              <w:t>AOCI on</w:t>
              <w:br/>
              <w:t>Derivatives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Reclassified from AOCI</w:t>
            </w:r>
          </w:p>
          <w:p>
            <w:pPr>
              <w:pStyle w:val="TableContents"/>
              <w:bidi w:val="0"/>
              <w:spacing w:before="0" w:after="0"/>
              <w:jc w:val="center"/>
              <w:rPr/>
            </w:pPr>
            <w:r>
              <w:rPr/>
            </w:r>
          </w:p>
          <w:p>
            <w:pPr>
              <w:pStyle w:val="TableContents"/>
              <w:bidi w:val="0"/>
              <w:spacing w:before="0" w:after="0"/>
              <w:jc w:val="center"/>
              <w:rPr>
                <w:b/>
                <w:spacing w:val="0"/>
              </w:rPr>
            </w:pPr>
            <w:r>
              <w:rPr>
                <w:b/>
                <w:spacing w:val="0"/>
              </w:rPr>
              <w:t>Into Statement of Operations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6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 Gain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Statement of Operations on Derivatives</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September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September 30,</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4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1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(1,022</w:t>
            </w:r>
          </w:p>
        </w:tc>
        <w:tc>
          <w:tcPr>
            <w:tcW w:w="24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592" w:type="dxa"/>
            <w:tcBorders/>
            <w:shd w:fill="CCEEFF" w:val="clear"/>
            <w:vAlign w:val="center"/>
          </w:tcPr>
          <w:p>
            <w:pPr>
              <w:pStyle w:val="TableContents"/>
              <w:bidi w:val="0"/>
              <w:spacing w:before="0" w:after="283"/>
              <w:jc w:val="right"/>
              <w:rPr/>
            </w:pPr>
            <w:r>
              <w:rPr/>
              <w:t>935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Net sales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(118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54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(52</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986" w:type="dxa"/>
            <w:tcBorders/>
            <w:vAlign w:val="center"/>
          </w:tcPr>
          <w:p>
            <w:pPr>
              <w:pStyle w:val="TableContents"/>
              <w:bidi w:val="0"/>
              <w:spacing w:before="0" w:after="0"/>
              <w:jc w:val="left"/>
              <w:rPr>
                <w:bdr w:val="single" w:sz="2" w:space="1" w:color="000000"/>
              </w:rPr>
            </w:pPr>
            <w:r>
              <w:rPr>
                <w:bdr w:val="single" w:sz="2" w:space="1" w:color="000000"/>
              </w:rPr>
              <w:t> </w:t>
            </w:r>
          </w:p>
        </w:tc>
        <w:tc>
          <w:tcPr>
            <w:tcW w:w="24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59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0"/>
              <w:jc w:val="left"/>
              <w:rPr>
                <w:bdr w:val="single" w:sz="2" w:space="1" w:color="000000"/>
              </w:rPr>
            </w:pPr>
            <w:r>
              <w:rPr>
                <w:bdr w:val="single" w:sz="2" w:space="1" w:color="000000"/>
              </w:rPr>
              <w:t> </w:t>
            </w:r>
          </w:p>
        </w:tc>
        <w:tc>
          <w:tcPr>
            <w:tcW w:w="489" w:type="dxa"/>
            <w:tcBorders/>
            <w:vAlign w:val="center"/>
          </w:tcPr>
          <w:p>
            <w:pPr>
              <w:pStyle w:val="TableContents"/>
              <w:bidi w:val="0"/>
              <w:spacing w:before="0" w:after="0"/>
              <w:jc w:val="left"/>
              <w:rPr>
                <w:bdr w:val="single" w:sz="2" w:space="1" w:color="000000"/>
              </w:rPr>
            </w:pPr>
            <w:r>
              <w:rPr>
                <w:bdr w:val="single" w:sz="2" w:space="1" w:color="000000"/>
              </w:rPr>
              <w:t> </w:t>
            </w:r>
          </w:p>
        </w:tc>
        <w:tc>
          <w:tcPr>
            <w:tcW w:w="11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544"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70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986" w:type="dxa"/>
            <w:tcBorders/>
            <w:vAlign w:val="center"/>
          </w:tcPr>
          <w:p>
            <w:pPr>
              <w:pStyle w:val="TableContents"/>
              <w:bidi w:val="0"/>
              <w:spacing w:before="0" w:after="283"/>
              <w:jc w:val="right"/>
              <w:rPr/>
            </w:pPr>
            <w:r>
              <w:rPr/>
              <w:t>(1,022</w:t>
            </w:r>
          </w:p>
        </w:tc>
        <w:tc>
          <w:tcPr>
            <w:tcW w:w="24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592" w:type="dxa"/>
            <w:tcBorders/>
            <w:vAlign w:val="center"/>
          </w:tcPr>
          <w:p>
            <w:pPr>
              <w:pStyle w:val="TableContents"/>
              <w:bidi w:val="0"/>
              <w:spacing w:before="0" w:after="283"/>
              <w:jc w:val="right"/>
              <w:rPr/>
            </w:pPr>
            <w:r>
              <w:rPr/>
              <w:t>935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858" w:type="dxa"/>
            <w:tcBorders/>
            <w:vAlign w:val="center"/>
          </w:tcPr>
          <w:p>
            <w:pPr>
              <w:pStyle w:val="TableContents"/>
              <w:bidi w:val="0"/>
              <w:spacing w:before="0" w:after="283"/>
              <w:jc w:val="right"/>
              <w:rPr/>
            </w:pPr>
            <w:r>
              <w:rPr/>
              <w:t>(118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5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704" w:type="dxa"/>
            <w:tcBorders/>
            <w:vAlign w:val="center"/>
          </w:tcPr>
          <w:p>
            <w:pPr>
              <w:pStyle w:val="TableContents"/>
              <w:bidi w:val="0"/>
              <w:spacing w:before="0" w:after="283"/>
              <w:jc w:val="right"/>
              <w:rPr/>
            </w:pPr>
            <w:r>
              <w:rPr/>
              <w:t>(52</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986" w:type="dxa"/>
            <w:tcBorders/>
            <w:vAlign w:val="center"/>
          </w:tcPr>
          <w:p>
            <w:pPr>
              <w:pStyle w:val="TableContents"/>
              <w:bidi w:val="0"/>
              <w:spacing w:before="0" w:after="0"/>
              <w:jc w:val="left"/>
              <w:rPr>
                <w:bdr w:val="double" w:sz="6" w:space="1" w:color="000000"/>
              </w:rPr>
            </w:pPr>
            <w:r>
              <w:rPr>
                <w:bdr w:val="double" w:sz="6" w:space="1" w:color="000000"/>
              </w:rPr>
              <w:t> </w:t>
            </w:r>
          </w:p>
        </w:tc>
        <w:tc>
          <w:tcPr>
            <w:tcW w:w="24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59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0"/>
              <w:jc w:val="left"/>
              <w:rPr>
                <w:bdr w:val="double" w:sz="6" w:space="1" w:color="000000"/>
              </w:rPr>
            </w:pPr>
            <w:r>
              <w:rPr>
                <w:bdr w:val="double" w:sz="6" w:space="1" w:color="000000"/>
              </w:rPr>
              <w:t> </w:t>
            </w:r>
          </w:p>
        </w:tc>
        <w:tc>
          <w:tcPr>
            <w:tcW w:w="489" w:type="dxa"/>
            <w:tcBorders/>
            <w:vAlign w:val="center"/>
          </w:tcPr>
          <w:p>
            <w:pPr>
              <w:pStyle w:val="TableContents"/>
              <w:bidi w:val="0"/>
              <w:spacing w:before="0" w:after="0"/>
              <w:jc w:val="left"/>
              <w:rPr>
                <w:bdr w:val="double" w:sz="6" w:space="1" w:color="000000"/>
              </w:rPr>
            </w:pPr>
            <w:r>
              <w:rPr>
                <w:bdr w:val="double" w:sz="6" w:space="1" w:color="000000"/>
              </w:rPr>
              <w:t> </w:t>
            </w:r>
          </w:p>
        </w:tc>
        <w:tc>
          <w:tcPr>
            <w:tcW w:w="11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0"/>
              <w:jc w:val="left"/>
              <w:rPr>
                <w:bdr w:val="double" w:sz="6" w:space="1" w:color="000000"/>
              </w:rPr>
            </w:pPr>
            <w:r>
              <w:rPr>
                <w:bdr w:val="double" w:sz="6" w:space="1" w:color="000000"/>
              </w:rPr>
              <w:t> </w:t>
            </w:r>
          </w:p>
        </w:tc>
        <w:tc>
          <w:tcPr>
            <w:tcW w:w="85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544"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70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impact of derivative instruments on the consolidated statements of operations for the nine months ended September 30, 2025 and 2024 (in thousands): </w:t>
      </w:r>
    </w:p>
    <w:p>
      <w:pPr>
        <w:pStyle w:val="TextBody"/>
        <w:bidi w:val="0"/>
        <w:spacing w:before="0" w:after="0"/>
        <w:jc w:val="left"/>
        <w:rPr/>
      </w:pPr>
      <w:r>
        <w:rPr/>
        <w:t> </w:t>
      </w:r>
    </w:p>
    <w:tbl>
      <w:tblPr>
        <w:tblW w:w="11185" w:type="dxa"/>
        <w:jc w:val="left"/>
        <w:tblInd w:w="0" w:type="dxa"/>
        <w:tblLayout w:type="fixed"/>
        <w:tblCellMar>
          <w:top w:w="0" w:type="dxa"/>
          <w:left w:w="0" w:type="dxa"/>
          <w:bottom w:w="0" w:type="dxa"/>
          <w:right w:w="0" w:type="dxa"/>
        </w:tblCellMar>
      </w:tblPr>
      <w:tblGrid>
        <w:gridCol w:w="995"/>
        <w:gridCol w:w="120"/>
        <w:gridCol w:w="253"/>
        <w:gridCol w:w="688"/>
        <w:gridCol w:w="108"/>
        <w:gridCol w:w="217"/>
        <w:gridCol w:w="253"/>
        <w:gridCol w:w="826"/>
        <w:gridCol w:w="155"/>
        <w:gridCol w:w="60"/>
        <w:gridCol w:w="60"/>
        <w:gridCol w:w="875"/>
        <w:gridCol w:w="60"/>
        <w:gridCol w:w="120"/>
        <w:gridCol w:w="206"/>
        <w:gridCol w:w="671"/>
        <w:gridCol w:w="228"/>
        <w:gridCol w:w="88"/>
        <w:gridCol w:w="206"/>
        <w:gridCol w:w="676"/>
        <w:gridCol w:w="155"/>
        <w:gridCol w:w="60"/>
        <w:gridCol w:w="60"/>
        <w:gridCol w:w="1715"/>
        <w:gridCol w:w="60"/>
        <w:gridCol w:w="120"/>
        <w:gridCol w:w="266"/>
        <w:gridCol w:w="637"/>
        <w:gridCol w:w="295"/>
        <w:gridCol w:w="114"/>
        <w:gridCol w:w="266"/>
        <w:gridCol w:w="497"/>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in ASC</w:t>
            </w:r>
          </w:p>
          <w:p>
            <w:pPr>
              <w:pStyle w:val="TableContents"/>
              <w:bidi w:val="0"/>
              <w:spacing w:before="0" w:after="0"/>
              <w:jc w:val="left"/>
              <w:rPr>
                <w:rFonts w:ascii="Times New Roman" w:hAnsi="Times New Roman"/>
                <w:b/>
                <w:sz w:val="16"/>
              </w:rPr>
            </w:pPr>
            <w:r>
              <w:rPr>
                <w:rFonts w:ascii="Times New Roman" w:hAnsi="Times New Roman"/>
                <w:b/>
                <w:sz w:val="16"/>
              </w:rPr>
              <w:t>815 Cash Flow Hedging</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Relationships</w:t>
            </w:r>
          </w:p>
        </w:tc>
        <w:tc>
          <w:tcPr>
            <w:tcW w:w="120" w:type="dxa"/>
            <w:tcBorders/>
            <w:vAlign w:val="center"/>
          </w:tcPr>
          <w:p>
            <w:pPr>
              <w:pStyle w:val="TableContents"/>
              <w:bidi w:val="0"/>
              <w:spacing w:before="0" w:after="283"/>
              <w:jc w:val="left"/>
              <w:rPr/>
            </w:pPr>
            <w:r>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of Gain (Loss)</w:t>
              <w:br/>
              <w:t>Recognized in</w:t>
              <w:br/>
              <w:t>AOCI on</w:t>
              <w:br/>
              <w:t>Derivatives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Reclassified from AOCI</w:t>
            </w:r>
          </w:p>
          <w:p>
            <w:pPr>
              <w:pStyle w:val="TableContents"/>
              <w:bidi w:val="0"/>
              <w:spacing w:before="0" w:after="0"/>
              <w:jc w:val="center"/>
              <w:rPr/>
            </w:pPr>
            <w:r>
              <w:rPr/>
            </w:r>
          </w:p>
          <w:p>
            <w:pPr>
              <w:pStyle w:val="TableContents"/>
              <w:bidi w:val="0"/>
              <w:spacing w:before="0" w:after="0"/>
              <w:jc w:val="center"/>
              <w:rPr>
                <w:b/>
                <w:spacing w:val="0"/>
              </w:rPr>
            </w:pPr>
            <w:r>
              <w:rPr>
                <w:b/>
                <w:spacing w:val="0"/>
              </w:rPr>
              <w:t>Into Statement of Operations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 Gain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Statement of Operations on Derivatives</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b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b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br/>
              <w:t>September 30,</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2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95"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731</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Net sales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671" w:type="dxa"/>
            <w:tcBorders/>
            <w:shd w:fill="CCEEFF" w:val="clear"/>
            <w:vAlign w:val="center"/>
          </w:tcPr>
          <w:p>
            <w:pPr>
              <w:pStyle w:val="TableContents"/>
              <w:bidi w:val="0"/>
              <w:spacing w:before="0" w:after="283"/>
              <w:jc w:val="right"/>
              <w:rPr/>
            </w:pPr>
            <w:r>
              <w:rPr/>
              <w:t>(604</w:t>
            </w:r>
          </w:p>
        </w:tc>
        <w:tc>
          <w:tcPr>
            <w:tcW w:w="22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(704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(51</w:t>
            </w:r>
          </w:p>
        </w:tc>
        <w:tc>
          <w:tcPr>
            <w:tcW w:w="295"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497" w:type="dxa"/>
            <w:tcBorders/>
            <w:shd w:fill="CCEEFF" w:val="cle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bdr w:val="single" w:sz="2" w:space="1" w:color="000000"/>
              </w:rPr>
            </w:pPr>
            <w:r>
              <w:rPr>
                <w:bdr w:val="single" w:sz="2" w:space="1" w:color="000000"/>
              </w:rPr>
              <w:t> </w:t>
            </w:r>
          </w:p>
        </w:tc>
        <w:tc>
          <w:tcPr>
            <w:tcW w:w="688" w:type="dxa"/>
            <w:tcBorders/>
            <w:vAlign w:val="center"/>
          </w:tcPr>
          <w:p>
            <w:pPr>
              <w:pStyle w:val="TableContents"/>
              <w:bidi w:val="0"/>
              <w:spacing w:before="0" w:after="0"/>
              <w:jc w:val="left"/>
              <w:rPr>
                <w:bdr w:val="single" w:sz="2" w:space="1" w:color="000000"/>
              </w:rPr>
            </w:pPr>
            <w:r>
              <w:rPr>
                <w:bdr w:val="single" w:sz="2"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bdr w:val="single" w:sz="2" w:space="1" w:color="000000"/>
              </w:rPr>
            </w:pPr>
            <w:r>
              <w:rPr>
                <w:bdr w:val="single" w:sz="2" w:space="1" w:color="000000"/>
              </w:rPr>
              <w:t> </w:t>
            </w:r>
          </w:p>
        </w:tc>
        <w:tc>
          <w:tcPr>
            <w:tcW w:w="82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single" w:sz="2" w:space="1" w:color="000000"/>
              </w:rPr>
            </w:pPr>
            <w:r>
              <w:rPr>
                <w:bdr w:val="single" w:sz="2" w:space="1" w:color="000000"/>
              </w:rPr>
              <w:t> </w:t>
            </w:r>
          </w:p>
        </w:tc>
        <w:tc>
          <w:tcPr>
            <w:tcW w:w="671" w:type="dxa"/>
            <w:tcBorders/>
            <w:vAlign w:val="center"/>
          </w:tcPr>
          <w:p>
            <w:pPr>
              <w:pStyle w:val="TableContents"/>
              <w:bidi w:val="0"/>
              <w:spacing w:before="0" w:after="0"/>
              <w:jc w:val="left"/>
              <w:rPr>
                <w:bdr w:val="single" w:sz="2" w:space="1" w:color="000000"/>
              </w:rPr>
            </w:pPr>
            <w:r>
              <w:rPr>
                <w:bdr w:val="single" w:sz="2" w:space="1" w:color="000000"/>
              </w:rPr>
              <w:t> </w:t>
            </w:r>
          </w:p>
        </w:tc>
        <w:tc>
          <w:tcPr>
            <w:tcW w:w="22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single" w:sz="2" w:space="1" w:color="000000"/>
              </w:rPr>
            </w:pPr>
            <w:r>
              <w:rPr>
                <w:bdr w:val="single" w:sz="2" w:space="1" w:color="000000"/>
              </w:rPr>
              <w:t> </w:t>
            </w:r>
          </w:p>
        </w:tc>
        <w:tc>
          <w:tcPr>
            <w:tcW w:w="67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637" w:type="dxa"/>
            <w:tcBorders/>
            <w:vAlign w:val="center"/>
          </w:tcPr>
          <w:p>
            <w:pPr>
              <w:pStyle w:val="TableContents"/>
              <w:bidi w:val="0"/>
              <w:spacing w:before="0" w:after="0"/>
              <w:jc w:val="left"/>
              <w:rPr>
                <w:bdr w:val="single" w:sz="2" w:space="1" w:color="000000"/>
              </w:rPr>
            </w:pPr>
            <w:r>
              <w:rPr>
                <w:bdr w:val="single" w:sz="2" w:space="1" w:color="000000"/>
              </w:rPr>
              <w:t> </w:t>
            </w:r>
          </w:p>
        </w:tc>
        <w:tc>
          <w:tcPr>
            <w:tcW w:w="295"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49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731</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671" w:type="dxa"/>
            <w:tcBorders/>
            <w:vAlign w:val="center"/>
          </w:tcPr>
          <w:p>
            <w:pPr>
              <w:pStyle w:val="TableContents"/>
              <w:bidi w:val="0"/>
              <w:spacing w:before="0" w:after="283"/>
              <w:jc w:val="right"/>
              <w:rPr/>
            </w:pPr>
            <w:r>
              <w:rPr/>
              <w:t>(604</w:t>
            </w:r>
          </w:p>
        </w:tc>
        <w:tc>
          <w:tcPr>
            <w:tcW w:w="22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676" w:type="dxa"/>
            <w:tcBorders/>
            <w:vAlign w:val="center"/>
          </w:tcPr>
          <w:p>
            <w:pPr>
              <w:pStyle w:val="TableContents"/>
              <w:bidi w:val="0"/>
              <w:spacing w:before="0" w:after="283"/>
              <w:jc w:val="right"/>
              <w:rPr/>
            </w:pPr>
            <w:r>
              <w:rPr/>
              <w:t>(704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637" w:type="dxa"/>
            <w:tcBorders/>
            <w:vAlign w:val="center"/>
          </w:tcPr>
          <w:p>
            <w:pPr>
              <w:pStyle w:val="TableContents"/>
              <w:bidi w:val="0"/>
              <w:spacing w:before="0" w:after="283"/>
              <w:jc w:val="right"/>
              <w:rPr/>
            </w:pPr>
            <w:r>
              <w:rPr/>
              <w:t>(51</w:t>
            </w:r>
          </w:p>
        </w:tc>
        <w:tc>
          <w:tcPr>
            <w:tcW w:w="295"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497"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bdr w:val="double" w:sz="6" w:space="1" w:color="000000"/>
              </w:rPr>
            </w:pPr>
            <w:r>
              <w:rPr>
                <w:bdr w:val="double" w:sz="6" w:space="1" w:color="000000"/>
              </w:rPr>
              <w:t> </w:t>
            </w:r>
          </w:p>
        </w:tc>
        <w:tc>
          <w:tcPr>
            <w:tcW w:w="688" w:type="dxa"/>
            <w:tcBorders/>
            <w:vAlign w:val="center"/>
          </w:tcPr>
          <w:p>
            <w:pPr>
              <w:pStyle w:val="TableContents"/>
              <w:bidi w:val="0"/>
              <w:spacing w:before="0" w:after="0"/>
              <w:jc w:val="left"/>
              <w:rPr>
                <w:bdr w:val="double" w:sz="6" w:space="1" w:color="000000"/>
              </w:rPr>
            </w:pPr>
            <w:r>
              <w:rPr>
                <w:bdr w:val="double" w:sz="6"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bdr w:val="double" w:sz="6" w:space="1" w:color="000000"/>
              </w:rPr>
            </w:pPr>
            <w:r>
              <w:rPr>
                <w:bdr w:val="double" w:sz="6" w:space="1" w:color="000000"/>
              </w:rPr>
              <w:t> </w:t>
            </w:r>
          </w:p>
        </w:tc>
        <w:tc>
          <w:tcPr>
            <w:tcW w:w="82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double" w:sz="6" w:space="1" w:color="000000"/>
              </w:rPr>
            </w:pPr>
            <w:r>
              <w:rPr>
                <w:bdr w:val="double" w:sz="6" w:space="1" w:color="000000"/>
              </w:rPr>
              <w:t> </w:t>
            </w:r>
          </w:p>
        </w:tc>
        <w:tc>
          <w:tcPr>
            <w:tcW w:w="671" w:type="dxa"/>
            <w:tcBorders/>
            <w:vAlign w:val="center"/>
          </w:tcPr>
          <w:p>
            <w:pPr>
              <w:pStyle w:val="TableContents"/>
              <w:bidi w:val="0"/>
              <w:spacing w:before="0" w:after="0"/>
              <w:jc w:val="left"/>
              <w:rPr>
                <w:bdr w:val="double" w:sz="6" w:space="1" w:color="000000"/>
              </w:rPr>
            </w:pPr>
            <w:r>
              <w:rPr>
                <w:bdr w:val="double" w:sz="6" w:space="1" w:color="000000"/>
              </w:rPr>
              <w:t> </w:t>
            </w:r>
          </w:p>
        </w:tc>
        <w:tc>
          <w:tcPr>
            <w:tcW w:w="22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double" w:sz="6" w:space="1" w:color="000000"/>
              </w:rPr>
            </w:pPr>
            <w:r>
              <w:rPr>
                <w:bdr w:val="double" w:sz="6" w:space="1" w:color="000000"/>
              </w:rPr>
              <w:t> </w:t>
            </w:r>
          </w:p>
        </w:tc>
        <w:tc>
          <w:tcPr>
            <w:tcW w:w="67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637" w:type="dxa"/>
            <w:tcBorders/>
            <w:vAlign w:val="center"/>
          </w:tcPr>
          <w:p>
            <w:pPr>
              <w:pStyle w:val="TableContents"/>
              <w:bidi w:val="0"/>
              <w:spacing w:before="0" w:after="0"/>
              <w:jc w:val="left"/>
              <w:rPr>
                <w:bdr w:val="double" w:sz="6" w:space="1" w:color="000000"/>
              </w:rPr>
            </w:pPr>
            <w:r>
              <w:rPr>
                <w:bdr w:val="double" w:sz="6" w:space="1" w:color="000000"/>
              </w:rPr>
              <w:t> </w:t>
            </w:r>
          </w:p>
        </w:tc>
        <w:tc>
          <w:tcPr>
            <w:tcW w:w="295"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49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the amount expected to be reclassified from accumulated other comprehensive income into earnings within the next 12 months is $369 thousand.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set aside a cash deposit to the counterparty, Standard Chartered Bank Korea Limited (“SC”), as required for the zero cost collar contracts. This cash deposit is recorded as hedge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collateral </w:t>
      </w:r>
    </w:p>
    <w:p>
      <w:pPr>
        <w:pStyle w:val="TextBody"/>
        <w:bidi w:val="0"/>
        <w:spacing w:before="240" w:after="0"/>
        <w:jc w:val="left"/>
        <w:rPr>
          <w:rFonts w:ascii="Times New Roman" w:hAnsi="Times New Roman"/>
          <w:sz w:val="20"/>
        </w:rPr>
      </w:pPr>
      <w:r>
        <w:rPr>
          <w:rFonts w:ascii="Times New Roman" w:hAnsi="Times New Roman"/>
          <w:sz w:val="20"/>
        </w:rPr>
        <w:t xml:space="preserve">on the consolidated balance sheets. Cash deposits as of September 30, 2025 and December 31, 2024 are as follows (in thousands): </w:t>
      </w:r>
    </w:p>
    <w:p>
      <w:pPr>
        <w:pStyle w:val="TextBody"/>
        <w:bidi w:val="0"/>
        <w:spacing w:before="0" w:after="0"/>
        <w:jc w:val="left"/>
        <w:rPr/>
      </w:pPr>
      <w:r>
        <w:rPr/>
        <w:t> </w:t>
      </w:r>
    </w:p>
    <w:tbl>
      <w:tblPr>
        <w:tblW w:w="4305" w:type="dxa"/>
        <w:jc w:val="left"/>
        <w:tblInd w:w="0" w:type="dxa"/>
        <w:tblLayout w:type="fixed"/>
        <w:tblCellMar>
          <w:top w:w="0" w:type="dxa"/>
          <w:left w:w="0" w:type="dxa"/>
          <w:bottom w:w="0" w:type="dxa"/>
          <w:right w:w="0" w:type="dxa"/>
        </w:tblCellMar>
      </w:tblPr>
      <w:tblGrid>
        <w:gridCol w:w="1040"/>
        <w:gridCol w:w="120"/>
        <w:gridCol w:w="516"/>
        <w:gridCol w:w="959"/>
        <w:gridCol w:w="60"/>
        <w:gridCol w:w="120"/>
        <w:gridCol w:w="283"/>
        <w:gridCol w:w="1132"/>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Counterparty</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w:t>
            </w:r>
          </w:p>
        </w:tc>
        <w:tc>
          <w:tcPr>
            <w:tcW w:w="12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0"/>
              <w:jc w:val="left"/>
              <w:rPr>
                <w:bdr w:val="single" w:sz="2" w:space="1" w:color="000000"/>
              </w:rPr>
            </w:pPr>
            <w:r>
              <w:rPr>
                <w:bdr w:val="single" w:sz="2" w:space="1" w:color="000000"/>
              </w:rPr>
              <w:t> </w:t>
            </w:r>
          </w:p>
        </w:tc>
        <w:tc>
          <w:tcPr>
            <w:tcW w:w="9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w:t>
            </w:r>
          </w:p>
        </w:tc>
        <w:tc>
          <w:tcPr>
            <w:tcW w:w="9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0"/>
              <w:jc w:val="left"/>
              <w:rPr>
                <w:bdr w:val="double" w:sz="6" w:space="1" w:color="000000"/>
              </w:rPr>
            </w:pPr>
            <w:r>
              <w:rPr>
                <w:bdr w:val="double" w:sz="6" w:space="1" w:color="000000"/>
              </w:rPr>
              <w:t> </w:t>
            </w:r>
          </w:p>
        </w:tc>
        <w:tc>
          <w:tcPr>
            <w:tcW w:w="9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deposit additional cash collateral with Nomura Financial Investment (Korea) Co., Ltd. (“NFIK”) for any exposure in excess of $500 thousand, but no such exposure existed as of September 30, 2025. As of December 31, 2024, $1,080 thousand of additional cash collateral were required by NFIK and recorded as hedge collateral on the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9. Fair Value Measurements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the following table represents the Company’s assets and liabilities measured at fair value on a recurring basis and the basis for that measurement (in thousands): </w:t>
      </w:r>
    </w:p>
    <w:p>
      <w:pPr>
        <w:pStyle w:val="TextBody"/>
        <w:bidi w:val="0"/>
        <w:spacing w:before="0" w:after="0"/>
        <w:jc w:val="left"/>
        <w:rPr/>
      </w:pPr>
      <w:r>
        <w:rPr/>
        <w:t> </w:t>
      </w:r>
    </w:p>
    <w:tbl>
      <w:tblPr>
        <w:tblW w:w="10230" w:type="dxa"/>
        <w:jc w:val="left"/>
        <w:tblInd w:w="0" w:type="dxa"/>
        <w:tblLayout w:type="fixed"/>
        <w:tblCellMar>
          <w:top w:w="0" w:type="dxa"/>
          <w:left w:w="0" w:type="dxa"/>
          <w:bottom w:w="0" w:type="dxa"/>
          <w:right w:w="0" w:type="dxa"/>
        </w:tblCellMar>
      </w:tblPr>
      <w:tblGrid>
        <w:gridCol w:w="980"/>
        <w:gridCol w:w="120"/>
        <w:gridCol w:w="542"/>
        <w:gridCol w:w="1473"/>
        <w:gridCol w:w="60"/>
        <w:gridCol w:w="120"/>
        <w:gridCol w:w="542"/>
        <w:gridCol w:w="1473"/>
        <w:gridCol w:w="60"/>
        <w:gridCol w:w="120"/>
        <w:gridCol w:w="318"/>
        <w:gridCol w:w="1382"/>
        <w:gridCol w:w="60"/>
        <w:gridCol w:w="120"/>
        <w:gridCol w:w="316"/>
        <w:gridCol w:w="859"/>
        <w:gridCol w:w="60"/>
        <w:gridCol w:w="120"/>
        <w:gridCol w:w="268"/>
        <w:gridCol w:w="1162"/>
        <w:gridCol w:w="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br/>
              <w:t>September 30,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Measurement</w:t>
              <w:br/>
              <w:t>September 30,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br/>
              <w:t>Active Markets</w:t>
              <w:br/>
              <w:t>for Identical</w:t>
              <w:br/>
              <w:t>Asset/Liability</w:t>
              <w:b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4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4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sz w:val="4"/>
                <w:szCs w:val="4"/>
              </w:rPr>
            </w:pPr>
            <w:r>
              <w:rPr>
                <w:sz w:val="4"/>
                <w:szCs w:val="4"/>
              </w:rPr>
            </w:r>
          </w:p>
        </w:tc>
        <w:tc>
          <w:tcPr>
            <w:tcW w:w="13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assets</w:t>
            </w:r>
          </w:p>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w:t>
            </w:r>
          </w:p>
        </w:tc>
        <w:tc>
          <w:tcPr>
            <w:tcW w:w="1473"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w:t>
            </w:r>
          </w:p>
        </w:tc>
        <w:tc>
          <w:tcPr>
            <w:tcW w:w="1473"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4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4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sz w:val="4"/>
                <w:szCs w:val="4"/>
              </w:rPr>
            </w:pPr>
            <w:r>
              <w:rPr>
                <w:sz w:val="4"/>
                <w:szCs w:val="4"/>
              </w:rPr>
            </w:r>
          </w:p>
        </w:tc>
        <w:tc>
          <w:tcPr>
            <w:tcW w:w="13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w:t>
            </w:r>
          </w:p>
        </w:tc>
        <w:tc>
          <w:tcPr>
            <w:tcW w:w="1473" w:type="dxa"/>
            <w:tcBorders/>
            <w:vAlign w:val="center"/>
          </w:tcPr>
          <w:p>
            <w:pPr>
              <w:pStyle w:val="TableContents"/>
              <w:bidi w:val="0"/>
              <w:spacing w:before="0" w:after="283"/>
              <w:jc w:val="right"/>
              <w:rPr/>
            </w:pPr>
            <w:r>
              <w:rPr/>
              <w:t>693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w:t>
            </w:r>
          </w:p>
        </w:tc>
        <w:tc>
          <w:tcPr>
            <w:tcW w:w="1473" w:type="dxa"/>
            <w:tcBorders/>
            <w:vAlign w:val="center"/>
          </w:tcPr>
          <w:p>
            <w:pPr>
              <w:pStyle w:val="TableContents"/>
              <w:bidi w:val="0"/>
              <w:spacing w:before="0" w:after="283"/>
              <w:jc w:val="right"/>
              <w:rPr/>
            </w:pPr>
            <w:r>
              <w:rPr/>
              <w:t>693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693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w:t>
            </w:r>
          </w:p>
        </w:tc>
        <w:tc>
          <w:tcPr>
            <w:tcW w:w="1473"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w:t>
            </w:r>
          </w:p>
        </w:tc>
        <w:tc>
          <w:tcPr>
            <w:tcW w:w="1473"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following table represents the Company’s liabilities measured at fair value on a recurring basis and the basis for that measurement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1"/>
        <w:gridCol w:w="120"/>
        <w:gridCol w:w="391"/>
        <w:gridCol w:w="1564"/>
        <w:gridCol w:w="60"/>
        <w:gridCol w:w="120"/>
        <w:gridCol w:w="391"/>
        <w:gridCol w:w="1564"/>
        <w:gridCol w:w="60"/>
        <w:gridCol w:w="120"/>
        <w:gridCol w:w="328"/>
        <w:gridCol w:w="1425"/>
        <w:gridCol w:w="60"/>
        <w:gridCol w:w="120"/>
        <w:gridCol w:w="235"/>
        <w:gridCol w:w="940"/>
        <w:gridCol w:w="60"/>
        <w:gridCol w:w="120"/>
        <w:gridCol w:w="268"/>
        <w:gridCol w:w="1162"/>
        <w:gridCol w:w="76"/>
      </w:tblGrid>
      <w:tr>
        <w:trPr/>
        <w:tc>
          <w:tcPr>
            <w:tcW w:w="10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br/>
              <w:t>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Measurement</w:t>
              <w:br/>
              <w:t>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br/>
              <w:t>Active Markets</w:t>
              <w:br/>
              <w:t>for Identical</w:t>
              <w:br/>
              <w:t>Liability (Level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6" w:type="dxa"/>
            <w:tcBorders/>
            <w:vAlign w:val="center"/>
          </w:tcPr>
          <w:p>
            <w:pPr>
              <w:pStyle w:val="TableContents"/>
              <w:bidi w:val="0"/>
              <w:spacing w:before="0" w:after="283"/>
              <w:jc w:val="left"/>
              <w:rPr/>
            </w:pPr>
            <w:r>
              <w:rPr/>
              <w:t> </w:t>
            </w:r>
          </w:p>
        </w:tc>
      </w:tr>
      <w:tr>
        <w:trPr/>
        <w:tc>
          <w:tcPr>
            <w:tcW w:w="10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14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The carrying value of the Company’s outstanding Term Loan and CAPEX Loan approximates its fair value because its interest rate reflects the market rate for the respective periods. The fair value of this debt is categorized within Level 2 of the fair value hierarchy.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10. Accrued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accrued severance benefits are for employees in the Company’s Korean subsidiaries. Pursuant to the Employee Retirement Benefit Security Act of Korea, eligible employees and executive officers with one or more years of service are entitled to severance benefits upon the termination of their employment based on their length of service and rate of pay. As of September 30, 2025, 97% of all employees of the Company were eligible for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Changes in accrued severance benefits are as follows (in thousands): </w:t>
      </w:r>
    </w:p>
    <w:p>
      <w:pPr>
        <w:pStyle w:val="TextBody"/>
        <w:bidi w:val="0"/>
        <w:spacing w:before="0" w:after="0"/>
        <w:jc w:val="left"/>
        <w:rPr/>
      </w:pPr>
      <w:r>
        <w:rPr/>
        <w:t> </w:t>
      </w:r>
    </w:p>
    <w:tbl>
      <w:tblPr>
        <w:tblW w:w="10815" w:type="dxa"/>
        <w:jc w:val="left"/>
        <w:tblInd w:w="0" w:type="dxa"/>
        <w:tblLayout w:type="fixed"/>
        <w:tblCellMar>
          <w:top w:w="0" w:type="dxa"/>
          <w:left w:w="0" w:type="dxa"/>
          <w:bottom w:w="0" w:type="dxa"/>
          <w:right w:w="0" w:type="dxa"/>
        </w:tblCellMar>
      </w:tblPr>
      <w:tblGrid>
        <w:gridCol w:w="1130"/>
        <w:gridCol w:w="120"/>
        <w:gridCol w:w="345"/>
        <w:gridCol w:w="1865"/>
        <w:gridCol w:w="155"/>
        <w:gridCol w:w="120"/>
        <w:gridCol w:w="324"/>
        <w:gridCol w:w="1751"/>
        <w:gridCol w:w="155"/>
        <w:gridCol w:w="120"/>
        <w:gridCol w:w="345"/>
        <w:gridCol w:w="1865"/>
        <w:gridCol w:w="155"/>
        <w:gridCol w:w="120"/>
        <w:gridCol w:w="324"/>
        <w:gridCol w:w="1751"/>
        <w:gridCol w:w="17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2024</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41,581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r>
              <w:rPr/>
              <w:t>45,594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44,198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r>
              <w:rPr/>
              <w:t>45,932</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693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2,868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1,582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4,552</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Severance payments</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(826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(10,669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(527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(1,889</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(1,357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2,298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2,368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(974</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40,091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40,091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47,621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47,621</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Cumulative contributions to severance insurance deposit accounts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(25,859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(25,859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(30,246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(30,246</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National Pension Fund</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right"/>
              <w:rPr/>
            </w:pPr>
            <w:r>
              <w:rPr/>
              <w:t>14,213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283"/>
              <w:jc w:val="right"/>
              <w:rPr/>
            </w:pPr>
            <w:r>
              <w:rPr/>
              <w:t>14,213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right"/>
              <w:rPr/>
            </w:pPr>
            <w:r>
              <w:rPr/>
              <w:t>17,347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283"/>
              <w:jc w:val="right"/>
              <w:rPr/>
            </w:pPr>
            <w:r>
              <w:rPr/>
              <w:t>17,347</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5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5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severance benefits funded through the Company’s National Pension Fund have been and will be used exclusively for payment of severance benefits to eligible employees. These amounts have been deducted from the accrued severance benefit balance. </w:t>
      </w:r>
    </w:p>
    <w:p>
      <w:pPr>
        <w:pStyle w:val="TextBody"/>
        <w:bidi w:val="0"/>
        <w:spacing w:before="240" w:after="0"/>
        <w:jc w:val="left"/>
        <w:rPr>
          <w:rFonts w:ascii="Times New Roman" w:hAnsi="Times New Roman"/>
          <w:sz w:val="20"/>
        </w:rPr>
      </w:pPr>
      <w:r>
        <w:rPr>
          <w:rFonts w:ascii="Times New Roman" w:hAnsi="Times New Roman"/>
          <w:sz w:val="20"/>
        </w:rPr>
        <w:t xml:space="preserve">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liable to pay the following future benefits to 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upon their normal retirement age (in thousands):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1070"/>
        <w:gridCol w:w="120"/>
        <w:gridCol w:w="308"/>
        <w:gridCol w:w="1497"/>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Severance benefit</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94</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539</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106</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2,216</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2,643</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2031 – 2036</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17,339</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amounts were determined based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current salary rates and the number of service years that will be accumulated upon their retirement dates. These amounts do not include amounts that might be paid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that will cease working with the Company before their normal retirement ages. </w:t>
      </w:r>
    </w:p>
    <w:p>
      <w:pPr>
        <w:pStyle w:val="TextBody"/>
        <w:bidi w:val="0"/>
        <w:spacing w:before="240" w:after="0"/>
        <w:jc w:val="left"/>
        <w:rPr>
          <w:rFonts w:ascii="Times New Roman" w:hAnsi="Times New Roman"/>
          <w:sz w:val="20"/>
        </w:rPr>
      </w:pPr>
      <w:r>
        <w:rPr>
          <w:rFonts w:ascii="Times New Roman" w:hAnsi="Times New Roman"/>
          <w:sz w:val="20"/>
        </w:rPr>
        <w:t xml:space="preserve">Korea’s mandatory retirement age is 60 years of age or older under the Employment Promotion for the Aged Act. The Company sets the retirement age of employees at 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11. Long-Term Borrowings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120" w:after="0"/>
        <w:jc w:val="left"/>
        <w:rPr>
          <w:rFonts w:ascii="Times New Roman" w:hAnsi="Times New Roman"/>
          <w:sz w:val="20"/>
        </w:rPr>
      </w:pPr>
      <w:r>
        <w:rPr>
          <w:rFonts w:ascii="Times New Roman" w:hAnsi="Times New Roman"/>
          <w:sz w:val="20"/>
        </w:rPr>
        <w:t xml:space="preserve">(Mortgage) Agreement (the “Pledge Agreement”) with KDB pursuant to which MSK pledged its real property and buildings located in Gumi, Korea (“Fab 3 properties”) in favor of KDB.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provides for a working capital term loan (the “Term Loan”) of KRW 40,000,000,000 (approximately $29,835 thousand based on the KRW/USD exchange rate of </w:t>
      </w:r>
    </w:p>
    <w:p>
      <w:pPr>
        <w:pStyle w:val="TextBody"/>
        <w:bidi w:val="0"/>
        <w:spacing w:before="240" w:after="0"/>
        <w:jc w:val="left"/>
        <w:rPr>
          <w:rFonts w:ascii="Times New Roman" w:hAnsi="Times New Roman"/>
          <w:sz w:val="20"/>
        </w:rPr>
      </w:pPr>
      <w:r>
        <w:rPr>
          <w:rFonts w:ascii="Times New Roman" w:hAnsi="Times New Roman"/>
          <w:sz w:val="20"/>
        </w:rPr>
        <w:t>1,340.7:1</w:t>
      </w:r>
    </w:p>
    <w:p>
      <w:pPr>
        <w:pStyle w:val="TextBody"/>
        <w:bidi w:val="0"/>
        <w:spacing w:before="240" w:after="0"/>
        <w:jc w:val="left"/>
        <w:rPr>
          <w:rFonts w:ascii="Times New Roman" w:hAnsi="Times New Roman"/>
          <w:sz w:val="20"/>
        </w:rPr>
      </w:pPr>
      <w:r>
        <w:rPr>
          <w:rFonts w:ascii="Times New Roman" w:hAnsi="Times New Roman"/>
          <w:sz w:val="20"/>
        </w:rPr>
        <w:t xml:space="preserve">as of March 26, 2024 as quoted by KEB Hana Bank), which was funded in full to MSK on March 26, 2024. </w:t>
      </w:r>
    </w:p>
    <w:p>
      <w:pPr>
        <w:pStyle w:val="TextBody"/>
        <w:bidi w:val="0"/>
        <w:spacing w:before="240" w:after="0"/>
        <w:jc w:val="left"/>
        <w:rPr>
          <w:rFonts w:ascii="Times New Roman" w:hAnsi="Times New Roman"/>
          <w:sz w:val="20"/>
        </w:rPr>
      </w:pPr>
      <w:r>
        <w:rPr>
          <w:rFonts w:ascii="Times New Roman" w:hAnsi="Times New Roman"/>
          <w:sz w:val="20"/>
        </w:rPr>
        <w:t xml:space="preserve">The Term Loan bears interest at a variable rate equal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3-month</w:t>
      </w:r>
    </w:p>
    <w:p>
      <w:pPr>
        <w:pStyle w:val="TextBody"/>
        <w:bidi w:val="0"/>
        <w:spacing w:before="240" w:after="0"/>
        <w:jc w:val="left"/>
        <w:rPr>
          <w:rFonts w:ascii="Times New Roman" w:hAnsi="Times New Roman"/>
          <w:sz w:val="20"/>
        </w:rPr>
      </w:pPr>
      <w:r>
        <w:rPr>
          <w:rFonts w:ascii="Times New Roman" w:hAnsi="Times New Roman"/>
          <w:sz w:val="20"/>
        </w:rPr>
        <w:t xml:space="preserve">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the outstanding principal amount under the Term Loan was approximately $28,527 thousand.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CAPEX Loans </w:t>
      </w:r>
    </w:p>
    <w:p>
      <w:pPr>
        <w:pStyle w:val="TextBody"/>
        <w:bidi w:val="0"/>
        <w:spacing w:before="120" w:after="0"/>
        <w:jc w:val="left"/>
        <w:rPr>
          <w:rFonts w:ascii="Times New Roman" w:hAnsi="Times New Roman"/>
          <w:sz w:val="20"/>
        </w:rPr>
      </w:pPr>
      <w:r>
        <w:rPr>
          <w:rFonts w:ascii="Times New Roman" w:hAnsi="Times New Roman"/>
          <w:sz w:val="20"/>
        </w:rPr>
        <w:t xml:space="preserve">On December 16, 2024, MSK executed a Standard Credit Agreement (as amended) (together with its General Terms and Conditions, the “Equipment Financing Credit Agreement”) with KDB. In connection with the Equipment Financing Credit Agreement, on December 8, 2024, MSK also amended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120" w:after="0"/>
        <w:jc w:val="left"/>
        <w:rPr>
          <w:rFonts w:ascii="Times New Roman" w:hAnsi="Times New Roman"/>
          <w:sz w:val="20"/>
        </w:rPr>
      </w:pPr>
      <w:r>
        <w:rPr>
          <w:rFonts w:ascii="Times New Roman" w:hAnsi="Times New Roman"/>
          <w:sz w:val="20"/>
        </w:rPr>
        <w:t xml:space="preserve">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(“Fab 3 machinery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The Equipment Financing Credit Agreement provides for loans for MSK’s capital expenditures (the “CAPEX Loans”) up to an aggregate of KRW 38,000,000,000 ($26,523 thousand based on the KRW/USD exchange rate of 1,432.7:1 as of December 16, 2024 as quoted by KEB Hana Bank), which will be funded directly to capital expenditure supply vendors by KDB upon the submission of a request form by MSK with the necessary evidence such as purchase agreement, invoice and other documentation,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CAPEX Loans will bear interest at a fixed rate quoted by the treasury bond market yield (a six-year Korea treasury bill rate). CAPEX Loans mature in ten years from the initial loan disbursement date (the “Maturity Date”), with an initial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240" w:after="0"/>
        <w:jc w:val="left"/>
        <w:rPr>
          <w:rFonts w:ascii="Times New Roman" w:hAnsi="Times New Roman"/>
          <w:sz w:val="20"/>
        </w:rPr>
      </w:pPr>
      <w:r>
        <w:rPr>
          <w:rFonts w:ascii="Times New Roman" w:hAnsi="Times New Roman"/>
          <w:sz w:val="20"/>
        </w:rPr>
        <w:t xml:space="preserve">(measured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the aggregate principal amount outstanding under the CAPEX Loans was approximately $10,408 thousand, which bears a weighted average interest rate of 2.66% per annum and matures on June 26, 2035.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12. Early Termination and Other Charges </w:t>
      </w:r>
    </w:p>
    <w:p>
      <w:pPr>
        <w:pStyle w:val="TextBody"/>
        <w:bidi w:val="0"/>
        <w:spacing w:before="120" w:after="0"/>
        <w:jc w:val="left"/>
        <w:rPr>
          <w:rFonts w:ascii="Times New Roman" w:hAnsi="Times New Roman"/>
          <w:sz w:val="20"/>
        </w:rPr>
      </w:pPr>
      <w:r>
        <w:rPr>
          <w:rFonts w:ascii="Times New Roman" w:hAnsi="Times New Roman"/>
          <w:sz w:val="20"/>
        </w:rPr>
        <w:t xml:space="preserve">As of August 1, 2025, the Company implemented a voluntary resignation program (the “Program”) as part of its cost reduction initiatives to better align its spending level with a strategic focus on becoming a pure-play Power company. The shutdown of the Display business resulted in certain shared function positions becoming redundant, as those functions had supported both the Display and Power businesses. Under the Program, the Company recorded termination-related charges of $2,599 thousand in its consolidated statements of operations, classified as “early termination and other charges” for the nine months ended September 30, 2025.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the nine months ended September 30, 2025, the Company recorded $1,745 thousand of certain executive separation benefits and $496 thousand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employee incentives, which were also classified as “early termination and other charges” in the consolidated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13. Foreign Currency Gain (Loss), Net </w:t>
      </w:r>
    </w:p>
    <w:p>
      <w:pPr>
        <w:pStyle w:val="TextBody"/>
        <w:bidi w:val="0"/>
        <w:spacing w:before="120" w:after="0"/>
        <w:jc w:val="left"/>
        <w:rPr>
          <w:rFonts w:ascii="Times New Roman" w:hAnsi="Times New Roman"/>
          <w:sz w:val="20"/>
        </w:rPr>
      </w:pPr>
      <w:r>
        <w:rPr>
          <w:rFonts w:ascii="Times New Roman" w:hAnsi="Times New Roman"/>
          <w:sz w:val="20"/>
        </w:rPr>
        <w:t xml:space="preserve">Net foreign currency gain or loss includes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translation gain or loss associated with intercompany balances. A substantial portion of the Company’s net foreign currency gain or loss is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translation gain or loss associated with intercompany long-term loans to MSK, the Company’s Korean subsidiary. The loans are denominated in U.S. dollars and are affected by changes in the exchange rate between the Korean won and the U.S. dollar. As of September 30, 2025 and December 31, 2024, the outstanding intercompany loan balances including accrued interest between MSK and the Dutch subsidiary were $244,705 thousand and $257,670 thousand, respectively. The Korean won to U.S. dollar exchange rates were 1,402.2:1 and 1,470.0:1 using the first base rate as of September 30, 2025 and December 31, 2024, respectively, as quoted by the KEB Hana Bank.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14. Income Taxes</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subsidiaries file income tax returns in Korea, Japan, Taiwan, the U.S. and in various other jurisdictions. The Company is subject to income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non-income</w:t>
      </w:r>
    </w:p>
    <w:p>
      <w:pPr>
        <w:pStyle w:val="TextBody"/>
        <w:bidi w:val="0"/>
        <w:spacing w:before="120" w:after="0"/>
        <w:jc w:val="left"/>
        <w:rPr>
          <w:rFonts w:ascii="Times New Roman" w:hAnsi="Times New Roman"/>
          <w:sz w:val="20"/>
        </w:rPr>
      </w:pPr>
      <w:r>
        <w:rPr>
          <w:rFonts w:ascii="Times New Roman" w:hAnsi="Times New Roman"/>
          <w:sz w:val="20"/>
        </w:rPr>
        <w:t xml:space="preserve">tax examinations by tax authorities of these jurisdictions for all open tax years.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and nine months ended September 30, 2025, the Company recorded an income tax benefit of $4,170 thousand and $8,709 thousand, primarily related to its primary operating entity in Korea based on the estimated taxable loss for the respective period, including loss recognized in connection with the shutdown of the discontinued Display business during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For the three and nine months ended September 30, 2024, the Company recorded an income tax expense of $6,117 thousand and $2,267 thousand, primarily related to the primary operating entity’s in-kind contribution of certain business lines made during the first quarter of 2024, as a result of its assessment of realizability of the deferred tax assets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15. Geographic and 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within a </w:t>
      </w:r>
    </w:p>
    <w:p>
      <w:pPr>
        <w:pStyle w:val="TextBody"/>
        <w:bidi w:val="0"/>
        <w:spacing w:before="120" w:after="0"/>
        <w:jc w:val="left"/>
        <w:rPr>
          <w:rFonts w:ascii="Times New Roman" w:hAnsi="Times New Roman"/>
          <w:sz w:val="20"/>
        </w:rPr>
      </w:pPr>
      <w:r>
        <w:rPr>
          <w:rFonts w:ascii="Times New Roman" w:hAnsi="Times New Roman"/>
          <w:sz w:val="20"/>
        </w:rPr>
        <w:t>single</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 Power solutions business, and also separately reports transitional Fab 3 foundry services revenue and cost of sales.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as the chief operating decision maker (“CODM”), organizes the Company and measures performance of two business lines of Power Analog Solutions and Power IC in the Power solutions business at the level of revenue and gross profit margin by comparing actual results against previously forecasted targets.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does not evaluate the performance of each business line using any information, such as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Revenues for the three months ended September 30, 2024 from its previous product categories have been reclassified in order to conform to the current period presentation as follows (in thousands): </w:t>
      </w:r>
    </w:p>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2000"/>
        <w:gridCol w:w="120"/>
        <w:gridCol w:w="140"/>
        <w:gridCol w:w="680"/>
        <w:gridCol w:w="60"/>
        <w:gridCol w:w="120"/>
        <w:gridCol w:w="154"/>
        <w:gridCol w:w="751"/>
        <w:gridCol w:w="60"/>
        <w:gridCol w:w="120"/>
        <w:gridCol w:w="187"/>
        <w:gridCol w:w="748"/>
        <w:gridCol w:w="60"/>
        <w:gridCol w:w="120"/>
        <w:gridCol w:w="218"/>
        <w:gridCol w:w="1062"/>
        <w:gridCol w:w="60"/>
        <w:gridCol w:w="120"/>
        <w:gridCol w:w="140"/>
        <w:gridCol w:w="680"/>
        <w:gridCol w:w="75"/>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4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pPr>
            <w:r>
              <w:rPr/>
              <w:t>Power</w:t>
              <w:br/>
              <w:t>Analog</w:t>
              <w:br/>
              <w:t>Solutions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Power IC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Discontinued</w:t>
              <w:br/>
              <w:t>Operations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16,446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5,420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11,026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16,446</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47,574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47,574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47,574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7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74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64,020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47,574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5,420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11,026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64,020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7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74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double" w:sz="6" w:space="1" w:color="000000"/>
              </w:rPr>
            </w:pPr>
            <w:r>
              <w:rPr>
                <w:bdr w:val="double" w:sz="6" w:space="1" w:color="000000"/>
              </w:rPr>
              <w:t> </w:t>
            </w:r>
          </w:p>
        </w:tc>
        <w:tc>
          <w:tcPr>
            <w:tcW w:w="106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for the nine months ended September 30, 2024 from its previous product categories have been reclassified in order to conform to the current period presentation as follows (in thousands): </w:t>
      </w:r>
    </w:p>
    <w:p>
      <w:pPr>
        <w:pStyle w:val="TextBody"/>
        <w:bidi w:val="0"/>
        <w:spacing w:before="0" w:after="0"/>
        <w:jc w:val="left"/>
        <w:rPr/>
      </w:pPr>
      <w:r>
        <w:rPr/>
        <w:t> </w:t>
      </w:r>
    </w:p>
    <w:tbl>
      <w:tblPr>
        <w:tblW w:w="7949" w:type="dxa"/>
        <w:jc w:val="left"/>
        <w:tblInd w:w="0" w:type="dxa"/>
        <w:tblLayout w:type="fixed"/>
        <w:tblCellMar>
          <w:top w:w="0" w:type="dxa"/>
          <w:left w:w="0" w:type="dxa"/>
          <w:bottom w:w="0" w:type="dxa"/>
          <w:right w:w="0" w:type="dxa"/>
        </w:tblCellMar>
      </w:tblPr>
      <w:tblGrid>
        <w:gridCol w:w="2000"/>
        <w:gridCol w:w="120"/>
        <w:gridCol w:w="140"/>
        <w:gridCol w:w="800"/>
        <w:gridCol w:w="60"/>
        <w:gridCol w:w="120"/>
        <w:gridCol w:w="140"/>
        <w:gridCol w:w="800"/>
        <w:gridCol w:w="60"/>
        <w:gridCol w:w="120"/>
        <w:gridCol w:w="159"/>
        <w:gridCol w:w="775"/>
        <w:gridCol w:w="60"/>
        <w:gridCol w:w="120"/>
        <w:gridCol w:w="218"/>
        <w:gridCol w:w="1062"/>
        <w:gridCol w:w="60"/>
        <w:gridCol w:w="120"/>
        <w:gridCol w:w="140"/>
        <w:gridCol w:w="800"/>
        <w:gridCol w:w="75"/>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6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Power</w:t>
              <w:br/>
              <w:t>Analog</w:t>
              <w:br/>
              <w:t>Solutions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pPr>
            <w:r>
              <w:rPr/>
              <w:t>Power IC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Discontinued</w:t>
              <w:br/>
              <w:t>Operations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37,047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13,621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23,426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37,047</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123,349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123,349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123,349</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77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160,396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123,349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13,621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23,426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160,396</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77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double" w:sz="6" w:space="1" w:color="000000"/>
              </w:rPr>
            </w:pPr>
            <w:r>
              <w:rPr>
                <w:bdr w:val="double" w:sz="6" w:space="1" w:color="000000"/>
              </w:rPr>
              <w:t> </w:t>
            </w:r>
          </w:p>
        </w:tc>
        <w:tc>
          <w:tcPr>
            <w:tcW w:w="106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information relating to the operating segment, Power solutions business, as well as the transitional Fab 3 foundry services (in thousands). For financial information below gross profit, including operating income and expenses as well as other income and expenses, please refer to the Company’s consolidated statements of operations. </w:t>
      </w:r>
    </w:p>
    <w:p>
      <w:pPr>
        <w:pStyle w:val="TextBody"/>
        <w:bidi w:val="0"/>
        <w:spacing w:before="0" w:after="0"/>
        <w:jc w:val="left"/>
        <w:rPr/>
      </w:pPr>
      <w:r>
        <w:rPr/>
        <w:t> </w:t>
      </w:r>
    </w:p>
    <w:tbl>
      <w:tblPr>
        <w:tblW w:w="9572" w:type="dxa"/>
        <w:jc w:val="left"/>
        <w:tblInd w:w="0" w:type="dxa"/>
        <w:tblLayout w:type="fixed"/>
        <w:tblCellMar>
          <w:top w:w="0" w:type="dxa"/>
          <w:left w:w="0" w:type="dxa"/>
          <w:bottom w:w="0" w:type="dxa"/>
          <w:right w:w="0" w:type="dxa"/>
        </w:tblCellMar>
      </w:tblPr>
      <w:tblGrid>
        <w:gridCol w:w="2900"/>
        <w:gridCol w:w="120"/>
        <w:gridCol w:w="251"/>
        <w:gridCol w:w="1224"/>
        <w:gridCol w:w="72"/>
        <w:gridCol w:w="145"/>
        <w:gridCol w:w="251"/>
        <w:gridCol w:w="1224"/>
        <w:gridCol w:w="60"/>
        <w:gridCol w:w="120"/>
        <w:gridCol w:w="219"/>
        <w:gridCol w:w="1256"/>
        <w:gridCol w:w="60"/>
        <w:gridCol w:w="120"/>
        <w:gridCol w:w="219"/>
        <w:gridCol w:w="1256"/>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41,548</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47,574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123,666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123,349</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4,398</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5,420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14,624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13,621</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45,946</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52,994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138,290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136,970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2,440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8,302</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45,946</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55,434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138,290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145,272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9572" w:type="dxa"/>
        <w:jc w:val="left"/>
        <w:tblInd w:w="0" w:type="dxa"/>
        <w:tblLayout w:type="fixed"/>
        <w:tblCellMar>
          <w:top w:w="0" w:type="dxa"/>
          <w:left w:w="0" w:type="dxa"/>
          <w:bottom w:w="0" w:type="dxa"/>
          <w:right w:w="0" w:type="dxa"/>
        </w:tblCellMar>
      </w:tblPr>
      <w:tblGrid>
        <w:gridCol w:w="2900"/>
        <w:gridCol w:w="120"/>
        <w:gridCol w:w="251"/>
        <w:gridCol w:w="1224"/>
        <w:gridCol w:w="72"/>
        <w:gridCol w:w="145"/>
        <w:gridCol w:w="251"/>
        <w:gridCol w:w="1224"/>
        <w:gridCol w:w="60"/>
        <w:gridCol w:w="120"/>
        <w:gridCol w:w="219"/>
        <w:gridCol w:w="1256"/>
        <w:gridCol w:w="60"/>
        <w:gridCol w:w="120"/>
        <w:gridCol w:w="219"/>
        <w:gridCol w:w="1256"/>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Cost of Sales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34,906</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38,325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102,215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100,751</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2,499</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3,004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8,460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7,603</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37,405</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41,329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110,675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108,354</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9,267</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37,405</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43,928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110,675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117,621</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803" w:type="dxa"/>
        <w:jc w:val="left"/>
        <w:tblInd w:w="0" w:type="dxa"/>
        <w:tblLayout w:type="fixed"/>
        <w:tblCellMar>
          <w:top w:w="0" w:type="dxa"/>
          <w:left w:w="0" w:type="dxa"/>
          <w:bottom w:w="0" w:type="dxa"/>
          <w:right w:w="0" w:type="dxa"/>
        </w:tblCellMar>
      </w:tblPr>
      <w:tblGrid>
        <w:gridCol w:w="2900"/>
        <w:gridCol w:w="120"/>
        <w:gridCol w:w="295"/>
        <w:gridCol w:w="1180"/>
        <w:gridCol w:w="78"/>
        <w:gridCol w:w="156"/>
        <w:gridCol w:w="251"/>
        <w:gridCol w:w="1224"/>
        <w:gridCol w:w="155"/>
        <w:gridCol w:w="120"/>
        <w:gridCol w:w="251"/>
        <w:gridCol w:w="1224"/>
        <w:gridCol w:w="68"/>
        <w:gridCol w:w="136"/>
        <w:gridCol w:w="251"/>
        <w:gridCol w:w="1224"/>
        <w:gridCol w:w="170"/>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6,642</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9,249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21,451</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22,598</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1,899</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2,416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6,164</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6,018</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8,541</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11,665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27,615</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28,616</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(159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(965</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8,541</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11,506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27,615</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27,651</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net sales – Power solutions business by geographic region, based on the location to which the products are billed (in thousands): </w:t>
      </w:r>
    </w:p>
    <w:p>
      <w:pPr>
        <w:pStyle w:val="TextBody"/>
        <w:bidi w:val="0"/>
        <w:spacing w:before="0" w:after="0"/>
        <w:jc w:val="left"/>
        <w:rPr/>
      </w:pPr>
      <w:r>
        <w:rPr/>
        <w:t> </w:t>
      </w:r>
    </w:p>
    <w:tbl>
      <w:tblPr>
        <w:tblW w:w="9182" w:type="dxa"/>
        <w:jc w:val="left"/>
        <w:tblInd w:w="0" w:type="dxa"/>
        <w:tblLayout w:type="fixed"/>
        <w:tblCellMar>
          <w:top w:w="0" w:type="dxa"/>
          <w:left w:w="0" w:type="dxa"/>
          <w:bottom w:w="0" w:type="dxa"/>
          <w:right w:w="0" w:type="dxa"/>
        </w:tblCellMar>
      </w:tblPr>
      <w:tblGrid>
        <w:gridCol w:w="2510"/>
        <w:gridCol w:w="120"/>
        <w:gridCol w:w="251"/>
        <w:gridCol w:w="1224"/>
        <w:gridCol w:w="72"/>
        <w:gridCol w:w="145"/>
        <w:gridCol w:w="251"/>
        <w:gridCol w:w="1224"/>
        <w:gridCol w:w="60"/>
        <w:gridCol w:w="120"/>
        <w:gridCol w:w="219"/>
        <w:gridCol w:w="1256"/>
        <w:gridCol w:w="60"/>
        <w:gridCol w:w="120"/>
        <w:gridCol w:w="219"/>
        <w:gridCol w:w="1256"/>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23,269</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22,893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67,706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59,867</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20,308</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28,189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63,745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71,879</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1,137</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3,789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1,313</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1,232</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1,245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3,050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3,911</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45,946</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52,994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138,290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136,970</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September 30, 2025 and 2024, of the Company’s net sales – Power solutions business in Asia Pacific (other than Korea), net sales – Power solutions business in China and Hong Kong together represented 74.6% and 83.7%, respectively, and net sales – Power solutions business in Taiwan represented 15.5% and 8.8%, respectively. For the nine months ended September 30, 2025 and 2024, of the Company’s net sales – Power solutions business in Asia Pacific (other than Korea), net sales – Power solutions business in China and Hong Kong represented 79.6% and 83.4%, respectively, and net sales – Power solutions business in Taiwan represented 12.4% and 9.4%, respectively.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the Company’s top ten largest customers in the Power solutions business accounted for 75.2% and 73.4% for the three months ended September 30, 2025 and 2024, respectively, and 74.2% and 72.5% for the nine months ended September 30,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September 30, 2025, the Company had one customer that represented 32.6% of net sales – Power solutions business. For the nine months ended September 30, 2025, the Company had one customer that represented 31.6% of its net sales – Power solutions business. For the three months ended September 30, 2024, the Company had one customer that represented 24.3% of its net sales – Power solutions business. For the nine months ended September 30, 2024, the Company had two customers that represented 25.5% and 10.1% of its net sales – Power solutions business,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one customer of the Company’s Power solutions business accounted for 43.1% of its accounts receivable – Power solutions business. As of December 31, 2024, one customer of the Company’s Power solutions business accounted for 42.3% of its accounts receivable – Power solutions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16. 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Accumulated other comprehensive loss consists of the following as of September 30, 2025 and December 31, 2024, respectively (in thousands): </w:t>
      </w:r>
    </w:p>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3350"/>
        <w:gridCol w:w="120"/>
        <w:gridCol w:w="230"/>
        <w:gridCol w:w="1245"/>
        <w:gridCol w:w="155"/>
        <w:gridCol w:w="120"/>
        <w:gridCol w:w="221"/>
        <w:gridCol w:w="1194"/>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(19,802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(20,927</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369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(966</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(19,433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(21,893</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accumulated other comprehensive loss for the three months ended September 30, 2025 and 2024 are as follows (in thousands): </w:t>
      </w:r>
    </w:p>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Three Months Ended September 30, 2025</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(19,297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1,391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(17,906</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(1,527</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(1,527</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(19,802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369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(19,433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185" w:type="dxa"/>
            <w:gridSpan w:val="4"/>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Three Months Ended September 30, 2024</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(20,436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(20,571</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935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3,801</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1,053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3,919</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(17,570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918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(16,652</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accumulated other comprehensive loss for the nine months ended September 30, 2025 and 2024 are as follows (in thousands): </w:t>
      </w:r>
    </w:p>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50"/>
        <w:gridCol w:w="1000"/>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Nine Months Ended September 30, 2025</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(20,927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(966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(21,893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731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1,241</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604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1,219</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1,335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2,460</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(19,802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369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(19,433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94"/>
        <w:gridCol w:w="956"/>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Nine Months Ended September 30, 2024</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(15,348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691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(14,657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(477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(2,699</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704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704</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227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(1,995</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(17,570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918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(16,652</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double" w:sz="6" w:space="1" w:color="000000"/>
              </w:rPr>
            </w:pPr>
            <w:r>
              <w:rPr>
                <w:bdr w:val="double" w:sz="6" w:space="1" w:color="000000"/>
              </w:rPr>
              <w:t> </w:t>
            </w:r>
          </w:p>
        </w:tc>
        <w:tc>
          <w:tcPr>
            <w:tcW w:w="9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nine months </w:t>
      </w:r>
    </w:p>
    <w:p>
      <w:pPr>
        <w:pStyle w:val="TextBody"/>
        <w:bidi w:val="0"/>
        <w:spacing w:before="240" w:after="0"/>
        <w:jc w:val="left"/>
        <w:rPr>
          <w:rFonts w:ascii="Times New Roman" w:hAnsi="Times New Roman"/>
          <w:sz w:val="20"/>
        </w:rPr>
      </w:pPr>
      <w:r>
        <w:rPr>
          <w:rFonts w:ascii="Times New Roman" w:hAnsi="Times New Roman"/>
          <w:sz w:val="20"/>
        </w:rPr>
        <w:t>ende</w:t>
      </w:r>
    </w:p>
    <w:p>
      <w:pPr>
        <w:pStyle w:val="TextBody"/>
        <w:bidi w:val="0"/>
        <w:spacing w:before="240" w:after="0"/>
        <w:jc w:val="left"/>
        <w:rPr>
          <w:rFonts w:ascii="Times New Roman" w:hAnsi="Times New Roman"/>
          <w:sz w:val="20"/>
        </w:rPr>
      </w:pPr>
      <w:r>
        <w:rPr>
          <w:rFonts w:ascii="Times New Roman" w:hAnsi="Times New Roman"/>
          <w:sz w:val="20"/>
        </w:rPr>
        <w:t xml:space="preserve">d September 30, 2025, the Company reclassified a $615 thousand of cumulative translation adjustment from accumulated other comprehensive loss into loss in connection with the liquidation of MMS, the Company’s indirect wholly owned foreign 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17. Stock Repurchase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On July 19, 2023, the Board of Directors authorized a $50 million stock buyback program. Purchases have been and will be made in the open market or in privately negotiated transactions, depending upon market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From August 2023 to December 2023, the Company repurchased 1,730,173 shares of its common stock in the open market for an aggregate purchase price of $13.6 million and a weighted average price per share of $7.84 under the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From January 2024 to December 2024, the Company repurchased 2,349,811 shares of its common stock in the open market for an aggregate purchase price of $11.8 million and a weighted average price per share of $5.04 under the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From January 2025 to September 2025, the Company repurchased 1,093,748 shares of its common stock in the open market for an aggregate purchase price of $3.6 million and a weighted average price per share of $3.33 under the stock repurchase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18.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illustrates the computation of basic and diluted loss per common share for the three and nine months ended September 30,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0"/>
        <w:gridCol w:w="120"/>
        <w:gridCol w:w="166"/>
        <w:gridCol w:w="1309"/>
        <w:gridCol w:w="155"/>
        <w:gridCol w:w="120"/>
        <w:gridCol w:w="166"/>
        <w:gridCol w:w="1309"/>
        <w:gridCol w:w="155"/>
        <w:gridCol w:w="120"/>
        <w:gridCol w:w="166"/>
        <w:gridCol w:w="1309"/>
        <w:gridCol w:w="155"/>
        <w:gridCol w:w="120"/>
        <w:gridCol w:w="166"/>
        <w:gridCol w:w="1309"/>
        <w:gridCol w:w="170"/>
      </w:tblGrid>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Basic loss per common share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(10,609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(3,921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(5,457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(19,608</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(2,481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(5,696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(16,188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(18,423</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(13,090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(9,617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(21,645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(38,031</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35,934,406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37,468,849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36,298,491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38,060,682</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Basic loss per common share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(0.52</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(0.48</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(1.00</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Diluted loss per common share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(10,609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(3,921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(5,457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(19,608</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(2,481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(5,696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(16,188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(18,423</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(13,090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(9,617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(21,645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(38,031</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35,934,406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37,468,849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36,298,491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38,060,682</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effect of dilutive equity awards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stock outstanding</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35,934,406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37,468,849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36,298,491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38,060,682</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Diluted loss per common share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(0.52</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(0.48</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(1.00</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Diluted earnings (loss) per common share adjusts basic earnings (loss) per common share for the potentially dilutive impact of stock options and restricted stock units. As the Company has reported loss from continuing operations for the three and nine months ended September 30, 2025 and 2024, all potentially dilutive securities are antidilutive and accordingly not considered, therefore basic loss per common share equals diluted loss per common share.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outstanding instruments were excluded from the computation of diluted loss per common share, as they have an anti-dilutive effect on the calculation: </w:t>
      </w:r>
    </w:p>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1850"/>
        <w:gridCol w:w="120"/>
        <w:gridCol w:w="85"/>
        <w:gridCol w:w="1390"/>
        <w:gridCol w:w="60"/>
        <w:gridCol w:w="120"/>
        <w:gridCol w:w="85"/>
        <w:gridCol w:w="1390"/>
        <w:gridCol w:w="60"/>
        <w:gridCol w:w="120"/>
        <w:gridCol w:w="85"/>
        <w:gridCol w:w="1390"/>
        <w:gridCol w:w="60"/>
        <w:gridCol w:w="120"/>
        <w:gridCol w:w="85"/>
        <w:gridCol w:w="1390"/>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404,027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757,158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404,027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757,158</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2,172,090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2,383,189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2,172,090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2,383,189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19.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Advances to Suppliers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from time to time, may make advances in form of prepayments or deposits to suppliers, including external foundries, to meet its planned production. The Company recorded advances of $518 thousand and $2,294 thousand as other current assets as of September 30, 2025 and December 31,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20. </w:t>
      </w:r>
    </w:p>
    <w:p>
      <w:pPr>
        <w:pStyle w:val="TextBody"/>
        <w:bidi w:val="0"/>
        <w:spacing w:before="360" w:after="0"/>
        <w:jc w:val="left"/>
        <w:rPr>
          <w:rFonts w:ascii="Times New Roman" w:hAnsi="Times New Roman"/>
          <w:b/>
          <w:sz w:val="20"/>
        </w:rPr>
      </w:pPr>
      <w:r>
        <w:rPr>
          <w:rFonts w:ascii="Times New Roman" w:hAnsi="Times New Roman"/>
          <w:b/>
          <w:sz w:val="20"/>
        </w:rPr>
        <w:t xml:space="preserve">Subsequent </w:t>
      </w:r>
    </w:p>
    <w:p>
      <w:pPr>
        <w:pStyle w:val="TextBody"/>
        <w:bidi w:val="0"/>
        <w:spacing w:before="360" w:after="0"/>
        <w:jc w:val="left"/>
        <w:rPr>
          <w:rFonts w:ascii="Times New Roman" w:hAnsi="Times New Roman"/>
          <w:b/>
          <w:sz w:val="20"/>
        </w:rPr>
      </w:pPr>
      <w:r>
        <w:rPr>
          <w:rFonts w:ascii="Times New Roman" w:hAnsi="Times New Roman"/>
          <w:b/>
          <w:sz w:val="20"/>
        </w:rPr>
        <w:t xml:space="preserve">Events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Derivative contracts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2025, the Company and NFIK entered into derivative contracts of zero cost collars for the period from April 2026 to June 2027. The total notional amounts are $42,000 thousand.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our fiscal year ended December 31, 2024 filed on March 14, 2025 (“2024 Form 10-K”).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Report, unless the context otherwise requires, that include the use of the terms “we,” “us,” “our” and “Magnachip” refer to Magnachip Semiconductor Corporation and its consolidated subsidiaries. The term “Korea” refers to the Republic of Korea or South Korea.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tbl>
      <w:tblPr>
        <w:tblW w:w="8260" w:type="dxa"/>
        <w:jc w:val="left"/>
        <w:tblInd w:w="0" w:type="dxa"/>
        <w:tblLayout w:type="fixed"/>
        <w:tblCellMar>
          <w:top w:w="0" w:type="dxa"/>
          <w:left w:w="0" w:type="dxa"/>
          <w:bottom w:w="0" w:type="dxa"/>
          <w:right w:w="0" w:type="dxa"/>
        </w:tblCellMar>
      </w:tblPr>
      <w:tblGrid>
        <w:gridCol w:w="725"/>
        <w:gridCol w:w="7535"/>
      </w:tblGrid>
      <w:tr>
        <w:trPr/>
        <w:tc>
          <w:tcPr>
            <w:tcW w:w="725" w:type="dxa"/>
            <w:tcBorders/>
            <w:vAlign w:val="center"/>
          </w:tcPr>
          <w:p>
            <w:pPr>
              <w:pStyle w:val="TableContents"/>
              <w:bidi w:val="0"/>
              <w:spacing w:before="0" w:after="283"/>
              <w:jc w:val="left"/>
              <w:rPr>
                <w:b/>
              </w:rPr>
            </w:pPr>
            <w:bookmarkStart w:id="4" w:name="fin29128_9"/>
            <w:bookmarkEnd w:id="4"/>
            <w:r>
              <w:rPr>
                <w:b/>
              </w:rPr>
              <w:t>Item 2.</w:t>
            </w:r>
          </w:p>
        </w:tc>
        <w:tc>
          <w:tcPr>
            <w:tcW w:w="75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following discussion and analysis should be read in conjunction with the unaudited consolidated financial statements and the related notes included elsewhere in this Report.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designer and manufacturer of analog and mixed-signal power semiconductor platform solutions for various applications, including industrial, automotive, communication, consumer and computing. We have a proven record with approximately 45 years of operating history, a portfolio of approximately 1,000 registered patents and pending applications and extensive engineering and manufacturing process expertise. </w:t>
      </w:r>
    </w:p>
    <w:p>
      <w:pPr>
        <w:pStyle w:val="TextBody"/>
        <w:bidi w:val="0"/>
        <w:spacing w:before="240" w:after="0"/>
        <w:jc w:val="left"/>
        <w:rPr>
          <w:rFonts w:ascii="Times New Roman" w:hAnsi="Times New Roman"/>
          <w:sz w:val="20"/>
        </w:rPr>
      </w:pPr>
      <w:r>
        <w:rPr>
          <w:rFonts w:ascii="Times New Roman" w:hAnsi="Times New Roman"/>
          <w:sz w:val="20"/>
        </w:rPr>
        <w:t xml:space="preserve">We develop and manufacture Power discrete products and develop Power integrated circuit (“IC”) products. Power discrete products include metal oxide semiconductor field effect transistors (“MOSFETs”) and insulated-gate bipolar transistors (“IGBTs”) for a range of devices, including televisions, smartphones, mobile phones, wearable devices, desktop personal computers (“PCs”), notebook PCs, tablet PCs, servers, other consumer electronics, as well as automotive and industrial applications such as power suppliers, e-bikes, solar inverters, LED lighting and motor drives. Power IC products include AC-DC/DC-DC converters, LED drivers, regulators, power management integrated circuits (“PMICs”) and level shifter for a range of devices, including televisions, wearable devices, notebooks, tablet PCs and others consumer electronics, as well as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In 2024, the Power IC business was operated by Magnachip Mixed-Signal, Ltd. (“MMS”), which later transferred the business to Magnachip Semiconductor, Ltd. (“MSK”) effective January 1, 2025, pursuant to an intercompany business transfer agreement executed between MMS and MSK. The transfer was based on the mutual understanding that consolidating the Power IC and Power Analog Solutions businesses under a single company would create a more effective framework for expanding and strengthening the Company’s business for Power products. We refer to the Power Analog Solutions and Power IC businesses collectively as the Power solutions business. </w:t>
      </w:r>
    </w:p>
    <w:p>
      <w:pPr>
        <w:pStyle w:val="TextBody"/>
        <w:bidi w:val="0"/>
        <w:spacing w:before="240" w:after="0"/>
        <w:jc w:val="left"/>
        <w:rPr>
          <w:rFonts w:ascii="Times New Roman" w:hAnsi="Times New Roman"/>
          <w:sz w:val="20"/>
        </w:rPr>
      </w:pPr>
      <w:r>
        <w:rPr>
          <w:rFonts w:ascii="Times New Roman" w:hAnsi="Times New Roman"/>
          <w:sz w:val="20"/>
        </w:rPr>
        <w:t xml:space="preserve">On March 7, 2025, our Board of Directors authorized a strategy to transition into a pure-play Power company, focusing its investments on the Power Analog Solutions and Power IC businesses to enhance profitability and maximize shareholder value. As part of this strategy, we explored all strategic options including a sale, merger, joint venture, licensing, and wind-down for its Display business (Display IC products). However, we were not able to consummate any transaction following several months of discussions with several interested parties on terms that our Board of Directors believed were in the best interests of the Company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on April 6, 2025, our Board of Directors unanimously approved the plan to shut down our Display business (the “Discontinued Business”), including the liquidation of MMS, our indirect wholly owned subsidiary that operated the Discontinued Business. For additional information regarding the announcement of our plan to shut down display business, </w:t>
      </w:r>
      <w:r>
        <w:rPr>
          <w:rFonts w:ascii="Times New Roman" w:hAnsi="Times New Roman"/>
          <w:i/>
          <w:sz w:val="20"/>
        </w:rPr>
        <w:t>see the Company’s Current Report on Form 8-K filed on April</w:t>
      </w:r>
      <w:r>
        <w:rPr>
          <w:rFonts w:ascii="Times New Roman" w:hAnsi="Times New Roman"/>
          <w:sz w:val="20"/>
        </w:rPr>
        <w:t> </w:t>
      </w:r>
      <w:r>
        <w:rPr>
          <w:rFonts w:ascii="Times New Roman" w:hAnsi="Times New Roman"/>
          <w:i/>
          <w:sz w:val="20"/>
        </w:rPr>
        <w:t>8, 2025</w:t>
      </w:r>
      <w:r>
        <w:rPr>
          <w:rFonts w:ascii="Times New Roman" w:hAnsi="Times New Roman"/>
          <w:sz w:val="20"/>
        </w:rPr>
        <w:t xml:space="preserve">. As a result of the Discontinued Business and the cessation of transitional Fab 3 foundry services, our results from continuing operations in future periods will consist solely of the Power solutions business. </w:t>
      </w:r>
    </w:p>
    <w:p>
      <w:pPr>
        <w:pStyle w:val="TextBody"/>
        <w:bidi w:val="0"/>
        <w:spacing w:before="240" w:after="0"/>
        <w:jc w:val="left"/>
        <w:rPr>
          <w:rFonts w:ascii="Times New Roman" w:hAnsi="Times New Roman"/>
          <w:sz w:val="20"/>
        </w:rPr>
      </w:pPr>
      <w:r>
        <w:rPr>
          <w:rFonts w:ascii="Times New Roman" w:hAnsi="Times New Roman"/>
          <w:sz w:val="20"/>
        </w:rPr>
        <w:t xml:space="preserve">Our wide variety of analog and mixed-signal power semiconductor products combined with our mature technology platform allow us to address multiple high-growth end markets and rapidly develop and introduce new products and services in response to market demands. Our design center in Korea and global manufacturing operations place us at the core of the global electronics device supply chain. We believe this enables us to quickly and efficiently respond to our customers’ needs, and allows us to better serve and capture additional demand from existing and new customers. Certain of our Power IC products are produced using an external foundry. Through a strategic cooperation with an external foundry, we manage to ensure outsourcing wafers at competitive price and produce quality products. </w:t>
      </w:r>
    </w:p>
    <w:p>
      <w:pPr>
        <w:pStyle w:val="TextBody"/>
        <w:bidi w:val="0"/>
        <w:spacing w:before="240" w:after="0"/>
        <w:jc w:val="left"/>
        <w:rPr>
          <w:rFonts w:ascii="Times New Roman" w:hAnsi="Times New Roman"/>
          <w:sz w:val="20"/>
        </w:rPr>
      </w:pPr>
      <w:r>
        <w:rPr>
          <w:rFonts w:ascii="Times New Roman" w:hAnsi="Times New Roman"/>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 </w:t>
      </w:r>
    </w:p>
    <w:p>
      <w:pPr>
        <w:pStyle w:val="TextBody"/>
        <w:bidi w:val="0"/>
        <w:spacing w:before="240" w:after="0"/>
        <w:jc w:val="left"/>
        <w:rPr>
          <w:rFonts w:ascii="Times New Roman" w:hAnsi="Times New Roman"/>
          <w:sz w:val="20"/>
        </w:rPr>
      </w:pPr>
      <w:r>
        <w:rPr>
          <w:rFonts w:ascii="Times New Roman" w:hAnsi="Times New Roman"/>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 for our products and services is driven by overall demand for industrial, automotive, communication, consumer and computing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Net sales for our Power Analog Solutions and Power IC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 </w:t>
      </w:r>
    </w:p>
    <w:p>
      <w:pPr>
        <w:pStyle w:val="TextBody"/>
        <w:bidi w:val="0"/>
        <w:spacing w:before="240" w:after="0"/>
        <w:jc w:val="left"/>
        <w:rPr>
          <w:rFonts w:ascii="Times New Roman" w:hAnsi="Times New Roman"/>
          <w:sz w:val="20"/>
        </w:rPr>
      </w:pPr>
      <w:r>
        <w:rPr>
          <w:rFonts w:ascii="Times New Roman" w:hAnsi="Times New Roman"/>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before="240" w:after="0"/>
        <w:jc w:val="left"/>
        <w:rPr>
          <w:rFonts w:ascii="Times New Roman" w:hAnsi="Times New Roman"/>
          <w:sz w:val="20"/>
        </w:rPr>
      </w:pPr>
      <w:r>
        <w:rPr>
          <w:rFonts w:ascii="Times New Roman" w:hAnsi="Times New Roman"/>
          <w:sz w:val="20"/>
        </w:rPr>
        <w:t xml:space="preserve">Our Power Analog Solutions and Power IC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Power IC products which do require advanced technology and 8-inch wafer capacity. We believe this balanced capital investment strategy enables us to optimize our capital investments and facilitates more diversified product and service offerings. </w:t>
      </w:r>
    </w:p>
    <w:p>
      <w:pPr>
        <w:pStyle w:val="TextBody"/>
        <w:bidi w:val="0"/>
        <w:spacing w:before="240" w:after="0"/>
        <w:jc w:val="left"/>
        <w:rPr>
          <w:rFonts w:ascii="Times New Roman" w:hAnsi="Times New Roman"/>
          <w:sz w:val="20"/>
        </w:rPr>
      </w:pPr>
      <w:r>
        <w:rPr>
          <w:rFonts w:ascii="Times New Roman" w:hAnsi="Times New Roman"/>
          <w:sz w:val="20"/>
        </w:rPr>
        <w:t xml:space="preserve">By outsourcing manufacturing of Power IC products to an external foundry, we have been able to adapt dynamically to changing customer requirements and address growing markets without substantial capital investments by us. However, relying on an external foundry exposes us to the risk of being unable to secure manufacturing capacity, particularly during the global shortage of foundry services. Although we work to diversify the sourcing of external manufacturing, if these efforts are at any time unsuccessful, our ability to deliver products to our customers may be negatively impacted, which would adversely affect our relationship with customers and opportunities to secure new design-wins. </w:t>
      </w:r>
    </w:p>
    <w:p>
      <w:pPr>
        <w:pStyle w:val="TextBody"/>
        <w:bidi w:val="0"/>
        <w:spacing w:before="240" w:after="0"/>
        <w:jc w:val="left"/>
        <w:rPr>
          <w:rFonts w:ascii="Times New Roman" w:hAnsi="Times New Roman"/>
          <w:sz w:val="20"/>
        </w:rPr>
      </w:pPr>
      <w:r>
        <w:rPr>
          <w:rFonts w:ascii="Times New Roman" w:hAnsi="Times New Roman"/>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Shut-Down of Display business </w:t>
      </w:r>
    </w:p>
    <w:p>
      <w:pPr>
        <w:pStyle w:val="TextBody"/>
        <w:bidi w:val="0"/>
        <w:spacing w:before="120" w:after="0"/>
        <w:jc w:val="left"/>
        <w:rPr>
          <w:rFonts w:ascii="Times New Roman" w:hAnsi="Times New Roman"/>
          <w:sz w:val="20"/>
        </w:rPr>
      </w:pPr>
      <w:r>
        <w:rPr>
          <w:rFonts w:ascii="Times New Roman" w:hAnsi="Times New Roman"/>
          <w:sz w:val="20"/>
        </w:rPr>
        <w:t xml:space="preserve">On March 7, 2025, our Board of Directors authorized a strategy to transition to a pure-play Power company, focusing its investments on the Power Analog Solutions and Power IC businesses to enhance profitability and maximize shareholder value. As part of this strategy, we explored all strategic options including a sale, merger, joint venture, licensing, and wind-down for its Display business (Display IC products). However, we were not able to consummate a transaction following several months of discussions with several interested parties on terms that our Board of Directors believed were in the best interests of the Company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on April 6, 2025, our Board of Directors unanimously approved the plan to shut down our Display business (the “Discontinued Business”) by the end of the second quarter of 2025, including the liquidation of MMS, our indirect wholly owned subsidiary that operated the Discontinued Business. For additional information regarding the announcement of our plan to shut down display business, </w:t>
      </w:r>
      <w:r>
        <w:rPr>
          <w:rFonts w:ascii="Times New Roman" w:hAnsi="Times New Roman"/>
          <w:i/>
          <w:sz w:val="20"/>
        </w:rPr>
        <w:t>see the Company’s Current Report on Form 8-K filed on April</w:t>
      </w:r>
      <w:r>
        <w:rPr>
          <w:rFonts w:ascii="Times New Roman" w:hAnsi="Times New Roman"/>
          <w:sz w:val="20"/>
        </w:rPr>
        <w:t> </w:t>
      </w:r>
      <w:r>
        <w:rPr>
          <w:rFonts w:ascii="Times New Roman" w:hAnsi="Times New Roman"/>
          <w:i/>
          <w:sz w:val="20"/>
        </w:rPr>
        <w:t>8, 2025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Although we shut down our Display business, we continue to provide limited support for remaining customer obligations including the sale of “end of life” (“EOL”) Display products, which is being conducted by MSK. We have retained a small team to continue to support customers with respect to EOL Display products. The sale of EOL Display products and the potential monetization of the intellectual property assets of the Discontinued Business are currently expected to generate cash inflow of approximately $20 million over a period of approximately 2 years from the second half of 2025, depending upon customer demand and monetization efforts of the Display intellectual property assets. </w:t>
      </w:r>
    </w:p>
    <w:p>
      <w:pPr>
        <w:pStyle w:val="TextBody"/>
        <w:bidi w:val="0"/>
        <w:spacing w:before="240" w:after="0"/>
        <w:jc w:val="left"/>
        <w:rPr>
          <w:rFonts w:ascii="Times New Roman" w:hAnsi="Times New Roman"/>
          <w:sz w:val="20"/>
        </w:rPr>
      </w:pPr>
      <w:r>
        <w:rPr>
          <w:rFonts w:ascii="Times New Roman" w:hAnsi="Times New Roman"/>
          <w:sz w:val="20"/>
        </w:rPr>
        <w:t xml:space="preserve">The total estimated cash cost of the liquidation is approximately $12 to $15 million, which is expected to be offset by the cash inflow that may be generated as described above. The one-time liquidation cost is expected to consist of statutory severance and other employee-related costs, contract termination charges and other associated costs. Of this estimated total cash cost, we paid $6.5 million of statutory severance and other employee-related costs in the second quarter of 2025. Further, we originally expected to pay certain contract termination charges in full along with the statutory severance and other employee-related costs, but negotiated with the respective vendors for those contract termination charges totaling $6.5 million to be paid over the duration of the remaining existing contract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CAPEX Loans </w:t>
      </w:r>
    </w:p>
    <w:p>
      <w:pPr>
        <w:pStyle w:val="TextBody"/>
        <w:bidi w:val="0"/>
        <w:spacing w:before="120" w:after="0"/>
        <w:jc w:val="left"/>
        <w:rPr>
          <w:rFonts w:ascii="Times New Roman" w:hAnsi="Times New Roman"/>
          <w:sz w:val="20"/>
        </w:rPr>
      </w:pPr>
      <w:r>
        <w:rPr>
          <w:rFonts w:ascii="Times New Roman" w:hAnsi="Times New Roman"/>
          <w:sz w:val="20"/>
        </w:rPr>
        <w:t xml:space="preserve">On December 16, 2024, MSK executed a Standard Credit Agreement (as amended) (together with its General Terms and Conditions, the “Equipment Financing Credit Agreement”) with Korea Development Bank (“KDB”). In connection with the Equipment Financing Credit Agreement, on December 8, 2024, MSK amended the Kun-Pledge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(“Fab 3 machinery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The Equipment Financing Credit Agreement provides for loans for MSK’s capital expenditures (the “CAPEX Loans”) up to an aggregate of KRW 38,000,000,000 ($26.5 million based on the KRW/USD exchange rate of 1,432.7:1 as of December 16, 2024 as quoted by KEB Hana Bank), which will be funded directly to capital expenditure supply vendors by KDB upon the submission of a request form by MSK with the necessary evidence such as purchase agreement, invoice and other documentation,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CAPEX Loans will bear interest at a fixed rate quoted by the treasury bond market yield (a six-year Korea treasury bill rate). CAPEX Loans mature in ten years from the initial loan disbursement date, with an initial two-year (measured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the aggregate principal amount outstanding under the CAPEX Loans was approximately $10.4 million, which bears a weighted average interest rate of 2.66% per annum and matures on June 26, 2035.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Macroeconomic Industry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continues to face a number of macroeconomic challenges, including rising inflation, increased interest rates, supply chain disruptions, inventory corrections, shifting customer and end-user demand, fluctuations in currency rates, and geopolitical tensions, including without limitation ongoing conflicts involving Russia and Ukraine, sustained military action and conflicts in the Middle East, and trade conflicts or trade wars (especially those between the United States and China) including those arising directly or indirectly from tariffs recently imposed by the United States, any one or more of which may cause (if they have not already caused) volatility and unpredictability in the supply chain or market for semiconductor products and end-user demand. The length and severity of these macroeconomic events and their overall impact on our business, results of operations and financial condition remain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Developments in Export Control Regulations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On January 16, 2025, BIS published amendments and clarifications of the U.S. Export Regulations which further tightened controls of advanced computing items. On September 30, 2025, BIS published an “Affiliates Rule,” effective immediately, to expand end-user controls to cover certain affiliates of entities designated on BIS Entity List or Military End User List or designated on the Specially Designated Nationals and Blocked Persons (SDN) List administered by the U.S. Department of the Treasury, Office of Foreign Assets Control. Based on our understanding of the U.S. Export Regulations and related rules currently in effect, we expect to invest additional resources and efforts in the screening of prospects, customers, and end-users in order to comply with the new Affiliates Rule; while we do not anticipate that the rest of the rules will have a material impact on our current business, we will continue reviewing and assessing these rules and regulations and their potential impact on our business. Additional changes to the U.S. Export Regulations are expected, such as recently proposed rule changes that may expand restrictions on export transactions involving end users or end uses with military connections; but the scope or timing of such changes is uncertain. We will continue to monitor such developments, including potential additional trade restrictions, and other regulatory or policy changes by the U.S. and foreign governments.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Explanation and Reconciliation of Non-U.S. GAAP Measures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Adjusted EBITDA, Adjusted Operating Income (Loss) and Adjusted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equity-based compensation expense, (ii) foreign currency loss (gain), net, (iii) derivative valuation loss (gain), net and (iv) early termination and other charges. EBITDA for the periods indicated is defined as net income (loss) before interest income, interest expense, income tax expense (benefit), net and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See the footnotes to the table below for further information regarding these items. We present Adjusted EBITDA as a supplemental measure of our performance because: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useful for investors, among other reasons, to assess a company’s period-to-period core operating performance and to understand and assess the manner in which management analyzes operating performance.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use Adjusted EBITDA in a number of ways, including: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planning purposes, including the preparation of our annual operating budget;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evaluate the effectiveness of our enterprise level business strategies;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communications with our Board of Directors concerning our consolidated financial performance; and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certain of our compensation plans as a performance measure for determining incentive compensation payments.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A reconciliation of loss to Adjusted EBITDA from continuing operations is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0"/>
        <w:gridCol w:w="120"/>
        <w:gridCol w:w="315"/>
        <w:gridCol w:w="1160"/>
        <w:gridCol w:w="155"/>
        <w:gridCol w:w="120"/>
        <w:gridCol w:w="385"/>
        <w:gridCol w:w="1090"/>
        <w:gridCol w:w="155"/>
        <w:gridCol w:w="120"/>
        <w:gridCol w:w="385"/>
        <w:gridCol w:w="1090"/>
        <w:gridCol w:w="155"/>
        <w:gridCol w:w="120"/>
        <w:gridCol w:w="315"/>
        <w:gridCol w:w="1160"/>
        <w:gridCol w:w="170"/>
      </w:tblGrid>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2024</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(19.6</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(6.2</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1.1</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 net</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11.0</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EBITDA from continuing operations</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(11.4</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3.5</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(gain), net(b)</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3.4</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net(c)</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charges(d)</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 from continuing operations</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(4.6</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(d)</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three months ended September 30, 2025, this adjustment eliminates $2.6 million of termination-related charges in connection with the voluntary resignation program and $1.4 million of certain executive separation benefits. For the nine months ended September 30, 2025, this adjustment eliminates $2.6 million of termination-related charges, $1.7 million of certain executive separation benefits and $0.5 million of one-time employee incentives. As this adjustment meaningfully impacted our operating results and is not expected to represent an ongoing operating expense or income to us, we believe our operating performance results are more usefully compared if this adjustment is excluded.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our cash expenditures, or future requirements, for capital expenditures or contractual commitments;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interest expense, or the cash requirements necessary to service interest or principal payments, on our debt;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need to be replaced in the future, and Adjusted EBITDA does not reflect any cash requirements for such replacements;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consider the potentially dilutive impact of issuing equity-based compensation to our management team and employees;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EBITDA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similar to the adjustments in this presentation. We define Adjusted Operating Income (Loss) for the periods indicated as operating income (loss) adjusted to exclude (i) equity-based compensation expense and (ii) early termination and other charges.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operating loss that we make in order to calculate Adjusted Operating Loss for the periods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0"/>
        <w:gridCol w:w="120"/>
        <w:gridCol w:w="315"/>
        <w:gridCol w:w="1160"/>
        <w:gridCol w:w="155"/>
        <w:gridCol w:w="120"/>
        <w:gridCol w:w="315"/>
        <w:gridCol w:w="1160"/>
        <w:gridCol w:w="155"/>
        <w:gridCol w:w="120"/>
        <w:gridCol w:w="385"/>
        <w:gridCol w:w="1090"/>
        <w:gridCol w:w="155"/>
        <w:gridCol w:w="120"/>
        <w:gridCol w:w="315"/>
        <w:gridCol w:w="1160"/>
        <w:gridCol w:w="170"/>
      </w:tblGrid>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2024</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(19.1</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charges(b)</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Operating Loss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(15.6</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(b)</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three months ended September 30, 2025, this adjustment eliminates $2.6 million of termination-related charges in connection with the voluntary resignation program and $1.4 million of certain executive separation benefits. For the nine months ended September 30, 2025, this adjustment eliminates $2.6 million of termination-related charges, $1.7 million of certain executive separation benefits and $0.5 million of one-time employee incentives. As this adjustment meaningfully impacted our operating results and is not expected to represent an ongoing operating expense or income to us, we believe our operating performance results are more usefully compared if this adjustment is excluded.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(including on a per share basis)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similar to the adjustments in this presentation. We define Adjusted Net Income (Loss) (including on a per share basis); for the periods indicated as net income (loss), adjusted to exclude (i) equity-based compensation expense, (ii) foreign currency loss (gain), net, (iii) derivative valuation loss (gain), net, (iv) early termination and other charges and (v) income tax effect on non-GAAP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loss from continuing operations that we make in order to calculate Adjusted Loss (including on a per share basis) from continuing operations for the periods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0"/>
        <w:gridCol w:w="120"/>
        <w:gridCol w:w="166"/>
        <w:gridCol w:w="1309"/>
        <w:gridCol w:w="155"/>
        <w:gridCol w:w="120"/>
        <w:gridCol w:w="166"/>
        <w:gridCol w:w="1309"/>
        <w:gridCol w:w="155"/>
        <w:gridCol w:w="120"/>
        <w:gridCol w:w="166"/>
        <w:gridCol w:w="1309"/>
        <w:gridCol w:w="155"/>
        <w:gridCol w:w="120"/>
        <w:gridCol w:w="166"/>
        <w:gridCol w:w="1309"/>
        <w:gridCol w:w="170"/>
      </w:tblGrid>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2024</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283"/>
              <w:jc w:val="center"/>
              <w:rPr>
                <w:b/>
              </w:rPr>
            </w:pPr>
            <w:r>
              <w:rPr>
                <w:b/>
              </w:rPr>
              <w:t>(Dollars in millions, except per share data)</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(19.6</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(gain), net(b)</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3.4</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effect on non-GAAP adjustments(e)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from continuing operations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(14.1</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Reported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(0.52</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Reported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(0.52</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35,934,406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36,298,491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37,468,849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38,060,682</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35,934,406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36,298,491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37,468,849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38,060,682</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(0.37</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(0.37</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35,934,406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36,298,491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37,468,849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38,060,682</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35,934,406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36,298,491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37,468,849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38,060,682</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(d)</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three months ended September 30, 2025, this adjustment eliminates $2.6 million of termination-related charges in connection with the voluntary resignation program and $1.4 million of certain executive separation benefits. For the nine months ended September 30, 2025, this adjustment eliminates $2.6 million of termination-related charges, $1.7 million of certain executive separation benefits and $0.5 million of one-time employee incentives. As this adjustment meaningfully impacted our operating results and is not expected to represent an ongoing operating expense or income to us, we believe our operating performance results are more usefully compared if this adjustment is excluded.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(e)</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three and nine months ended September 30, 2025 and 2024, income tax effect on non-GAAP adjustments were calculated by calculating the tax expense of each jurisdiction with or without the non-GAAP adjustments. For the three and nine months ended September 30, 2025, income tax effect on non-GAAP adjustments related to our Korean subsidiary was positive $1.8 million and negative $0.4 million, respectively. For the three and nine months ended September 30, 2024, income tax effect on non-GAAP adjustments related to our Korean subsidiary was negative $0.1 million and negative $1.3 million, respectively.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believe that all adjustments to income (loss) from continuing operations used to calculate Adjusted Net Income (Loss) from continuing operations was applied consistently to the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consider the potentially dilutive impact of issuing equity-based compensation to our management team and employees;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Net Income (Loss)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Factors Affecting Our Results of Operations </w:t>
      </w:r>
    </w:p>
    <w:p>
      <w:pPr>
        <w:pStyle w:val="TextBody"/>
        <w:bidi w:val="0"/>
        <w:spacing w:before="120" w:after="0"/>
        <w:jc w:val="left"/>
        <w:rPr>
          <w:rFonts w:ascii="Times New Roman" w:hAnsi="Times New Roman"/>
          <w:sz w:val="20"/>
        </w:rPr>
      </w:pPr>
      <w:r>
        <w:rPr>
          <w:rFonts w:ascii="Times New Roman" w:hAnsi="Times New Roman"/>
          <w:b/>
          <w:i/>
          <w:sz w:val="20"/>
        </w:rPr>
        <w:t>Net</w:t>
      </w:r>
      <w:r>
        <w:rPr>
          <w:rFonts w:ascii="Times New Roman" w:hAnsi="Times New Roman"/>
          <w:sz w:val="20"/>
        </w:rPr>
        <w:t xml:space="preserve"> </w:t>
      </w:r>
      <w:r>
        <w:rPr>
          <w:rFonts w:ascii="Times New Roman" w:hAnsi="Times New Roman"/>
          <w:b/>
          <w:i/>
          <w:sz w:val="20"/>
        </w:rPr>
        <w:t>Sales.</w:t>
      </w:r>
      <w:r>
        <w:rPr>
          <w:rFonts w:ascii="Times New Roman" w:hAnsi="Times New Roman"/>
          <w:sz w:val="20"/>
        </w:rPr>
        <w:t xml:space="preserve"> We derive substantially all of our sales (net of sales returns and allowances) from our Power solutions business.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when a customer obtains control of the product, which is generally upon product shipment, delivery at the customer’s location or upon customer acceptance, depending on the terms of the arrangement. For the nine months ended September 30, 2025 and 2024, we sold products to 173 and 147 customers, respectively, and our net sales to our ten largest customers represented 74.2% and 72.5% of our net sales – Power solutions business, respectively. </w:t>
      </w:r>
    </w:p>
    <w:p>
      <w:pPr>
        <w:pStyle w:val="TextBody"/>
        <w:bidi w:val="0"/>
        <w:spacing w:before="240" w:after="0"/>
        <w:jc w:val="left"/>
        <w:rPr>
          <w:rFonts w:ascii="Times New Roman" w:hAnsi="Times New Roman"/>
          <w:sz w:val="20"/>
        </w:rPr>
      </w:pPr>
      <w:r>
        <w:rPr>
          <w:rFonts w:ascii="Times New Roman" w:hAnsi="Times New Roman"/>
          <w:b/>
          <w:i/>
          <w:sz w:val="20"/>
        </w:rPr>
        <w:t>Gross Profit.</w:t>
      </w:r>
      <w:r>
        <w:rPr>
          <w:rFonts w:ascii="Times New Roman" w:hAnsi="Times New Roman"/>
          <w:sz w:val="20"/>
        </w:rPr>
        <w:t xml:space="preserve"> 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before="240" w:after="0"/>
        <w:jc w:val="left"/>
        <w:rPr>
          <w:rFonts w:ascii="Times New Roman" w:hAnsi="Times New Roman"/>
          <w:sz w:val="20"/>
        </w:rPr>
      </w:pPr>
      <w:r>
        <w:rPr>
          <w:rFonts w:ascii="Times New Roman" w:hAnsi="Times New Roman"/>
          <w:b/>
          <w:i/>
          <w:sz w:val="20"/>
        </w:rPr>
        <w:t>Average</w:t>
      </w:r>
      <w:r>
        <w:rPr>
          <w:rFonts w:ascii="Times New Roman" w:hAnsi="Times New Roman"/>
          <w:sz w:val="20"/>
        </w:rPr>
        <w:t xml:space="preserve"> </w:t>
      </w: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Prices (“ASP”).</w:t>
      </w:r>
      <w:r>
        <w:rPr>
          <w:rFonts w:ascii="Times New Roman" w:hAnsi="Times New Roman"/>
          <w:sz w:val="20"/>
        </w:rPr>
        <w:t xml:space="preserve"> Average selling prices for our products tend to be highest at the time of introduction of new products which utilize the 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before="240" w:after="0"/>
        <w:jc w:val="left"/>
        <w:rPr>
          <w:rFonts w:ascii="Times New Roman" w:hAnsi="Times New Roman"/>
          <w:sz w:val="20"/>
        </w:rPr>
      </w:pPr>
      <w:r>
        <w:rPr>
          <w:rFonts w:ascii="Times New Roman" w:hAnsi="Times New Roman"/>
          <w:b/>
          <w:i/>
          <w:sz w:val="20"/>
        </w:rPr>
        <w:t>Material Costs.</w:t>
      </w:r>
      <w:r>
        <w:rPr>
          <w:rFonts w:ascii="Times New Roman" w:hAnsi="Times New Roman"/>
          <w:sz w:val="20"/>
        </w:rPr>
        <w:t xml:space="preserve"> 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spacing w:before="240" w:after="0"/>
        <w:jc w:val="left"/>
        <w:rPr>
          <w:rFonts w:ascii="Times New Roman" w:hAnsi="Times New Roman"/>
          <w:sz w:val="20"/>
        </w:rPr>
      </w:pPr>
      <w:r>
        <w:rPr>
          <w:rFonts w:ascii="Times New Roman" w:hAnsi="Times New Roman"/>
          <w:b/>
          <w:i/>
          <w:sz w:val="20"/>
        </w:rPr>
        <w:t>Labor</w:t>
      </w:r>
      <w:r>
        <w:rPr>
          <w:rFonts w:ascii="Times New Roman" w:hAnsi="Times New Roman"/>
          <w:sz w:val="20"/>
        </w:rPr>
        <w:t xml:space="preserve"> </w:t>
      </w:r>
      <w:r>
        <w:rPr>
          <w:rFonts w:ascii="Times New Roman" w:hAnsi="Times New Roman"/>
          <w:b/>
          <w:i/>
          <w:sz w:val="20"/>
        </w:rPr>
        <w:t>Costs.</w:t>
      </w:r>
      <w:r>
        <w:rPr>
          <w:rFonts w:ascii="Times New Roman" w:hAnsi="Times New Roman"/>
          <w:sz w:val="20"/>
        </w:rPr>
        <w:t xml:space="preserve"> 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September 30, 2025, 97% of our employees were eligible for severance benefits. </w:t>
      </w:r>
    </w:p>
    <w:p>
      <w:pPr>
        <w:pStyle w:val="TextBody"/>
        <w:bidi w:val="0"/>
        <w:spacing w:before="240" w:after="0"/>
        <w:jc w:val="left"/>
        <w:rPr>
          <w:rFonts w:ascii="Times New Roman" w:hAnsi="Times New Roman"/>
          <w:sz w:val="20"/>
        </w:rPr>
      </w:pPr>
      <w:r>
        <w:rPr>
          <w:rFonts w:ascii="Times New Roman" w:hAnsi="Times New Roman"/>
          <w:b/>
          <w:i/>
          <w:sz w:val="20"/>
        </w:rPr>
        <w:t>Depreciation Expense.</w:t>
      </w:r>
      <w:r>
        <w:rPr>
          <w:rFonts w:ascii="Times New Roman" w:hAnsi="Times New Roman"/>
          <w:sz w:val="20"/>
        </w:rPr>
        <w:t xml:space="preserve"> We periodically evaluate the carrying values of long-lived assets, including property, plant and equipment and intangible assets, as well as the related depreciation periods. We depreciate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 </w:t>
      </w:r>
    </w:p>
    <w:p>
      <w:pPr>
        <w:pStyle w:val="TextBody"/>
        <w:bidi w:val="0"/>
        <w:spacing w:before="24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before="24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discrete business are certain equipment, material and design-related costs for Power discrete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Impact of Foreign Currency Exchange Rates on Reported Results of Operations.</w:t>
      </w:r>
      <w:r>
        <w:rPr>
          <w:rFonts w:ascii="Times New Roman" w:hAnsi="Times New Roman"/>
          <w:sz w:val="20"/>
        </w:rPr>
        <w:t xml:space="preserve"> Historically, a portion of our revenues and cost of sales and 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one of our Korean subsidiaries, Magnachip Semiconductor, Ltd. or MSK, which is denominated in U.S. dollars. As of September 30, 2025, the outstanding intercompany loan balance including accrued interest between MSK and our Dutch subsidiary was $244.7 million.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w:t>
      </w:r>
    </w:p>
    <w:p>
      <w:pPr>
        <w:pStyle w:val="TextBody"/>
        <w:bidi w:val="0"/>
        <w:spacing w:before="240" w:after="0"/>
        <w:jc w:val="left"/>
        <w:rPr>
          <w:rFonts w:ascii="Times New Roman" w:hAnsi="Times New Roman"/>
          <w:sz w:val="20"/>
        </w:rPr>
      </w:pPr>
      <w:r>
        <w:rPr>
          <w:rFonts w:ascii="Times New Roman" w:hAnsi="Times New Roman"/>
          <w:b/>
          <w:i/>
          <w:sz w:val="20"/>
        </w:rPr>
        <w:t>Foreign Currency Gain or Loss.</w:t>
      </w:r>
      <w:r>
        <w:rPr>
          <w:rFonts w:ascii="Times New Roman" w:hAnsi="Times New Roman"/>
          <w:sz w:val="20"/>
        </w:rPr>
        <w:t xml:space="preserve"> Foreign currency translation gains or losses on transactions by us or our subsidiaries in a currency other than our or our subsidiaries’ functional currency are included in foreign currency gain (loss), net in our consolidated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 </w:t>
      </w:r>
    </w:p>
    <w:p>
      <w:pPr>
        <w:pStyle w:val="TextBody"/>
        <w:bidi w:val="0"/>
        <w:spacing w:before="240" w:after="0"/>
        <w:jc w:val="left"/>
        <w:rPr>
          <w:rFonts w:ascii="Times New Roman" w:hAnsi="Times New Roman"/>
          <w:sz w:val="20"/>
        </w:rPr>
      </w:pPr>
      <w:r>
        <w:rPr>
          <w:rFonts w:ascii="Times New Roman" w:hAnsi="Times New Roman"/>
          <w:b/>
          <w:i/>
          <w:sz w:val="20"/>
        </w:rPr>
        <w:t>Income Taxes.</w:t>
      </w:r>
      <w:r>
        <w:rPr>
          <w:rFonts w:ascii="Times New Roman" w:hAnsi="Times New Roman"/>
          <w:sz w:val="20"/>
        </w:rPr>
        <w:t xml:space="preserve"> 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income-or non-income-based tax examinations by tax authorities of the U.S., Korea and multiple other foreign jurisdictions for all open tax years. Significant estimates and judgments are required in determining our worldwide provision for income-or non-income based taxes. Some of these estimates are based on interpretations of existing tax laws or regulations. The ultimate amount of tax liability may be uncertain as a result. </w:t>
      </w:r>
    </w:p>
    <w:p>
      <w:pPr>
        <w:pStyle w:val="TextBody"/>
        <w:bidi w:val="0"/>
        <w:spacing w:before="240" w:after="0"/>
        <w:jc w:val="left"/>
        <w:rPr>
          <w:rFonts w:ascii="Times New Roman" w:hAnsi="Times New Roman"/>
          <w:sz w:val="20"/>
        </w:rPr>
      </w:pPr>
      <w:r>
        <w:rPr>
          <w:rFonts w:ascii="Times New Roman" w:hAnsi="Times New Roman"/>
          <w:b/>
          <w:i/>
          <w:sz w:val="20"/>
        </w:rPr>
        <w:t>Capital</w:t>
      </w:r>
      <w:r>
        <w:rPr>
          <w:rFonts w:ascii="Times New Roman" w:hAnsi="Times New Roman"/>
          <w:sz w:val="20"/>
        </w:rPr>
        <w:t xml:space="preserve"> </w:t>
      </w:r>
      <w:r>
        <w:rPr>
          <w:rFonts w:ascii="Times New Roman" w:hAnsi="Times New Roman"/>
          <w:b/>
          <w:i/>
          <w:sz w:val="20"/>
        </w:rPr>
        <w:t>Expenditures.</w:t>
      </w:r>
      <w:r>
        <w:rPr>
          <w:rFonts w:ascii="Times New Roman" w:hAnsi="Times New Roman"/>
          <w:sz w:val="20"/>
        </w:rPr>
        <w:t xml:space="preserve"> 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before="240" w:after="0"/>
        <w:jc w:val="left"/>
        <w:rPr>
          <w:rFonts w:ascii="Times New Roman" w:hAnsi="Times New Roman"/>
          <w:sz w:val="20"/>
        </w:rPr>
      </w:pPr>
      <w:r>
        <w:rPr>
          <w:rFonts w:ascii="Times New Roman" w:hAnsi="Times New Roman"/>
          <w:b/>
          <w:i/>
          <w:sz w:val="20"/>
        </w:rPr>
        <w:t>Inventories.</w:t>
      </w:r>
      <w:r>
        <w:rPr>
          <w:rFonts w:ascii="Times New Roman" w:hAnsi="Times New Roman"/>
          <w:sz w:val="20"/>
        </w:rPr>
        <w:t xml:space="preserve"> 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Three Months Ended September 30,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consolidated results of operations for the three months ended September 30,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8"/>
        <w:gridCol w:w="120"/>
        <w:gridCol w:w="207"/>
        <w:gridCol w:w="763"/>
        <w:gridCol w:w="229"/>
        <w:gridCol w:w="88"/>
        <w:gridCol w:w="152"/>
        <w:gridCol w:w="1443"/>
        <w:gridCol w:w="275"/>
        <w:gridCol w:w="60"/>
        <w:gridCol w:w="218"/>
        <w:gridCol w:w="687"/>
        <w:gridCol w:w="242"/>
        <w:gridCol w:w="93"/>
        <w:gridCol w:w="152"/>
        <w:gridCol w:w="1443"/>
        <w:gridCol w:w="275"/>
        <w:gridCol w:w="60"/>
        <w:gridCol w:w="183"/>
        <w:gridCol w:w="677"/>
        <w:gridCol w:w="170"/>
      </w:tblGrid>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47"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45.9</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687" w:type="dxa"/>
            <w:tcBorders/>
            <w:vAlign w:val="center"/>
          </w:tcPr>
          <w:p>
            <w:pPr>
              <w:pStyle w:val="TableContents"/>
              <w:bidi w:val="0"/>
              <w:spacing w:before="0" w:after="283"/>
              <w:jc w:val="right"/>
              <w:rPr/>
            </w:pPr>
            <w:r>
              <w:rPr/>
              <w:t>53.0</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95.6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2.4</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(2.4</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45.9</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55.4</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(9.5</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Power solutions business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37.4</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41.3</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(3.9</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2.6</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37.4</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43.9</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(6.5</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8.5</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11.5</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8.3</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18.1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9.5</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7.8</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6.5</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4.0</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4.0</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(11.5</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(4.5</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(7.1</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1.3</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1.9</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(0.7</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(0.5</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(0.5</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0.0</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(4.3</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(9.3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5.2</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(9.5</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0.3</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(0.0</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0.3</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(3.2</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6.7</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(9.9</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before income tax expense (benefit), net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(14.8</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(32.2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2.2</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(17.0</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 net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(4.2</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6.1</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(10.3</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(10.6</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(3.9</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(6.7</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(2.5</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(5.7</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3.2</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(13.1</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(9.6</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763" w:type="dxa"/>
            <w:tcBorders/>
            <w:vAlign w:val="center"/>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double" w:sz="6" w:space="1" w:color="000000"/>
              </w:pBdr>
              <w:bidi w:val="0"/>
              <w:spacing w:before="0" w:after="0"/>
              <w:jc w:val="left"/>
              <w:rPr/>
            </w:pPr>
            <w:r>
              <w:rPr/>
              <w:t> </w:t>
            </w:r>
          </w:p>
        </w:tc>
        <w:tc>
          <w:tcPr>
            <w:tcW w:w="687" w:type="dxa"/>
            <w:tcBorders/>
            <w:vAlign w:val="center"/>
          </w:tcPr>
          <w:p>
            <w:pPr>
              <w:pStyle w:val="TableContents"/>
              <w:pBdr>
                <w:top w:val="double" w:sz="6"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3"/>
        <w:gridCol w:w="120"/>
        <w:gridCol w:w="224"/>
        <w:gridCol w:w="704"/>
        <w:gridCol w:w="96"/>
        <w:gridCol w:w="192"/>
        <w:gridCol w:w="154"/>
        <w:gridCol w:w="1441"/>
        <w:gridCol w:w="275"/>
        <w:gridCol w:w="60"/>
        <w:gridCol w:w="224"/>
        <w:gridCol w:w="704"/>
        <w:gridCol w:w="96"/>
        <w:gridCol w:w="192"/>
        <w:gridCol w:w="154"/>
        <w:gridCol w:w="1441"/>
        <w:gridCol w:w="275"/>
        <w:gridCol w:w="60"/>
        <w:gridCol w:w="225"/>
        <w:gridCol w:w="635"/>
        <w:gridCol w:w="170"/>
      </w:tblGrid>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5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41.5</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90.4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47.6</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4.4</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5.4</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45.9</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53.0</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95.6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(7.0</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2.4</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45.9</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55.4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(9.5</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871"/>
        <w:gridCol w:w="120"/>
        <w:gridCol w:w="271"/>
        <w:gridCol w:w="620"/>
        <w:gridCol w:w="116"/>
        <w:gridCol w:w="232"/>
        <w:gridCol w:w="116"/>
        <w:gridCol w:w="855"/>
        <w:gridCol w:w="275"/>
        <w:gridCol w:w="60"/>
        <w:gridCol w:w="238"/>
        <w:gridCol w:w="750"/>
        <w:gridCol w:w="264"/>
        <w:gridCol w:w="102"/>
        <w:gridCol w:w="113"/>
        <w:gridCol w:w="837"/>
        <w:gridCol w:w="275"/>
        <w:gridCol w:w="60"/>
        <w:gridCol w:w="225"/>
        <w:gridCol w:w="635"/>
        <w:gridCol w:w="170"/>
      </w:tblGrid>
      <w:tr>
        <w:trPr/>
        <w:tc>
          <w:tcPr>
            <w:tcW w:w="38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87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387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44"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87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85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750"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Power solutions business</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6.6</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9.2</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38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1.9</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pPr>
            <w:r>
              <w:rPr/>
              <w:t>43.2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2.4</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44.6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(0.5</w:t>
            </w:r>
          </w:p>
        </w:tc>
        <w:tc>
          <w:tcPr>
            <w:tcW w:w="170" w:type="dxa"/>
            <w:tcBorders/>
            <w:vAlign w:val="center"/>
          </w:tcPr>
          <w:p>
            <w:pPr>
              <w:pStyle w:val="TableContents"/>
              <w:bidi w:val="0"/>
              <w:spacing w:before="0" w:after="283"/>
              <w:jc w:val="left"/>
              <w:rPr/>
            </w:pPr>
            <w:r>
              <w:rPr/>
              <w:t>) </w:t>
            </w:r>
          </w:p>
        </w:tc>
      </w:tr>
      <w:tr>
        <w:trPr/>
        <w:tc>
          <w:tcPr>
            <w:tcW w:w="38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single" w:sz="2" w:space="1" w:color="000000"/>
              </w:pBdr>
              <w:bidi w:val="0"/>
              <w:spacing w:before="0" w:after="0"/>
              <w:jc w:val="left"/>
              <w:rPr/>
            </w:pPr>
            <w:r>
              <w:rPr/>
              <w:t> </w:t>
            </w:r>
          </w:p>
        </w:tc>
        <w:tc>
          <w:tcPr>
            <w:tcW w:w="750" w:type="dxa"/>
            <w:tcBorders/>
            <w:vAlign w:val="center"/>
          </w:tcPr>
          <w:p>
            <w:pPr>
              <w:pStyle w:val="TableContents"/>
              <w:pBdr>
                <w:top w:val="single" w:sz="2"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8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8.5</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11.7</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(3.1</w:t>
            </w:r>
          </w:p>
        </w:tc>
        <w:tc>
          <w:tcPr>
            <w:tcW w:w="170" w:type="dxa"/>
            <w:tcBorders/>
            <w:shd w:fill="CCEEFF" w:val="clear"/>
            <w:vAlign w:val="center"/>
          </w:tcPr>
          <w:p>
            <w:pPr>
              <w:pStyle w:val="TableContents"/>
              <w:bidi w:val="0"/>
              <w:spacing w:before="0" w:after="283"/>
              <w:jc w:val="left"/>
              <w:rPr/>
            </w:pPr>
            <w:r>
              <w:rPr/>
              <w:t>) </w:t>
            </w:r>
          </w:p>
        </w:tc>
      </w:tr>
      <w:tr>
        <w:trPr/>
        <w:tc>
          <w:tcPr>
            <w:tcW w:w="38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(0.2</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38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single" w:sz="2" w:space="1" w:color="000000"/>
              </w:pBdr>
              <w:bidi w:val="0"/>
              <w:spacing w:before="0" w:after="0"/>
              <w:jc w:val="left"/>
              <w:rPr/>
            </w:pPr>
            <w:r>
              <w:rPr/>
              <w:t> </w:t>
            </w:r>
          </w:p>
        </w:tc>
        <w:tc>
          <w:tcPr>
            <w:tcW w:w="750" w:type="dxa"/>
            <w:tcBorders/>
            <w:vAlign w:val="center"/>
          </w:tcPr>
          <w:p>
            <w:pPr>
              <w:pStyle w:val="TableContents"/>
              <w:pBdr>
                <w:top w:val="single" w:sz="2"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8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8.5</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11.5</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38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double" w:sz="6" w:space="1" w:color="000000"/>
              </w:pBdr>
              <w:bidi w:val="0"/>
              <w:spacing w:before="0" w:after="0"/>
              <w:jc w:val="left"/>
              <w:rPr/>
            </w:pPr>
            <w:r>
              <w:rPr/>
              <w:t> </w:t>
            </w:r>
          </w:p>
        </w:tc>
        <w:tc>
          <w:tcPr>
            <w:tcW w:w="750" w:type="dxa"/>
            <w:tcBorders/>
            <w:vAlign w:val="center"/>
          </w:tcPr>
          <w:p>
            <w:pPr>
              <w:pStyle w:val="TableContents"/>
              <w:pBdr>
                <w:top w:val="double" w:sz="6"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$45.9 million for the three months ended September 30, 2025, a $9.5 million, or 17.1%, decrease compared to $55.4 million for the three months ended September 30, 2024. This decrease was primarily due to a decrease in revenue related to our Power solutions business as described below. </w:t>
      </w:r>
    </w:p>
    <w:p>
      <w:pPr>
        <w:pStyle w:val="TextBody"/>
        <w:bidi w:val="0"/>
        <w:spacing w:before="240" w:after="0"/>
        <w:jc w:val="left"/>
        <w:rPr>
          <w:rFonts w:ascii="Times New Roman" w:hAnsi="Times New Roman"/>
          <w:sz w:val="20"/>
        </w:rPr>
      </w:pPr>
      <w:r>
        <w:rPr>
          <w:rFonts w:ascii="Times New Roman" w:hAnsi="Times New Roman"/>
          <w:b/>
          <w:i/>
          <w:sz w:val="20"/>
        </w:rPr>
        <w:t>The Power solutions business.</w:t>
      </w:r>
      <w:r>
        <w:rPr>
          <w:rFonts w:ascii="Times New Roman" w:hAnsi="Times New Roman"/>
          <w:sz w:val="20"/>
        </w:rPr>
        <w:t xml:space="preserve"> Net sales from our Power solutions business were $45.9 million for the three months ended September 30, 2025, a $7.0 million, or 13.3%, decrease compared to $53.0 million for the three months ended September 30, 2024. The decrease in net sales from our Power solutions business line was primarily attributable to the competitive pricing pressure on our older generation products, particularly in China, which was offset in part by a higher demand for low-voltage MOSFETs in communication applications. A lower demand for our Power IC products, primarily for OLED IT devices, also had an unfavorable impact on net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$8.5 million for the three months ended September 30, 2025 compared to $11.5 million for the three months ended September 30, 2024, a $3.0 million, or 25.8%, decrease. Gross profit as a percentage of net sales for the three months ended September 30, 2025 decreased to 18.6% compared to 20.8% for the three months ended September 30, 2024. The decrease in gross profit and gross profit as a percentage of net sales was primarily due to our Power solutions business as further described below. </w:t>
      </w:r>
    </w:p>
    <w:p>
      <w:pPr>
        <w:pStyle w:val="TextBody"/>
        <w:bidi w:val="0"/>
        <w:spacing w:before="240" w:after="0"/>
        <w:jc w:val="left"/>
        <w:rPr>
          <w:rFonts w:ascii="Times New Roman" w:hAnsi="Times New Roman"/>
          <w:sz w:val="20"/>
        </w:rPr>
      </w:pPr>
      <w:r>
        <w:rPr>
          <w:rFonts w:ascii="Times New Roman" w:hAnsi="Times New Roman"/>
          <w:b/>
          <w:i/>
          <w:sz w:val="20"/>
        </w:rPr>
        <w:t>The Power solutions business.</w:t>
      </w:r>
      <w:r>
        <w:rPr>
          <w:rFonts w:ascii="Times New Roman" w:hAnsi="Times New Roman"/>
          <w:sz w:val="20"/>
        </w:rPr>
        <w:t xml:space="preserve"> Gross profit from our Power solutions business was $8.5 million for the three months ended September 30, 2025, which represented a $3.1 million, or 26.8%, decrease from gross profit of $11.7 million for the three months ended September 30, 2024. Gross profit as a percentage of net sales for the three months ended September 30, 2025 decreased to 18.6% compared to 22.0% for the three months ended September 30, 2024. The year-over-year decrease in gross profit and gross profit as a percentage of net sales was primarily attributable to an unfavorable product mix primarily relating to ASP erosion due to increased pricing pressure on our older generation products, particularly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Power solutions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Power solutions business by geographic region based on the location to which the products are billed. The following table sets forth our net sales – Power solutions business by geographic region and the percentage of total net sales – Power solutions business represented by each geographic region for the three months ended September 30, 2025 and 2024: </w:t>
      </w:r>
    </w:p>
    <w:p>
      <w:pPr>
        <w:pStyle w:val="TextBody"/>
        <w:bidi w:val="0"/>
        <w:spacing w:before="0" w:after="0"/>
        <w:jc w:val="left"/>
        <w:rPr/>
      </w:pPr>
      <w:r>
        <w:rPr/>
        <w:t> </w:t>
      </w:r>
    </w:p>
    <w:tbl>
      <w:tblPr>
        <w:tblW w:w="9022" w:type="dxa"/>
        <w:jc w:val="left"/>
        <w:tblInd w:w="0" w:type="dxa"/>
        <w:tblLayout w:type="fixed"/>
        <w:tblCellMar>
          <w:top w:w="0" w:type="dxa"/>
          <w:left w:w="0" w:type="dxa"/>
          <w:bottom w:w="0" w:type="dxa"/>
          <w:right w:w="0" w:type="dxa"/>
        </w:tblCellMar>
      </w:tblPr>
      <w:tblGrid>
        <w:gridCol w:w="2510"/>
        <w:gridCol w:w="120"/>
        <w:gridCol w:w="224"/>
        <w:gridCol w:w="704"/>
        <w:gridCol w:w="96"/>
        <w:gridCol w:w="192"/>
        <w:gridCol w:w="109"/>
        <w:gridCol w:w="1021"/>
        <w:gridCol w:w="275"/>
        <w:gridCol w:w="60"/>
        <w:gridCol w:w="224"/>
        <w:gridCol w:w="704"/>
        <w:gridCol w:w="96"/>
        <w:gridCol w:w="192"/>
        <w:gridCol w:w="109"/>
        <w:gridCol w:w="1021"/>
        <w:gridCol w:w="275"/>
        <w:gridCol w:w="60"/>
        <w:gridCol w:w="225"/>
        <w:gridCol w:w="635"/>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 –</w:t>
              <w:br/>
              <w:t>Power</w:t>
              <w:br/>
              <w:t>solutions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 –</w:t>
              <w:br/>
              <w:t>Power</w:t>
              <w:br/>
              <w:t>solutions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2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23.3</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22.9</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0.4</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20.3</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44.2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28.2</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(7.9</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1.1</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0.7</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1.2</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1.2</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(0.0</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45.9</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53.0</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(7.0</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Power solutions business in Korea slightly increased from $22.9 million for the three months ended September 30, 2024 to $23.3 million for the three months ended September 30, 2025, or by $0.4 million, or 1.6%, primarily due to an increased demand for power products such as low-voltage MOSFETs in communication applications, which was offset in part by a lower demand for high-end MOSFETs in consumer applications. A lower demand for our Power IC products, primarily for OLED IT devices, also had an unfavorable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Power solutions business in Asia Pacific (other than Korea) decreased from $28.2 million for the three months ended September 30, 2024 to $20.3 million for the three months ended September 30, 2025, or by $7.9 million, or 28.0%, primarily due to a decreased revenue from the competitive pricing pressure on our older generation products in industrial and consumer applications, which was offset in part by a higher demand for low-voltage MOSFETs in communication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$8.3 million, or 18.1% of total revenues, for the three months ended September 30, 2025, compared to $9.5 million, or 17.2% of total revenues, for the three months ended September 30, 2024. The decrease of $1.2 million, or 12.7%, was primarily attributable to a decrease in employee compensation, mainly due to the forfeiture of equity-based compensation in connection with the separation of certain executive officers.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$7.8 million, or 16.9% of total revenues, for the three months ended September 30, 2025, compared to $6.5 million, or 11.7% of total revenues, for the three months ended September 30, 2024. The increase of $1.3 million, or 20.1%, was primarily attributable to higher personnel costs resulting from the increased headcount of research and development staff and an increase in material costs for power products based on the timing of development activities. </w:t>
      </w:r>
    </w:p>
    <w:p>
      <w:pPr>
        <w:pStyle w:val="TextBody"/>
        <w:bidi w:val="0"/>
        <w:spacing w:before="240" w:after="0"/>
        <w:jc w:val="left"/>
        <w:rPr>
          <w:rFonts w:ascii="Times New Roman" w:hAnsi="Times New Roman"/>
          <w:sz w:val="20"/>
        </w:rPr>
      </w:pPr>
      <w:r>
        <w:rPr>
          <w:rFonts w:ascii="Times New Roman" w:hAnsi="Times New Roman"/>
          <w:b/>
          <w:i/>
          <w:sz w:val="20"/>
        </w:rPr>
        <w:t>Early Termination and Other Charges.</w:t>
      </w:r>
      <w:r>
        <w:rPr>
          <w:rFonts w:ascii="Times New Roman" w:hAnsi="Times New Roman"/>
          <w:sz w:val="20"/>
        </w:rPr>
        <w:t xml:space="preserve"> For the three months ended September 30, 2025, we recorded $2.6 million of termination-related charges in connection with the voluntary resignation program and $1.4 million of certain executive separation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$11.5 million was recorded for the three months ended September 30, 2025 compared to operating loss of $4.5 million for the three months ended September 30, 2024. As discussed above, the increase in operating loss of $7.1 million resulted primarily from a $4.0 million increase in early termination and other charges, a $3.0 million decrease in gross profit and a $1.3 million increase in research and development expenses, which was offset in part by a $1.2 million decrease in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$1.3 million and $1.9 million for the three months ended September 30, 2025 and 2024, respectively.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$0.5 million and $0.5 million for the three months ended September 30, 2025 and 2024, respectively. </w:t>
      </w:r>
    </w:p>
    <w:p>
      <w:pPr>
        <w:pStyle w:val="TextBody"/>
        <w:bidi w:val="0"/>
        <w:spacing w:before="24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 Gain (Loss),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loss for the three months ended September 30, 2025 was $4.3 million compared to net foreign currency gain of $5.2 million for the three months ended September 30, 2024. The net foreign currency loss for the three months ended September 30, 2025 was due to the depreciation in value of the Korean won relative to the U.S. dollar during the period. The net foreign currency gain for the three months ended September 30, 2024 was due to the appreciation in value of the Korean won relative to the U.S. dollar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one of our Korean subsidiaries, which are denominated in U.S. dollars, and are affected by changes in the exchange rate between the Korean won and the U.S. dollar. As of September 30, 2025 and 2024, the outstanding intercompany loan balances, including accrued interest between our Korean subsidiary, Magnachip Semiconductor, Ltd., and our Dutch subsidiary, were $244.7 million and $259.7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Net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was $4.2 million for the three months ended September 30, 2025, which was primarily attributable to the estimated taxable loss in our Korean subsidiary for the respective period, including loss recognized in connection with the shutdown of the discontinued Display business during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Income tax expense was $6.1 million for the three months ended September 30, 2024, which was primarily related to the primary operating entity’s in-kind contribution of certain business lines made during the first quarter of 2024, as a result of its assessment of realizability of the deferred tax assets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from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Loss from continuing operations for the three months ended September 30, 2025 was $10.6 million compared to loss from continuing operations of $3.9 million for the three months ended September 30, 2024. The $6.7 million increase in loss from continuing operations was primarily attributable to a $9.5 million increase in net foreign currency loss and $7.1 million increase in operating loss, which was offset in part by a $10.3 million increases in income tax benefit.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from Discontinued Operations, Net of Tax </w:t>
      </w:r>
    </w:p>
    <w:p>
      <w:pPr>
        <w:pStyle w:val="TextBody"/>
        <w:bidi w:val="0"/>
        <w:spacing w:before="120" w:after="0"/>
        <w:jc w:val="left"/>
        <w:rPr>
          <w:rFonts w:ascii="Times New Roman" w:hAnsi="Times New Roman"/>
          <w:sz w:val="20"/>
        </w:rPr>
      </w:pPr>
      <w:r>
        <w:rPr>
          <w:rFonts w:ascii="Times New Roman" w:hAnsi="Times New Roman"/>
          <w:sz w:val="20"/>
        </w:rPr>
        <w:t xml:space="preserve">Loss from discontinued operations, net of tax for the three months ended September 30, 2025 was $2.5 million, compared to loss from discontinued operations, net of tax of $5.7 million for the three months ended September 30, 2024. The $3.2 million improvement in loss from discontinued operations, net of tax primarily resulted from a $4.6 million improvement in operating loss, which was offset in part by a $1.7 million decrease in income tax benefit.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loss of $13.1 million was recorded for the three months ended September 30, 2025 compared to a net loss of $9.6 million for the three months ended September 30, 2024. As discussed above, the increase in net loss of $3.5 million primarily resulted from a $6.7 million increase in loss from continuing operations, which was offset by a $3.2 million improvement in loss from discontinued operations, net of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Nine Months Ended September 30,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consolidated results of operations for the nine months ended September 30,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3"/>
        <w:gridCol w:w="120"/>
        <w:gridCol w:w="189"/>
        <w:gridCol w:w="757"/>
        <w:gridCol w:w="209"/>
        <w:gridCol w:w="81"/>
        <w:gridCol w:w="153"/>
        <w:gridCol w:w="1442"/>
        <w:gridCol w:w="275"/>
        <w:gridCol w:w="60"/>
        <w:gridCol w:w="189"/>
        <w:gridCol w:w="757"/>
        <w:gridCol w:w="209"/>
        <w:gridCol w:w="81"/>
        <w:gridCol w:w="153"/>
        <w:gridCol w:w="1442"/>
        <w:gridCol w:w="275"/>
        <w:gridCol w:w="60"/>
        <w:gridCol w:w="183"/>
        <w:gridCol w:w="677"/>
        <w:gridCol w:w="170"/>
      </w:tblGrid>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2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9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4"/>
                <w:szCs w:val="4"/>
              </w:rPr>
            </w:pPr>
            <w:r>
              <w:rPr>
                <w:sz w:val="4"/>
                <w:szCs w:val="4"/>
              </w:rPr>
            </w:r>
          </w:p>
        </w:tc>
        <w:tc>
          <w:tcPr>
            <w:tcW w:w="757" w:type="dxa"/>
            <w:tcBorders/>
            <w:shd w:fill="CCEEFF" w:val="clear"/>
            <w:vAlign w:val="center"/>
          </w:tcPr>
          <w:p>
            <w:pPr>
              <w:pStyle w:val="TableContents"/>
              <w:bidi w:val="0"/>
              <w:spacing w:before="0" w:after="283"/>
              <w:jc w:val="left"/>
              <w:rPr>
                <w:sz w:val="4"/>
                <w:szCs w:val="4"/>
              </w:rPr>
            </w:pPr>
            <w:r>
              <w:rPr>
                <w:sz w:val="4"/>
                <w:szCs w:val="4"/>
              </w:rPr>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4"/>
                <w:szCs w:val="4"/>
              </w:rPr>
            </w:pPr>
            <w:r>
              <w:rPr>
                <w:sz w:val="4"/>
                <w:szCs w:val="4"/>
              </w:rPr>
            </w:r>
          </w:p>
        </w:tc>
        <w:tc>
          <w:tcPr>
            <w:tcW w:w="757" w:type="dxa"/>
            <w:tcBorders/>
            <w:shd w:fill="CCEEFF" w:val="clear"/>
            <w:vAlign w:val="center"/>
          </w:tcPr>
          <w:p>
            <w:pPr>
              <w:pStyle w:val="TableContents"/>
              <w:bidi w:val="0"/>
              <w:spacing w:before="0" w:after="283"/>
              <w:jc w:val="left"/>
              <w:rPr>
                <w:sz w:val="4"/>
                <w:szCs w:val="4"/>
              </w:rPr>
            </w:pPr>
            <w:r>
              <w:rPr>
                <w:sz w:val="4"/>
                <w:szCs w:val="4"/>
              </w:rPr>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757" w:type="dxa"/>
            <w:tcBorders/>
            <w:vAlign w:val="center"/>
          </w:tcPr>
          <w:p>
            <w:pPr>
              <w:pStyle w:val="TableContents"/>
              <w:bidi w:val="0"/>
              <w:spacing w:before="0" w:after="283"/>
              <w:jc w:val="right"/>
              <w:rPr/>
            </w:pPr>
            <w:r>
              <w:rPr/>
              <w:t>138.3</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757" w:type="dxa"/>
            <w:tcBorders/>
            <w:vAlign w:val="center"/>
          </w:tcPr>
          <w:p>
            <w:pPr>
              <w:pStyle w:val="TableContents"/>
              <w:bidi w:val="0"/>
              <w:spacing w:before="0" w:after="283"/>
              <w:jc w:val="right"/>
              <w:rPr/>
            </w:pPr>
            <w:r>
              <w:rPr/>
              <w:t>137.0</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94.3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8.3</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(8.3</w:t>
            </w:r>
          </w:p>
        </w:tc>
        <w:tc>
          <w:tcPr>
            <w:tcW w:w="170" w:type="dxa"/>
            <w:tcBorders/>
            <w:shd w:fill="CCEEFF" w:val="clear"/>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138.3</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145.3</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4"/>
                <w:szCs w:val="4"/>
              </w:rPr>
            </w:pPr>
            <w:r>
              <w:rPr>
                <w:sz w:val="4"/>
                <w:szCs w:val="4"/>
              </w:rPr>
            </w:r>
          </w:p>
        </w:tc>
        <w:tc>
          <w:tcPr>
            <w:tcW w:w="757" w:type="dxa"/>
            <w:tcBorders/>
            <w:shd w:fill="CCEEFF" w:val="clear"/>
            <w:vAlign w:val="center"/>
          </w:tcPr>
          <w:p>
            <w:pPr>
              <w:pStyle w:val="TableContents"/>
              <w:bidi w:val="0"/>
              <w:spacing w:before="0" w:after="283"/>
              <w:jc w:val="left"/>
              <w:rPr>
                <w:sz w:val="4"/>
                <w:szCs w:val="4"/>
              </w:rPr>
            </w:pPr>
            <w:r>
              <w:rPr>
                <w:sz w:val="4"/>
                <w:szCs w:val="4"/>
              </w:rPr>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4"/>
                <w:szCs w:val="4"/>
              </w:rPr>
            </w:pPr>
            <w:r>
              <w:rPr>
                <w:sz w:val="4"/>
                <w:szCs w:val="4"/>
              </w:rPr>
            </w:r>
          </w:p>
        </w:tc>
        <w:tc>
          <w:tcPr>
            <w:tcW w:w="757" w:type="dxa"/>
            <w:tcBorders/>
            <w:shd w:fill="CCEEFF" w:val="clear"/>
            <w:vAlign w:val="center"/>
          </w:tcPr>
          <w:p>
            <w:pPr>
              <w:pStyle w:val="TableContents"/>
              <w:bidi w:val="0"/>
              <w:spacing w:before="0" w:after="283"/>
              <w:jc w:val="left"/>
              <w:rPr>
                <w:sz w:val="4"/>
                <w:szCs w:val="4"/>
              </w:rPr>
            </w:pPr>
            <w:r>
              <w:rPr>
                <w:sz w:val="4"/>
                <w:szCs w:val="4"/>
              </w:rPr>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Power solutions business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110.7</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80.0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108.4</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74.6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9.3</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(9.3</w:t>
            </w:r>
          </w:p>
        </w:tc>
        <w:tc>
          <w:tcPr>
            <w:tcW w:w="170" w:type="dxa"/>
            <w:tcBorders/>
            <w:shd w:fill="CCEEFF" w:val="clear"/>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110.7</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80.0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117.6</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81.0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(6.9</w:t>
            </w:r>
          </w:p>
        </w:tc>
        <w:tc>
          <w:tcPr>
            <w:tcW w:w="170" w:type="dxa"/>
            <w:tcBorders/>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27.6</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27.7</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(0.0</w:t>
            </w:r>
          </w:p>
        </w:tc>
        <w:tc>
          <w:tcPr>
            <w:tcW w:w="170" w:type="dxa"/>
            <w:tcBorders/>
            <w:shd w:fill="CCEEFF" w:val="clear"/>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26.5</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28.3</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(1.9</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19.7</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18.5</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4.8</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4.8</w:t>
            </w:r>
          </w:p>
        </w:tc>
        <w:tc>
          <w:tcPr>
            <w:tcW w:w="170" w:type="dxa"/>
            <w:tcBorders/>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(23.4</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(19.1</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(4.3</w:t>
            </w:r>
          </w:p>
        </w:tc>
        <w:tc>
          <w:tcPr>
            <w:tcW w:w="170" w:type="dxa"/>
            <w:tcBorders/>
            <w:shd w:fill="CCEEFF" w:val="clear"/>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4.1</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6.2</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(1.3</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(1.1</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6.1</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(3.4</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9.5</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0.3</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0.1</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0.2</w:t>
            </w:r>
          </w:p>
        </w:tc>
        <w:tc>
          <w:tcPr>
            <w:tcW w:w="170" w:type="dxa"/>
            <w:tcBorders/>
            <w:shd w:fill="CCEEFF" w:val="clear"/>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9.2</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1.8</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7.4</w:t>
            </w:r>
          </w:p>
        </w:tc>
        <w:tc>
          <w:tcPr>
            <w:tcW w:w="170" w:type="dxa"/>
            <w:tcBorders/>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 before income tax expense (benefit), net</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(14.2</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(17.3</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3.2</w:t>
            </w:r>
          </w:p>
        </w:tc>
        <w:tc>
          <w:tcPr>
            <w:tcW w:w="170" w:type="dxa"/>
            <w:tcBorders/>
            <w:shd w:fill="CCEEFF" w:val="clear"/>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 net</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(8.7</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(6.3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2.3</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(11.0</w:t>
            </w:r>
          </w:p>
        </w:tc>
        <w:tc>
          <w:tcPr>
            <w:tcW w:w="170" w:type="dxa"/>
            <w:tcBorders/>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(5.5</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(19.6</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14.2</w:t>
            </w:r>
          </w:p>
        </w:tc>
        <w:tc>
          <w:tcPr>
            <w:tcW w:w="170" w:type="dxa"/>
            <w:tcBorders/>
            <w:shd w:fill="CCEEFF" w:val="clear"/>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(16.2</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(18.4</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2.2</w:t>
            </w:r>
          </w:p>
        </w:tc>
        <w:tc>
          <w:tcPr>
            <w:tcW w:w="170" w:type="dxa"/>
            <w:tcBorders/>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(21.6</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(38.0</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16.4</w:t>
            </w:r>
          </w:p>
        </w:tc>
        <w:tc>
          <w:tcPr>
            <w:tcW w:w="170" w:type="dxa"/>
            <w:tcBorders/>
            <w:shd w:fill="CCEEFF" w:val="clear"/>
            <w:vAlign w:val="center"/>
          </w:tcPr>
          <w:p>
            <w:pPr>
              <w:pStyle w:val="TableContents"/>
              <w:bidi w:val="0"/>
              <w:spacing w:before="0" w:after="283"/>
              <w:jc w:val="left"/>
              <w:rPr/>
            </w:pPr>
            <w:r>
              <w:rPr/>
              <w:t> </w:t>
            </w:r>
          </w:p>
        </w:tc>
      </w:tr>
      <w:tr>
        <w:trPr/>
        <w:tc>
          <w:tcPr>
            <w:tcW w:w="2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757" w:type="dxa"/>
            <w:tcBorders/>
            <w:vAlign w:val="center"/>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757" w:type="dxa"/>
            <w:tcBorders/>
            <w:vAlign w:val="center"/>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3"/>
        <w:gridCol w:w="120"/>
        <w:gridCol w:w="193"/>
        <w:gridCol w:w="774"/>
        <w:gridCol w:w="83"/>
        <w:gridCol w:w="166"/>
        <w:gridCol w:w="154"/>
        <w:gridCol w:w="1441"/>
        <w:gridCol w:w="275"/>
        <w:gridCol w:w="60"/>
        <w:gridCol w:w="193"/>
        <w:gridCol w:w="774"/>
        <w:gridCol w:w="83"/>
        <w:gridCol w:w="166"/>
        <w:gridCol w:w="154"/>
        <w:gridCol w:w="1441"/>
        <w:gridCol w:w="275"/>
        <w:gridCol w:w="60"/>
        <w:gridCol w:w="225"/>
        <w:gridCol w:w="635"/>
        <w:gridCol w:w="170"/>
      </w:tblGrid>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5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74"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74"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123.7</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123.3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0.3</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14.6</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13.6</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138.3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137.0</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94.3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8.3</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(8.3</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138.3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145.3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(7.0</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774"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774"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tbl>
      <w:tblPr>
        <w:tblW w:w="10149" w:type="dxa"/>
        <w:jc w:val="left"/>
        <w:tblInd w:w="0" w:type="dxa"/>
        <w:tblLayout w:type="fixed"/>
        <w:tblCellMar>
          <w:top w:w="0" w:type="dxa"/>
          <w:left w:w="0" w:type="dxa"/>
          <w:bottom w:w="0" w:type="dxa"/>
          <w:right w:w="0" w:type="dxa"/>
        </w:tblCellMar>
      </w:tblPr>
      <w:tblGrid>
        <w:gridCol w:w="3980"/>
        <w:gridCol w:w="120"/>
        <w:gridCol w:w="230"/>
        <w:gridCol w:w="724"/>
        <w:gridCol w:w="98"/>
        <w:gridCol w:w="197"/>
        <w:gridCol w:w="112"/>
        <w:gridCol w:w="838"/>
        <w:gridCol w:w="275"/>
        <w:gridCol w:w="60"/>
        <w:gridCol w:w="211"/>
        <w:gridCol w:w="666"/>
        <w:gridCol w:w="233"/>
        <w:gridCol w:w="90"/>
        <w:gridCol w:w="98"/>
        <w:gridCol w:w="852"/>
        <w:gridCol w:w="275"/>
        <w:gridCol w:w="60"/>
        <w:gridCol w:w="225"/>
        <w:gridCol w:w="635"/>
        <w:gridCol w:w="170"/>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8"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79"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72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19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83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66"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Power solutions business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21.5</w:t>
            </w:r>
          </w:p>
        </w:tc>
        <w:tc>
          <w:tcPr>
            <w:tcW w:w="98"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22.6</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18.3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(1.1</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6.2</w:t>
            </w:r>
          </w:p>
        </w:tc>
        <w:tc>
          <w:tcPr>
            <w:tcW w:w="98"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42.1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6.0</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44.2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pBdr>
                <w:top w:val="single" w:sz="2" w:space="1" w:color="000000"/>
              </w:pBdr>
              <w:bidi w:val="0"/>
              <w:spacing w:before="0" w:after="0"/>
              <w:jc w:val="left"/>
              <w:rPr/>
            </w:pPr>
            <w:r>
              <w:rPr/>
              <w:t> </w:t>
            </w:r>
          </w:p>
        </w:tc>
        <w:tc>
          <w:tcPr>
            <w:tcW w:w="724" w:type="dxa"/>
            <w:tcBorders/>
            <w:vAlign w:val="center"/>
          </w:tcPr>
          <w:p>
            <w:pPr>
              <w:pStyle w:val="TableContents"/>
              <w:pBdr>
                <w:top w:val="single" w:sz="2"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2" w:type="dxa"/>
            <w:tcBorders/>
            <w:vAlign w:val="center"/>
          </w:tcPr>
          <w:p>
            <w:pPr>
              <w:pStyle w:val="TableContents"/>
              <w:pBdr>
                <w:top w:val="single" w:sz="2" w:space="1" w:color="000000"/>
              </w:pBdr>
              <w:bidi w:val="0"/>
              <w:spacing w:before="0" w:after="0"/>
              <w:jc w:val="left"/>
              <w:rPr/>
            </w:pPr>
            <w:r>
              <w:rPr/>
              <w:t> </w:t>
            </w:r>
          </w:p>
        </w:tc>
        <w:tc>
          <w:tcPr>
            <w:tcW w:w="838"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pBdr>
                <w:top w:val="single" w:sz="2" w:space="1" w:color="000000"/>
              </w:pBdr>
              <w:bidi w:val="0"/>
              <w:spacing w:before="0" w:after="0"/>
              <w:jc w:val="left"/>
              <w:rPr/>
            </w:pPr>
            <w:r>
              <w:rPr/>
              <w:t> </w:t>
            </w:r>
          </w:p>
        </w:tc>
        <w:tc>
          <w:tcPr>
            <w:tcW w:w="666" w:type="dxa"/>
            <w:tcBorders/>
            <w:vAlign w:val="center"/>
          </w:tcPr>
          <w:p>
            <w:pPr>
              <w:pStyle w:val="TableContents"/>
              <w:pBdr>
                <w:top w:val="single" w:sz="2"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27.6</w:t>
            </w:r>
          </w:p>
        </w:tc>
        <w:tc>
          <w:tcPr>
            <w:tcW w:w="98"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20.0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(1.0</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pBdr>
                <w:top w:val="single" w:sz="2" w:space="1" w:color="000000"/>
              </w:pBdr>
              <w:bidi w:val="0"/>
              <w:spacing w:before="0" w:after="0"/>
              <w:jc w:val="left"/>
              <w:rPr/>
            </w:pPr>
            <w:r>
              <w:rPr/>
              <w:t> </w:t>
            </w:r>
          </w:p>
        </w:tc>
        <w:tc>
          <w:tcPr>
            <w:tcW w:w="724" w:type="dxa"/>
            <w:tcBorders/>
            <w:vAlign w:val="center"/>
          </w:tcPr>
          <w:p>
            <w:pPr>
              <w:pStyle w:val="TableContents"/>
              <w:pBdr>
                <w:top w:val="single" w:sz="2"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2" w:type="dxa"/>
            <w:tcBorders/>
            <w:vAlign w:val="center"/>
          </w:tcPr>
          <w:p>
            <w:pPr>
              <w:pStyle w:val="TableContents"/>
              <w:pBdr>
                <w:top w:val="single" w:sz="2" w:space="1" w:color="000000"/>
              </w:pBdr>
              <w:bidi w:val="0"/>
              <w:spacing w:before="0" w:after="0"/>
              <w:jc w:val="left"/>
              <w:rPr/>
            </w:pPr>
            <w:r>
              <w:rPr/>
              <w:t> </w:t>
            </w:r>
          </w:p>
        </w:tc>
        <w:tc>
          <w:tcPr>
            <w:tcW w:w="838"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pBdr>
                <w:top w:val="single" w:sz="2" w:space="1" w:color="000000"/>
              </w:pBdr>
              <w:bidi w:val="0"/>
              <w:spacing w:before="0" w:after="0"/>
              <w:jc w:val="left"/>
              <w:rPr/>
            </w:pPr>
            <w:r>
              <w:rPr/>
              <w:t> </w:t>
            </w:r>
          </w:p>
        </w:tc>
        <w:tc>
          <w:tcPr>
            <w:tcW w:w="666" w:type="dxa"/>
            <w:tcBorders/>
            <w:vAlign w:val="center"/>
          </w:tcPr>
          <w:p>
            <w:pPr>
              <w:pStyle w:val="TableContents"/>
              <w:pBdr>
                <w:top w:val="single" w:sz="2"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27.6</w:t>
            </w:r>
          </w:p>
        </w:tc>
        <w:tc>
          <w:tcPr>
            <w:tcW w:w="98"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20.0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27.7</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(0.0</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pBdr>
                <w:top w:val="double" w:sz="6" w:space="1" w:color="000000"/>
              </w:pBdr>
              <w:bidi w:val="0"/>
              <w:spacing w:before="0" w:after="0"/>
              <w:jc w:val="left"/>
              <w:rPr/>
            </w:pPr>
            <w:r>
              <w:rPr/>
              <w:t> </w:t>
            </w:r>
          </w:p>
        </w:tc>
        <w:tc>
          <w:tcPr>
            <w:tcW w:w="724" w:type="dxa"/>
            <w:tcBorders/>
            <w:vAlign w:val="center"/>
          </w:tcPr>
          <w:p>
            <w:pPr>
              <w:pStyle w:val="TableContents"/>
              <w:pBdr>
                <w:top w:val="double" w:sz="6"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2" w:type="dxa"/>
            <w:tcBorders/>
            <w:vAlign w:val="center"/>
          </w:tcPr>
          <w:p>
            <w:pPr>
              <w:pStyle w:val="TableContents"/>
              <w:pBdr>
                <w:top w:val="double" w:sz="6" w:space="1" w:color="000000"/>
              </w:pBdr>
              <w:bidi w:val="0"/>
              <w:spacing w:before="0" w:after="0"/>
              <w:jc w:val="left"/>
              <w:rPr/>
            </w:pPr>
            <w:r>
              <w:rPr/>
              <w:t> </w:t>
            </w:r>
          </w:p>
        </w:tc>
        <w:tc>
          <w:tcPr>
            <w:tcW w:w="838"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pBdr>
                <w:top w:val="double" w:sz="6" w:space="1" w:color="000000"/>
              </w:pBdr>
              <w:bidi w:val="0"/>
              <w:spacing w:before="0" w:after="0"/>
              <w:jc w:val="left"/>
              <w:rPr/>
            </w:pPr>
            <w:r>
              <w:rPr/>
              <w:t> </w:t>
            </w:r>
          </w:p>
        </w:tc>
        <w:tc>
          <w:tcPr>
            <w:tcW w:w="666" w:type="dxa"/>
            <w:tcBorders/>
            <w:vAlign w:val="center"/>
          </w:tcPr>
          <w:p>
            <w:pPr>
              <w:pStyle w:val="TableContents"/>
              <w:pBdr>
                <w:top w:val="double" w:sz="6"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$138.3 million for the nine months ended September 30, 2025, a $7.0 million, or 4.8%, decrease compared to $145.3 million for the nine months ended September 30, 2024. This decrease was primarily due to a decrease in transitional Fab 3 foundry services revenue, which was faded out by the end of 2024. </w:t>
      </w:r>
    </w:p>
    <w:p>
      <w:pPr>
        <w:pStyle w:val="TextBody"/>
        <w:bidi w:val="0"/>
        <w:spacing w:before="240" w:after="0"/>
        <w:jc w:val="left"/>
        <w:rPr>
          <w:rFonts w:ascii="Times New Roman" w:hAnsi="Times New Roman"/>
          <w:sz w:val="20"/>
        </w:rPr>
      </w:pPr>
      <w:r>
        <w:rPr>
          <w:rFonts w:ascii="Times New Roman" w:hAnsi="Times New Roman"/>
          <w:b/>
          <w:i/>
          <w:sz w:val="20"/>
        </w:rPr>
        <w:t>The Power solutions business.</w:t>
      </w:r>
      <w:r>
        <w:rPr>
          <w:rFonts w:ascii="Times New Roman" w:hAnsi="Times New Roman"/>
          <w:sz w:val="20"/>
        </w:rPr>
        <w:t xml:space="preserve"> Net sales from our Power solutions business were $138.3 million for the nine months ended September 30, 2025, a $1.3 million, or 1.0%, slightly increase compared to $137.0 million for the nine months ended September 30, 2024. The increase in net sales from our Power solutions business line was attributable to a higher demand for power products such as low-voltage MOSFETs in communication applications, which was mostly offset by a decreased revenue due mainly to the competitive pricing pressure on our older generation products in consumer and industrial applications. A higher demand for our Power IC products, primarily for LED televisions, also had a favorable impact on net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$27.6 million for the nine months ended September 30, 2025, which remained almost flat, compared to $27.7 million for the nine months ended September 30, 2024. Gross profit as a percentage of net sales for the nine months ended September 30, 2025 increased to 20.0% compared to 19.0% for the nine months ended September 30, 2024. </w:t>
      </w:r>
    </w:p>
    <w:p>
      <w:pPr>
        <w:pStyle w:val="TextBody"/>
        <w:bidi w:val="0"/>
        <w:spacing w:before="240" w:after="0"/>
        <w:jc w:val="left"/>
        <w:rPr>
          <w:rFonts w:ascii="Times New Roman" w:hAnsi="Times New Roman"/>
          <w:sz w:val="20"/>
        </w:rPr>
      </w:pPr>
      <w:r>
        <w:rPr>
          <w:rFonts w:ascii="Times New Roman" w:hAnsi="Times New Roman"/>
          <w:b/>
          <w:i/>
          <w:sz w:val="20"/>
        </w:rPr>
        <w:t>The Power solutions business.</w:t>
      </w:r>
      <w:r>
        <w:rPr>
          <w:rFonts w:ascii="Times New Roman" w:hAnsi="Times New Roman"/>
          <w:sz w:val="20"/>
        </w:rPr>
        <w:t xml:space="preserve"> Gross profit from our Power solutions business was $27.6 million for the nine months ended September 30, 2025, which represented a $1.0 million, or 3.5%, decrease from gross profit of $28.6 million for the nine months ended September 30, 2024. Gross profit as a percentage of net sales for the nine months ended September 30, 2025 decreased to 20.0% compared to 20.9% for the nine months ended September 30, 2024. The year-over-year decrease in gross profit and gross profit as a percentage of net sales was primarily attributable to an unfavorable product mix primarily relating to ASP erosion due to increased pricing pressure on our older generation products, particularly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Power solutions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Power solutions business by geographic region based on the location to which the products are billed. The following table sets forth our net sales – Power solutions business by geographic region and the percentage of total net sales – Power solutions business represented by each geographic region for the nine months ended September 30, 2025 and 2024: </w:t>
      </w:r>
    </w:p>
    <w:p>
      <w:pPr>
        <w:pStyle w:val="TextBody"/>
        <w:bidi w:val="0"/>
        <w:spacing w:before="0" w:after="0"/>
        <w:jc w:val="left"/>
        <w:rPr/>
      </w:pPr>
      <w:r>
        <w:rPr/>
        <w:t> </w:t>
      </w:r>
    </w:p>
    <w:tbl>
      <w:tblPr>
        <w:tblW w:w="9022" w:type="dxa"/>
        <w:jc w:val="left"/>
        <w:tblInd w:w="0" w:type="dxa"/>
        <w:tblLayout w:type="fixed"/>
        <w:tblCellMar>
          <w:top w:w="0" w:type="dxa"/>
          <w:left w:w="0" w:type="dxa"/>
          <w:bottom w:w="0" w:type="dxa"/>
          <w:right w:w="0" w:type="dxa"/>
        </w:tblCellMar>
      </w:tblPr>
      <w:tblGrid>
        <w:gridCol w:w="2510"/>
        <w:gridCol w:w="120"/>
        <w:gridCol w:w="193"/>
        <w:gridCol w:w="774"/>
        <w:gridCol w:w="83"/>
        <w:gridCol w:w="166"/>
        <w:gridCol w:w="109"/>
        <w:gridCol w:w="1021"/>
        <w:gridCol w:w="275"/>
        <w:gridCol w:w="60"/>
        <w:gridCol w:w="193"/>
        <w:gridCol w:w="774"/>
        <w:gridCol w:w="83"/>
        <w:gridCol w:w="166"/>
        <w:gridCol w:w="109"/>
        <w:gridCol w:w="1021"/>
        <w:gridCol w:w="275"/>
        <w:gridCol w:w="60"/>
        <w:gridCol w:w="225"/>
        <w:gridCol w:w="635"/>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 –</w:t>
              <w:br/>
              <w:t>Power</w:t>
              <w:br/>
              <w:t>solutions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 –</w:t>
              <w:br/>
              <w:t>Power</w:t>
              <w:br/>
              <w:t>solutions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2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67.7</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59.9</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43.7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7.8</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63.7</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46.1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71.9</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(8.1</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3.8</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1.3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3.1</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3.9</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(0.9</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138.3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137.0</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774"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774"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Power solutions business in Korea increased from $59.9 million for the nine months ended September 30, 2024 to $67.7 million for the nine months ended September 30, 2025, or by $7.8 million, or 13.1%, primarily due to an increased demand for power products such as low-voltage MOSFETs in communication applications, which was offset in part by a decreased revenue from the competitive pricing pressure on our older generation products in consumer applications. A higher demand for our Power IC products, primarily for LED televisions, also had a 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Power solutions business in Asia Pacific (other than Korea) decreased from $71.9 million for the nine months ended September 30, 2024 to $63.7 million for the nine months ended September 30, 2025, or by $8.1 million, or 11.3%, primarily due to a decreased revenue from the competitive pricing pressure on our older generation products in consumer and industrial applications, which was offset in part by a higher demand for low-voltage MOSFETs in communication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$26.5 million, or 19.2% of total revenues, for the nine months ended September 30, 2025, compared to $28.3 million, or 19.5% of total revenues, for the nine months ended September 30, 2024. The decrease of $1.9 million, or 6.5%, was primarily attributable to a decrease in employee compensation, mainly due to the forfeiture of equity-based compensation in connection with the separation of certain executive officers, as well as a decrease in professional fees mainly comprised of legal and consulting fees.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$19.7 million, or 14.2% of total revenues, for the nine months ended September 30, 2025, compared to $18.5 million, or 12.7% of total revenues, for the nine months ended September 30, 2024. The increase of $1.2 million, or 6.7%, was primarily attributable to higher personnel costs resulting from the increased headcount of research and development staff and an increase in material costs for power products based on the timing of development activities. </w:t>
      </w:r>
    </w:p>
    <w:p>
      <w:pPr>
        <w:pStyle w:val="TextBody"/>
        <w:bidi w:val="0"/>
        <w:spacing w:before="240" w:after="0"/>
        <w:jc w:val="left"/>
        <w:rPr>
          <w:rFonts w:ascii="Times New Roman" w:hAnsi="Times New Roman"/>
          <w:sz w:val="20"/>
        </w:rPr>
      </w:pPr>
      <w:r>
        <w:rPr>
          <w:rFonts w:ascii="Times New Roman" w:hAnsi="Times New Roman"/>
          <w:b/>
          <w:i/>
          <w:sz w:val="20"/>
        </w:rPr>
        <w:t>Early Termination and Other Charges.</w:t>
      </w:r>
      <w:r>
        <w:rPr>
          <w:rFonts w:ascii="Times New Roman" w:hAnsi="Times New Roman"/>
          <w:sz w:val="20"/>
        </w:rPr>
        <w:t xml:space="preserve"> For the nine months ended September 30, 2025, we recorded $2.6 million of termination-related charges in connection with the voluntary resignation program, $1.7 million of certain executive separation benefits and $0.5 million of one-time employee incentives.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$23.4 million was recorded for the nine months ended September 30, 2025 compared to operating loss of $19.1 million for the nine months ended September 30, 2024. As discussed above, the increase in operating loss of $4.3 million resulted primarily from a $4.8 million increase in early termination and other charges and a $1.2 million increase in research and development expenses, which was offset in part by a $1.9 million decrease in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$4.1 million and $6.2 million for the nine months ended September 30, 2025 and 2024, respectively.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$1.3 million and $1.1 million for the nine months ended September 30, 2025 and 2024, respectively. </w:t>
      </w:r>
    </w:p>
    <w:p>
      <w:pPr>
        <w:pStyle w:val="TextBody"/>
        <w:bidi w:val="0"/>
        <w:spacing w:before="24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 Gain (Loss),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gain for the nine months ended September 30, 2025 was $6.1 million compared to net foreign currency loss of $3.4 million for the nine months ended September 30, 2024. The net foreign currency gain for the nine months ended September 30, 2025 was due to the appreciation in value of the Korean won relative to the U.S. dollar during the period. The net foreign currency loss for the nine months ended September 30, 2024 was due to the depreciation in value of the Korean won relative to the U.S. dollar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one of our Korean subsidiaries, which are denominated in U.S. dollars, and are affected by changes in the exchange rate between the Korean won and the U.S. dollar. As of September 30, 2025 and 2024, the outstanding intercompany loan balances, including accrued interest between our Korean subsidiary, Magnachip Semiconductor, Ltd., and our Dutch subsidiary, were $244.7 million and $259.7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Net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was $8.7 million for the nine months ended September 30, 2025, which was primarily attributable to the estimated taxable loss in our Korean subsidiary for the respective period, including loss recognized in connection with the shutdown of the discontinued Display business during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Income tax expense was $2.3 million for the nine months ended September 30, 2024, which was primarily related to a decrease in tax benefits from pre-tax loss of one of our operating entities in Korea and a valuation allowance established against the deferred tax assets of the other operating entity in Korea, as a result of its assessment of realizability of the deferred tax assets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from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Loss from continuing operations for the nine months ended September 30, 2025 was $5.5 million compared to loss from continuing operations of $19.6 million for the nine months ended September 30, 2024. The $14.2 million improvement in results from continuing operations was primarily attributable to a $9.5 million improvement in net foreign currency gain or loss, and an $11.0 million increase in income tax benefit, which was offset in part by a $4.3 million increase in operating loss and a $2.1 million decrease in interest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from Discontinued Operations, Net of Tax </w:t>
      </w:r>
    </w:p>
    <w:p>
      <w:pPr>
        <w:pStyle w:val="TextBody"/>
        <w:bidi w:val="0"/>
        <w:spacing w:before="120" w:after="0"/>
        <w:jc w:val="left"/>
        <w:rPr>
          <w:rFonts w:ascii="Times New Roman" w:hAnsi="Times New Roman"/>
          <w:sz w:val="20"/>
        </w:rPr>
      </w:pPr>
      <w:r>
        <w:rPr>
          <w:rFonts w:ascii="Times New Roman" w:hAnsi="Times New Roman"/>
          <w:sz w:val="20"/>
        </w:rPr>
        <w:t xml:space="preserve">Loss from discontinued operations, net of tax for the nine months ended September 30, 2025 was $16.2 million, compared to loss from discontinued operations, net of tax of $18.4 million for the nine months ended September 30, 2024. The $2.2 million improvement in loss from discontinued operations, net of tax primarily resulted from a $3.0 million improvement in operating loss, which was offset in part by a $0.7 million increase in income tax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loss of $21.6 million was recorded for the nine months ended September 30, 2025 compared to a net loss of $38.0 million for the nine months ended September 30, 2024. As discussed above, the improvement in net loss of $16.4 million primarily resulted from a $14.2 million decrease in loss from continuing operations and a $2.2 million decrease in loss from discontinued operations, net of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capital requirements are to fund sales and marketing, invest in research and development and capital equipment, to make debt service payments and to fund working capital needs. We calculate working capital as current assets less 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September 30, 2025, we did not have any accounts payable on extended terms or payment deferment with our vendors. </w:t>
      </w:r>
    </w:p>
    <w:p>
      <w:pPr>
        <w:pStyle w:val="TextBody"/>
        <w:bidi w:val="0"/>
        <w:spacing w:before="240" w:after="0"/>
        <w:jc w:val="left"/>
        <w:rPr>
          <w:rFonts w:ascii="Times New Roman" w:hAnsi="Times New Roman"/>
          <w:sz w:val="20"/>
        </w:rPr>
      </w:pPr>
      <w:r>
        <w:rPr>
          <w:rFonts w:ascii="Times New Roman" w:hAnsi="Times New Roman"/>
          <w:sz w:val="20"/>
        </w:rPr>
        <w:t xml:space="preserve">As of June 29, 2018, our Korean subsidiary, Magnachip Semiconductor, Ltd. (“MSK”),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September 30, 2025, the outstanding obligation of this arrangement is approximately $11.4 million for remaining service term through 2028.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MSK executed a Standard Credit Agreement (together with its General Terms and Conditions, the “Loan Agreement”) with Korea Development Bank (“KDB”). The Loan Agreement provides for a working capital term loan (the “Term Loan”) of KRW 40,000,000,000 (approximately $28.5 million based on the KRW/USD exchange rate of 1,402.2:1 as of September 30, 2025 as quoted by KEB Hana Bank). The Term Loan requires monthly interest-only payments and matures on March 26, 2027, at which time the full principal balance will be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On June 26, 2025, under its existing Equipment Financing Credit Agreement with KDB, MSK entered into a CAPEX Loan of KRW 9,520,000,000 (approximately $6.8 million based on the KRW/USD exchange rate of 1,402.2:1 as of September 30, 2025 as quoted by KEB Hana Bank). On September 26, 2025, MSK additionally entered into a CAPEX Loan of KRW 5,075,000,000 (approximately $3.6 million based on the KRW/USD exchange rate of 1,402.2:1 as of September 30, 2025 as quoted by KEB Hana Bank). The CAPEX Loan requires monthly interest-only payments, with principal repayments deferred for an initial two-year period and amortized over the subsequent eight years, and matures on June 26, 2035.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cash and cash equivalents held by MSK were $99.2 million, which represents 92%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Our working capital balance as of September 30, 2025 was $151.7 million compared to $173.0 million as of December 31, 2024. The decrease in working capital balance was mainly attributable to a $30.6 million decrease in cash and cash equivalents resulted primarily from a $6.5 million of severance and other employee-related costs in connection with the liquidation of MMS, and continued execution of capital expenditures and stock repurchase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operating activities totaled $29.6 million for the nine months ended September 30, 2025, compared to $18.0 million of cash outflow used in operating activities for the nine months ended September 30, 2024. The net operating cash outflow for the nine months ended September 30, 2025 reflects our net loss of $21.6 million, as adjusted favorably by $17.8 million, which mainly consisted of depreciation and amortization, provision for severance benefits, provision for inventory reserves, net foreign currency gain and stock-based compensation, and net unfavorable impact of $25.8 million from changes in operating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investing activities totaled $13.0 million for the nine months ended September 30, 2025, compared to $35.4 million of cash outflow used in investing activities for the nine months ended September 30, 2024. The $22.4 million decrease in cash outflow was primarily attributable to a $30.0 million of investment in short-term financial instruments in 2024, a $2.2 million of net decrease in hedge collateral and $4.9 million decrease in net payment of guarantee deposits, which was offset in part by a $15.6 million increase in purchase of property, plant and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inflow provided by financing activities totaled $5.8 million for the nine months ended September 30, 2025, compared to $20.1 million of cash inflow provided by financing activities for the nine months ended September 30, 2024. The financing cash inflow for the nine months ended September 30, 2025 was primarily attributable to the $10.6 million of proceeds received from the CAPEX Loans with KDB, which was offset in part by a payment of $3.7 million for the repurchases of our common stock pursuant to our stock repurchase program and a payment of $0.6 million for the repurchase of our common stock to satisfy tax withholding obligations in connection with the vesting of restricted stock units. The financing cash inflow for the nine months ended September 30, 2024 was primarily attributable to the $30.1 million of proceeds received from the Term Loan with KDB, which was offset in part by a payment of $8.9 million for the repurchases of our common stock pursuant to our stock repurchase program and a payment of $0.6 million for the repurchase of our common stock to satisfy tax withholding obligations in connection with the vesting of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cash flow information associated with our discontinued operation, please see “Item 1. Interim Consolidated Financial Statements – Notes to Consolidated Financial Statements – Note 2 – Discontinued Operations” included elsewhere in this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We routinely make capital expenditures for fabrication facility maintenance, enhancement of our existing facility and reinforcement of our global research and development capability. For the nine months ended September 30, 2025, capital expenditures for property, plant and equipment were $19.7 million, a $15.6 million, or 372.8%, increase from $4.2 million for the nine months ended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Looking ahead, we expect the capital expenditures for the year ending December 31, 2025, to be in the range of $29 to $30 million, of which $19.7 million was incurred through September 30, 2025. The $29 to $30 million range includes approximately $20 million planned for investments to upgrade our fabrication facility located in Gumi, Korea. These upgrade capital expenditures will be partially funded through the $26.5 million Equipment Financing Credit Agreement, which is specifically designated for equipment purchases or upgrades in our Gumi fabrication facility. Of the $19.7 million incurred in 2025, $13.6 million was related to investments to upgrade our Gumi fabrication facility, of which $10.6 million was funded through the Equipment Financing Credit Agreement. These investments to upgrade the Gumi fabrication facility are expected to drive development of new generation products, and upgrade new tools to optimize product mix and improve gross profit margin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significant accounting policies, which are described further in Note 1 to our consolidated financial statements in our Annual Report on Form 10-K for our fiscal year ended December 31, 2024, or our 2024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our critical accounting policies that involve significant management judgement appears in our 2024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2024 Form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tbl>
      <w:tblPr>
        <w:tblW w:w="1675" w:type="dxa"/>
        <w:jc w:val="left"/>
        <w:tblInd w:w="0" w:type="dxa"/>
        <w:tblLayout w:type="fixed"/>
        <w:tblCellMar>
          <w:top w:w="0" w:type="dxa"/>
          <w:left w:w="0" w:type="dxa"/>
          <w:bottom w:w="0" w:type="dxa"/>
          <w:right w:w="0" w:type="dxa"/>
        </w:tblCellMar>
      </w:tblPr>
      <w:tblGrid>
        <w:gridCol w:w="725"/>
        <w:gridCol w:w="950"/>
      </w:tblGrid>
      <w:tr>
        <w:trPr/>
        <w:tc>
          <w:tcPr>
            <w:tcW w:w="725" w:type="dxa"/>
            <w:tcBorders/>
            <w:vAlign w:val="center"/>
          </w:tcPr>
          <w:p>
            <w:pPr>
              <w:pStyle w:val="TableContents"/>
              <w:bidi w:val="0"/>
              <w:spacing w:before="0" w:after="283"/>
              <w:jc w:val="left"/>
              <w:rPr>
                <w:b/>
              </w:rPr>
            </w:pPr>
            <w:bookmarkStart w:id="5" w:name="fin29128_10"/>
            <w:bookmarkEnd w:id="5"/>
            <w:r>
              <w:rPr>
                <w:b/>
              </w:rPr>
              <w:t>Item 3.</w:t>
            </w:r>
          </w:p>
        </w:tc>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[Reserved</w:t>
            </w:r>
            <w:r>
              <w:rPr>
                <w:rFonts w:ascii="Times New Roman" w:hAnsi="Times New Roman"/>
                <w:b/>
                <w:sz w:val="20"/>
              </w:rPr>
              <w:t xml:space="preserve">]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25"/>
        <w:gridCol w:w="2180"/>
      </w:tblGrid>
      <w:tr>
        <w:trPr/>
        <w:tc>
          <w:tcPr>
            <w:tcW w:w="725" w:type="dxa"/>
            <w:tcBorders/>
            <w:vAlign w:val="center"/>
          </w:tcPr>
          <w:p>
            <w:pPr>
              <w:pStyle w:val="TableContents"/>
              <w:bidi w:val="0"/>
              <w:spacing w:before="0" w:after="283"/>
              <w:jc w:val="left"/>
              <w:rPr>
                <w:b/>
              </w:rPr>
            </w:pPr>
            <w:bookmarkStart w:id="6" w:name="fin29128_11"/>
            <w:bookmarkEnd w:id="6"/>
            <w:r>
              <w:rPr>
                <w:b/>
              </w:rPr>
              <w:t>Item 4.</w:t>
            </w:r>
          </w:p>
        </w:tc>
        <w:tc>
          <w:tcPr>
            <w:tcW w:w="21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preparation of this Report, we carried out an evaluation under the supervision of and with the participation of our management, including our Chief Executive Officer and Chief Financial Officer, as of September 30, 2025,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September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our internal control over financial reporting during the quarter ended September 30, 2025 that have materially affected, or are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fin29128_12"/>
      <w:bookmarkEnd w:id="7"/>
      <w:r>
        <w:rPr>
          <w:rFonts w:ascii="Times New Roman" w:hAnsi="Times New Roman"/>
          <w:b/>
          <w:sz w:val="20"/>
        </w:rPr>
        <w:t xml:space="preserve">PART II. OTHER INFORMATION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25"/>
        <w:gridCol w:w="1655"/>
      </w:tblGrid>
      <w:tr>
        <w:trPr/>
        <w:tc>
          <w:tcPr>
            <w:tcW w:w="725" w:type="dxa"/>
            <w:tcBorders/>
            <w:vAlign w:val="center"/>
          </w:tcPr>
          <w:p>
            <w:pPr>
              <w:pStyle w:val="TableContents"/>
              <w:bidi w:val="0"/>
              <w:spacing w:before="0" w:after="283"/>
              <w:jc w:val="left"/>
              <w:rPr>
                <w:b/>
              </w:rPr>
            </w:pPr>
            <w:bookmarkStart w:id="8" w:name="fin29128_13"/>
            <w:bookmarkEnd w:id="8"/>
            <w:r>
              <w:rPr>
                <w:b/>
              </w:rPr>
              <w:t>Item 1.</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Legal Proceedings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 discussion of legal proceedings, see “Part I, Item 3. Legal Proceedings” of our 2024 Form 10-K. </w:t>
      </w:r>
    </w:p>
    <w:p>
      <w:pPr>
        <w:pStyle w:val="TextBody"/>
        <w:bidi w:val="0"/>
        <w:spacing w:before="240" w:after="0"/>
        <w:jc w:val="left"/>
        <w:rPr>
          <w:rFonts w:ascii="Times New Roman" w:hAnsi="Times New Roman"/>
          <w:sz w:val="20"/>
        </w:rPr>
      </w:pPr>
      <w:r>
        <w:rPr>
          <w:rFonts w:ascii="Times New Roman" w:hAnsi="Times New Roman"/>
          <w:sz w:val="20"/>
        </w:rPr>
        <w:t xml:space="preserve">See also “Item 1A. Risk Factors” in this Report and “Part I, Item 1A. Risk Factors” of our 2024 Form 10-K for additional information.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905"/>
        <w:gridCol w:w="1145"/>
      </w:tblGrid>
      <w:tr>
        <w:trPr/>
        <w:tc>
          <w:tcPr>
            <w:tcW w:w="905" w:type="dxa"/>
            <w:tcBorders/>
            <w:vAlign w:val="center"/>
          </w:tcPr>
          <w:p>
            <w:pPr>
              <w:pStyle w:val="TableContents"/>
              <w:bidi w:val="0"/>
              <w:spacing w:before="0" w:after="283"/>
              <w:jc w:val="left"/>
              <w:rPr>
                <w:b/>
              </w:rPr>
            </w:pPr>
            <w:bookmarkStart w:id="9" w:name="fin29128_14"/>
            <w:bookmarkEnd w:id="9"/>
            <w:r>
              <w:rPr>
                <w:b/>
              </w:rPr>
              <w:t>Item 1A.</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and uncertainties, any of which could have a significant or material adverse effect on our business, financial condition, liquidity or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information contained in this Report and the other reports and materials the Company files with the Securities and Exchange Commission, investors should carefully consider the risk factors disclosed in Part I, Item 1A of our 2024 Form 10-K as well as in our subsequent filings with the Securities and Exchange Commission. The risks described herein and therein are not the only ones we face.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risk factors disclosed in Part I, Item 1A of our 2024 Form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tbl>
      <w:tblPr>
        <w:tblW w:w="5845" w:type="dxa"/>
        <w:jc w:val="left"/>
        <w:tblInd w:w="0" w:type="dxa"/>
        <w:tblLayout w:type="fixed"/>
        <w:tblCellMar>
          <w:top w:w="0" w:type="dxa"/>
          <w:left w:w="0" w:type="dxa"/>
          <w:bottom w:w="0" w:type="dxa"/>
          <w:right w:w="0" w:type="dxa"/>
        </w:tblCellMar>
      </w:tblPr>
      <w:tblGrid>
        <w:gridCol w:w="725"/>
        <w:gridCol w:w="5120"/>
      </w:tblGrid>
      <w:tr>
        <w:trPr/>
        <w:tc>
          <w:tcPr>
            <w:tcW w:w="725" w:type="dxa"/>
            <w:tcBorders/>
            <w:vAlign w:val="center"/>
          </w:tcPr>
          <w:p>
            <w:pPr>
              <w:pStyle w:val="TableContents"/>
              <w:bidi w:val="0"/>
              <w:spacing w:before="0" w:after="283"/>
              <w:jc w:val="left"/>
              <w:rPr>
                <w:b/>
              </w:rPr>
            </w:pPr>
            <w:bookmarkStart w:id="10" w:name="fin29128_15"/>
            <w:bookmarkEnd w:id="10"/>
            <w:r>
              <w:rPr>
                <w:b/>
              </w:rPr>
              <w:t>Item 2.</w:t>
            </w:r>
          </w:p>
        </w:tc>
        <w:tc>
          <w:tcPr>
            <w:tcW w:w="5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monthly activity related to our repurchases of common stock for the quarter ended September 30, 2025. </w:t>
      </w:r>
    </w:p>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1355"/>
        <w:gridCol w:w="120"/>
        <w:gridCol w:w="119"/>
        <w:gridCol w:w="1356"/>
        <w:gridCol w:w="60"/>
        <w:gridCol w:w="120"/>
        <w:gridCol w:w="258"/>
        <w:gridCol w:w="812"/>
        <w:gridCol w:w="60"/>
        <w:gridCol w:w="120"/>
        <w:gridCol w:w="152"/>
        <w:gridCol w:w="1728"/>
        <w:gridCol w:w="60"/>
        <w:gridCol w:w="120"/>
        <w:gridCol w:w="367"/>
        <w:gridCol w:w="1783"/>
        <w:gridCol w:w="75"/>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Shares</w:t>
              <w:br/>
              <w:t>Purchased(1)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Price Paid</w:t>
              <w:b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Shares</w:t>
              <w:br/>
              <w:t>Purchased as Part</w:t>
              <w:br/>
              <w:t>of Publicly</w:t>
              <w:br/>
              <w:t>Announced Plans</w:t>
              <w:br/>
              <w:t>or Programs(2)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Approximate dollar</w:t>
              <w:br/>
              <w:t>value of Shares that</w:t>
              <w:br/>
              <w:t>may yet be</w:t>
              <w:br/>
              <w:t>Purchased under the</w:t>
              <w:br/>
              <w:t>Plans or Programs</w:t>
              <w:br/>
              <w:t>(in thousands)(2)</w:t>
            </w:r>
          </w:p>
        </w:tc>
        <w:tc>
          <w:tcPr>
            <w:tcW w:w="7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2025</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30,005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3.92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30,005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21,070</w:t>
            </w:r>
          </w:p>
        </w:tc>
        <w:tc>
          <w:tcPr>
            <w:tcW w:w="7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2025(1)</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68,592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38,074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20,951</w:t>
            </w:r>
          </w:p>
        </w:tc>
        <w:tc>
          <w:tcPr>
            <w:tcW w:w="7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2025</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pBdr>
                <w:top w:val="single" w:sz="2" w:space="1" w:color="000000"/>
              </w:pBdr>
              <w:bidi w:val="0"/>
              <w:spacing w:before="0" w:after="0"/>
              <w:jc w:val="left"/>
              <w:rPr/>
            </w:pPr>
            <w:r>
              <w:rPr/>
              <w:t> </w:t>
            </w:r>
          </w:p>
        </w:tc>
        <w:tc>
          <w:tcPr>
            <w:tcW w:w="135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pBdr>
                <w:top w:val="single" w:sz="2" w:space="1" w:color="000000"/>
              </w:pBdr>
              <w:bidi w:val="0"/>
              <w:spacing w:before="0" w:after="0"/>
              <w:jc w:val="left"/>
              <w:rPr/>
            </w:pPr>
            <w:r>
              <w:rPr/>
              <w:t> </w:t>
            </w:r>
          </w:p>
        </w:tc>
        <w:tc>
          <w:tcPr>
            <w:tcW w:w="8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72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pBdr>
                <w:top w:val="single" w:sz="2" w:space="1" w:color="000000"/>
              </w:pBdr>
              <w:bidi w:val="0"/>
              <w:spacing w:before="0" w:after="0"/>
              <w:jc w:val="left"/>
              <w:rPr/>
            </w:pPr>
            <w:r>
              <w:rPr/>
              <w:t> </w:t>
            </w:r>
          </w:p>
        </w:tc>
        <w:tc>
          <w:tcPr>
            <w:tcW w:w="1783"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98,597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68,079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20,951</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pBdr>
                <w:top w:val="double" w:sz="6" w:space="1" w:color="000000"/>
              </w:pBdr>
              <w:bidi w:val="0"/>
              <w:spacing w:before="0" w:after="0"/>
              <w:jc w:val="left"/>
              <w:rPr/>
            </w:pPr>
            <w:r>
              <w:rPr/>
              <w:t> </w:t>
            </w:r>
          </w:p>
        </w:tc>
        <w:tc>
          <w:tcPr>
            <w:tcW w:w="135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pBdr>
                <w:top w:val="double" w:sz="6" w:space="1" w:color="000000"/>
              </w:pBdr>
              <w:bidi w:val="0"/>
              <w:spacing w:before="0" w:after="0"/>
              <w:jc w:val="left"/>
              <w:rPr/>
            </w:pPr>
            <w:r>
              <w:rPr/>
              <w:t> </w:t>
            </w:r>
          </w:p>
        </w:tc>
        <w:tc>
          <w:tcPr>
            <w:tcW w:w="81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double" w:sz="6" w:space="1" w:color="000000"/>
              </w:pBdr>
              <w:bidi w:val="0"/>
              <w:spacing w:before="0" w:after="0"/>
              <w:jc w:val="left"/>
              <w:rPr/>
            </w:pPr>
            <w:r>
              <w:rPr/>
              <w:t> </w:t>
            </w:r>
          </w:p>
        </w:tc>
        <w:tc>
          <w:tcPr>
            <w:tcW w:w="172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pBdr>
                <w:top w:val="double" w:sz="6" w:space="1" w:color="000000"/>
              </w:pBdr>
              <w:bidi w:val="0"/>
              <w:spacing w:before="0" w:after="0"/>
              <w:jc w:val="left"/>
              <w:rPr/>
            </w:pPr>
            <w:r>
              <w:rPr/>
              <w:t> </w:t>
            </w:r>
          </w:p>
        </w:tc>
        <w:tc>
          <w:tcPr>
            <w:tcW w:w="1783"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30,518 shares withheld to satisfy tax withholding obligations in connection with the vesting of restricted stock units issued under our equity incentive plans.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19, 2023, the Company’s Board of Directors authorized a $50 million stock buyback program. Purchases have been and will be made in the open market or through privately negotiated transactions, depending upon market conditions and other factors. In connection with the repurchase program, the Company established a stock trading plan with Needham &amp; Company, LLC in accordance with Rule 10b5-1 under the Exchange Act.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25"/>
        <w:gridCol w:w="2735"/>
      </w:tblGrid>
      <w:tr>
        <w:trPr/>
        <w:tc>
          <w:tcPr>
            <w:tcW w:w="725" w:type="dxa"/>
            <w:tcBorders/>
            <w:vAlign w:val="center"/>
          </w:tcPr>
          <w:p>
            <w:pPr>
              <w:pStyle w:val="TableContents"/>
              <w:bidi w:val="0"/>
              <w:spacing w:before="0" w:after="283"/>
              <w:jc w:val="left"/>
              <w:rPr>
                <w:b/>
              </w:rPr>
            </w:pPr>
            <w:bookmarkStart w:id="11" w:name="fin29128_16"/>
            <w:bookmarkEnd w:id="11"/>
            <w:r>
              <w:rPr>
                <w:b/>
              </w:rPr>
              <w:t>Item 3.</w:t>
            </w:r>
          </w:p>
        </w:tc>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Defaults Upon Senior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25"/>
        <w:gridCol w:w="2090"/>
      </w:tblGrid>
      <w:tr>
        <w:trPr/>
        <w:tc>
          <w:tcPr>
            <w:tcW w:w="725" w:type="dxa"/>
            <w:tcBorders/>
            <w:vAlign w:val="center"/>
          </w:tcPr>
          <w:p>
            <w:pPr>
              <w:pStyle w:val="TableContents"/>
              <w:bidi w:val="0"/>
              <w:spacing w:before="0" w:after="283"/>
              <w:jc w:val="left"/>
              <w:rPr>
                <w:b/>
              </w:rPr>
            </w:pPr>
            <w:bookmarkStart w:id="12" w:name="fin29128_17"/>
            <w:bookmarkEnd w:id="12"/>
            <w:r>
              <w:rPr>
                <w:b/>
              </w:rPr>
              <w:t>Item 4.</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Mine Safety Disclosures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tbl>
      <w:tblPr>
        <w:tblW w:w="2380" w:type="dxa"/>
        <w:jc w:val="left"/>
        <w:tblInd w:w="0" w:type="dxa"/>
        <w:tblLayout w:type="fixed"/>
        <w:tblCellMar>
          <w:top w:w="0" w:type="dxa"/>
          <w:left w:w="0" w:type="dxa"/>
          <w:bottom w:w="0" w:type="dxa"/>
          <w:right w:w="0" w:type="dxa"/>
        </w:tblCellMar>
      </w:tblPr>
      <w:tblGrid>
        <w:gridCol w:w="725"/>
        <w:gridCol w:w="1655"/>
      </w:tblGrid>
      <w:tr>
        <w:trPr/>
        <w:tc>
          <w:tcPr>
            <w:tcW w:w="725" w:type="dxa"/>
            <w:tcBorders/>
            <w:vAlign w:val="center"/>
          </w:tcPr>
          <w:p>
            <w:pPr>
              <w:pStyle w:val="TableContents"/>
              <w:bidi w:val="0"/>
              <w:spacing w:before="0" w:after="0"/>
              <w:jc w:val="left"/>
              <w:rPr>
                <w:b/>
              </w:rPr>
            </w:pPr>
            <w:bookmarkStart w:id="13" w:name="fin29128_18"/>
            <w:bookmarkEnd w:id="13"/>
            <w:r>
              <w:rPr>
                <w:b/>
              </w:rPr>
              <w:t>Item 5.</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Information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Securities Trading Plans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During our last fiscal quarter, no director or officer, as defined in Rule </w:t>
      </w:r>
    </w:p>
    <w:p>
      <w:pPr>
        <w:pStyle w:val="TextBody"/>
        <w:bidi w:val="0"/>
        <w:spacing w:before="120" w:after="0"/>
        <w:jc w:val="left"/>
        <w:rPr>
          <w:rFonts w:ascii="Times New Roman" w:hAnsi="Times New Roman"/>
          <w:sz w:val="20"/>
        </w:rPr>
      </w:pPr>
      <w:r>
        <w:rPr>
          <w:rFonts w:ascii="Times New Roman" w:hAnsi="Times New Roman"/>
          <w:sz w:val="20"/>
        </w:rPr>
        <w:t>16a-1(f),</w:t>
      </w:r>
    </w:p>
    <w:p>
      <w:pPr>
        <w:pStyle w:val="TextBody"/>
        <w:bidi w:val="0"/>
        <w:spacing w:before="120" w:after="0"/>
        <w:jc w:val="left"/>
        <w:rPr>
          <w:rFonts w:ascii="Times New Roman" w:hAnsi="Times New Roman"/>
          <w:sz w:val="20"/>
        </w:rPr>
      </w:pPr>
      <w:r>
        <w:rPr>
          <w:rFonts w:ascii="Times New Roman" w:hAnsi="Times New Roman"/>
          <w:sz w:val="20"/>
        </w:rPr>
        <w:t xml:space="preserve">adopted or terminated a “Rule </w:t>
      </w:r>
    </w:p>
    <w:p>
      <w:pPr>
        <w:pStyle w:val="TextBody"/>
        <w:bidi w:val="0"/>
        <w:spacing w:before="120" w:after="0"/>
        <w:jc w:val="left"/>
        <w:rPr>
          <w:rFonts w:ascii="Times New Roman" w:hAnsi="Times New Roman"/>
          <w:sz w:val="20"/>
        </w:rPr>
      </w:pPr>
      <w:r>
        <w:rPr>
          <w:rFonts w:ascii="Times New Roman" w:hAnsi="Times New Roman"/>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or a </w:t>
      </w:r>
    </w:p>
    <w:p>
      <w:pPr>
        <w:pStyle w:val="TextBody"/>
        <w:bidi w:val="0"/>
        <w:spacing w:before="120" w:after="0"/>
        <w:jc w:val="left"/>
        <w:rPr/>
      </w:pPr>
      <w:r>
        <w:rPr/>
        <w:t>“</w:t>
      </w:r>
      <w:r>
        <w:rPr>
          <w:rFonts w:ascii="Times New Roman" w:hAnsi="Times New Roman"/>
          <w:sz w:val="20"/>
        </w:rPr>
        <w:t>non-Rule</w:t>
      </w:r>
    </w:p>
    <w:p>
      <w:pPr>
        <w:pStyle w:val="TextBody"/>
        <w:bidi w:val="0"/>
        <w:spacing w:before="120" w:after="0"/>
        <w:jc w:val="left"/>
        <w:rPr>
          <w:rFonts w:ascii="Times New Roman" w:hAnsi="Times New Roman"/>
          <w:sz w:val="20"/>
        </w:rPr>
      </w:pPr>
      <w:r>
        <w:rPr>
          <w:rFonts w:ascii="Times New Roman" w:hAnsi="Times New Roman"/>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each as defined in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Item 408.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tbl>
      <w:tblPr>
        <w:tblW w:w="1555" w:type="dxa"/>
        <w:jc w:val="left"/>
        <w:tblInd w:w="0" w:type="dxa"/>
        <w:tblLayout w:type="fixed"/>
        <w:tblCellMar>
          <w:top w:w="0" w:type="dxa"/>
          <w:left w:w="0" w:type="dxa"/>
          <w:bottom w:w="0" w:type="dxa"/>
          <w:right w:w="0" w:type="dxa"/>
        </w:tblCellMar>
      </w:tblPr>
      <w:tblGrid>
        <w:gridCol w:w="725"/>
        <w:gridCol w:w="830"/>
      </w:tblGrid>
      <w:tr>
        <w:trPr/>
        <w:tc>
          <w:tcPr>
            <w:tcW w:w="725" w:type="dxa"/>
            <w:tcBorders/>
            <w:vAlign w:val="center"/>
          </w:tcPr>
          <w:p>
            <w:pPr>
              <w:pStyle w:val="TableContents"/>
              <w:bidi w:val="0"/>
              <w:spacing w:before="0" w:after="283"/>
              <w:jc w:val="left"/>
              <w:rPr>
                <w:b/>
              </w:rPr>
            </w:pPr>
            <w:bookmarkStart w:id="14" w:name="fin29128_19"/>
            <w:bookmarkStart w:id="15" w:name="TOC29128_15"/>
            <w:bookmarkEnd w:id="14"/>
            <w:bookmarkEnd w:id="15"/>
            <w:r>
              <w:rPr>
                <w:b/>
              </w:rPr>
              <w:t>Item 6.</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0"/>
        <w:gridCol w:w="120"/>
        <w:gridCol w:w="9315"/>
      </w:tblGrid>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15"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hyperlink w:anchor="d29128dex101.htm">
              <w:r>
                <w:rPr>
                  <w:rStyle w:val="InternetLink"/>
                </w:rPr>
                <w:t xml:space="preserve">Form of 2020 Plan Restricted Stock Units Agreement for deferrals for Directors. </w:t>
              </w:r>
            </w:hyperlink>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hyperlink r:id="rId3">
              <w:r>
                <w:rPr>
                  <w:rStyle w:val="InternetLink"/>
                </w:rPr>
                <w:t xml:space="preserve">Separation Agreement, dated as of August 11, 2025, by and between the Company and YJ Kim (incorporated by reference to Exhibit 10.1 to the current report on Form 8-K filed with the Securities and Exchange Commission on August 11, 2025). </w:t>
              </w:r>
            </w:hyperlink>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hyperlink r:id="rId4">
              <w:r>
                <w:rPr>
                  <w:rStyle w:val="InternetLink"/>
                </w:rPr>
                <w:t xml:space="preserve">Separation Agreement, dated as of September 9, 2025, by and between the Company and Theodore Kim (incorporated by reference to Exhibit 10.1 to the current report on Form 8-K/A filed with the Securities and Exchange Commission on September 9, 2025). </w:t>
              </w:r>
            </w:hyperlink>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hyperlink r:id="rId5">
              <w:r>
                <w:rPr>
                  <w:rStyle w:val="InternetLink"/>
                </w:rPr>
                <w:t xml:space="preserve">Consulting Agreement, dated as of September 30, 2025, by and between the Company and Camillo Martino (incorporated by reference to Exhibit 10.1 to the current report on Form 8-K/A filed with the Securities and Exchange Commission on October 3, 2025). </w:t>
              </w:r>
            </w:hyperlink>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hyperlink r:id="rId6">
              <w:r>
                <w:rPr>
                  <w:rStyle w:val="InternetLink"/>
                </w:rPr>
                <w:t xml:space="preserve">Executive Service Agreement, dated as of September 30, 2025, by and between MSK and Camillo Martino (incorporated by reference to Exhibit 10.2 to the current report on Form 8-K/A filed with the Securities and Exchange Commission on October 3, 2025). </w:t>
              </w:r>
            </w:hyperlink>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r>
              <w:rPr/>
              <w:t>31.1#</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hyperlink w:anchor="d29128dex311.htm">
              <w:r>
                <w:rPr>
                  <w:rStyle w:val="InternetLink"/>
                </w:rPr>
                <w:t xml:space="preserve">Certification pursuant to Rule 13a-14(a) or Rule 15d-14(a) of the Securities Exchange Act of 1934 of the Principal Executive Officer. </w:t>
              </w:r>
            </w:hyperlink>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r>
              <w:rPr/>
              <w:t>31.2#</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hyperlink w:anchor="d29128dex312.htm">
              <w:r>
                <w:rPr>
                  <w:rStyle w:val="InternetLink"/>
                </w:rPr>
                <w:t xml:space="preserve">Certification pursuant to Rule 13a-14(a) or Rule 15d-14(a) of the Securities Exchange Act of 1934 of the Principal Financial Officer. </w:t>
              </w:r>
            </w:hyperlink>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r>
              <w:rPr/>
              <w:t>32.1†</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hyperlink w:anchor="d29128dex321.htm">
              <w:r>
                <w:rPr>
                  <w:rStyle w:val="InternetLink"/>
                </w:rPr>
                <w:t xml:space="preserve">Certification pursuant to 18 U.S.C. Section 1350, as adopted pursuant to Section 906 of the Sarbanes-Oxley Act of 2002, of the Principal Executive Officer. </w:t>
              </w:r>
            </w:hyperlink>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r>
              <w:rPr/>
              <w:t>32.2†</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hyperlink w:anchor="d29128dex322.htm">
              <w:r>
                <w:rPr>
                  <w:rStyle w:val="InternetLink"/>
                </w:rPr>
                <w:t xml:space="preserve">Certification pursuant to 18 U.S.C. Section 1350, as adopted pursuant to Section 906 of the Sarbanes-Oxley Act of 2002, of the Principal Financial Officer. </w:t>
              </w:r>
            </w:hyperlink>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r>
              <w:rPr/>
              <w:t>Inline XBRL Instance Document.</w:t>
            </w:r>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r>
              <w:rPr/>
              <w:t>Inline XBRL Taxonomy Extension Schema Document.</w:t>
            </w:r>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r>
              <w:rPr/>
              <w:t>Inline XBRL Taxonomy Extension Calculation Linkbase Document.</w:t>
            </w:r>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r>
              <w:rPr/>
              <w:t>Inline XBRL Taxonomy Extension Definition Linkbase Document.</w:t>
            </w:r>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r>
              <w:rPr/>
              <w:t>Inline XBRL Taxonomy Extension Label Linkbase Document.</w:t>
            </w:r>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r>
              <w:rPr/>
              <w:t>Inline XBRL Taxonomy Extension Presentation Linkbase Document.</w:t>
            </w:r>
          </w:p>
        </w:tc>
      </w:tr>
      <w:tr>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240" w:after="0"/>
        <w:jc w:val="left"/>
        <w:rPr>
          <w:rFonts w:ascii="Times New Roman" w:hAnsi="Times New Roman"/>
          <w:sz w:val="20"/>
        </w:rPr>
      </w:pPr>
      <w:r>
        <w:rPr>
          <w:rFonts w:ascii="Times New Roman" w:hAnsi="Times New Roman"/>
          <w:sz w:val="20"/>
        </w:rPr>
        <w:t xml:space="preserve">Footnotes: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tbl>
      <w:tblPr>
        <w:tblW w:w="4900" w:type="dxa"/>
        <w:jc w:val="left"/>
        <w:tblInd w:w="0" w:type="dxa"/>
        <w:tblLayout w:type="fixed"/>
        <w:tblCellMar>
          <w:top w:w="0" w:type="dxa"/>
          <w:left w:w="0" w:type="dxa"/>
          <w:bottom w:w="0" w:type="dxa"/>
          <w:right w:w="0" w:type="dxa"/>
        </w:tblCellMar>
      </w:tblPr>
      <w:tblGrid>
        <w:gridCol w:w="155"/>
        <w:gridCol w:w="4745"/>
      </w:tblGrid>
      <w:tr>
        <w:trPr/>
        <w:tc>
          <w:tcPr>
            <w:tcW w:w="155"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compensatory plan or arrangement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 w:name="fin29128_20"/>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8228" w:type="dxa"/>
        <w:jc w:val="left"/>
        <w:tblInd w:w="0" w:type="dxa"/>
        <w:tblLayout w:type="fixed"/>
        <w:tblCellMar>
          <w:top w:w="0" w:type="dxa"/>
          <w:left w:w="0" w:type="dxa"/>
          <w:bottom w:w="0" w:type="dxa"/>
          <w:right w:w="0" w:type="dxa"/>
        </w:tblCellMar>
      </w:tblPr>
      <w:tblGrid>
        <w:gridCol w:w="2630"/>
        <w:gridCol w:w="60"/>
        <w:gridCol w:w="23"/>
        <w:gridCol w:w="60"/>
        <w:gridCol w:w="365"/>
        <w:gridCol w:w="60"/>
        <w:gridCol w:w="5030"/>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MAGNACHIP SEMICONDUCTOR CORPORATION</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November 10,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Camillo Martino</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Camillo Martino</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Chairman and Interim 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November 10,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Shin Young Park</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p>
      <w:pPr>
        <w:pStyle w:val="TextBody"/>
        <w:bidi w:val="0"/>
        <w:spacing w:before="0" w:after="0"/>
        <w:jc w:val="right"/>
        <w:rPr>
          <w:rFonts w:ascii="Times New Roman" w:hAnsi="Times New Roman"/>
          <w:b/>
          <w:sz w:val="20"/>
        </w:rPr>
      </w:pPr>
      <w:bookmarkStart w:id="17" w:name="d29128dex101.htm"/>
      <w:bookmarkStart w:id="18" w:name="ksd29128dex101"/>
      <w:bookmarkEnd w:id="17"/>
      <w:bookmarkEnd w:id="18"/>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UNITS AGREEMENT (DEFERRED) </w:t>
      </w:r>
    </w:p>
    <w:p>
      <w:pPr>
        <w:pStyle w:val="TextBody"/>
        <w:bidi w:val="0"/>
        <w:spacing w:before="240" w:after="0"/>
        <w:jc w:val="left"/>
        <w:rPr>
          <w:rFonts w:ascii="Times New Roman" w:hAnsi="Times New Roman"/>
          <w:sz w:val="20"/>
        </w:rPr>
      </w:pPr>
      <w:r>
        <w:rPr>
          <w:rFonts w:ascii="Times New Roman" w:hAnsi="Times New Roman"/>
          <w:sz w:val="20"/>
        </w:rPr>
        <w:t>Magnachip Semiconductor Corporation (the “</w:t>
      </w:r>
      <w:r>
        <w:rPr>
          <w:rFonts w:ascii="Times New Roman" w:hAnsi="Times New Roman"/>
          <w:b/>
          <w:i/>
          <w:sz w:val="20"/>
        </w:rPr>
        <w:t>Company</w:t>
      </w:r>
      <w:r>
        <w:rPr>
          <w:rFonts w:ascii="Times New Roman" w:hAnsi="Times New Roman"/>
          <w:sz w:val="20"/>
        </w:rPr>
        <w:t>”) has granted to the Participant named in the Notice of Grant of Restricted Stock Units (the “</w:t>
      </w:r>
      <w:r>
        <w:rPr>
          <w:rFonts w:ascii="Times New Roman" w:hAnsi="Times New Roman"/>
          <w:b/>
          <w:i/>
          <w:sz w:val="20"/>
        </w:rPr>
        <w:t>Grant Notice</w:t>
      </w:r>
      <w:r>
        <w:rPr>
          <w:rFonts w:ascii="Times New Roman" w:hAnsi="Times New Roman"/>
          <w:sz w:val="20"/>
        </w:rPr>
        <w:t>”) to which this Restricted Stock Units Agreement is attached an Award consisting of Restricted Stock Units subject to the terms and conditions set forth in the Grant Notice and this Restricted Stock Units Agreement, including any additional terms and conditions for the Participant’s country set forth in the appendix attached hereto (the “</w:t>
      </w:r>
      <w:r>
        <w:rPr>
          <w:rFonts w:ascii="Times New Roman" w:hAnsi="Times New Roman"/>
          <w:b/>
          <w:i/>
          <w:sz w:val="20"/>
        </w:rPr>
        <w:t>Appendix</w:t>
      </w:r>
      <w:r>
        <w:rPr>
          <w:rFonts w:ascii="Times New Roman" w:hAnsi="Times New Roman"/>
          <w:sz w:val="20"/>
        </w:rPr>
        <w:t>” and, together with the Restricted Stock Units Agreement, the “</w:t>
      </w:r>
      <w:r>
        <w:rPr>
          <w:rFonts w:ascii="Times New Roman" w:hAnsi="Times New Roman"/>
          <w:b/>
          <w:i/>
          <w:sz w:val="20"/>
        </w:rPr>
        <w:t>Agreement</w:t>
      </w:r>
      <w:r>
        <w:rPr>
          <w:rFonts w:ascii="Times New Roman" w:hAnsi="Times New Roman"/>
          <w:sz w:val="20"/>
        </w:rPr>
        <w:t xml:space="preserve">”). The Participant shall be entitled to Dividend Equivalent Rights with respect to the Award. </w:t>
      </w:r>
    </w:p>
    <w:p>
      <w:pPr>
        <w:pStyle w:val="TextBody"/>
        <w:bidi w:val="0"/>
        <w:spacing w:before="240" w:after="0"/>
        <w:jc w:val="left"/>
        <w:rPr>
          <w:rFonts w:ascii="Times New Roman" w:hAnsi="Times New Roman"/>
          <w:sz w:val="20"/>
        </w:rPr>
      </w:pPr>
      <w:r>
        <w:rPr>
          <w:rFonts w:ascii="Times New Roman" w:hAnsi="Times New Roman"/>
          <w:sz w:val="20"/>
        </w:rPr>
        <w:t>The Award has been granted pursuant to and shall in all respects be subject to the terms conditions of the Magnachip Semiconductor Corporation 2020 Equity and Incentive Compensation Plan, as amended and restated from time to time (the “</w:t>
      </w:r>
      <w:r>
        <w:rPr>
          <w:rFonts w:ascii="Times New Roman" w:hAnsi="Times New Roman"/>
          <w:b/>
          <w:i/>
          <w:sz w:val="20"/>
        </w:rPr>
        <w:t>Plan</w:t>
      </w:r>
      <w:r>
        <w:rPr>
          <w:rFonts w:ascii="Times New Roman" w:hAnsi="Times New Roman"/>
          <w:sz w:val="20"/>
        </w:rPr>
        <w:t>”), and the Magnachip Semiconductor Corporation Director Deferred Compensation Program, including the rules and conditions set forth therein (the “</w:t>
      </w:r>
      <w:r>
        <w:rPr>
          <w:rFonts w:ascii="Times New Roman" w:hAnsi="Times New Roman"/>
          <w:b/>
          <w:i/>
          <w:sz w:val="20"/>
        </w:rPr>
        <w:t>Program</w:t>
      </w:r>
      <w:r>
        <w:rPr>
          <w:rFonts w:ascii="Times New Roman" w:hAnsi="Times New Roman"/>
          <w:sz w:val="20"/>
        </w:rPr>
        <w: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b/>
          <w:i/>
          <w:sz w:val="20"/>
        </w:rPr>
        <w:t>Plan Prospectus</w:t>
      </w:r>
      <w:r>
        <w:rPr>
          <w:rFonts w:ascii="Times New Roman" w:hAnsi="Times New Roman"/>
          <w:sz w:val="20"/>
        </w:rPr>
        <w:t xml:space="preserve">”), (b) accepts the Award subject to all of the terms and conditions of the Grant Notice, this Agreement, the Plan and the Program and (c) agrees to accept as binding, conclusive and final all decisions or interpretations of the Committee upon any questions arising under the Grant Notice, this Agreement, the Plan or the Program.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AND CONSTRUCTION.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 xml:space="preserve">Definitions. </w:t>
      </w:r>
      <w:r>
        <w:rPr>
          <w:rFonts w:ascii="Times New Roman" w:hAnsi="Times New Roman"/>
          <w:sz w:val="20"/>
        </w:rPr>
        <w:t xml:space="preserve">Unless otherwise defined herein, capitalized terms shall have the meanings assigned to such terms in the Grant Notice, the Plan or the Program.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Dividend Equivalent Units</w:t>
      </w:r>
      <w:r>
        <w:rPr>
          <w:rFonts w:ascii="Times New Roman" w:hAnsi="Times New Roman"/>
          <w:sz w:val="20"/>
        </w:rPr>
        <w:t xml:space="preserve">” mean additional Restricted Stock Units credited pursuant to Section 3.3.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Units</w:t>
      </w:r>
      <w:r>
        <w:rPr>
          <w:rFonts w:ascii="Times New Roman" w:hAnsi="Times New Roman"/>
          <w:sz w:val="20"/>
        </w:rPr>
        <w:t xml:space="preserve">” mean the Restricted Stock Units originally granted pursuant to the Award and the Dividend Equivalent Units credited pursuant to the Award, as both shall be adjusted from time to time pursuant to Section 9.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 xml:space="preserve">Construction. </w:t>
      </w:r>
      <w:r>
        <w:rPr>
          <w:rFonts w:ascii="Times New Roman" w:hAnsi="Times New Roman"/>
          <w:sz w:val="20"/>
        </w:rPr>
        <w:t xml:space="preserve">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questions of interpretation concerning the Grant Notice, this Agreement, the Plan, the Program or any other form of agreement or other document employed by the Company in the administration of the Plan, the Program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the Program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AWARD.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 xml:space="preserve">Grant of Units. </w:t>
      </w:r>
      <w:r>
        <w:rPr>
          <w:rFonts w:ascii="Times New Roman" w:hAnsi="Times New Roman"/>
          <w:sz w:val="20"/>
        </w:rPr>
        <w:t xml:space="preserve">On the Date of Grant, the Participant shall acquire, subject to the provisions of this Agreement, the Total Number of Restricted Stock Units set forth in the Grant Notice, subject to adjustment as provided in Section 3.3 and Section 9. Subject to the terms and conditions set forth in the Grant Notice, this Agreement, the Plan and the Program, each Unit represents a right to receive on a date determined in accordance with the Grant Notice, this Agreement and the Program one (1) share of Stock.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 xml:space="preserve">No Monetary Payment Required. </w:t>
      </w:r>
      <w:r>
        <w:rPr>
          <w:rFonts w:ascii="Times New Roman" w:hAnsi="Times New Roman"/>
          <w:sz w:val="20"/>
        </w:rPr>
        <w:t xml:space="preserve">The Participant is not required to make any monetary payment (other than applicable tax withholding, if any) as a condition to receiving the Units or shares of Stock issued upon settlement of the Units.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 xml:space="preserve">Dividend Equivalent Units. </w:t>
      </w:r>
      <w:r>
        <w:rPr>
          <w:rFonts w:ascii="Times New Roman" w:hAnsi="Times New Roman"/>
          <w:sz w:val="20"/>
        </w:rPr>
        <w:t xml:space="preserve">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Section 4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OF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Units acquired pursuant to this Agreement shall become Vested Units as provided in the Grant Notice. Dividend Equivalent Units shall become Vested Units at the same time as the Restricted Stock Units originally subject to the Award with respect to which they have been credited.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FORFEITURE OF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to the extent expressly provided otherwise in an agreement between the Participant and the Company, in the event that the Participant’s Service terminates for any reason or no reason, with or without cause, insofar as permitted under Local Law the Participant shall forfeit and the Company shall automatically reacquire all Units which are not, as of the time of such termination, Vested Units, and the Participant shall not be entitled to any payment therefor.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6.</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SETTLEMENT OF THE AWARD.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 xml:space="preserve">Issuance of Shares of Stock. </w:t>
      </w:r>
      <w:r>
        <w:rPr>
          <w:rFonts w:ascii="Times New Roman" w:hAnsi="Times New Roman"/>
          <w:sz w:val="20"/>
        </w:rPr>
        <w:t>The Company shall issue to the Participant the number of shares of Stock equal to the aggregate number of Restricted Stock Units that have vested pursuant to this Agreement on such date as specified in the Program in accordance with the terms and conditions of the Program and the Participant shall thereafter have all the rights of a stockholder of the Company with respect to such shares. Shares of Stock issued in settlement (the date of settlement, the “</w:t>
      </w:r>
      <w:r>
        <w:rPr>
          <w:rFonts w:ascii="Times New Roman" w:hAnsi="Times New Roman"/>
          <w:b/>
          <w:i/>
          <w:sz w:val="20"/>
        </w:rPr>
        <w:t>Settlement Date</w:t>
      </w:r>
      <w:r>
        <w:rPr>
          <w:rFonts w:ascii="Times New Roman" w:hAnsi="Times New Roman"/>
          <w:sz w:val="20"/>
        </w:rPr>
        <w:t xml:space="preserve">”) of Units shall not be subject to any restriction on transfer other than any such restriction as may be required pursuant to Section 6.3, Section 7 or the Company’s Securities Trading Policy.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 xml:space="preserve">Beneficial Ownership of Shares; Certificate Registration. </w:t>
      </w:r>
      <w:r>
        <w:rPr>
          <w:rFonts w:ascii="Times New Roman" w:hAnsi="Times New Roman"/>
          <w:sz w:val="20"/>
        </w:rPr>
        <w:t xml:space="preserve">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 xml:space="preserve">Restrictions on Grant of the Award and Issuance of Shares. </w:t>
      </w:r>
      <w:r>
        <w:rPr>
          <w:rFonts w:ascii="Times New Roman" w:hAnsi="Times New Roman"/>
          <w:sz w:val="20"/>
        </w:rPr>
        <w:t xml:space="preserve">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 xml:space="preserve">Fractional Shares. </w:t>
      </w:r>
      <w:r>
        <w:rPr>
          <w:rFonts w:ascii="Times New Roman" w:hAnsi="Times New Roman"/>
          <w:sz w:val="20"/>
        </w:rPr>
        <w:t xml:space="preserve">The Company shall not be required to issue fractional shares upon the settlement of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WITHHOLDING AND LIMITED CASH SETTLEMENT FOR FOREIGN TAX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 xml:space="preserve">In General. </w:t>
      </w:r>
      <w:r>
        <w:rPr>
          <w:rFonts w:ascii="Times New Roman" w:hAnsi="Times New Roman"/>
          <w:sz w:val="20"/>
        </w:rPr>
        <w:t xml:space="preserve">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non-U.S.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 xml:space="preserve">Assignment of Sale Proceeds. </w:t>
      </w:r>
      <w:r>
        <w:rPr>
          <w:rFonts w:ascii="Times New Roman" w:hAnsi="Times New Roman"/>
          <w:sz w:val="20"/>
        </w:rPr>
        <w:t xml:space="preserve">Subject to compliance with applicable law and the Company’s Securities Trading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 xml:space="preserve">Withholding in Shares. </w:t>
      </w:r>
      <w:r>
        <w:rPr>
          <w:rFonts w:ascii="Times New Roman" w:hAnsi="Times New Roman"/>
          <w:sz w:val="20"/>
        </w:rPr>
        <w:t xml:space="preserve">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b/>
          <w:sz w:val="20"/>
        </w:rPr>
        <w:t xml:space="preserve">Limited Cash Settlement for Foreign Tax Obligations. </w:t>
      </w:r>
      <w:r>
        <w:rPr>
          <w:rFonts w:ascii="Times New Roman" w:hAnsi="Times New Roman"/>
          <w:sz w:val="20"/>
        </w:rPr>
        <w:t xml:space="preserve">Notwithstanding the issuance schedule set forth in Section 6.1, to the extent Participant is subject to non-U.S. tax obligations (including any social insurance obligations) as a result of the vesting of one or more Units subject to this Award, Participant shall receive a partial cash settlement of this Award in connection with the applicable vesting date(s). The partial cash settlement is intended to enable Participant to pay the tax liability due from Participant to the non-U.S. tax authority when the Award vests. Any partial cash settlement shall occur in accordance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number of Vested Units will be forfeited on the applicable vesting date in exchange for a lump sum cash payment from the Company to the Participant in an amount equal to the Fair Market Value of the forfeited Vested Units. </w:t>
      </w:r>
    </w:p>
    <w:p>
      <w:pPr>
        <w:pStyle w:val="TextBody"/>
        <w:bidi w:val="0"/>
        <w:spacing w:before="120" w:after="0"/>
        <w:jc w:val="left"/>
        <w:rPr>
          <w:rFonts w:ascii="Times New Roman" w:hAnsi="Times New Roman"/>
          <w:sz w:val="20"/>
        </w:rPr>
      </w:pPr>
      <w:r>
        <w:rPr>
          <w:rFonts w:ascii="Times New Roman" w:hAnsi="Times New Roman"/>
          <w:sz w:val="20"/>
        </w:rPr>
        <w:t xml:space="preserve">(b) The number of Vested Units to be forfeited will be such number of whole shares of Stock having a Fair Market Value as close to as possible, but in no event to exceed, the tax obligation required to be paid by the Participant to the applicable non-U.S. tax authority as result of the vesting of the Units. </w:t>
      </w:r>
    </w:p>
    <w:p>
      <w:pPr>
        <w:pStyle w:val="TextBody"/>
        <w:bidi w:val="0"/>
        <w:spacing w:before="120" w:after="0"/>
        <w:jc w:val="left"/>
        <w:rPr>
          <w:rFonts w:ascii="Times New Roman" w:hAnsi="Times New Roman"/>
          <w:sz w:val="20"/>
        </w:rPr>
      </w:pPr>
      <w:r>
        <w:rPr>
          <w:rFonts w:ascii="Times New Roman" w:hAnsi="Times New Roman"/>
          <w:sz w:val="20"/>
        </w:rPr>
        <w:t xml:space="preserve">(c) The Fair Market Value of the forfeited Vested Units will be determined pursuant to Section 2(u) of the Plan on the vesting date of the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lump sum cash payment shall be paid by the Company to the Participant within seven (7) business days from the applicable vesting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EFFECT OF CHANGE IN CONTROL.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Control, all Units granted hereunder shall automatically become Vested Units and shall be settled, paid, continued or substituted, as determined by the Committee, in connection with such Change in Control in accordance with the terms of the Plan and the Program.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FOR CHANGES IN CAPITAL STRUCTURE.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3.3)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RIGHTS AS A STOCKHOLDER, DIRECTOR, EMPLOYEE OR CONSULTANT.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3.3 and Section 9. Nothing in this Agreement shall confer upon the Participant any right to continue in the Service of a Participating Company or interfere in any way with any right of the Participating Company Group to terminate the Participant’s Service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LEGENDS.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SECTION 409A.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 is intended that any election, payment or benefit which is made or provided pursuant to or in connection with this Award shall result in Section 409A Deferred Compensation and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12.1 </w:t>
      </w:r>
      <w:r>
        <w:rPr>
          <w:rFonts w:ascii="Times New Roman" w:hAnsi="Times New Roman"/>
          <w:b/>
          <w:sz w:val="20"/>
        </w:rPr>
        <w:t xml:space="preserve">Separation from Service; Required Delay in Payment to Specified Employee. </w:t>
      </w:r>
      <w:r>
        <w:rPr>
          <w:rFonts w:ascii="Times New Roman" w:hAnsi="Times New Roman"/>
          <w:sz w:val="20"/>
        </w:rPr>
        <w:t>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hAnsi="Times New Roman"/>
          <w:b/>
          <w:i/>
          <w:sz w:val="20"/>
        </w:rPr>
        <w:t>Section</w:t>
      </w:r>
      <w:r>
        <w:rPr>
          <w:rFonts w:ascii="Times New Roman" w:hAnsi="Times New Roman"/>
          <w:sz w:val="20"/>
        </w:rPr>
        <w:t> </w:t>
      </w:r>
      <w:r>
        <w:rPr>
          <w:rFonts w:ascii="Times New Roman" w:hAnsi="Times New Roman"/>
          <w:b/>
          <w:i/>
          <w:sz w:val="20"/>
        </w:rPr>
        <w:t>409A Regulations</w:t>
      </w:r>
      <w:r>
        <w:rPr>
          <w:rFonts w:ascii="Times New Roman" w:hAnsi="Times New Roman"/>
          <w:sz w:val="20"/>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paid to the Participant before the date (the “</w:t>
      </w:r>
      <w:r>
        <w:rPr>
          <w:rFonts w:ascii="Times New Roman" w:hAnsi="Times New Roman"/>
          <w:b/>
          <w:i/>
          <w:sz w:val="20"/>
        </w:rPr>
        <w:t>Delayed Payment Date</w:t>
      </w:r>
      <w:r>
        <w:rPr>
          <w:rFonts w:ascii="Times New Roman" w:hAnsi="Times New Roman"/>
          <w:sz w:val="20"/>
        </w:rPr>
        <w:t xml:space="preserve">”) which is six months and one business day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b/>
          <w:sz w:val="20"/>
        </w:rPr>
        <w:t xml:space="preserve">Other Delays in Payment. </w:t>
      </w:r>
      <w:r>
        <w:rPr>
          <w:rFonts w:ascii="Times New Roman" w:hAnsi="Times New Roman"/>
          <w:sz w:val="20"/>
        </w:rPr>
        <w:t xml:space="preserve">Neither the Participant nor the Company shall take any action to accelerate or delay the payment of any benefits under this Agreement in any manner which would not be in compliance with the Section 409A Regulations.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b/>
          <w:sz w:val="20"/>
        </w:rPr>
        <w:t>Separate Payments</w:t>
      </w:r>
      <w:r>
        <w:rPr>
          <w:rFonts w:ascii="Times New Roman" w:hAnsi="Times New Roman"/>
          <w:sz w:val="20"/>
        </w:rPr>
        <w:t xml:space="preserve">. To the extent required to comply with the Section 409A Regulations, each amount to be paid or benefit to be provided under this Agreement shall be construed as a separate identified payment for purposes of the Section 409A Regulations. </w:t>
      </w:r>
    </w:p>
    <w:p>
      <w:pPr>
        <w:pStyle w:val="TextBody"/>
        <w:bidi w:val="0"/>
        <w:spacing w:before="240" w:after="0"/>
        <w:jc w:val="left"/>
        <w:rPr>
          <w:rFonts w:ascii="Times New Roman" w:hAnsi="Times New Roman"/>
          <w:sz w:val="20"/>
        </w:rPr>
      </w:pPr>
      <w:r>
        <w:rPr>
          <w:rFonts w:ascii="Times New Roman" w:hAnsi="Times New Roman"/>
          <w:sz w:val="20"/>
        </w:rPr>
        <w:t xml:space="preserve">12.4 </w:t>
      </w:r>
      <w:r>
        <w:rPr>
          <w:rFonts w:ascii="Times New Roman" w:hAnsi="Times New Roman"/>
          <w:b/>
          <w:sz w:val="20"/>
        </w:rPr>
        <w:t>Amendments to Comply with Section</w:t>
      </w:r>
      <w:r>
        <w:rPr>
          <w:rFonts w:ascii="Times New Roman" w:hAnsi="Times New Roman"/>
          <w:sz w:val="20"/>
        </w:rPr>
        <w:t> </w:t>
      </w:r>
      <w:r>
        <w:rPr>
          <w:rFonts w:ascii="Times New Roman" w:hAnsi="Times New Roman"/>
          <w:b/>
          <w:sz w:val="20"/>
        </w:rPr>
        <w:t xml:space="preserve">409A; Indemnification. </w:t>
      </w:r>
      <w:r>
        <w:rPr>
          <w:rFonts w:ascii="Times New Roman" w:hAnsi="Times New Roman"/>
          <w:sz w:val="20"/>
        </w:rPr>
        <w:t xml:space="preserve">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12.5 </w:t>
      </w:r>
      <w:r>
        <w:rPr>
          <w:rFonts w:ascii="Times New Roman" w:hAnsi="Times New Roman"/>
          <w:b/>
          <w:sz w:val="20"/>
        </w:rPr>
        <w:t xml:space="preserve">Advice of Independent Tax Advisor. </w:t>
      </w:r>
      <w:r>
        <w:rPr>
          <w:rFonts w:ascii="Times New Roman" w:hAnsi="Times New Roman"/>
          <w:sz w:val="20"/>
        </w:rPr>
        <w:t xml:space="preserve">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13.1 </w:t>
      </w:r>
      <w:r>
        <w:rPr>
          <w:rFonts w:ascii="Times New Roman" w:hAnsi="Times New Roman"/>
          <w:b/>
          <w:sz w:val="20"/>
        </w:rPr>
        <w:t xml:space="preserve">Termination or Amendment. </w:t>
      </w:r>
      <w:r>
        <w:rPr>
          <w:rFonts w:ascii="Times New Roman" w:hAnsi="Times New Roman"/>
          <w:sz w:val="20"/>
        </w:rPr>
        <w:t xml:space="preserve">The Committee may terminate or amend the Plan or this Agreement at any time; provided, however, that except as provided in Section 8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b/>
          <w:sz w:val="20"/>
        </w:rPr>
        <w:t xml:space="preserve">Nontransferability of the Award. </w:t>
      </w:r>
      <w:r>
        <w:rPr>
          <w:rFonts w:ascii="Times New Roman" w:hAnsi="Times New Roman"/>
          <w:sz w:val="20"/>
        </w:rPr>
        <w:t xml:space="preserve">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13.3 </w:t>
      </w:r>
      <w:r>
        <w:rPr>
          <w:rFonts w:ascii="Times New Roman" w:hAnsi="Times New Roman"/>
          <w:b/>
          <w:sz w:val="20"/>
        </w:rPr>
        <w:t xml:space="preserve">Further Instruments. </w:t>
      </w:r>
      <w:r>
        <w:rPr>
          <w:rFonts w:ascii="Times New Roman" w:hAnsi="Times New Roman"/>
          <w:sz w:val="20"/>
        </w:rPr>
        <w:t xml:space="preserve">The parties hereto agree to execute such further instruments and to take such further action as may reasonably be necessary to carry out the intent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13.4 </w:t>
      </w:r>
      <w:r>
        <w:rPr>
          <w:rFonts w:ascii="Times New Roman" w:hAnsi="Times New Roman"/>
          <w:b/>
          <w:sz w:val="20"/>
        </w:rPr>
        <w:t xml:space="preserve">Binding Effect. </w:t>
      </w:r>
      <w:r>
        <w:rPr>
          <w:rFonts w:ascii="Times New Roman" w:hAnsi="Times New Roman"/>
          <w:sz w:val="20"/>
        </w:rPr>
        <w:t xml:space="preserve">This Agreement shall inure to the benefit of the successors and assigns of the Company and, subject to the restrictions on transfer set forth herein, be binding upon the Participant and the Participant’s heirs, executors, administrators,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13.5 </w:t>
      </w:r>
      <w:r>
        <w:rPr>
          <w:rFonts w:ascii="Times New Roman" w:hAnsi="Times New Roman"/>
          <w:b/>
          <w:sz w:val="20"/>
        </w:rPr>
        <w:t xml:space="preserve">Delivery of Documents and Notices. </w:t>
      </w:r>
      <w:r>
        <w:rPr>
          <w:rFonts w:ascii="Times New Roman" w:hAnsi="Times New Roman"/>
          <w:sz w:val="20"/>
        </w:rPr>
        <w:t xml:space="preserve">Any document relating to participation in the Plan or the Program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 xml:space="preserve">Description of Electronic Delivery. </w:t>
      </w:r>
      <w:r>
        <w:rPr>
          <w:rFonts w:ascii="Times New Roman" w:hAnsi="Times New Roman"/>
          <w:sz w:val="20"/>
        </w:rPr>
        <w:t xml:space="preserve">The Plan and Program documents, which may include but do not necessarily include: the Plan, the Program,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or the Program as the Company may designate from time to time. Such means of electronic delivery may include but do not necessarily include the delivery of a link to a Company intranet or the Internet site of a third party involved in administering the Plan or the Program, the delivery of the document via e-mail or such other means of electronic delivery specified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 xml:space="preserve">Consent to Electronic Delivery. </w:t>
      </w:r>
      <w:r>
        <w:rPr>
          <w:rFonts w:ascii="Times New Roman" w:hAnsi="Times New Roman"/>
          <w:sz w:val="20"/>
        </w:rPr>
        <w:t xml:space="preserve">The Participant acknowledges that the Participant has read Section 13.5(a) of this Agreement and consents to the electronic delivery of the Plan and Program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 </w:t>
      </w:r>
    </w:p>
    <w:p>
      <w:pPr>
        <w:pStyle w:val="TextBody"/>
        <w:bidi w:val="0"/>
        <w:spacing w:before="240" w:after="0"/>
        <w:jc w:val="left"/>
        <w:rPr>
          <w:rFonts w:ascii="Times New Roman" w:hAnsi="Times New Roman"/>
          <w:sz w:val="20"/>
        </w:rPr>
      </w:pPr>
      <w:r>
        <w:rPr>
          <w:rFonts w:ascii="Times New Roman" w:hAnsi="Times New Roman"/>
          <w:sz w:val="20"/>
        </w:rPr>
        <w:t xml:space="preserve">13.6 </w:t>
      </w:r>
      <w:r>
        <w:rPr>
          <w:rFonts w:ascii="Times New Roman" w:hAnsi="Times New Roman"/>
          <w:b/>
          <w:sz w:val="20"/>
        </w:rPr>
        <w:t xml:space="preserve">Integrated Agreement. </w:t>
      </w:r>
      <w:r>
        <w:rPr>
          <w:rFonts w:ascii="Times New Roman" w:hAnsi="Times New Roman"/>
          <w:sz w:val="20"/>
        </w:rPr>
        <w:t xml:space="preserve">The Grant Notice, this Agreement, the Plan and the Program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the Plan and the Program shall survive any settlement of the Award and shall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13.7 </w:t>
      </w:r>
      <w:r>
        <w:rPr>
          <w:rFonts w:ascii="Times New Roman" w:hAnsi="Times New Roman"/>
          <w:b/>
          <w:sz w:val="20"/>
        </w:rPr>
        <w:t>Non-U.S. Terms and Conditions</w:t>
      </w:r>
      <w:r>
        <w:rPr>
          <w:rFonts w:ascii="Times New Roman" w:hAnsi="Times New Roman"/>
          <w:sz w:val="20"/>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the Program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13.8 </w:t>
      </w:r>
      <w:r>
        <w:rPr>
          <w:rFonts w:ascii="Times New Roman" w:hAnsi="Times New Roman"/>
          <w:b/>
          <w:sz w:val="20"/>
        </w:rPr>
        <w:t xml:space="preserve">Applicable Law. </w:t>
      </w:r>
      <w:r>
        <w:rPr>
          <w:rFonts w:ascii="Times New Roman" w:hAnsi="Times New Roman"/>
          <w:sz w:val="20"/>
        </w:rPr>
        <w:t xml:space="preserve">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 </w:t>
      </w:r>
    </w:p>
    <w:p>
      <w:pPr>
        <w:pStyle w:val="TextBody"/>
        <w:bidi w:val="0"/>
        <w:spacing w:before="240" w:after="0"/>
        <w:jc w:val="left"/>
        <w:rPr>
          <w:rFonts w:ascii="Times New Roman" w:hAnsi="Times New Roman"/>
          <w:sz w:val="20"/>
        </w:rPr>
      </w:pPr>
      <w:r>
        <w:rPr>
          <w:rFonts w:ascii="Times New Roman" w:hAnsi="Times New Roman"/>
          <w:sz w:val="20"/>
        </w:rPr>
        <w:t xml:space="preserve">13.9 </w:t>
      </w:r>
      <w:r>
        <w:rPr>
          <w:rFonts w:ascii="Times New Roman" w:hAnsi="Times New Roman"/>
          <w:b/>
          <w:sz w:val="20"/>
        </w:rPr>
        <w:t xml:space="preserve">Language. </w:t>
      </w:r>
      <w:r>
        <w:rPr>
          <w:rFonts w:ascii="Times New Roman" w:hAnsi="Times New Roman"/>
          <w:sz w:val="20"/>
        </w:rPr>
        <w:t xml:space="preserve">The Participant acknowledges that the Participant is sufficiently proficient in the English language, or has consulted with an advisor who is sufficiently proficient in English, so as to allow the Participant to understand the provisions in this Agreement, the Program and the Plan. Further, if the Participant has received this Agreement or any other document related to the Plan or the Program translated into a language other than English and if the meaning of the translated version is different than the English version, the English version will control. </w:t>
      </w:r>
    </w:p>
    <w:p>
      <w:pPr>
        <w:pStyle w:val="TextBody"/>
        <w:bidi w:val="0"/>
        <w:spacing w:before="240" w:after="0"/>
        <w:jc w:val="left"/>
        <w:rPr>
          <w:rFonts w:ascii="Times New Roman" w:hAnsi="Times New Roman"/>
          <w:sz w:val="20"/>
        </w:rPr>
      </w:pPr>
      <w:r>
        <w:rPr>
          <w:rFonts w:ascii="Times New Roman" w:hAnsi="Times New Roman"/>
          <w:sz w:val="20"/>
        </w:rPr>
        <w:t xml:space="preserve">13.10 </w:t>
      </w:r>
      <w:r>
        <w:rPr>
          <w:rFonts w:ascii="Times New Roman" w:hAnsi="Times New Roman"/>
          <w:b/>
          <w:sz w:val="20"/>
        </w:rPr>
        <w:t xml:space="preserve">Insider Trading / Market Abuse Restrictions. </w:t>
      </w:r>
      <w:r>
        <w:rPr>
          <w:rFonts w:ascii="Times New Roman" w:hAnsi="Times New Roman"/>
          <w:sz w:val="20"/>
        </w:rPr>
        <w:t xml:space="preserve">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the laws in the Participant’s country). Any restrictions under these laws or regulations are separate from and in addition to any restrictions that may be imposed under the Company’s insider trading policy. The Participant is responsible for ensuring compliance with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13.11 </w:t>
      </w:r>
      <w:r>
        <w:rPr>
          <w:rFonts w:ascii="Times New Roman" w:hAnsi="Times New Roman"/>
          <w:b/>
          <w:sz w:val="20"/>
        </w:rPr>
        <w:t xml:space="preserve">Foreign Asset / Account Reporting and Exchange Control Requirements. </w:t>
      </w:r>
      <w:r>
        <w:rPr>
          <w:rFonts w:ascii="Times New Roman" w:hAnsi="Times New Roman"/>
          <w:sz w:val="20"/>
        </w:rPr>
        <w:t xml:space="preserve">Certain foreign asset and/or foreign account reporting requirements and exchange controls may affect the Participant’s ability to acquire or hold shares under the Plan or the Program or cash received from participating in the Plan or the Program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or the Program to the Participant’s country through a designated bank or broker and/or within a certain time after receipt. The Participant is responsible for complying with any applicable regulations and should consult the Participant’s personal legal and tax advisors for any details.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13.12 </w:t>
      </w:r>
      <w:r>
        <w:rPr>
          <w:rFonts w:ascii="Times New Roman" w:hAnsi="Times New Roman"/>
          <w:b/>
          <w:sz w:val="20"/>
        </w:rPr>
        <w:t xml:space="preserve">Waiver. </w:t>
      </w:r>
      <w:r>
        <w:rPr>
          <w:rFonts w:ascii="Times New Roman" w:hAnsi="Times New Roman"/>
          <w:sz w:val="20"/>
        </w:rPr>
        <w:t xml:space="preserve">The Participant acknowledges that a waiver by the Company of breach of any provision of this Agreement shall not operate or be construed as a waiver of any other provision of this Agreement, or of any subsequent breach by you or any other participant. </w:t>
      </w:r>
    </w:p>
    <w:p>
      <w:pPr>
        <w:pStyle w:val="TextBody"/>
        <w:bidi w:val="0"/>
        <w:spacing w:before="240" w:after="0"/>
        <w:jc w:val="left"/>
        <w:rPr>
          <w:rFonts w:ascii="Times New Roman" w:hAnsi="Times New Roman"/>
          <w:sz w:val="20"/>
        </w:rPr>
      </w:pPr>
      <w:r>
        <w:rPr>
          <w:rFonts w:ascii="Times New Roman" w:hAnsi="Times New Roman"/>
          <w:sz w:val="20"/>
        </w:rPr>
        <w:t xml:space="preserve">13.13 </w:t>
      </w:r>
      <w:r>
        <w:rPr>
          <w:rFonts w:ascii="Times New Roman" w:hAnsi="Times New Roman"/>
          <w:b/>
          <w:sz w:val="20"/>
        </w:rPr>
        <w:t xml:space="preserve">Counterparts. </w:t>
      </w:r>
      <w:r>
        <w:rPr>
          <w:rFonts w:ascii="Times New Roman" w:hAnsi="Times New Roman"/>
          <w:sz w:val="20"/>
        </w:rPr>
        <w:t xml:space="preserve">The Grant Notice may be executed in counterparts, each of which shall be deemed an original, but all of which together shall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13.14 </w:t>
      </w:r>
      <w:r>
        <w:rPr>
          <w:rFonts w:ascii="Times New Roman" w:hAnsi="Times New Roman"/>
          <w:b/>
          <w:sz w:val="20"/>
        </w:rPr>
        <w:t xml:space="preserve">Clawback. </w:t>
      </w:r>
      <w:r>
        <w:rPr>
          <w:rFonts w:ascii="Times New Roman" w:hAnsi="Times New Roman"/>
          <w:sz w:val="20"/>
        </w:rPr>
        <w:t xml:space="preserve">The Award will be subject to recoupment in accordance with the Compensation Recovery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w:t>
      </w:r>
    </w:p>
    <w:p>
      <w:pPr>
        <w:pStyle w:val="TextBody"/>
        <w:bidi w:val="0"/>
        <w:spacing w:before="120" w:after="0"/>
        <w:jc w:val="center"/>
        <w:rPr>
          <w:rFonts w:ascii="Times New Roman" w:hAnsi="Times New Roman"/>
          <w:b/>
          <w:sz w:val="20"/>
        </w:rPr>
      </w:pPr>
      <w:r>
        <w:rPr>
          <w:rFonts w:ascii="Times New Roman" w:hAnsi="Times New Roman"/>
          <w:b/>
          <w:sz w:val="20"/>
        </w:rPr>
        <w:t xml:space="preserve">ADDITIONAL TERMS AND CONDITIONS OF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UNITS AGREEMENT </w:t>
      </w:r>
    </w:p>
    <w:p>
      <w:pPr>
        <w:pStyle w:val="TextBody"/>
        <w:bidi w:val="0"/>
        <w:spacing w:before="240" w:after="0"/>
        <w:jc w:val="left"/>
        <w:rPr>
          <w:rFonts w:ascii="Times New Roman" w:hAnsi="Times New Roman"/>
          <w:sz w:val="20"/>
        </w:rPr>
      </w:pPr>
      <w:r>
        <w:rPr>
          <w:rFonts w:ascii="Times New Roman" w:hAnsi="Times New Roman"/>
          <w:sz w:val="20"/>
        </w:rPr>
        <w:t>Capitalized terms used but not defined in this Appendix have the meanings set forth in the Plan, the Program, the Grant Notice and/or in the Restricted Stock Units Agreement (the “</w:t>
      </w:r>
      <w:r>
        <w:rPr>
          <w:rFonts w:ascii="Times New Roman" w:hAnsi="Times New Roman"/>
          <w:b/>
          <w:i/>
          <w:sz w:val="20"/>
        </w:rPr>
        <w:t>RSU Agreement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This Appendix includes additional terms and conditions that govern the Restricted Stock Units granted to the Participant under the Plan or the Program if the Participant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grant of the Restricted Stock Units, the Company shall, in its discretion, determine to what extent the additional terms and conditions contained herein shall be applicable to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NOTIFICATIONS </w:t>
      </w:r>
    </w:p>
    <w:p>
      <w:pPr>
        <w:pStyle w:val="TextBody"/>
        <w:bidi w:val="0"/>
        <w:spacing w:before="120" w:after="0"/>
        <w:jc w:val="left"/>
        <w:rPr>
          <w:rFonts w:ascii="Times New Roman" w:hAnsi="Times New Roman"/>
          <w:sz w:val="20"/>
        </w:rPr>
      </w:pPr>
      <w:r>
        <w:rPr>
          <w:rFonts w:ascii="Times New Roman" w:hAnsi="Times New Roman"/>
          <w:sz w:val="20"/>
        </w:rPr>
        <w:t xml:space="preserve">This Appendix may also include information regarding exchange controls and certain other issues of which the Participant should be aware with respect to the Participant’s participation in the Plan or the Program.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or the Program because such information may be out-of-date when the Participant’s Units vest and/or the Participant sells any shares acquired under the Plan or the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 </w:t>
      </w:r>
    </w:p>
    <w:p>
      <w:pPr>
        <w:pStyle w:val="TextBody"/>
        <w:bidi w:val="0"/>
        <w:spacing w:before="240" w:after="0"/>
        <w:jc w:val="left"/>
        <w:rPr>
          <w:rFonts w:ascii="Times New Roman" w:hAnsi="Times New Roman"/>
          <w:sz w:val="20"/>
        </w:rPr>
      </w:pPr>
      <w:r>
        <w:rPr>
          <w:rFonts w:ascii="Times New Roman" w:hAnsi="Times New Roman"/>
          <w:sz w:val="20"/>
        </w:rPr>
        <w:t xml:space="preserve">Finally, if the Participant is a citizen or resident (or is considered as such for local law purposes) of a country other than the country in which the Participant is currently residing and/or working, or if the Participant relocates to another country after the grant of the Restricted Stock Units, the notifications contained herein may not be applicable to the Participant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Below please find additional terms and conditions, as well as notifications, that apply to Korea.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KOREA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There are no country-specific terms and conditions.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Notifications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receives and owns shares of the Company at the time of delivery through a foreign financial account (i.e., financial account outside of Korea) and the total balance of all accounts of the Participant exceeds KRW 500 million on any last day of each month during a year, the Participant is required to file a Foreign Financial Account Report in accordance with the Korean tax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UNITED STATES </w:t>
      </w:r>
    </w:p>
    <w:p>
      <w:pPr>
        <w:pStyle w:val="TextBody"/>
        <w:bidi w:val="0"/>
        <w:spacing w:before="120" w:after="0"/>
        <w:jc w:val="left"/>
        <w:rPr>
          <w:rFonts w:ascii="Times New Roman" w:hAnsi="Times New Roman"/>
          <w:sz w:val="20"/>
        </w:rPr>
      </w:pPr>
      <w:r>
        <w:rPr>
          <w:rFonts w:ascii="Times New Roman" w:hAnsi="Times New Roman"/>
          <w:sz w:val="20"/>
          <w:u w:val="single"/>
        </w:rPr>
        <w:t>Terms and Conditions for Participants Subject to Tax in the United States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paragraph is inserted as a new Section 13.15 to the RSU Agreement: </w:t>
      </w:r>
    </w:p>
    <w:p>
      <w:pPr>
        <w:pStyle w:val="TextBody"/>
        <w:bidi w:val="0"/>
        <w:spacing w:before="12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409A of the U.S. Internal Revenue Code</w:t>
      </w:r>
      <w:r>
        <w:rPr>
          <w:rFonts w:ascii="Times New Roman" w:hAnsi="Times New Roman"/>
          <w:sz w:val="20"/>
        </w:rPr>
        <w:t xml:space="preserve">. This Agreement is intended to be a compliant deferred compensation plan under Section 409A and shall be administered and interpreted in accordance with the requirements of Section 409A. If the Participant is a specified employee (as defined in Section 409A of the Code) at the time of his or her separation from service and the Restricted Stock Units are settled on account of such separation from service, then the settlement shall be delayed for six months and one business day or until the Participant’s death, if earlier, to the extent required to avoid adverse taxation under Section 409A of the Code.”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Notifications </w:t>
      </w:r>
    </w:p>
    <w:p>
      <w:pPr>
        <w:pStyle w:val="TextBody"/>
        <w:bidi w:val="0"/>
        <w:spacing w:before="240" w:after="0"/>
        <w:jc w:val="left"/>
        <w:rPr>
          <w:rFonts w:ascii="Times New Roman" w:hAnsi="Times New Roman"/>
          <w:sz w:val="20"/>
        </w:rPr>
      </w:pPr>
      <w:r>
        <w:rPr>
          <w:rFonts w:ascii="Times New Roman" w:hAnsi="Times New Roman"/>
          <w:sz w:val="20"/>
        </w:rPr>
        <w:t xml:space="preserve">There are no country-specific notifications.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19" w:name="d29128dex311.htm"/>
      <w:bookmarkStart w:id="20" w:name="ksd29128dex311"/>
      <w:bookmarkEnd w:id="19"/>
      <w:bookmarkEnd w:id="20"/>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Camillo Martino,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November 10, 2025</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Camillo Martino</w:t>
            </w:r>
          </w:p>
        </w:tc>
      </w:tr>
      <w:tr>
        <w:trPr/>
        <w:tc>
          <w:tcPr>
            <w:tcW w:w="4082" w:type="dxa"/>
            <w:tcBorders/>
          </w:tcPr>
          <w:p>
            <w:pPr>
              <w:pStyle w:val="TableContents"/>
              <w:bidi w:val="0"/>
              <w:spacing w:before="0" w:after="283"/>
              <w:jc w:val="left"/>
              <w:rPr/>
            </w:pPr>
            <w:r>
              <w:rPr/>
              <w:t>Camillo Martino</w:t>
            </w:r>
          </w:p>
        </w:tc>
      </w:tr>
      <w:tr>
        <w:trPr/>
        <w:tc>
          <w:tcPr>
            <w:tcW w:w="4082" w:type="dxa"/>
            <w:tcBorders/>
          </w:tcPr>
          <w:p>
            <w:pPr>
              <w:pStyle w:val="TableContents"/>
              <w:bidi w:val="0"/>
              <w:spacing w:before="0" w:after="283"/>
              <w:jc w:val="left"/>
              <w:rPr/>
            </w:pPr>
            <w:r>
              <w:rPr/>
              <w:t>Chairman and Interim Chief Executive Officer</w:t>
            </w:r>
          </w:p>
        </w:tc>
      </w:tr>
      <w:tr>
        <w:trPr/>
        <w:tc>
          <w:tcPr>
            <w:tcW w:w="4082" w:type="dxa"/>
            <w:tcBorders/>
          </w:tcPr>
          <w:p>
            <w:pPr>
              <w:pStyle w:val="TableContents"/>
              <w:bidi w:val="0"/>
              <w:spacing w:before="0" w:after="283"/>
              <w:jc w:val="left"/>
              <w:rPr/>
            </w:pPr>
            <w:r>
              <w:rPr/>
              <w:t>(Principal Executive Officer)</w:t>
            </w:r>
          </w:p>
        </w:tc>
      </w:tr>
    </w:tbl>
    <w:p>
      <w:pPr>
        <w:pStyle w:val="TextBody"/>
        <w:bidi w:val="0"/>
        <w:spacing w:before="0" w:after="0"/>
        <w:jc w:val="right"/>
        <w:rPr>
          <w:rFonts w:ascii="Times New Roman" w:hAnsi="Times New Roman"/>
          <w:b/>
          <w:sz w:val="20"/>
        </w:rPr>
      </w:pPr>
      <w:bookmarkStart w:id="21" w:name="d29128dex312.htm"/>
      <w:bookmarkStart w:id="22" w:name="ksd29128dex312"/>
      <w:bookmarkEnd w:id="21"/>
      <w:bookmarkEnd w:id="22"/>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Shin Young Park,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November 10, 2025</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Shin Young Park</w:t>
            </w:r>
          </w:p>
        </w:tc>
      </w:tr>
      <w:tr>
        <w:trPr/>
        <w:tc>
          <w:tcPr>
            <w:tcW w:w="4082" w:type="dxa"/>
            <w:tcBorders/>
          </w:tcPr>
          <w:p>
            <w:pPr>
              <w:pStyle w:val="TableContents"/>
              <w:bidi w:val="0"/>
              <w:spacing w:before="0" w:after="283"/>
              <w:jc w:val="left"/>
              <w:rPr/>
            </w:pPr>
            <w:r>
              <w:rPr/>
              <w:t>Shin Young Park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right"/>
        <w:rPr>
          <w:rFonts w:ascii="Times New Roman" w:hAnsi="Times New Roman"/>
          <w:b/>
          <w:sz w:val="20"/>
        </w:rPr>
      </w:pPr>
      <w:bookmarkStart w:id="23" w:name="d29128dex321.htm"/>
      <w:bookmarkStart w:id="24" w:name="ksd29128dex321"/>
      <w:bookmarkEnd w:id="23"/>
      <w:bookmarkEnd w:id="24"/>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September 30, 2025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6"/>
        <w:gridCol w:w="101"/>
        <w:gridCol w:w="409"/>
        <w:gridCol w:w="60"/>
        <w:gridCol w:w="23"/>
        <w:gridCol w:w="101"/>
        <w:gridCol w:w="4705"/>
      </w:tblGrid>
      <w:tr>
        <w:trPr/>
        <w:tc>
          <w:tcPr>
            <w:tcW w:w="48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6" w:type="dxa"/>
            <w:tcBorders/>
            <w:vAlign w:val="bottom"/>
          </w:tcPr>
          <w:p>
            <w:pPr>
              <w:pStyle w:val="TableContents"/>
              <w:bidi w:val="0"/>
              <w:spacing w:before="0" w:after="283"/>
              <w:jc w:val="left"/>
              <w:rPr/>
            </w:pPr>
            <w:r>
              <w:rPr/>
              <w:t>Dated: November 10, 2025</w:t>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Camillo Martino</w:t>
            </w:r>
          </w:p>
        </w:tc>
      </w:tr>
      <w:tr>
        <w:trPr/>
        <w:tc>
          <w:tcPr>
            <w:tcW w:w="48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vAlign w:val="bottom"/>
          </w:tcPr>
          <w:p>
            <w:pPr>
              <w:pStyle w:val="TableContents"/>
              <w:bidi w:val="0"/>
              <w:spacing w:before="0" w:after="283"/>
              <w:jc w:val="left"/>
              <w:rPr/>
            </w:pPr>
            <w:r>
              <w:rPr/>
              <w:t>Camillo Martino</w:t>
            </w:r>
          </w:p>
        </w:tc>
      </w:tr>
      <w:tr>
        <w:trPr/>
        <w:tc>
          <w:tcPr>
            <w:tcW w:w="48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vAlign w:val="bottom"/>
          </w:tcPr>
          <w:p>
            <w:pPr>
              <w:pStyle w:val="TableContents"/>
              <w:bidi w:val="0"/>
              <w:spacing w:before="0" w:after="283"/>
              <w:jc w:val="left"/>
              <w:rPr/>
            </w:pPr>
            <w:r>
              <w:rPr/>
              <w:t>Chairman and Interim Chief Executive Officer</w:t>
            </w:r>
          </w:p>
        </w:tc>
      </w:tr>
      <w:tr>
        <w:trPr/>
        <w:tc>
          <w:tcPr>
            <w:tcW w:w="48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vAlign w:val="bottom"/>
          </w:tcPr>
          <w:p>
            <w:pPr>
              <w:pStyle w:val="TableContents"/>
              <w:bidi w:val="0"/>
              <w:spacing w:before="0" w:after="283"/>
              <w:jc w:val="left"/>
              <w:rPr/>
            </w:pPr>
            <w:r>
              <w:rPr/>
              <w:t>(Principal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right"/>
        <w:rPr>
          <w:rFonts w:ascii="Times New Roman" w:hAnsi="Times New Roman"/>
          <w:b/>
          <w:sz w:val="20"/>
        </w:rPr>
      </w:pPr>
      <w:bookmarkStart w:id="25" w:name="d29128dex322.htm"/>
      <w:bookmarkStart w:id="26" w:name="ksd29128dex322"/>
      <w:bookmarkEnd w:id="25"/>
      <w:bookmarkEnd w:id="26"/>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September 30, 2025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8"/>
        <w:gridCol w:w="100"/>
        <w:gridCol w:w="408"/>
        <w:gridCol w:w="100"/>
        <w:gridCol w:w="4799"/>
      </w:tblGrid>
      <w:tr>
        <w:trPr/>
        <w:tc>
          <w:tcPr>
            <w:tcW w:w="479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r>
      <w:tr>
        <w:trPr/>
        <w:tc>
          <w:tcPr>
            <w:tcW w:w="4798" w:type="dxa"/>
            <w:tcBorders/>
            <w:vAlign w:val="bottom"/>
          </w:tcPr>
          <w:p>
            <w:pPr>
              <w:pStyle w:val="TableContents"/>
              <w:bidi w:val="0"/>
              <w:spacing w:before="0" w:after="283"/>
              <w:jc w:val="left"/>
              <w:rPr/>
            </w:pPr>
            <w:r>
              <w:rPr/>
              <w:t>Dated: November 10, 2025</w:t>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79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Shin Young Park</w:t>
            </w:r>
          </w:p>
        </w:tc>
      </w:tr>
      <w:tr>
        <w:trPr/>
        <w:tc>
          <w:tcPr>
            <w:tcW w:w="479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Chief Financial Officer</w:t>
            </w:r>
          </w:p>
        </w:tc>
      </w:tr>
      <w:tr>
        <w:trPr/>
        <w:tc>
          <w:tcPr>
            <w:tcW w:w="479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(Principal Financial Officer and Principal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25702/000119312525177958/d49163dex101.htm" TargetMode="External"/><Relationship Id="rId4" Type="http://schemas.openxmlformats.org/officeDocument/2006/relationships/hyperlink" Target="http://www.sec.gov/Archives/edgar/data/1325702/000119312525198733/d873929dex101.htm" TargetMode="External"/><Relationship Id="rId5" Type="http://schemas.openxmlformats.org/officeDocument/2006/relationships/hyperlink" Target="http://www.sec.gov/Archives/edgar/data/1325702/000119312525230199/d22017dex101.htm" TargetMode="External"/><Relationship Id="rId6" Type="http://schemas.openxmlformats.org/officeDocument/2006/relationships/hyperlink" Target="http://www.sec.gov/Archives/edgar/data/1325702/000119312525230199/d22017d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31953</Words>
  <Characters>173238</Characters>
  <CharactersWithSpaces>211882</CharactersWithSpaces>
  <Paragraphs>11952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