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March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On March 14, 2022, Magnachip Semiconductor Corporation (the “Company”) issued a press release announcing it had completed its previously announced repurchase of $37.5 million of its common stock, pursuant to its accelerated stock repurchase agreement with JPMorgan Chase Bank, National Association. A copy of the press release is attached hereto as Exhibit 99.1.</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furnished as part of this report: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68"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14, 2022.</w:t>
        </w:r>
      </w:hyperlink>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00"/>
          </w:cols>
          <w:pgMar w:left="440" w:top="297" w:right="6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Chief Compliance Officer, General Counsel and</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840"/>
          </w:cols>
          <w:pgMar w:left="440" w:top="297" w:right="6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171450</wp:posOffset>
            </wp:positionV>
            <wp:extent cx="2691765"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9176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Completes $37.5 Million Accelerated Stock Repurchase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SEOUL, South Korea, March 14, 2022 – Magnachip Semiconductor Corporation (“Magnachip Corp.” or the “Company”) (NYSE: MX),</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announced today that the Company has completed its previously announced repurchase of $37.5 million of its common stock, pursuant to its accelerated stock repurchase agreement (the “ASR Agreement”) with JPMorgan Chase Bank, National Association (“JPM”). Magnachip repurchased approximately two million shares at an average price of $18.51.</w:t>
      </w:r>
    </w:p>
    <w:p>
      <w:pPr>
        <w:spacing w:after="0" w:line="1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Previously, the Board of Directors authorized the purchase of up to $75 million of the Company’s common stock, meaning that $37.5 million remains authorized under the plan.</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YJ Kim, Magnachip’s chief executive officer, stated: “Magnachip’s management team and Board of Directors are fully focused on enhancing value for our shareholders. We remain confident in our long-term position and the ability of our MX 3.0 strategy to generate growth and sustainable cash flow. As previously announced, one of our near-term cash use priorities is improving supply chain efficiencies. We will also continue to look for all opportunities to return capital to shareholders when it is prudent to do so.”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 Corporation</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Magnachip is a designer and manufacturer of analog and mixed-signal semiconductor platform solutions for communications, IoT, consumer, computing, industrial and automotive applications. The Company provides a broad range of standard products to customers worldwide. Magnachip with more than 40 years of operating history, owns a portfolio of approximately 1,150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that are subject to the safe harbor created thereby. Statements that are not historical or current facts, including statements about beliefs and expectations, are forward-looking statements. These forward-looking statements are often, but not always, made through the use of words or phrases such as “may,” “will,” “will be,” “anticipate,” “estimate,” “plan,” “project,” “continuing,” “ongoing,” “expect,” “believe(s),” “intend,” “predict,” “potential,” “future,” “strategy,”</w:t>
      </w:r>
    </w:p>
    <w:p>
      <w:pPr>
        <w:sectPr>
          <w:pgSz w:w="11900" w:h="16838" w:orient="portrait"/>
          <w:cols w:equalWidth="0" w:num="1">
            <w:col w:w="11020"/>
          </w:cols>
          <w:pgMar w:left="440" w:top="121" w:right="439" w:bottom="1440" w:gutter="0" w:footer="0" w:header="0"/>
        </w:sectPr>
      </w:pPr>
    </w:p>
    <w:bookmarkStart w:id="4" w:name="page5"/>
    <w:bookmarkEnd w:id="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7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677545"/>
                    </a:xfrm>
                    <a:prstGeom prst="rect">
                      <a:avLst/>
                    </a:prstGeom>
                    <a:noFill/>
                  </pic:spPr>
                </pic:pic>
              </a:graphicData>
            </a:graphic>
          </wp:anchor>
        </w:drawing>
        <w:t>“opportunity” and similar words or phrases or the negatives of these words or phrases. Forward-looking statements involve inherent risks and uncertainties, and important factors could cause actual results to differ materially from those anticipated, including, but not limited to: the impact of changes in macroeconomic and/or general economic conditions, including those caused by or related to the COVID-19 pandemic or the emergence of various variants of the virus, other outbreaks of disease, the Russia-Ukraine crisis, recessions, economic instability or civil unrest; manufacturing capacity constraints or supply chain disruptions that may impact our ability to deliver our products or affect the price of components, which may lead to an increase in our costs, as well as impacting demand for our products from customers who are similarly affected by such capacity constraints or disruptions;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or supply constraints;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our customers and our distributors, including those related to the Russia-Ukraine crisis; change or ratification of local or international laws and regulations, including those related to environment, health and safety; public health issues, including the COVID-19 pandemic or the emergence of various variants of the virus; other business interruptions that could disrupt supply or delivery of, or demand for, Magnachip’s products, including uncertainties regarding the impacts of the COVID-19 pandemic or the emergence of various variants of the virus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and uncertainties and the factors identified under “Risk Factors” in Part I, Item 1A of the Company’s Annual Report on Form 10-K for the year ended December 31, 2021, and updated in subsequent reports filed by the Company with the SEC. These reports are available at www.magnachip.com or www.sec.gov. Forward-looking statements speak only as of the date they are made, and the Company undertakes no obligation to update them in light of new information or future events.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w:t>
      </w:r>
    </w:p>
    <w:p>
      <w:pPr>
        <w:sectPr>
          <w:pgSz w:w="11900" w:h="16838" w:orient="portrait"/>
          <w:cols w:equalWidth="0" w:num="1">
            <w:col w:w="10960"/>
          </w:cols>
          <w:pgMar w:left="440" w:top="1340"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So-Yeon Jeong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Jeong Consulting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+1-408-712-6151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investor.relations@magnachip.com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Longacre Square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 Zacchei / Joe Germani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dzacchei@longacresquare.com</w:t>
      </w:r>
      <w:r>
        <w:rPr>
          <w:rFonts w:ascii="Arial" w:cs="Arial" w:eastAsia="Arial" w:hAnsi="Arial"/>
          <w:sz w:val="16"/>
          <w:szCs w:val="16"/>
          <w:color w:val="auto"/>
        </w:rPr>
        <w:t xml:space="preserve"> / </w:t>
      </w:r>
      <w:r>
        <w:rPr>
          <w:rFonts w:ascii="Arial" w:cs="Arial" w:eastAsia="Arial" w:hAnsi="Arial"/>
          <w:sz w:val="16"/>
          <w:szCs w:val="16"/>
          <w:u w:val="single" w:color="auto"/>
          <w:color w:val="auto"/>
        </w:rPr>
        <w:t>jgermani@longacresquare.com</w:t>
      </w:r>
    </w:p>
    <w:sectPr>
      <w:pgSz w:w="11900" w:h="16838" w:orient="portrait"/>
      <w:cols w:equalWidth="0" w:num="1">
        <w:col w:w="10019"/>
      </w:cols>
      <w:pgMar w:left="440" w:top="13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2022-03-14T15:22:19Z</dcterms:created>
  <dcterms:modified xsi:type="dcterms:W3CDTF">2022-03-14T15:22:19Z</dcterms:modified>
</cp:coreProperties>
</file>