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tabs>
          <w:tab w:leader="none" w:pos="89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July 31, 2020, the registrant had 35,160,216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175260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217805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r>
      <w:tr>
        <w:trPr>
          <w:trHeight w:val="304"/>
        </w:trPr>
        <w:tc>
          <w:tcPr>
            <w:tcW w:w="10400" w:type="dxa"/>
            <w:vAlign w:val="bottom"/>
            <w:gridSpan w:val="1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1"/>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Interim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3"/>
        </w:trPr>
        <w:tc>
          <w:tcPr>
            <w:tcW w:w="8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MagnaChip Semiconductor Corporation and Subsidiaries Consolidated Balance Sheets as of June 30, 2020 and December 31,</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13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04"/>
        </w:trPr>
        <w:tc>
          <w:tcPr>
            <w:tcW w:w="860" w:type="dxa"/>
            <w:vAlign w:val="bottom"/>
          </w:tcPr>
          <w:p>
            <w:pPr>
              <w:spacing w:after="0"/>
              <w:rPr>
                <w:sz w:val="24"/>
                <w:szCs w:val="24"/>
                <w:color w:val="auto"/>
              </w:rPr>
            </w:pP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MagnaChip Semiconductor Corporation and Subsidiaries Consolidated Statements of Operations for the Three and Six Months</w:t>
              </w:r>
            </w:hyperlink>
          </w:p>
        </w:tc>
        <w:tc>
          <w:tcPr>
            <w:tcW w:w="3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86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Ended June 30, 2020 and 2019</w:t>
              </w:r>
            </w:hyperlink>
          </w:p>
        </w:tc>
        <w:tc>
          <w:tcPr>
            <w:tcW w:w="73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r>
      <w:tr>
        <w:trPr>
          <w:trHeight w:val="304"/>
        </w:trPr>
        <w:tc>
          <w:tcPr>
            <w:tcW w:w="86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Comprehensive Income (Loss) for the Three</w:t>
              </w:r>
            </w:hyperlink>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8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Six Months Ended June 30, 2020 and 2019</w:t>
              </w:r>
            </w:hyperlink>
          </w:p>
        </w:tc>
        <w:tc>
          <w:tcPr>
            <w:tcW w:w="5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MagnaChip Semiconductor Corporation and Subsidiaries Consolidated Statements of Changes in Stockholders’ Equity for the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860" w:type="dxa"/>
            <w:vAlign w:val="bottom"/>
          </w:tcPr>
          <w:p>
            <w:pPr>
              <w:spacing w:after="0"/>
              <w:rPr>
                <w:sz w:val="17"/>
                <w:szCs w:val="17"/>
                <w:color w:val="auto"/>
              </w:rPr>
            </w:pPr>
          </w:p>
        </w:tc>
        <w:tc>
          <w:tcPr>
            <w:tcW w:w="9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and Six Months Ended June 30, 2020 and 2019</w:t>
              </w:r>
            </w:hyperlink>
          </w:p>
        </w:tc>
        <w:tc>
          <w:tcPr>
            <w:tcW w:w="4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MagnaChip Semiconductor Corporation and Subsidiaries Consolidated Statements of Cash Flows for the Six Months Ended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8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June 30, 2020 and 2019</w:t>
              </w:r>
            </w:hyperlink>
          </w:p>
        </w:tc>
        <w:tc>
          <w:tcPr>
            <w:tcW w:w="7220" w:type="dxa"/>
            <w:vAlign w:val="bottom"/>
            <w:tcBorders>
              <w:top w:val="single" w:sz="8" w:color="0000EE"/>
            </w:tcBorders>
            <w:gridSpan w:val="4"/>
          </w:tcPr>
          <w:p>
            <w:pPr>
              <w:spacing w:after="0"/>
              <w:rPr>
                <w:sz w:val="17"/>
                <w:szCs w:val="17"/>
                <w:color w:val="auto"/>
              </w:rPr>
            </w:pPr>
          </w:p>
        </w:tc>
        <w:tc>
          <w:tcPr>
            <w:tcW w:w="6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r>
      <w:tr>
        <w:trPr>
          <w:trHeight w:val="345"/>
        </w:trPr>
        <w:tc>
          <w:tcPr>
            <w:tcW w:w="8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MagnaChip Semiconductor Corporation and Subsidiaries 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1"/>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11"/>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11"/>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400" w:type="dxa"/>
            <w:vAlign w:val="bottom"/>
            <w:gridSpan w:val="1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II 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1"/>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1"/>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1"/>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400" w:type="dxa"/>
            <w:vAlign w:val="bottom"/>
            <w:gridSpan w:val="12"/>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65"/>
        </w:trPr>
        <w:tc>
          <w:tcPr>
            <w:tcW w:w="860" w:type="dxa"/>
            <w:vAlign w:val="bottom"/>
          </w:tcPr>
          <w:p>
            <w:pPr>
              <w:spacing w:after="0"/>
              <w:rPr>
                <w:sz w:val="24"/>
                <w:szCs w:val="24"/>
                <w:color w:val="auto"/>
              </w:rPr>
            </w:pPr>
          </w:p>
        </w:tc>
        <w:tc>
          <w:tcPr>
            <w:tcW w:w="8940" w:type="dxa"/>
            <w:vAlign w:val="bottom"/>
            <w:gridSpan w:val="6"/>
          </w:tcPr>
          <w:p>
            <w:pPr>
              <w:ind w:left="46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60" w:type="dxa"/>
            <w:vAlign w:val="bottom"/>
          </w:tcPr>
          <w:p>
            <w:pPr>
              <w:ind w:left="5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360" w:type="dxa"/>
            <w:vAlign w:val="bottom"/>
          </w:tcPr>
          <w:p>
            <w:pPr>
              <w:jc w:val="center"/>
              <w:ind w:left="149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19"/>
        </w:trPr>
        <w:tc>
          <w:tcPr>
            <w:tcW w:w="54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71"/>
        </w:trPr>
        <w:tc>
          <w:tcPr>
            <w:tcW w:w="5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192,824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48,548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10,406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Hedge collateral (Note 9)</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11,740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(Notes 10 and 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Current assets held for sale (Note 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205,086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530,118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20" w:type="dxa"/>
            <w:vAlign w:val="bottom"/>
          </w:tcPr>
          <w:p>
            <w:pPr>
              <w:spacing w:after="0"/>
              <w:rPr>
                <w:sz w:val="19"/>
                <w:szCs w:val="19"/>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9,212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 held for sale (Note 2)</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23"/>
        </w:trPr>
        <w:tc>
          <w:tcPr>
            <w:tcW w:w="54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615,148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595,328</w:t>
            </w:r>
          </w:p>
        </w:tc>
        <w:tc>
          <w:tcPr>
            <w:tcW w:w="1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(Note 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 (Note 10)</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5,481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 (Note 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146,569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30"/>
        </w:trPr>
        <w:tc>
          <w:tcPr>
            <w:tcW w:w="54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327,959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w:t>
            </w:r>
          </w:p>
        </w:tc>
        <w:tc>
          <w:tcPr>
            <w:tcW w:w="120" w:type="dxa"/>
            <w:vAlign w:val="bottom"/>
          </w:tcPr>
          <w:p>
            <w:pPr>
              <w:spacing w:after="0"/>
              <w:rPr>
                <w:sz w:val="20"/>
                <w:szCs w:val="20"/>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223,242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49,927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Non-current liabilities held for sale (Note 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608,973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44,248,706 shares issued and 35,143,033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3"/>
              </w:rPr>
              <w:t>outstanding at June 30, 2020 and 43,851,991 shares issued and 34,800,312 outstanding at December 31, 2019</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155,591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(52,709)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Treasury stock, 9,105,673 shares at June 30, 2020 and 9,051,679 shares at December 31, 2019, respectively</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7"/>
        </w:trPr>
        <w:tc>
          <w:tcPr>
            <w:tcW w:w="5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23"/>
        </w:trPr>
        <w:tc>
          <w:tcPr>
            <w:tcW w:w="54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615,148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595,328</w:t>
            </w:r>
          </w:p>
        </w:tc>
        <w:tc>
          <w:tcPr>
            <w:tcW w:w="1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108,955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219,691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232,270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76,817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100,384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158,423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181,625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178,033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50,645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11,772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23,816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w w:val="98"/>
              </w:rPr>
              <w:t>Income (loss) from continuing operations before income tax expense</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4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4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35,092,312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34,245,127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34,992,734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34,220,141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46,474,237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34,245,127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34,992,734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34,220,141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8"/>
              </w:rPr>
              <w:t>Six Months Ended</w:t>
            </w:r>
          </w:p>
        </w:tc>
      </w:tr>
      <w:tr>
        <w:trPr>
          <w:trHeight w:val="119"/>
        </w:trPr>
        <w:tc>
          <w:tcPr>
            <w:tcW w:w="7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7840" w:type="dxa"/>
            <w:vAlign w:val="bottom"/>
          </w:tcPr>
          <w:p>
            <w:pPr>
              <w:spacing w:after="0"/>
              <w:rPr>
                <w:sz w:val="14"/>
                <w:szCs w:val="14"/>
                <w:color w:val="auto"/>
              </w:rPr>
            </w:pPr>
          </w:p>
        </w:tc>
        <w:tc>
          <w:tcPr>
            <w:tcW w:w="60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29,171</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(43,645)</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8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7,680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15,708</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14,984</w:t>
            </w: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2,204</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02"/>
        </w:trPr>
        <w:tc>
          <w:tcPr>
            <w:tcW w:w="7840" w:type="dxa"/>
            <w:vAlign w:val="bottom"/>
          </w:tcPr>
          <w:p>
            <w:pPr>
              <w:ind w:left="700"/>
              <w:spacing w:after="0" w:line="201" w:lineRule="exact"/>
              <w:rPr>
                <w:sz w:val="20"/>
                <w:szCs w:val="20"/>
                <w:color w:val="auto"/>
              </w:rPr>
            </w:pPr>
            <w:r>
              <w:rPr>
                <w:rFonts w:ascii="Arial" w:cs="Arial" w:eastAsia="Arial" w:hAnsi="Arial"/>
                <w:sz w:val="18"/>
                <w:szCs w:val="18"/>
                <w:color w:val="auto"/>
              </w:rPr>
              <w:t>Reclassification adjustment for loss on derivatives</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840" w:type="dxa"/>
            <w:vAlign w:val="bottom"/>
          </w:tcPr>
          <w:p>
            <w:pPr>
              <w:ind w:left="700"/>
              <w:spacing w:after="0"/>
              <w:rPr>
                <w:sz w:val="20"/>
                <w:szCs w:val="20"/>
                <w:color w:val="auto"/>
              </w:rPr>
            </w:pPr>
            <w:r>
              <w:rPr>
                <w:rFonts w:ascii="Arial" w:cs="Arial" w:eastAsia="Arial" w:hAnsi="Arial"/>
                <w:sz w:val="18"/>
                <w:szCs w:val="18"/>
                <w:color w:val="auto"/>
              </w:rPr>
              <w:t>included in net income (loss)</w:t>
            </w: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1,953</w:t>
            </w:r>
          </w:p>
        </w:tc>
      </w:tr>
      <w:tr>
        <w:trPr>
          <w:trHeight w:val="27"/>
        </w:trPr>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8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7,045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13,159</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14,037</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(2,475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18,581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1220" w:type="dxa"/>
            <w:vAlign w:val="bottom"/>
          </w:tcPr>
          <w:p>
            <w:pPr>
              <w:spacing w:after="0"/>
              <w:rPr>
                <w:sz w:val="14"/>
                <w:szCs w:val="14"/>
                <w:color w:val="auto"/>
              </w:rPr>
            </w:pPr>
          </w:p>
        </w:tc>
        <w:tc>
          <w:tcPr>
            <w:tcW w:w="132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Borders>
              <w:bottom w:val="single" w:sz="8" w:color="auto"/>
            </w:tcBorders>
            <w:vMerge w:val="continue"/>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40" w:type="dxa"/>
            <w:vAlign w:val="bottom"/>
            <w:gridSpan w:val="2"/>
          </w:tcPr>
          <w:p>
            <w:pPr>
              <w:jc w:val="right"/>
              <w:ind w:right="301"/>
              <w:spacing w:after="0" w:line="129"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020" w:type="dxa"/>
            <w:vAlign w:val="bottom"/>
            <w:gridSpan w:val="2"/>
          </w:tcPr>
          <w:p>
            <w:pPr>
              <w:jc w:val="right"/>
              <w:ind w:right="401"/>
              <w:spacing w:after="0" w:line="129" w:lineRule="exact"/>
              <w:rPr>
                <w:sz w:val="20"/>
                <w:szCs w:val="20"/>
                <w:color w:val="auto"/>
              </w:rPr>
            </w:pPr>
            <w:r>
              <w:rPr>
                <w:rFonts w:ascii="Arial" w:cs="Arial" w:eastAsia="Arial" w:hAnsi="Arial"/>
                <w:sz w:val="14"/>
                <w:szCs w:val="14"/>
                <w:b w:val="1"/>
                <w:bCs w:val="1"/>
                <w:color w:val="auto"/>
              </w:rPr>
              <w:t>Stock</w:t>
            </w: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1"/>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Three Months Ended June 30, 2020:</w:t>
            </w:r>
          </w:p>
        </w:tc>
        <w:tc>
          <w:tcPr>
            <w:tcW w:w="1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35,054,682</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442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$153,286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(81,880)</w:t>
            </w:r>
          </w:p>
        </w:tc>
        <w:tc>
          <w:tcPr>
            <w:tcW w:w="1120" w:type="dxa"/>
            <w:vAlign w:val="bottom"/>
            <w:gridSpan w:val="3"/>
          </w:tcPr>
          <w:p>
            <w:pPr>
              <w:jc w:val="right"/>
              <w:ind w:right="141"/>
              <w:spacing w:after="0"/>
              <w:rPr>
                <w:sz w:val="20"/>
                <w:szCs w:val="20"/>
                <w:color w:val="auto"/>
              </w:rPr>
            </w:pPr>
            <w:r>
              <w:rPr>
                <w:rFonts w:ascii="Arial" w:cs="Arial" w:eastAsia="Arial" w:hAnsi="Arial"/>
                <w:sz w:val="18"/>
                <w:szCs w:val="18"/>
                <w:color w:val="auto"/>
              </w:rPr>
              <w:t>$(107,649)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14,645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(21,156)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88,351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29,171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35,143,033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155,591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(52,709)</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w w:val="93"/>
              </w:rPr>
              <w:t>Three Months Ended June 30, 2019:</w:t>
            </w: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34,223,502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$143,315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(70,430)</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$(106,511)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(46,311)</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w w:val="90"/>
              </w:rPr>
              <w:t>Settlement of restricted stock units</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2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w w:val="92"/>
              </w:rPr>
              <w:t>Other comprehensive income, net</w:t>
            </w:r>
          </w:p>
        </w:tc>
        <w:tc>
          <w:tcPr>
            <w:tcW w:w="12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34,240,181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433</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144,188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(106,514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(47,916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1220" w:type="dxa"/>
            <w:vAlign w:val="bottom"/>
          </w:tcPr>
          <w:p>
            <w:pPr>
              <w:spacing w:after="0"/>
              <w:rPr>
                <w:sz w:val="14"/>
                <w:szCs w:val="14"/>
                <w:color w:val="auto"/>
              </w:rPr>
            </w:pPr>
          </w:p>
        </w:tc>
        <w:tc>
          <w:tcPr>
            <w:tcW w:w="132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40" w:type="dxa"/>
            <w:vAlign w:val="bottom"/>
            <w:gridSpan w:val="2"/>
          </w:tcPr>
          <w:p>
            <w:pPr>
              <w:jc w:val="right"/>
              <w:ind w:right="301"/>
              <w:spacing w:after="0" w:line="129"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020" w:type="dxa"/>
            <w:vAlign w:val="bottom"/>
            <w:gridSpan w:val="2"/>
          </w:tcPr>
          <w:p>
            <w:pPr>
              <w:jc w:val="right"/>
              <w:ind w:right="401"/>
              <w:spacing w:after="0" w:line="129" w:lineRule="exact"/>
              <w:rPr>
                <w:sz w:val="20"/>
                <w:szCs w:val="20"/>
                <w:color w:val="auto"/>
              </w:rPr>
            </w:pPr>
            <w:r>
              <w:rPr>
                <w:rFonts w:ascii="Arial" w:cs="Arial" w:eastAsia="Arial" w:hAnsi="Arial"/>
                <w:sz w:val="14"/>
                <w:szCs w:val="14"/>
                <w:b w:val="1"/>
                <w:bCs w:val="1"/>
                <w:color w:val="auto"/>
              </w:rPr>
              <w:t>Stock</w:t>
            </w: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1"/>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Six Months Ended June 30, 2020:</w:t>
            </w:r>
          </w:p>
        </w:tc>
        <w:tc>
          <w:tcPr>
            <w:tcW w:w="1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34,800,312</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439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$152,404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(58,131)</w:t>
            </w:r>
          </w:p>
        </w:tc>
        <w:tc>
          <w:tcPr>
            <w:tcW w:w="1120" w:type="dxa"/>
            <w:vAlign w:val="bottom"/>
            <w:gridSpan w:val="3"/>
          </w:tcPr>
          <w:p>
            <w:pPr>
              <w:jc w:val="right"/>
              <w:ind w:right="141"/>
              <w:spacing w:after="0"/>
              <w:rPr>
                <w:sz w:val="20"/>
                <w:szCs w:val="20"/>
                <w:color w:val="auto"/>
              </w:rPr>
            </w:pPr>
            <w:r>
              <w:rPr>
                <w:rFonts w:ascii="Arial" w:cs="Arial" w:eastAsia="Arial" w:hAnsi="Arial"/>
                <w:sz w:val="18"/>
                <w:szCs w:val="18"/>
                <w:color w:val="auto"/>
              </w:rPr>
              <w:t>$(107,033)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(14,981)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88,351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Settlement of restricted stock units</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2240" w:type="dxa"/>
            <w:vAlign w:val="bottom"/>
            <w:gridSpan w:val="4"/>
          </w:tcPr>
          <w:p>
            <w:pPr>
              <w:jc w:val="right"/>
              <w:ind w:right="100"/>
              <w:spacing w:after="0"/>
              <w:rPr>
                <w:sz w:val="20"/>
                <w:szCs w:val="20"/>
                <w:color w:val="auto"/>
              </w:rPr>
            </w:pPr>
            <w:r>
              <w:rPr>
                <w:rFonts w:ascii="Arial" w:cs="Arial" w:eastAsia="Arial" w:hAnsi="Arial"/>
                <w:sz w:val="18"/>
                <w:szCs w:val="18"/>
                <w:color w:val="auto"/>
              </w:rPr>
              <w:t>(53,994)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1"/>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Other comprehensive income, net</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13,159</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35,143,033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155,591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(52,709)</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34,441,232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$142,600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(36,305)</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$(103,926)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(17,310)</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w w:val="90"/>
              </w:rPr>
              <w:t>Settlement of restricted stock units</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168,493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2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(394,102)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(2,588)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880" w:type="dxa"/>
            <w:vAlign w:val="bottom"/>
          </w:tcPr>
          <w:p>
            <w:pPr>
              <w:ind w:left="360"/>
              <w:spacing w:after="0"/>
              <w:rPr>
                <w:sz w:val="20"/>
                <w:szCs w:val="20"/>
                <w:color w:val="auto"/>
              </w:rPr>
            </w:pPr>
            <w:r>
              <w:rPr>
                <w:rFonts w:ascii="Arial" w:cs="Arial" w:eastAsia="Arial" w:hAnsi="Arial"/>
                <w:sz w:val="18"/>
                <w:szCs w:val="18"/>
                <w:color w:val="auto"/>
                <w:w w:val="92"/>
              </w:rPr>
              <w:t>Other comprehensive income, net</w:t>
            </w:r>
          </w:p>
        </w:tc>
        <w:tc>
          <w:tcPr>
            <w:tcW w:w="12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14,037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(43,645)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(43,645)</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34,240,181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433</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144,188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(106,514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(47,916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88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5,422</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(43,645)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(20,974)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32,137</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(4,272)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(8,842)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151,657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132,438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192,824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123,753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6" w:right="439" w:bottom="1440" w:gutter="0" w:footer="0" w:header="0"/>
        </w:sectPr>
      </w:pP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8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On March 30, 2020, the Company entered into a definitive Business Transfer Agreement (the “BTA”) for the sale of its Foundry Services Group business and its fabrication facility located in Cheongju (“Fab 4”), the larger of the Company’s two 8-inch manufacturing facilities, to Magnus Semiconductor, LLC, a Korean limited liability company, or one of its wholly owned subsidiaries (the “Buyer”) for a purchase price equal to the KRW equivalent of $344.7 million in cash, subject to working capital adjustments set forth in the BTA. The Buyer is a special purpose company formed by Alchemist Capital Partners Korea Co., Ltd. and Credian Partners, Inc. This planned divestiture of the Foundry Services Group business and Fab 4 will allow the Company to strategically shift its operational focus to its standard products business. The Foundry Services Group was historically a reportable segment. As a result of the entry into the BTA, the results of the Foundry Services Group were classified as discontinued operations in the Company’s consolidated statements of operations and excluded from both continuing operations and segment results for all periods presented. Accordingly, commencing with the first quarter of 2020, the Company has one reportable segment: its standard products business, together with transitional foundry services associated with its fabrication facility located in Gumi, Korea, known as “Fab 3,” that it expects to perform for the Buyer for a period of up to three years (the “Transitional Fab 3 Foundry Services”). 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“Interim Reporting” and, accordingly, do not include all of the information and note disclosures required by US GAAP for complete financial statements, except for the changes below. The results of operations for the three and six months ended June 30, 2020 are not necessarily indicative of the results to be expected for a full year or for any other periods.</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Company has reclassified certain prior year amounts to conform to the current year’s presentation for discontinued operations to reflect the anticipated divestiture of its Foundry Services Group business and Fab 4. The assets to be acquired and liabilities to be transferred to the Buyer, as specified in the BTA, have been classified as assets and liabilities held for sale in the Company’s consolidated balance sheets, subject to adjustments set forth in the BTA. See Note 2 “Discontinued Operations and Assets Held for Sale”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as of and for the three and six months ended June 30, 2020, except for those related to discontinued operations and assets held for sale as described below, as compared to the significant accounting policies described in the Company’s Annual Report on Form 10-K for the fiscal year ended December 31, 2019.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 and Assets Held for Sale</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 Codification (“ASC”) 205, “Presentation of Financial Statements” (“ASC 205”) and ASC 360, “Property, Plant and Equipment” (“ASC 360”). Assets and liabilities of a business classified as held for sale are recorded at the lower of its carrying amount or estimated fair value less costs to sell, and depreciation and amortization ceases on the date that the held for sale criteria are met. If the carrying amount of the business exceeds its estimated fair value less costs to sell, a loss is recognized. Assets and liabilities related to discontinued operations classified as held for sale are segregated in the current and prior balance sheets in the period in which the business is classified as held for sale. The results of discontinued operations are reported in “Income (loss) from discontinued operations, net of tax” in the accompanying consolidated statements of operations for the current and prior periods commencing in the period in which the business meets the criteria.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December 2019, the Financial Accounting Standards Board (“FASB”) issued Accounting Standards Update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June 2016, the FASB issued Accounting Standards Update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issued Accounting Standards Update No. 2019-04, “Codification Improvements to Topic 326, Financial Instruments—Credit Losses, Topic 815, Derivatives and Hedging, and Topic 825, Financial Instruments” (“ASU 2019-04”), and in November 2019, the FASB issued Accounting Standards Update No. 2019-11, “Codification Improvements to Topic 326, Financial Instruments—Credit Losses” (“ASU 2019-11”) to clarify and address certain items related to the amendments in ASU 2016-13. In February 2020, the FASB issued Accounting Standards Update No. 2020-02, “Financial Instruments—Credit Losses (Topic 326)” (“ASU 2020-02”), which incorporates SEC SAB 119 (updated from SAB 102) into the ASC by aligning SEC recommended policies and procedures with ASC 326.The Company adopted ASU 2016-13, ASU 2019-04, ASU 2019-11 and ASU 2020-02 as of January 1, 2020, and the adoption did not have a material impact on the Company’s consolidated financial statements. In August 2018, the FASB issued Accounting Standards Update No. 2018-13 “Fair Value Measurement (Topic 820): Disclosure Framework—Changes to the Disclosure Requirements for Fair Value Measurement” (“ASU 2018-13”). ASU 2018-13 amends existing fair value measurement disclosure requirements by adding, changing, or removing certain disclosures. The Company adopted ASU 2018-13 as of January 1, 2020, and the adoption of ASU 2018-13 did not impact the Company’s consolidated financial statements.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Discontinued Operations and Assets Held for Sale</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30, 2020, the Company entered into the BTA for the sale of its Foundry Services Group business and Fab 4. Following the consummation of the sale, and for up to three years, the Company is expected to provide the Transitional Fab 3 Foundry Services. For the periods prior to the closing of the sale, revenue from providing the Transitional Fab 3 Foundry Services to the Foundry Services Group is recorded at cost on both of the continuing and discontinued businesses. The sale is expected to close in the third quarter of 2020, subject to customary closing conditions.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results from discontinued operations, net of tax, for the three and six months ended June 30, 2020 and 2019.</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gridSpan w:val="2"/>
          </w:tcPr>
          <w:p>
            <w:pPr>
              <w:spacing w:after="0"/>
              <w:rPr>
                <w:sz w:val="10"/>
                <w:szCs w:val="10"/>
                <w:color w:val="auto"/>
              </w:rPr>
            </w:pPr>
          </w:p>
        </w:tc>
        <w:tc>
          <w:tcPr>
            <w:tcW w:w="9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3500" w:type="dxa"/>
            <w:vAlign w:val="bottom"/>
            <w:gridSpan w:val="11"/>
          </w:tcPr>
          <w:p>
            <w:pPr>
              <w:jc w:val="right"/>
              <w:ind w:right="232"/>
              <w:spacing w:after="0"/>
              <w:rPr>
                <w:sz w:val="20"/>
                <w:szCs w:val="20"/>
                <w:color w:val="auto"/>
              </w:rPr>
            </w:pPr>
            <w:r>
              <w:rPr>
                <w:rFonts w:ascii="Arial" w:cs="Arial" w:eastAsia="Arial" w:hAnsi="Arial"/>
                <w:sz w:val="14"/>
                <w:szCs w:val="14"/>
                <w:b w:val="1"/>
                <w:bCs w:val="1"/>
                <w:color w:val="auto"/>
              </w:rPr>
              <w:t>(In thousands of US dollars, except share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sales – Foundry Services Group</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$95,779</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$73,139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$182,058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Net sales – transitional Fab 3 foundry services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(9,873)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(8,879)</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(19,610)</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 – Foundry Services Group</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64,869</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60,921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130,452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Cost of sales – transitional Fab 3 foundry services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(9,873)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(8,879)</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(19,610)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 of sales</w:t>
            </w:r>
          </w:p>
        </w:tc>
        <w:tc>
          <w:tcPr>
            <w:tcW w:w="2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54,996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52,042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110,842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98,477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600" w:type="dxa"/>
            <w:vAlign w:val="bottom"/>
          </w:tcPr>
          <w:p>
            <w:pPr>
              <w:jc w:val="right"/>
              <w:spacing w:after="0"/>
              <w:rPr>
                <w:sz w:val="20"/>
                <w:szCs w:val="20"/>
                <w:color w:val="auto"/>
              </w:rPr>
            </w:pPr>
            <w:r>
              <w:rPr>
                <w:rFonts w:ascii="Arial" w:cs="Arial" w:eastAsia="Arial" w:hAnsi="Arial"/>
                <w:sz w:val="18"/>
                <w:szCs w:val="18"/>
                <w:color w:val="auto"/>
              </w:rPr>
              <w:t>30,910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4,992</w:t>
            </w: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5,880</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10,636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6,915</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60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12,496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27,658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31,129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Operating income (loss) from discontinued operations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gain (loss), net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Others, net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before income tax expense</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For the three months ended June 30, 2020 and 2019, the Company recorded $589 thousand and $1,130 thousand, respectively, and for the six months ended June 30, 2020 and 2019, the Company recorded $2,704 thousand and $1,873 thousand, respectively, in professional fees incurred in connection with the Foundry Services Group business and Fab 4, and recorded such costs as restructuring and other charges in the above. For the six months ended June 30, 2019, the Company also recorded in the same line a $2,151 thousand restructuring-related charge to its fab employees.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86"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provides a reconciliation of the aggregate carrying amounts of major classes of assets and liabilities relating to the Foundry Services Group business and Fab 4, which are included in assets and liabilities held for sale in the accompanying consolidated balance sheets for each of the periods presented:</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4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42,789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48,194</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16,463</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36,602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31,863</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3,301</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of the disposal group classified as held for sale</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720"/>
              <w:spacing w:after="0"/>
              <w:rPr>
                <w:sz w:val="20"/>
                <w:szCs w:val="20"/>
                <w:color w:val="auto"/>
              </w:rPr>
            </w:pPr>
            <w:r>
              <w:rPr>
                <w:rFonts w:ascii="Arial" w:cs="Arial" w:eastAsia="Arial" w:hAnsi="Arial"/>
                <w:sz w:val="18"/>
                <w:szCs w:val="18"/>
                <w:color w:val="auto"/>
              </w:rPr>
              <w:t>Total current assets held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40" w:type="dxa"/>
            <w:vAlign w:val="bottom"/>
          </w:tcPr>
          <w:p>
            <w:pPr>
              <w:spacing w:after="0"/>
              <w:rPr>
                <w:sz w:val="20"/>
                <w:szCs w:val="20"/>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103,887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109,506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12,683</w:t>
            </w:r>
          </w:p>
        </w:tc>
      </w:tr>
      <w:tr>
        <w:trPr>
          <w:trHeight w:val="223"/>
        </w:trPr>
        <w:tc>
          <w:tcPr>
            <w:tcW w:w="6380" w:type="dxa"/>
            <w:vAlign w:val="bottom"/>
          </w:tcPr>
          <w:p>
            <w:pPr>
              <w:ind w:left="720"/>
              <w:spacing w:after="0"/>
              <w:rPr>
                <w:sz w:val="20"/>
                <w:szCs w:val="20"/>
                <w:color w:val="auto"/>
              </w:rPr>
            </w:pPr>
            <w:r>
              <w:rPr>
                <w:rFonts w:ascii="Arial" w:cs="Arial" w:eastAsia="Arial" w:hAnsi="Arial"/>
                <w:sz w:val="18"/>
                <w:szCs w:val="18"/>
                <w:color w:val="auto"/>
              </w:rPr>
              <w:t>Total assets held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205,086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223,255</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21,530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20,503</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14,266</w:t>
            </w:r>
          </w:p>
        </w:tc>
        <w:tc>
          <w:tcPr>
            <w:tcW w:w="1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16,537</w:t>
            </w:r>
          </w:p>
        </w:tc>
        <w:tc>
          <w:tcPr>
            <w:tcW w:w="40" w:type="dxa"/>
            <w:vAlign w:val="bottom"/>
          </w:tcPr>
          <w:p>
            <w:pPr>
              <w:spacing w:after="0"/>
              <w:rPr>
                <w:sz w:val="19"/>
                <w:szCs w:val="19"/>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 held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35,796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37,040</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95,547</w:t>
            </w:r>
          </w:p>
        </w:tc>
        <w:tc>
          <w:tcPr>
            <w:tcW w:w="4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13,288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15,334</w:t>
            </w:r>
          </w:p>
        </w:tc>
      </w:tr>
      <w:tr>
        <w:trPr>
          <w:trHeight w:val="223"/>
        </w:trPr>
        <w:tc>
          <w:tcPr>
            <w:tcW w:w="6380" w:type="dxa"/>
            <w:vAlign w:val="bottom"/>
          </w:tcPr>
          <w:p>
            <w:pPr>
              <w:ind w:left="720"/>
              <w:spacing w:after="0"/>
              <w:rPr>
                <w:sz w:val="20"/>
                <w:szCs w:val="20"/>
                <w:color w:val="auto"/>
              </w:rPr>
            </w:pPr>
            <w:r>
              <w:rPr>
                <w:rFonts w:ascii="Arial" w:cs="Arial" w:eastAsia="Arial" w:hAnsi="Arial"/>
                <w:sz w:val="18"/>
                <w:szCs w:val="18"/>
                <w:color w:val="auto"/>
              </w:rPr>
              <w:t>Total liabilities held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146,569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147,921</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June 30, 2020, all assets and liabilities held for sale are classified as current on the consolidated balance sheets based on the anticipated date of disposal of the Foundry Services Group business and Fab 4.</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5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r>
      <w:tr>
        <w:trPr>
          <w:trHeight w:val="171"/>
        </w:trPr>
        <w:tc>
          <w:tcPr>
            <w:tcW w:w="3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0"/>
              <w:spacing w:after="0"/>
              <w:rPr>
                <w:sz w:val="20"/>
                <w:szCs w:val="20"/>
                <w:color w:val="auto"/>
              </w:rPr>
            </w:pPr>
            <w:r>
              <w:rPr>
                <w:rFonts w:ascii="Arial" w:cs="Arial" w:eastAsia="Arial" w:hAnsi="Arial"/>
                <w:sz w:val="18"/>
                <w:szCs w:val="18"/>
                <w:color w:val="auto"/>
              </w:rPr>
              <w:t>5,365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11,403</w:t>
            </w: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6,405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w:t>
            </w: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0"/>
              <w:spacing w:after="0"/>
              <w:rPr>
                <w:sz w:val="20"/>
                <w:szCs w:val="20"/>
                <w:color w:val="auto"/>
              </w:rPr>
            </w:pPr>
            <w:r>
              <w:rPr>
                <w:rFonts w:ascii="Arial" w:cs="Arial" w:eastAsia="Arial" w:hAnsi="Arial"/>
                <w:sz w:val="18"/>
                <w:szCs w:val="18"/>
                <w:color w:val="auto"/>
              </w:rPr>
              <w:t>(4,415)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(8,262)</w:t>
            </w:r>
          </w:p>
        </w:tc>
      </w:tr>
      <w:tr>
        <w:trPr>
          <w:trHeight w:val="350"/>
        </w:trPr>
        <w:tc>
          <w:tcPr>
            <w:tcW w:w="3520" w:type="dxa"/>
            <w:vAlign w:val="bottom"/>
          </w:tcPr>
          <w:p>
            <w:pPr>
              <w:spacing w:after="0"/>
              <w:rPr>
                <w:sz w:val="24"/>
                <w:szCs w:val="24"/>
                <w:color w:val="auto"/>
              </w:rPr>
            </w:pPr>
          </w:p>
        </w:tc>
        <w:tc>
          <w:tcPr>
            <w:tcW w:w="2820" w:type="dxa"/>
            <w:vAlign w:val="bottom"/>
          </w:tcPr>
          <w:p>
            <w:pPr>
              <w:jc w:val="right"/>
              <w:ind w:right="19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Sales of Accounts Receivable and Receivable Discount Program</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There was no sale of these accounts receivable for the six months ended June 30, 2020. For the six months ended June 30, 2019, the proceeds from the sales of these accounts receivable totaled $13,637 thousand and these sales resulted in pre-tax losses of</w:t>
      </w:r>
    </w:p>
    <w:p>
      <w:pPr>
        <w:spacing w:after="0" w:line="1" w:lineRule="exact"/>
        <w:rPr>
          <w:sz w:val="20"/>
          <w:szCs w:val="20"/>
          <w:color w:val="auto"/>
        </w:rPr>
      </w:pPr>
    </w:p>
    <w:p>
      <w:pPr>
        <w:ind w:left="120" w:right="440"/>
        <w:spacing w:after="0" w:line="323" w:lineRule="auto"/>
        <w:rPr>
          <w:sz w:val="20"/>
          <w:szCs w:val="20"/>
          <w:color w:val="auto"/>
        </w:rPr>
      </w:pPr>
      <w:r>
        <w:rPr>
          <w:rFonts w:ascii="Arial" w:cs="Arial" w:eastAsia="Arial" w:hAnsi="Arial"/>
          <w:sz w:val="16"/>
          <w:szCs w:val="16"/>
          <w:color w:val="auto"/>
        </w:rPr>
        <w:t>$42 thousand,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June 30, 2020 and December 31, 2019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20" w:type="dxa"/>
            <w:vAlign w:val="bottom"/>
          </w:tcPr>
          <w:p>
            <w:pPr>
              <w:spacing w:after="0"/>
              <w:rPr>
                <w:sz w:val="14"/>
                <w:szCs w:val="14"/>
                <w:color w:val="auto"/>
              </w:rPr>
            </w:pPr>
          </w:p>
        </w:tc>
        <w:tc>
          <w:tcPr>
            <w:tcW w:w="5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$11,252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32,196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28,815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Materials in-transit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743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(5,307)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(5,947)</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45,511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41,404</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three and six months ended June 30, 2020 and 2019 are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24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Three Months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4"/>
              </w:rPr>
              <w:t>June 30, 2020</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6"/>
              </w:rPr>
              <w:t>June 30, 2019</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 in reserve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Write off</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6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(5,307)</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June 30, 2020 and December 31, 2019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22,502</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87,505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89,453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23,360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22,242</w:t>
            </w:r>
          </w:p>
        </w:tc>
      </w:tr>
      <w:tr>
        <w:trPr>
          <w:trHeight w:val="27"/>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134,520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(77,747)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(75,704)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14,252</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69,110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depreciation expenses totaled $4,794 thousand and $4,815 thousand for the six months ended June 30, 2020 and 2019, respectively.</w:t>
      </w:r>
    </w:p>
    <w:p>
      <w:pPr>
        <w:spacing w:after="0" w:line="24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Concurrent with the execution of the BTA, the Company executed a factory (kun) mortgage agreement under which the real property owned by the Company in respect of the Fab 3 fabrication facility located in Gumi, Korea and other material assets located in, attached to or forming part of such facility were pledged as collateral for purposes of securing the payment of its termination fee of $34,470 thousand under the BTA. The Company has a right to replace the factory (kun) mortgage at any time with a deposit of $34,470 thousand cash into escrow.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June 30, 2020 and December 31, 2019 are comprised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0"/>
              </w:rPr>
              <w:t>Gross</w:t>
            </w:r>
          </w:p>
        </w:tc>
        <w:tc>
          <w:tcPr>
            <w:tcW w:w="146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(6,340)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9,816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(9,816)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2,590</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24,711</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2,590</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0"/>
              </w:rPr>
              <w:t>Gross</w:t>
            </w:r>
          </w:p>
        </w:tc>
        <w:tc>
          <w:tcPr>
            <w:tcW w:w="146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(6,575)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(10,180)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2,769</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25,392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2,769</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$320 thousand and $287 thousand for the six months ended June 30, 2020 and 2019,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4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sheets information related to leases as of June 30, 2020 and December 31, 2019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Leases</w:t>
            </w:r>
          </w:p>
        </w:tc>
        <w:tc>
          <w:tcPr>
            <w:tcW w:w="1500" w:type="dxa"/>
            <w:vAlign w:val="bottom"/>
          </w:tcPr>
          <w:p>
            <w:pPr>
              <w:spacing w:after="0"/>
              <w:rPr>
                <w:sz w:val="14"/>
                <w:szCs w:val="14"/>
                <w:color w:val="auto"/>
              </w:rPr>
            </w:pPr>
          </w:p>
        </w:tc>
        <w:tc>
          <w:tcPr>
            <w:tcW w:w="248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9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Operating lease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Operating lease right-of-use 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$1,182</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Property, plant and equipment, net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Operating lease liabilities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Finance</w:t>
            </w:r>
          </w:p>
        </w:tc>
        <w:tc>
          <w:tcPr>
            <w:tcW w:w="15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Operating</w:t>
            </w:r>
          </w:p>
        </w:tc>
        <w:tc>
          <w:tcPr>
            <w:tcW w:w="15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Other non-current liabilities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w:t>
            </w:r>
          </w:p>
        </w:tc>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Other non-current liabilities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1.0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 years</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3.5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 years</w:t>
            </w: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78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above table does not include an immaterial cost of short-term leases for the three and six months ended June 30, 2020 and 2019.</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320" w:top="486"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620" w:type="dxa"/>
            <w:vAlign w:val="bottom"/>
          </w:tcPr>
          <w:p>
            <w:pPr>
              <w:spacing w:after="0"/>
              <w:rPr>
                <w:sz w:val="10"/>
                <w:szCs w:val="10"/>
                <w:color w:val="auto"/>
              </w:rPr>
            </w:pPr>
          </w:p>
        </w:tc>
        <w:tc>
          <w:tcPr>
            <w:tcW w:w="7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72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461</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   501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929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June 30, 2020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Operating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Finance</w:t>
            </w: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June 30, 2020 and December 31, 2019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24,457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23,371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8,205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Outside service fees</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1,986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45,735</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1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June 30,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50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5"/>
              </w:rPr>
              <w:t>Type of derivative</w:t>
            </w:r>
          </w:p>
        </w:tc>
        <w:tc>
          <w:tcPr>
            <w:tcW w:w="21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Total notional amount</w:t>
            </w:r>
          </w:p>
        </w:tc>
        <w:tc>
          <w:tcPr>
            <w:tcW w:w="2200" w:type="dxa"/>
            <w:vAlign w:val="bottom"/>
            <w:gridSpan w:val="2"/>
          </w:tcPr>
          <w:p>
            <w:pPr>
              <w:ind w:left="44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4,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July 2020 to December 2020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January 31, 2020</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8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w w:val="92"/>
              </w:rPr>
              <w:t>July 2020 to December 2020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3, 2020</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8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July 2020 to December 2020</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February 21, 2020</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8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20"/>
                <w:szCs w:val="20"/>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w w:val="92"/>
              </w:rPr>
              <w:t>July 2020 to December 2020</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50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5"/>
              </w:rPr>
              <w:t>Type of derivative</w:t>
            </w:r>
          </w:p>
        </w:tc>
        <w:tc>
          <w:tcPr>
            <w:tcW w:w="21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Total notional amount</w:t>
            </w:r>
          </w:p>
        </w:tc>
        <w:tc>
          <w:tcPr>
            <w:tcW w:w="2200" w:type="dxa"/>
            <w:vAlign w:val="bottom"/>
            <w:gridSpan w:val="2"/>
          </w:tcPr>
          <w:p>
            <w:pPr>
              <w:ind w:left="44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13,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4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4"/>
              </w:rPr>
              <w:t>January 2020 to June 2020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8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42,000</w:t>
            </w:r>
          </w:p>
        </w:tc>
        <w:tc>
          <w:tcPr>
            <w:tcW w:w="40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w w:val="97"/>
              </w:rPr>
              <w:t>January 2020 to June 2020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2019</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8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July 2020 to December 2020</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June 30, 2020 and December 31, 2019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4360" w:type="dxa"/>
            <w:vAlign w:val="bottom"/>
          </w:tcPr>
          <w:p>
            <w:pPr>
              <w:spacing w:after="0"/>
              <w:rPr>
                <w:sz w:val="14"/>
                <w:szCs w:val="14"/>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00" w:type="dxa"/>
            <w:vAlign w:val="bottom"/>
            <w:tcBorders>
              <w:bottom w:val="single" w:sz="8" w:color="auto"/>
            </w:tcBorders>
            <w:vMerge w:val="continue"/>
          </w:tcPr>
          <w:p>
            <w:pPr>
              <w:spacing w:after="0"/>
              <w:rPr>
                <w:sz w:val="15"/>
                <w:szCs w:val="15"/>
                <w:color w:val="auto"/>
              </w:rPr>
            </w:pPr>
          </w:p>
        </w:tc>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line="158"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4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360" w:type="dxa"/>
            <w:vAlign w:val="bottom"/>
          </w:tcPr>
          <w:p>
            <w:pPr>
              <w:ind w:left="248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4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360" w:type="dxa"/>
            <w:vAlign w:val="bottom"/>
          </w:tcPr>
          <w:p>
            <w:pPr>
              <w:ind w:left="2480"/>
              <w:spacing w:after="0"/>
              <w:rPr>
                <w:sz w:val="20"/>
                <w:szCs w:val="20"/>
                <w:color w:val="auto"/>
              </w:rPr>
            </w:pPr>
            <w:r>
              <w:rPr>
                <w:rFonts w:ascii="Arial" w:cs="Arial" w:eastAsia="Arial" w:hAnsi="Arial"/>
                <w:sz w:val="18"/>
                <w:szCs w:val="18"/>
                <w:color w:val="auto"/>
              </w:rPr>
              <w:t>Other current liabilities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0"/>
                <w:szCs w:val="20"/>
                <w:color w:val="auto"/>
              </w:rPr>
            </w:pPr>
            <w:r>
              <w:rPr>
                <w:rFonts w:ascii="Arial" w:cs="Arial" w:eastAsia="Arial" w:hAnsi="Arial"/>
                <w:sz w:val="18"/>
                <w:szCs w:val="18"/>
                <w:color w:val="auto"/>
                <w:w w:val="88"/>
              </w:rPr>
              <w:t>1,188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June 30,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Gross amounts of</w:t>
            </w:r>
          </w:p>
        </w:tc>
        <w:tc>
          <w:tcPr>
            <w:tcW w:w="200" w:type="dxa"/>
            <w:vAlign w:val="bottom"/>
          </w:tcPr>
          <w:p>
            <w:pPr>
              <w:spacing w:after="0"/>
              <w:rPr>
                <w:sz w:val="14"/>
                <w:szCs w:val="14"/>
                <w:color w:val="auto"/>
              </w:rPr>
            </w:pP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Gross amounts</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Net amounts of</w:t>
            </w:r>
          </w:p>
        </w:tc>
        <w:tc>
          <w:tcPr>
            <w:tcW w:w="160" w:type="dxa"/>
            <w:vAlign w:val="bottom"/>
          </w:tcPr>
          <w:p>
            <w:pPr>
              <w:spacing w:after="0"/>
              <w:rPr>
                <w:sz w:val="14"/>
                <w:szCs w:val="14"/>
                <w:color w:val="auto"/>
              </w:rPr>
            </w:pPr>
          </w:p>
        </w:tc>
        <w:tc>
          <w:tcPr>
            <w:tcW w:w="232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Gross amounts not offset</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liabilities</w:t>
            </w:r>
          </w:p>
        </w:tc>
        <w:tc>
          <w:tcPr>
            <w:tcW w:w="160" w:type="dxa"/>
            <w:vAlign w:val="bottom"/>
          </w:tcPr>
          <w:p>
            <w:pPr>
              <w:spacing w:after="0"/>
              <w:rPr>
                <w:sz w:val="14"/>
                <w:szCs w:val="14"/>
                <w:color w:val="auto"/>
              </w:rPr>
            </w:pPr>
          </w:p>
        </w:tc>
        <w:tc>
          <w:tcPr>
            <w:tcW w:w="23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8"/>
              </w:rPr>
              <w:t>in the balance sheets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 2020</w:t>
            </w:r>
          </w:p>
        </w:tc>
        <w:tc>
          <w:tcPr>
            <w:tcW w:w="14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4"/>
              </w:rPr>
              <w:t>offset in the</w:t>
            </w:r>
          </w:p>
        </w:tc>
        <w:tc>
          <w:tcPr>
            <w:tcW w:w="13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4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3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00" w:type="dxa"/>
            <w:vAlign w:val="bottom"/>
          </w:tcPr>
          <w:p>
            <w:pPr>
              <w:spacing w:after="0"/>
              <w:rPr>
                <w:sz w:val="13"/>
                <w:szCs w:val="13"/>
                <w:color w:val="auto"/>
              </w:rPr>
            </w:pPr>
          </w:p>
        </w:tc>
        <w:tc>
          <w:tcPr>
            <w:tcW w:w="13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138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pledged</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(1,190)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as of December 31, 2019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Gross amounts of</w:t>
            </w: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Gross amounts</w:t>
            </w: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Net amounts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Gross amounts not offset</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in the balance sheets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10"/>
                <w:szCs w:val="10"/>
                <w:color w:val="auto"/>
              </w:rPr>
            </w:pPr>
          </w:p>
        </w:tc>
        <w:tc>
          <w:tcPr>
            <w:tcW w:w="13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recognized</w:t>
            </w:r>
          </w:p>
        </w:tc>
        <w:tc>
          <w:tcPr>
            <w:tcW w:w="100" w:type="dxa"/>
            <w:vAlign w:val="bottom"/>
          </w:tcPr>
          <w:p>
            <w:pPr>
              <w:spacing w:after="0"/>
              <w:rPr>
                <w:sz w:val="10"/>
                <w:szCs w:val="10"/>
                <w:color w:val="auto"/>
              </w:rPr>
            </w:pPr>
          </w:p>
        </w:tc>
        <w:tc>
          <w:tcPr>
            <w:tcW w:w="12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2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0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3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2"/>
              </w:rPr>
              <w:t>assets</w:t>
            </w:r>
          </w:p>
        </w:tc>
        <w:tc>
          <w:tcPr>
            <w:tcW w:w="13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120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200" w:type="dxa"/>
            <w:vAlign w:val="bottom"/>
          </w:tcPr>
          <w:p>
            <w:pPr>
              <w:spacing w:after="0"/>
              <w:rPr>
                <w:sz w:val="15"/>
                <w:szCs w:val="15"/>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6"/>
              </w:rPr>
              <w:t>pledged</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2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1,070</w:t>
            </w:r>
          </w:p>
        </w:tc>
        <w:tc>
          <w:tcPr>
            <w:tcW w:w="800" w:type="dxa"/>
            <w:vAlign w:val="bottom"/>
            <w:gridSpan w:val="2"/>
          </w:tcPr>
          <w:p>
            <w:pPr>
              <w:spacing w:after="0"/>
              <w:rPr>
                <w:sz w:val="20"/>
                <w:szCs w:val="20"/>
                <w:color w:val="auto"/>
              </w:rPr>
            </w:pPr>
            <w:r>
              <w:rPr>
                <w:rFonts w:ascii="Arial" w:cs="Arial" w:eastAsia="Arial" w:hAnsi="Arial"/>
                <w:sz w:val="18"/>
                <w:szCs w:val="18"/>
                <w:color w:val="auto"/>
              </w:rPr>
              <w:t>$   2,526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2020 and 2019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Amount of Gain (Loss)</w:t>
            </w:r>
          </w:p>
        </w:tc>
        <w:tc>
          <w:tcPr>
            <w:tcW w:w="2660" w:type="dxa"/>
            <w:vAlign w:val="bottom"/>
            <w:gridSpan w:val="8"/>
            <w:vMerge w:val="restart"/>
          </w:tcPr>
          <w:p>
            <w:pPr>
              <w:jc w:val="center"/>
              <w:ind w:right="180"/>
              <w:spacing w:after="0"/>
              <w:rPr>
                <w:sz w:val="20"/>
                <w:szCs w:val="20"/>
                <w:color w:val="auto"/>
              </w:rPr>
            </w:pPr>
            <w:r>
              <w:rPr>
                <w:rFonts w:ascii="Arial" w:cs="Arial" w:eastAsia="Arial" w:hAnsi="Arial"/>
                <w:sz w:val="14"/>
                <w:szCs w:val="14"/>
                <w:b w:val="1"/>
                <w:bCs w:val="1"/>
                <w:color w:val="auto"/>
                <w:w w:val="92"/>
              </w:rPr>
              <w:t>Location/Amount of Loss</w:t>
            </w:r>
          </w:p>
        </w:tc>
        <w:tc>
          <w:tcPr>
            <w:tcW w:w="2620" w:type="dxa"/>
            <w:vAlign w:val="bottom"/>
            <w:gridSpan w:val="6"/>
            <w:vMerge w:val="restart"/>
          </w:tcPr>
          <w:p>
            <w:pPr>
              <w:jc w:val="center"/>
              <w:ind w:left="462"/>
              <w:spacing w:after="0"/>
              <w:rPr>
                <w:sz w:val="20"/>
                <w:szCs w:val="20"/>
                <w:color w:val="auto"/>
              </w:rPr>
            </w:pPr>
            <w:r>
              <w:rPr>
                <w:rFonts w:ascii="Arial" w:cs="Arial" w:eastAsia="Arial" w:hAnsi="Arial"/>
                <w:sz w:val="14"/>
                <w:szCs w:val="14"/>
                <w:b w:val="1"/>
                <w:bCs w:val="1"/>
                <w:color w:val="auto"/>
                <w:w w:val="93"/>
              </w:rPr>
              <w:t>Location/Amount of Gain (Loss)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00" w:type="dxa"/>
            <w:vAlign w:val="bottom"/>
          </w:tcPr>
          <w:p>
            <w:pPr>
              <w:spacing w:after="0"/>
              <w:rPr>
                <w:sz w:val="12"/>
                <w:szCs w:val="12"/>
                <w:color w:val="auto"/>
              </w:rPr>
            </w:pPr>
          </w:p>
        </w:tc>
        <w:tc>
          <w:tcPr>
            <w:tcW w:w="15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660" w:type="dxa"/>
            <w:vAlign w:val="bottom"/>
            <w:gridSpan w:val="8"/>
            <w:vMerge w:val="continue"/>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AOCI on</w:t>
            </w:r>
          </w:p>
        </w:tc>
        <w:tc>
          <w:tcPr>
            <w:tcW w:w="266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400" w:type="dxa"/>
            <w:vAlign w:val="bottom"/>
            <w:gridSpan w:val="5"/>
          </w:tcPr>
          <w:p>
            <w:pPr>
              <w:jc w:val="center"/>
              <w:ind w:left="6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00" w:type="dxa"/>
            <w:vAlign w:val="bottom"/>
          </w:tcPr>
          <w:p>
            <w:pPr>
              <w:spacing w:after="0"/>
              <w:rPr>
                <w:sz w:val="12"/>
                <w:szCs w:val="12"/>
                <w:color w:val="auto"/>
              </w:rPr>
            </w:pPr>
          </w:p>
        </w:tc>
        <w:tc>
          <w:tcPr>
            <w:tcW w:w="15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660" w:type="dxa"/>
            <w:vAlign w:val="bottom"/>
            <w:gridSpan w:val="8"/>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Into Statement of Operations</w:t>
            </w:r>
          </w:p>
        </w:tc>
        <w:tc>
          <w:tcPr>
            <w:tcW w:w="328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9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(Effective Portion)</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center"/>
              <w:ind w:left="682"/>
              <w:spacing w:after="0"/>
              <w:rPr>
                <w:sz w:val="20"/>
                <w:szCs w:val="20"/>
                <w:color w:val="auto"/>
              </w:rPr>
            </w:pPr>
            <w:r>
              <w:rPr>
                <w:rFonts w:ascii="Arial" w:cs="Arial" w:eastAsia="Arial" w:hAnsi="Arial"/>
                <w:sz w:val="14"/>
                <w:szCs w:val="14"/>
                <w:b w:val="1"/>
                <w:bCs w:val="1"/>
                <w:color w:val="auto"/>
                <w:w w:val="94"/>
              </w:rPr>
              <w:t>(Ineffective Portion)</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Borders>
              <w:top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5"/>
          </w:tcPr>
          <w:p>
            <w:pPr>
              <w:jc w:val="center"/>
              <w:ind w:right="15"/>
              <w:spacing w:after="0" w:line="119" w:lineRule="exact"/>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5"/>
          </w:tcPr>
          <w:p>
            <w:pPr>
              <w:jc w:val="right"/>
              <w:ind w:right="75"/>
              <w:spacing w:after="0" w:line="119" w:lineRule="exact"/>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right"/>
              <w:ind w:right="5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323"/>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(1,136)</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Other income, net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(1,363)</w:t>
            </w:r>
          </w:p>
        </w:tc>
        <w:tc>
          <w:tcPr>
            <w:tcW w:w="880" w:type="dxa"/>
            <w:vAlign w:val="bottom"/>
          </w:tcPr>
          <w:p>
            <w:pPr>
              <w:ind w:left="6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1500" w:type="dxa"/>
            <w:vAlign w:val="bottom"/>
          </w:tcPr>
          <w:p>
            <w:pPr>
              <w:ind w:left="120"/>
              <w:spacing w:after="0"/>
              <w:rPr>
                <w:sz w:val="20"/>
                <w:szCs w:val="20"/>
                <w:color w:val="auto"/>
              </w:rPr>
            </w:pPr>
            <w:r>
              <w:rPr>
                <w:rFonts w:ascii="Arial" w:cs="Arial" w:eastAsia="Arial" w:hAnsi="Arial"/>
                <w:sz w:val="18"/>
                <w:szCs w:val="18"/>
                <w:color w:val="auto"/>
                <w:w w:val="95"/>
              </w:rPr>
              <w:t>Other income, net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1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statements of operations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2020 and 2019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Amount of Loss</w:t>
            </w:r>
          </w:p>
        </w:tc>
        <w:tc>
          <w:tcPr>
            <w:tcW w:w="2700" w:type="dxa"/>
            <w:vAlign w:val="bottom"/>
            <w:gridSpan w:val="9"/>
            <w:vMerge w:val="restart"/>
          </w:tcPr>
          <w:p>
            <w:pPr>
              <w:jc w:val="center"/>
              <w:ind w:right="180"/>
              <w:spacing w:after="0"/>
              <w:rPr>
                <w:sz w:val="20"/>
                <w:szCs w:val="20"/>
                <w:color w:val="auto"/>
              </w:rPr>
            </w:pPr>
            <w:r>
              <w:rPr>
                <w:rFonts w:ascii="Arial" w:cs="Arial" w:eastAsia="Arial" w:hAnsi="Arial"/>
                <w:sz w:val="14"/>
                <w:szCs w:val="14"/>
                <w:b w:val="1"/>
                <w:bCs w:val="1"/>
                <w:color w:val="auto"/>
                <w:w w:val="92"/>
              </w:rPr>
              <w:t>Location/Amount of Loss</w:t>
            </w:r>
          </w:p>
        </w:tc>
        <w:tc>
          <w:tcPr>
            <w:tcW w:w="2580" w:type="dxa"/>
            <w:vAlign w:val="bottom"/>
            <w:gridSpan w:val="5"/>
            <w:vMerge w:val="restart"/>
          </w:tcPr>
          <w:p>
            <w:pPr>
              <w:jc w:val="center"/>
              <w:ind w:left="442"/>
              <w:spacing w:after="0"/>
              <w:rPr>
                <w:sz w:val="20"/>
                <w:szCs w:val="20"/>
                <w:color w:val="auto"/>
              </w:rPr>
            </w:pPr>
            <w:r>
              <w:rPr>
                <w:rFonts w:ascii="Arial" w:cs="Arial" w:eastAsia="Arial" w:hAnsi="Arial"/>
                <w:sz w:val="14"/>
                <w:szCs w:val="14"/>
                <w:b w:val="1"/>
                <w:bCs w:val="1"/>
                <w:color w:val="auto"/>
                <w:w w:val="92"/>
              </w:rPr>
              <w:t>Location/Amount of Gain (Loss)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60" w:type="dxa"/>
            <w:vAlign w:val="bottom"/>
          </w:tcPr>
          <w:p>
            <w:pPr>
              <w:spacing w:after="0"/>
              <w:rPr>
                <w:sz w:val="12"/>
                <w:szCs w:val="12"/>
                <w:color w:val="auto"/>
              </w:rPr>
            </w:pPr>
          </w:p>
        </w:tc>
        <w:tc>
          <w:tcPr>
            <w:tcW w:w="16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Recognized in</w:t>
            </w:r>
          </w:p>
        </w:tc>
        <w:tc>
          <w:tcPr>
            <w:tcW w:w="2700" w:type="dxa"/>
            <w:vAlign w:val="bottom"/>
            <w:gridSpan w:val="9"/>
            <w:vMerge w:val="continue"/>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left="304"/>
              <w:spacing w:after="0" w:line="149" w:lineRule="exact"/>
              <w:rPr>
                <w:sz w:val="20"/>
                <w:szCs w:val="20"/>
                <w:color w:val="auto"/>
              </w:rPr>
            </w:pPr>
            <w:r>
              <w:rPr>
                <w:rFonts w:ascii="Arial" w:cs="Arial" w:eastAsia="Arial" w:hAnsi="Arial"/>
                <w:sz w:val="14"/>
                <w:szCs w:val="14"/>
                <w:b w:val="1"/>
                <w:bCs w:val="1"/>
                <w:color w:val="auto"/>
                <w:w w:val="99"/>
              </w:rPr>
              <w:t>AOCI 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9"/>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2400" w:type="dxa"/>
            <w:vAlign w:val="bottom"/>
            <w:gridSpan w:val="4"/>
          </w:tcPr>
          <w:p>
            <w:pPr>
              <w:jc w:val="center"/>
              <w:ind w:left="62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60" w:type="dxa"/>
            <w:vAlign w:val="bottom"/>
          </w:tcPr>
          <w:p>
            <w:pPr>
              <w:spacing w:after="0"/>
              <w:rPr>
                <w:sz w:val="12"/>
                <w:szCs w:val="12"/>
                <w:color w:val="auto"/>
              </w:rPr>
            </w:pPr>
          </w:p>
        </w:tc>
        <w:tc>
          <w:tcPr>
            <w:tcW w:w="16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700" w:type="dxa"/>
            <w:vAlign w:val="bottom"/>
            <w:gridSpan w:val="9"/>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Into Statement of Operations</w:t>
            </w:r>
          </w:p>
        </w:tc>
        <w:tc>
          <w:tcPr>
            <w:tcW w:w="322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(Effective Portion)</w:t>
            </w:r>
          </w:p>
        </w:tc>
        <w:tc>
          <w:tcPr>
            <w:tcW w:w="19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(Effective Portion)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w w:val="94"/>
              </w:rPr>
              <w:t>(Ineffective Portion)</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Borders>
              <w:top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tcPr>
          <w:p>
            <w:pPr>
              <w:jc w:val="center"/>
              <w:ind w:right="75"/>
              <w:spacing w:after="0" w:line="119" w:lineRule="exact"/>
              <w:rPr>
                <w:sz w:val="20"/>
                <w:szCs w:val="20"/>
                <w:color w:val="auto"/>
              </w:rPr>
            </w:pPr>
            <w:r>
              <w:rPr>
                <w:rFonts w:ascii="Arial" w:cs="Arial" w:eastAsia="Arial" w:hAnsi="Arial"/>
                <w:sz w:val="13"/>
                <w:szCs w:val="13"/>
                <w:b w:val="1"/>
                <w:bCs w:val="1"/>
                <w:color w:val="auto"/>
                <w:w w:val="99"/>
              </w:rPr>
              <w:t>Six Months Ended</w:t>
            </w: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ind w:right="175"/>
              <w:spacing w:after="0" w:line="119" w:lineRule="exact"/>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Net sales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800" w:type="dxa"/>
            <w:vAlign w:val="bottom"/>
          </w:tcPr>
          <w:p>
            <w:pPr>
              <w:ind w:left="60"/>
              <w:spacing w:after="0"/>
              <w:rPr>
                <w:sz w:val="20"/>
                <w:szCs w:val="20"/>
                <w:color w:val="auto"/>
              </w:rPr>
            </w:pPr>
            <w:r>
              <w:rPr>
                <w:rFonts w:ascii="Arial" w:cs="Arial" w:eastAsia="Arial" w:hAnsi="Arial"/>
                <w:sz w:val="18"/>
                <w:szCs w:val="18"/>
                <w:color w:val="auto"/>
                <w:w w:val="95"/>
              </w:rPr>
              <w:t>Net sales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1520" w:type="dxa"/>
            <w:vAlign w:val="bottom"/>
          </w:tcPr>
          <w:p>
            <w:pPr>
              <w:ind w:left="60"/>
              <w:spacing w:after="0"/>
              <w:rPr>
                <w:sz w:val="20"/>
                <w:szCs w:val="20"/>
                <w:color w:val="auto"/>
              </w:rPr>
            </w:pPr>
            <w:r>
              <w:rPr>
                <w:rFonts w:ascii="Arial" w:cs="Arial" w:eastAsia="Arial" w:hAnsi="Arial"/>
                <w:sz w:val="18"/>
                <w:szCs w:val="18"/>
                <w:color w:val="auto"/>
              </w:rPr>
              <w:t>Other income, net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of June 30, 2020, the amount expected to be reclassified from accumulated other comprehensive income into loss within the next twelve months is $1,004 thousand.</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Company set aside $10,550 thousand and $8,750 thousand of cash deposits to the counterparties, Nomura Financial Investment (Korea) Co., Ltd. (“NFIK”) and Deutsche Bank AG, Seoul Branch (“DB”), as required for the zero cost collar contracts outstanding as of June 30, 2020 and December 31, 2019, respectively. These cash deposits are recorded as hedge collateral on the consolidated balance sheets.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$1,190 thousand and $1,070 thousand of additional cash collateral were required and recorded as hedge collateral on the consolidated balance sheets as of June 30, 2020 and December 31, 2019, respectively.</w:t>
      </w:r>
    </w:p>
    <w:p>
      <w:pPr>
        <w:spacing w:after="0" w:line="18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These forward and zero cost collar contracts may be terminated by the counterparty in a number of circumstances, including if the Company’s borrowing rating falls below B-/B3 or if the Company’s total cash and cash equivalents is less than $30,000 thousand at the end of a fiscal quarter, unless a waiver is obtained from the counterparty.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of June 30, 2020,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Fair Value</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liability (Level 1)</w:t>
            </w:r>
          </w:p>
        </w:tc>
        <w:tc>
          <w:tcPr>
            <w:tcW w:w="2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1,188</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rPr>
              <w:t>$   1,188</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the following table represents the Company’s assets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1,456</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9"/>
              </w:rPr>
              <w:t>$   1,456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630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10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02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3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of</w:t>
            </w: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US dollars)</w:t>
            </w: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82,706</w:t>
            </w:r>
          </w:p>
        </w:tc>
        <w:tc>
          <w:tcPr>
            <w:tcW w:w="1200" w:type="dxa"/>
            <w:vAlign w:val="bottom"/>
            <w:gridSpan w:val="3"/>
          </w:tcPr>
          <w:p>
            <w:pPr>
              <w:jc w:val="center"/>
              <w:ind w:right="88"/>
              <w:spacing w:after="0"/>
              <w:rPr>
                <w:sz w:val="20"/>
                <w:szCs w:val="20"/>
                <w:color w:val="auto"/>
              </w:rPr>
            </w:pPr>
            <w:r>
              <w:rPr>
                <w:rFonts w:ascii="Arial" w:cs="Arial" w:eastAsia="Arial" w:hAnsi="Arial"/>
                <w:sz w:val="18"/>
                <w:szCs w:val="18"/>
                <w:color w:val="auto"/>
                <w:w w:val="90"/>
              </w:rPr>
              <w:t>$103,838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81,959</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$116,078</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6.625% Senior Notes due July 2021 (Level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223,242</w:t>
            </w:r>
          </w:p>
        </w:tc>
        <w:tc>
          <w:tcPr>
            <w:tcW w:w="1200" w:type="dxa"/>
            <w:vAlign w:val="bottom"/>
            <w:gridSpan w:val="3"/>
            <w:shd w:val="clear" w:color="auto" w:fill="CCEEFF"/>
          </w:tcPr>
          <w:p>
            <w:pPr>
              <w:jc w:val="center"/>
              <w:ind w:right="88"/>
              <w:spacing w:after="0"/>
              <w:rPr>
                <w:sz w:val="20"/>
                <w:szCs w:val="20"/>
                <w:color w:val="auto"/>
              </w:rPr>
            </w:pPr>
            <w:r>
              <w:rPr>
                <w:rFonts w:ascii="Arial" w:cs="Arial" w:eastAsia="Arial" w:hAnsi="Arial"/>
                <w:sz w:val="18"/>
                <w:szCs w:val="18"/>
                <w:color w:val="auto"/>
                <w:w w:val="90"/>
              </w:rPr>
              <w:t>$218,644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222,784</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$224,250</w:t>
            </w:r>
          </w:p>
        </w:tc>
      </w:tr>
    </w:tbl>
    <w:p>
      <w:pPr>
        <w:spacing w:after="0" w:line="20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11, “Borrowings.”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11, “Borrowings.”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June 30, 2020 and 2019, the Company did not have any assets or liabilities measured at fair value on a non-recurring basis.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Borrowings as of June 30, 2020 and December 31, 2019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224,250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224,250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(3,247)</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Total borrowings, net</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305,948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304,743</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borrowings, net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(82,706)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Long-term borrowings,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223,242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304,743</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six months ended</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June 30, 2020 were $1,425 thousand and $2,841 thousand, respectively. Interest expense related to the Exchangeable Notes for the three and six months ended June 30, 2019 were $1,394 thousand and $2,802 thousand, respectively.</w:t>
      </w:r>
    </w:p>
    <w:p>
      <w:pPr>
        <w:spacing w:after="0" w:line="18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year ended December 31,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24"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three and six months ended June 30, 2020 were $3,944 thousand and $7,887 thousand, respectively. Interest expenses related to the 2021 Notes for the three and six months ended June 30, 2019 were $3,929 thousand and $7,859 thousand, respectively.</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year ended December 31, 2019.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2020,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June 30, 2020</w:t>
            </w:r>
          </w:p>
        </w:tc>
        <w:tc>
          <w:tcPr>
            <w:tcW w:w="78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3"/>
          </w:tcPr>
          <w:p>
            <w:pPr>
              <w:ind w:left="680"/>
              <w:spacing w:after="0" w:line="142" w:lineRule="exact"/>
              <w:rPr>
                <w:sz w:val="20"/>
                <w:szCs w:val="20"/>
                <w:color w:val="auto"/>
              </w:rPr>
            </w:pPr>
            <w:r>
              <w:rPr>
                <w:rFonts w:ascii="Arial" w:cs="Arial" w:eastAsia="Arial" w:hAnsi="Arial"/>
                <w:sz w:val="14"/>
                <w:szCs w:val="14"/>
                <w:b w:val="1"/>
                <w:bCs w:val="1"/>
                <w:color w:val="auto"/>
              </w:rPr>
              <w:t>June 30, 2019</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50,610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54,553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Provisions</w:t>
            </w:r>
          </w:p>
        </w:tc>
        <w:tc>
          <w:tcPr>
            <w:tcW w:w="4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1,755</w:t>
            </w:r>
          </w:p>
        </w:tc>
        <w:tc>
          <w:tcPr>
            <w:tcW w:w="3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3,774</w:t>
            </w:r>
          </w:p>
        </w:tc>
        <w:tc>
          <w:tcPr>
            <w:tcW w:w="4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1,329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(3,454)</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(3,295)</w:t>
            </w: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(1,879)</w:t>
            </w:r>
          </w:p>
        </w:tc>
        <w:tc>
          <w:tcPr>
            <w:tcW w:w="46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(881)</w:t>
            </w: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(1,837)</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51,785</w:t>
            </w:r>
          </w:p>
        </w:tc>
        <w:tc>
          <w:tcPr>
            <w:tcW w:w="6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51,785</w:t>
            </w: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53,202</w:t>
            </w:r>
          </w:p>
        </w:tc>
        <w:tc>
          <w:tcPr>
            <w:tcW w:w="6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53,202</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 to</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severance insurance deposit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accounts</w:t>
            </w:r>
          </w:p>
        </w:tc>
        <w:tc>
          <w:tcPr>
            <w:tcW w:w="46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(1,570)</w:t>
            </w:r>
          </w:p>
        </w:tc>
        <w:tc>
          <w:tcPr>
            <w:tcW w:w="3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(1,570)</w:t>
            </w:r>
          </w:p>
        </w:tc>
        <w:tc>
          <w:tcPr>
            <w:tcW w:w="46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(1,099)</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02"/>
        </w:trPr>
        <w:tc>
          <w:tcPr>
            <w:tcW w:w="20" w:type="dxa"/>
            <w:vAlign w:val="bottom"/>
          </w:tcPr>
          <w:p>
            <w:pPr>
              <w:spacing w:after="0"/>
              <w:rPr>
                <w:sz w:val="17"/>
                <w:szCs w:val="17"/>
                <w:color w:val="auto"/>
              </w:rPr>
            </w:pPr>
          </w:p>
        </w:tc>
        <w:tc>
          <w:tcPr>
            <w:tcW w:w="3180" w:type="dxa"/>
            <w:vAlign w:val="bottom"/>
          </w:tcPr>
          <w:p>
            <w:pPr>
              <w:ind w:left="340"/>
              <w:spacing w:after="0" w:line="201" w:lineRule="exact"/>
              <w:rPr>
                <w:sz w:val="20"/>
                <w:szCs w:val="20"/>
                <w:color w:val="auto"/>
              </w:rPr>
            </w:pPr>
            <w:r>
              <w:rPr>
                <w:rFonts w:ascii="Arial" w:cs="Arial" w:eastAsia="Arial" w:hAnsi="Arial"/>
                <w:sz w:val="18"/>
                <w:szCs w:val="18"/>
                <w:color w:val="auto"/>
              </w:rPr>
              <w:t>Group severance insurance</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plan</w:t>
            </w:r>
          </w:p>
        </w:tc>
        <w:tc>
          <w:tcPr>
            <w:tcW w:w="46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49,927</w:t>
            </w:r>
          </w:p>
        </w:tc>
        <w:tc>
          <w:tcPr>
            <w:tcW w:w="6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49,927</w:t>
            </w: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51,783</w:t>
            </w:r>
          </w:p>
        </w:tc>
        <w:tc>
          <w:tcPr>
            <w:tcW w:w="6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July 2018, the Company began contributing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2,104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2026 – 2030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19,482</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86"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Foreign Currency Gain (Loss), Net</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June 30, 2020 and December 31, 2019, the outstanding intercompany loan balances including accrued interest between the Korean subsidiary and the Dutch subsidiary were $690,708 thousand and $686,485 thousand, respectively. The Korean won to US dollar exchange rates were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1,200.7:1 and 1,157.8:1 using the first base rate as of June 30, 2020 and December 31, 2019, respectively, as quoted by the KEB Hana Bank.</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Income from continuing operations before income tax expense for the three months ended June 30, 2020 was $12,452 thousand and loss from continuing operations before income tax expense for the three months ended June 30, 2019 was $7,704 thousand. For the three months ended June 30, 2020 and 2019, the Company recorded an income tax expense on continuing operations of $678 thousand and $786 thousand, respectively, primarily attributable to interest on intercompany loan balances. Income tax expense was recorded for the Company’s Korean subsidiary based on the estimated taxable income for the respective periods, combined with its ability to utilize net operating loss carryforwards up to 60% in 2019 and 2020.</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Loss from continuing operations before income tax expense for the six months ended June 30, 2020 and 2019 were $17,323 thousand and $28,463 thousand, respectively. For the six months ended June 30, 2020 and 2019, the Company recorded income tax expense on continuing of $1,981 thousand and $1,582 thousand, respectively, primarily attributable to interest on intercompany loan balances. Income tax expense was recorded for the Company’s Korean subsidiary based on the estimated taxable income for the respective periods, combined with its ability to utilize net operating loss carryforwards up to 60% in 2019 and 2020.</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July 2020, the U.S. Treasury Department issued final tax regulations related to the foreign-derived intangible income and global intangible low-taxed income (GILTI) provisions, which permits a taxpayer to elect to exclude income subject to a high effective rate of foreign tax from its GILTI inclusion. The Company is currently assessing the potential impact of the final regulations to the Company’s consolidated financial statements.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Geographic and Other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Historically, the Company operated in two reportable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195"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March 30, 2020, the Company entered into the BTA to sell its Foundry business and Fab 4. The planned divestiture of its Foundry business and Fab 4 allows the Company to strategically shift its operational focus to its standard products business. As a result, the results of the Foundry Services Group were classified as discontinued operations in the Company’s consolidated statements of operations and thus excluded from both continuing operations and segment results for all periods presented. Please see “Item 1. Financial Statements and Supplementary Data—Notes to Consolidated Financial Statements—Note 2. Discontinued Operations and Assets Held for Sale” for additional information on the results of discontinued operations. Accordingly, the Company now has one reportable segment. The Company’s chief operating decision maker is its Chief Executive Officer, who allocates resources and assesses performance of the business and other activities based on gross profit.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146,769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142,491</w:t>
            </w:r>
          </w:p>
        </w:tc>
      </w:tr>
      <w:tr>
        <w:trPr>
          <w:trHeight w:val="216"/>
        </w:trPr>
        <w:tc>
          <w:tcPr>
            <w:tcW w:w="630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39,779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47,745</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72,922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89,779</w:t>
            </w:r>
          </w:p>
        </w:tc>
      </w:tr>
      <w:tr>
        <w:trPr>
          <w:trHeight w:val="27"/>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132,006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219,691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232,270</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9,873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8,879</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19,610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15,882</w:t>
            </w:r>
          </w:p>
        </w:tc>
      </w:tr>
      <w:tr>
        <w:trPr>
          <w:trHeight w:val="27"/>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118,828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140,885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239,301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248,152</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32,138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31,622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61,268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50,645</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61,268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50,645</w:t>
            </w: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is a summary of net sales – standard products business (which does not include the Transitional Fab 3 Foundry Services) by geographic region, based on the location to which the products are billed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2"/>
              </w:rPr>
              <w:t>June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84,210</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93,657</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161,752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157,404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Europe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108,955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132,006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219,691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80" w:type="dxa"/>
            <w:vAlign w:val="bottom"/>
            <w:vMerge w:val="restart"/>
          </w:tcPr>
          <w:p>
            <w:pPr>
              <w:jc w:val="right"/>
              <w:ind w:right="10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6"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For the three months ended June 30, 2020 and 2019, of the Company’s net sales – standard products business in Asia Pacific (other than Korea), net sales – standard products business in Greater China (China, Hong Kong and Macau) represented 82.8% and 96.9%, respectively.</w:t>
      </w:r>
    </w:p>
    <w:p>
      <w:pPr>
        <w:spacing w:after="0" w:line="14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For the six months ended June 30, 2020 and 2019, of the Company’s net sales – standard products business in Asia Pacific (other than Korea), net sales – standard products business in Greater China (China, Hong Kong and Macau) represented 88.8% and 95.8%, respectively.</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88% and 91% for the three months ended June 30, 2020 and 2019, respectively, and 89% for each of the six months ended June 30, 2020 and 2019.</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the three months ended June 30, 2020, the Company had one customer that represented 56.5% of its net sales – standard products business, and for the six months ended June 30, 2020, the Company had two customers that represented 54.7% and 10.7% of its net sales – standard products business.</w:t>
      </w:r>
    </w:p>
    <w:p>
      <w:pPr>
        <w:spacing w:after="0" w:line="184" w:lineRule="exact"/>
        <w:rPr>
          <w:sz w:val="20"/>
          <w:szCs w:val="20"/>
          <w:color w:val="auto"/>
        </w:rPr>
      </w:pPr>
    </w:p>
    <w:p>
      <w:pPr>
        <w:ind w:left="120" w:right="200" w:firstLine="440"/>
        <w:spacing w:after="0" w:line="381" w:lineRule="auto"/>
        <w:rPr>
          <w:sz w:val="20"/>
          <w:szCs w:val="20"/>
          <w:color w:val="auto"/>
        </w:rPr>
      </w:pPr>
      <w:r>
        <w:rPr>
          <w:rFonts w:ascii="Arial" w:cs="Arial" w:eastAsia="Arial" w:hAnsi="Arial"/>
          <w:sz w:val="15"/>
          <w:szCs w:val="15"/>
          <w:color w:val="auto"/>
        </w:rPr>
        <w:t>For the three months ended June 30, 2019, the Company had one customer that represented 54.8% of its net sales – standard products business, and for the six months ended June 30, 2019, the Company had one customer that represented 50.6% of its net sales – standard products business.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2020 and December 31, 2019, one customer accounted for 48.6% and 43.1% of accounts receivable, net,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96% of the Company’s property, plant and equipment from continuing operations are located in Korea as of June 30,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June 30, 2020 and December 31, 2019, respectively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40" w:type="dxa"/>
            <w:vAlign w:val="bottom"/>
          </w:tcPr>
          <w:p>
            <w:pPr>
              <w:spacing w:after="0"/>
              <w:rPr>
                <w:sz w:val="14"/>
                <w:szCs w:val="14"/>
                <w:color w:val="auto"/>
              </w:rPr>
            </w:pPr>
          </w:p>
        </w:tc>
        <w:tc>
          <w:tcPr>
            <w:tcW w:w="22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$11,503</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7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7"/>
        </w:trPr>
        <w:tc>
          <w:tcPr>
            <w:tcW w:w="4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w:t>
            </w:r>
          </w:p>
        </w:tc>
      </w:tr>
      <w:tr>
        <w:trPr>
          <w:trHeight w:val="20"/>
        </w:trPr>
        <w:tc>
          <w:tcPr>
            <w:tcW w:w="4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income (loss) for the three months ended June 30, 2020 and 2019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00" w:type="dxa"/>
            <w:vAlign w:val="bottom"/>
            <w:gridSpan w:val="3"/>
            <w:vMerge w:val="restart"/>
          </w:tcPr>
          <w:p>
            <w:pPr>
              <w:jc w:val="center"/>
              <w:ind w:right="241"/>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500" w:type="dxa"/>
            <w:vAlign w:val="bottom"/>
          </w:tcPr>
          <w:p>
            <w:pPr>
              <w:spacing w:after="0"/>
              <w:rPr>
                <w:sz w:val="12"/>
                <w:szCs w:val="12"/>
                <w:color w:val="auto"/>
              </w:rPr>
            </w:pPr>
          </w:p>
        </w:tc>
        <w:tc>
          <w:tcPr>
            <w:tcW w:w="1000" w:type="dxa"/>
            <w:vAlign w:val="bottom"/>
            <w:gridSpan w:val="3"/>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00" w:type="dxa"/>
            <w:vAlign w:val="bottom"/>
            <w:gridSpan w:val="3"/>
            <w:vMerge w:val="continue"/>
          </w:tcPr>
          <w:p>
            <w:pPr>
              <w:spacing w:after="0"/>
              <w:rPr>
                <w:sz w:val="15"/>
                <w:szCs w:val="15"/>
                <w:color w:val="auto"/>
              </w:rPr>
            </w:pPr>
          </w:p>
        </w:tc>
        <w:tc>
          <w:tcPr>
            <w:tcW w:w="1500" w:type="dxa"/>
            <w:vAlign w:val="bottom"/>
            <w:gridSpan w:val="4"/>
          </w:tcPr>
          <w:p>
            <w:pPr>
              <w:jc w:val="center"/>
              <w:ind w:left="162"/>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200" w:type="dxa"/>
            <w:vAlign w:val="bottom"/>
            <w:gridSpan w:val="4"/>
          </w:tcPr>
          <w:p>
            <w:pPr>
              <w:jc w:val="center"/>
              <w:ind w:right="21"/>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18,046</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(3,401</w:t>
            </w:r>
          </w:p>
        </w:tc>
        <w:tc>
          <w:tcPr>
            <w:tcW w:w="24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$ 14,645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00" w:type="dxa"/>
            <w:vAlign w:val="bottom"/>
            <w:gridSpan w:val="3"/>
            <w:vMerge w:val="restart"/>
          </w:tcPr>
          <w:p>
            <w:pPr>
              <w:jc w:val="center"/>
              <w:ind w:right="241"/>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500" w:type="dxa"/>
            <w:vAlign w:val="bottom"/>
          </w:tcPr>
          <w:p>
            <w:pPr>
              <w:spacing w:after="0"/>
              <w:rPr>
                <w:sz w:val="12"/>
                <w:szCs w:val="12"/>
                <w:color w:val="auto"/>
              </w:rPr>
            </w:pPr>
          </w:p>
        </w:tc>
        <w:tc>
          <w:tcPr>
            <w:tcW w:w="1000" w:type="dxa"/>
            <w:vAlign w:val="bottom"/>
            <w:gridSpan w:val="3"/>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00" w:type="dxa"/>
            <w:vAlign w:val="bottom"/>
            <w:gridSpan w:val="3"/>
            <w:vMerge w:val="continue"/>
          </w:tcPr>
          <w:p>
            <w:pPr>
              <w:spacing w:after="0"/>
              <w:rPr>
                <w:sz w:val="15"/>
                <w:szCs w:val="15"/>
                <w:color w:val="auto"/>
              </w:rPr>
            </w:pPr>
          </w:p>
        </w:tc>
        <w:tc>
          <w:tcPr>
            <w:tcW w:w="1500" w:type="dxa"/>
            <w:vAlign w:val="bottom"/>
            <w:gridSpan w:val="4"/>
          </w:tcPr>
          <w:p>
            <w:pPr>
              <w:jc w:val="center"/>
              <w:ind w:left="162"/>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200" w:type="dxa"/>
            <w:vAlign w:val="bottom"/>
            <w:gridSpan w:val="4"/>
          </w:tcPr>
          <w:p>
            <w:pPr>
              <w:jc w:val="center"/>
              <w:ind w:right="21"/>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(12,757</w:t>
            </w:r>
          </w:p>
        </w:tc>
        <w:tc>
          <w:tcPr>
            <w:tcW w:w="24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(13,118</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600" w:type="dxa"/>
            <w:vAlign w:val="bottom"/>
            <w:gridSpan w:val="3"/>
          </w:tcPr>
          <w:p>
            <w:pPr>
              <w:ind w:left="454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8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w w:val="93"/>
              </w:rPr>
              <w:t>Three Months Ended June 30, 2020</w:t>
            </w:r>
          </w:p>
        </w:tc>
        <w:tc>
          <w:tcPr>
            <w:tcW w:w="4460" w:type="dxa"/>
            <w:vAlign w:val="bottom"/>
          </w:tcPr>
          <w:p>
            <w:pPr>
              <w:spacing w:after="0"/>
              <w:rPr>
                <w:sz w:val="12"/>
                <w:szCs w:val="12"/>
                <w:color w:val="auto"/>
              </w:rPr>
            </w:pPr>
          </w:p>
        </w:tc>
        <w:tc>
          <w:tcPr>
            <w:tcW w:w="88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vMerge w:val="continue"/>
          </w:tcPr>
          <w:p>
            <w:pPr>
              <w:spacing w:after="0"/>
              <w:rPr>
                <w:sz w:val="15"/>
                <w:szCs w:val="15"/>
                <w:color w:val="auto"/>
              </w:rPr>
            </w:pPr>
          </w:p>
        </w:tc>
        <w:tc>
          <w:tcPr>
            <w:tcW w:w="5340" w:type="dxa"/>
            <w:vAlign w:val="bottom"/>
            <w:gridSpan w:val="3"/>
          </w:tcPr>
          <w:p>
            <w:pPr>
              <w:jc w:val="center"/>
              <w:ind w:left="4248"/>
              <w:spacing w:after="0" w:line="158" w:lineRule="exact"/>
              <w:rPr>
                <w:sz w:val="20"/>
                <w:szCs w:val="20"/>
                <w:color w:val="auto"/>
              </w:rPr>
            </w:pPr>
            <w:r>
              <w:rPr>
                <w:rFonts w:ascii="Arial" w:cs="Arial" w:eastAsia="Arial" w:hAnsi="Arial"/>
                <w:sz w:val="14"/>
                <w:szCs w:val="14"/>
                <w:b w:val="1"/>
                <w:bCs w:val="1"/>
                <w:color w:val="auto"/>
                <w:w w:val="89"/>
              </w:rPr>
              <w:t>adjustments</w:t>
            </w:r>
          </w:p>
        </w:tc>
        <w:tc>
          <w:tcPr>
            <w:tcW w:w="9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Ending balance</w:t>
            </w:r>
          </w:p>
        </w:tc>
        <w:tc>
          <w:tcPr>
            <w:tcW w:w="4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(5,077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(6,073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Changes in accumulated other comprehensive income (loss) for the six months ended June 30, 2020 and 2019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8"/>
              </w:rPr>
              <w:t>Derivative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84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5"/>
          </w:tcPr>
          <w:p>
            <w:pPr>
              <w:jc w:val="center"/>
              <w:ind w:right="1"/>
              <w:spacing w:after="0" w:line="158" w:lineRule="exact"/>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5"/>
                <w:szCs w:val="15"/>
                <w:color w:val="auto"/>
              </w:rPr>
            </w:pPr>
          </w:p>
        </w:tc>
        <w:tc>
          <w:tcPr>
            <w:tcW w:w="9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(4,205</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1,545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(2,660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15,708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(2,800)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15,708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(2,549)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center"/>
              <w:ind w:right="161"/>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9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740" w:type="dxa"/>
            <w:vAlign w:val="bottom"/>
          </w:tcPr>
          <w:p>
            <w:pPr>
              <w:spacing w:after="0"/>
              <w:rPr>
                <w:sz w:val="12"/>
                <w:szCs w:val="12"/>
                <w:color w:val="auto"/>
              </w:rPr>
            </w:pPr>
          </w:p>
        </w:tc>
        <w:tc>
          <w:tcPr>
            <w:tcW w:w="900" w:type="dxa"/>
            <w:vAlign w:val="bottom"/>
            <w:gridSpan w:val="5"/>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840" w:type="dxa"/>
            <w:vAlign w:val="bottom"/>
            <w:gridSpan w:val="3"/>
            <w:vMerge w:val="continue"/>
          </w:tcPr>
          <w:p>
            <w:pPr>
              <w:spacing w:after="0"/>
              <w:rPr>
                <w:sz w:val="15"/>
                <w:szCs w:val="15"/>
                <w:color w:val="auto"/>
              </w:rPr>
            </w:pPr>
          </w:p>
        </w:tc>
        <w:tc>
          <w:tcPr>
            <w:tcW w:w="1640" w:type="dxa"/>
            <w:vAlign w:val="bottom"/>
            <w:gridSpan w:val="6"/>
          </w:tcPr>
          <w:p>
            <w:pPr>
              <w:jc w:val="center"/>
              <w:ind w:left="496"/>
              <w:spacing w:after="0" w:line="158" w:lineRule="exact"/>
              <w:rPr>
                <w:sz w:val="20"/>
                <w:szCs w:val="20"/>
                <w:color w:val="auto"/>
              </w:rPr>
            </w:pPr>
            <w:r>
              <w:rPr>
                <w:rFonts w:ascii="Arial" w:cs="Arial" w:eastAsia="Arial" w:hAnsi="Arial"/>
                <w:sz w:val="14"/>
                <w:szCs w:val="14"/>
                <w:b w:val="1"/>
                <w:bCs w:val="1"/>
                <w:color w:val="auto"/>
                <w:w w:val="89"/>
              </w:rPr>
              <w:t>adjustments</w:t>
            </w:r>
          </w:p>
        </w:tc>
        <w:tc>
          <w:tcPr>
            <w:tcW w:w="960" w:type="dxa"/>
            <w:vAlign w:val="bottom"/>
            <w:gridSpan w:val="6"/>
          </w:tcPr>
          <w:p>
            <w:pPr>
              <w:ind w:left="60"/>
              <w:spacing w:after="0" w:line="158" w:lineRule="exact"/>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(20,061</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(2,900)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7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There was no income tax impact related to changes in accumulated other comprehensive income (loss) for the three and six months ended June 30, 2020 and 2019 due to net operating loss carry-forwards available to offset taxable income and full allowance for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three and six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w:t>
      </w: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gridSpan w:val="13"/>
          </w:tcPr>
          <w:p>
            <w:pPr>
              <w:jc w:val="right"/>
              <w:ind w:right="572"/>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(19,304)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35,092,312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34,245,127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34,992,734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 allocated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(43,645)</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35,092,312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34,245,127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34,992,734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34,220,141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1,237,770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w w:val="91"/>
              </w:rPr>
              <w:t>Net effect of assumed conversion of 5.0% Exchangeable Notes to common stock</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10,144,155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46,474,237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34,245,127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34,992,734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24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4"/>
          </w:tcPr>
          <w:p>
            <w:pPr>
              <w:ind w:left="5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66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June 30,</w:t>
            </w:r>
          </w:p>
        </w:tc>
        <w:tc>
          <w:tcPr>
            <w:tcW w:w="94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tcBorders>
              <w:top w:val="single" w:sz="8" w:color="auto"/>
            </w:tcBorders>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5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699,167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2,611,832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2,075,494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2,611,832</w:t>
            </w:r>
          </w:p>
        </w:tc>
        <w:tc>
          <w:tcPr>
            <w:tcW w:w="60" w:type="dxa"/>
            <w:vAlign w:val="bottom"/>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501,490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1,238,639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501,490</w:t>
            </w:r>
          </w:p>
        </w:tc>
      </w:tr>
    </w:tbl>
    <w:p>
      <w:pPr>
        <w:spacing w:after="0" w:line="18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numbers of shares of potential common stock from the assumed conversion of Exchangeable Notes that were excluded from the computation of diluted loss per share as the anti-dilutive effects were 10,144,155 for each of the six months ended June 30, 2020 and three months ended June 30, 2019 and 10,163,242 for the six months ended June 30,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June 30, 2020 and December 31, 2019, respectively.</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86"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$5,419 thousand and $6,593 thousand as other current assets as of June 30, 2020 and December 31,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While the Company experienced some minor disruption in its Power Solutions business from assembly and test subcontractors located in China in the first quarter of 2020 as a result of COVID-19, to date its external Display Solutions business contractors and sub-contractors have not been materially impacted by the outbreak. Nevertheless, while the future impact on the Company’s business from the COVID-19 pandemic is currently difficult to assess, the significant global macro-economic disruption will adversely affect customer demand for some of its products in the near term. The Company is, however, unable to accurately predict the full impact COVID-19 will have on its future results of operations due to numerous uncertainties, including the severity of the disease, the duration of the outbreak, a potential future recurrence of the outbreak, further containment actions that may be taken by governmental authorities, the impact to the businesses of its customers and suppliers, and other factors.</w:t>
      </w:r>
    </w:p>
    <w:p>
      <w:pPr>
        <w:spacing w:after="0" w:line="17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Company continues to closely monitor and evaluate the nature and scope of the impact on COVID-19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July 2020, the Company and NFIK entered into derivative contracts of zero cost collars for the period from January 2021 to June 2021. The total notional amounts are $30,000 thousand.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power outage</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July 20, 2020, the Company’s Fab 3 facility in Gumi, South Korea experienced a temporary power outage for approximately 9 hours and 15 minutes. The accident caused certain damage to the Company’s work in process wafers with an estimated total cost of up to approximately $2.3 million. Management is currently evaluating potential insurance and other claims that the Company may have for the above loss and damages.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594"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21, 2020 (“2019 Form 10-K”) (including that the impact of the COVID-19 pandemic may also exacerbate the risks discussed therein).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 We have reclassified certain prior year amounts to conform to the current year’s presentation for discontinued operations to reflect the divestiture of our Foundry Services Group business and Fab 4. Unless otherwise stated, information in this section relates to our continuing operations. The consolidated statements of cash flows have not been adjusted to separately disclose cash flows related to discontinued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a designer and manufacturer of analog and mixed-signal semiconductor platform solutions for communications, IoT applications, consumer, industrial and automotive applications. We provide technology platforms for analog, mixed-signal, power, high voltage, non-volatile memory, and radio frequency applications. We have a proven record with more than 40 years of operating history, a portfolio of approximately 2,950 registered patents and pending applications and extensive engineering and manufacturing process expertise.</w:t>
      </w:r>
    </w:p>
    <w:p>
      <w:pPr>
        <w:spacing w:after="0" w:line="17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March 30, 2020, we entered into the BTA for the sale of our Foundry Services Group business and Fab 4. The planned divestiture of the Foundry Services Group business and Fab 4 will allow us to strategically shift our operational focus to our standard products business. As a result, the results of the Foundry Services Group were classified as discontinued operations in our consolidated statements of operations and excluded from both continuing operations and segment results for all periods presented. Accordingly, commencing in the first quarter of 2020, we have one reportable segment: our standard products business, together with transitional foundry services associated with our fabrication facility located in Gumi, Korea, known as Fab 3, that we expect to perform for the Buyer for up to three years (the “Transitional Fab 3 Foundry Services”). The Transitional Fab 3 Foundry Services revenue is accounted for at cost prior to the closing of the sale of the Foundry Services Group business and Fab 4.</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Display Solutions products provide display solutions to major panel display suppliers of large and mobile rigid and flexible displays for home appliances, mobile communications, monitors, notebooks and automotive applications. Our Display Solutions products include source, gate drivers, timing controllers, and one-chip integrated solutions for LCD (Liquid Crystal Display) and OLED panel displays used in televisions, public displays, monitors, notebooks, mobile communications and automotive applications. Our Display Solutions products support the industry’s most advanced display technologies, such as OLEDs, and low temperature polysilicon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unit power suppliers, LED lighting, personal mobility, motor drives, battery management systems (BMS) and automotive electronics.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Since 2007, we have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Both at the internal 8-inch manufacturing facilities and external 12-inch foundries, we apply our unique OLED process patents as well as other intellectual property, proprietary process design kits and custom design-flow methodologies.</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Outage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On July 20, 2020, our Fab 3 facility in Gumi, South Korea experienced a temporary power outage for approximately 9 hours and 15 minutes. The accident caused certain damage to our work in process wafers with an estimated total cost of up to approximately $2.3 million. Management is currently evaluating potential insurance and other claims that we may have for the above loss and damages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Transfer Agreement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March 30, 2020, we entered into the BTA for the sale of our Foundry Services Group business and Fab 4 to the Buyer. Under the terms and subject to the conditions set forth in the BTA, the Buyer agreed to acquire certain assets and assume certain liabilities related to the Foundry Services Group business and Fab 4 for a purchase price equal to the KRW equivalent of $344.7 million in cash, subject to a working capital adjustment as described in the BTA. Subject to the terms of the BTA, all employees of the Foundry Services Group business and Fab 4 will be transferred to the Buyer effective as of the closing date, unless any employee formally objects to the transfer. The Buyer will assume all severance liabilities relating to the transferred employees. For a summary of the key terms and conditions of the BTA, please see our Current Report on Form 8-K filed on March 31, 2020 and the BTA filed as Exhibit 10.1 thereto.</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While we experienced some minor disruption in our Power Solutions business from assembly and test subcontractors located in China in the first quarter of 2020 as a result of COVID-19, to date our external Display Solutions business contractors and sub-contractors have not been materially impacted by the outbreak. Nevertheless, while the future impact on our business from the COVID-19 pandemic is currently difficult to assess, the significant global macro-economic disruption will adversely affect customer demand for some of our products in the near term. We are, however, unable to accurately predict the full impact COVID-19 will have on our future results of operations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7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on COVID-19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January and February 2019, we repurchased a principal amount of $0.3 million and $0.9 million of the 2021 Notes and the Exchangeable Notes, respectively. As a result, we recorded a $0.04 million net loss as early extinguishment loss on our consolidated statements of operations for the six months ended June 30, 2019.</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 (Loss)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use the terms Adjusted EBITDA, Adjusted Operating Income and Adjusted Net Income (Loss) (including on a per share basis) in our report. Adjusted EBITDA, as we define it, is a non-US GAAP measure. We define Adjusted EBITDA for the periods indicated as EBITDA (as defined below), adjusted to exclude (i) equity-based compensation expense, (ii) foreign currency loss (gain), net, (iii) derivative valuation loss (gain), net, (iv) loss on early extinguishment of long-term borrowings, net and (v) others. EBITDA for the periods indicated is defined as net income (loss) before interest expense, net, income tax expense, and depreciation and amortization.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540" w:right="100" w:hanging="331"/>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1540" w:right="60" w:hanging="331"/>
        <w:spacing w:after="0" w:line="286"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540" w:right="500" w:hanging="331"/>
        <w:spacing w:after="0" w:line="342"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6"/>
          <w:szCs w:val="16"/>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from continuing operations is as follows: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Adjustments: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Foreign currency loss (gain), net(b)</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w w:val="93"/>
              </w:rPr>
              <w:t>Loss on early extinguishment of long-term borrowings, net(d)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700" w:type="dxa"/>
            <w:vAlign w:val="bottom"/>
            <w:vMerge w:val="restart"/>
          </w:tcPr>
          <w:p>
            <w:pPr>
              <w:jc w:val="right"/>
              <w:ind w:right="35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8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540" w:right="220" w:hanging="424"/>
        <w:spacing w:after="0" w:line="25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six months ended June 30, 2020, this adjustment eliminates non-recurring professional service fees and expenses incurred in connection with certain treasury and finance initiatives. For the six months ended June 30, 2019, 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56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540" w:right="940" w:hanging="331"/>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540" w:right="40" w:hanging="331"/>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540" w:right="520" w:hanging="331"/>
        <w:spacing w:after="0" w:line="308" w:lineRule="auto"/>
        <w:tabs>
          <w:tab w:leader="none" w:pos="15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51" w:lineRule="exact"/>
        <w:rPr>
          <w:rFonts w:ascii="Arial" w:cs="Arial" w:eastAsia="Arial" w:hAnsi="Arial"/>
          <w:sz w:val="17"/>
          <w:szCs w:val="17"/>
          <w:color w:val="auto"/>
        </w:rPr>
      </w:pPr>
    </w:p>
    <w:p>
      <w:pPr>
        <w:ind w:left="1540" w:right="140" w:hanging="331"/>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540" w:right="300" w:hanging="331"/>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limiting its usefulness as a comparative measure.</w:t>
      </w:r>
    </w:p>
    <w:p>
      <w:pPr>
        <w:spacing w:after="0" w:line="6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594"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and (ii) Others.</w:t>
      </w:r>
    </w:p>
    <w:p>
      <w:pPr>
        <w:spacing w:after="0" w:line="16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Three Months</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Others(b)</w:t>
            </w:r>
          </w:p>
        </w:tc>
        <w:tc>
          <w:tcPr>
            <w:tcW w:w="1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220" w:hanging="424"/>
        <w:spacing w:after="0" w:line="25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six months ended June 30, 2020, this adjustment eliminates non-recurring professional service fees and expenses incurred in connection with certain treasury and finance initiatives. For the six months ended June 30, 2019, 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w:t>
      </w:r>
    </w:p>
    <w:p>
      <w:pPr>
        <w:spacing w:after="0" w:line="67" w:lineRule="exact"/>
        <w:rPr>
          <w:sz w:val="20"/>
          <w:szCs w:val="20"/>
          <w:color w:val="auto"/>
        </w:rPr>
      </w:pPr>
    </w:p>
    <w:p>
      <w:pPr>
        <w:ind w:left="1540" w:right="120" w:hanging="331"/>
        <w:spacing w:after="0" w:line="286"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70" w:lineRule="exact"/>
        <w:rPr>
          <w:rFonts w:ascii="Arial" w:cs="Arial" w:eastAsia="Arial" w:hAnsi="Arial"/>
          <w:sz w:val="17"/>
          <w:szCs w:val="17"/>
          <w:color w:val="auto"/>
        </w:rPr>
      </w:pPr>
    </w:p>
    <w:p>
      <w:pPr>
        <w:ind w:left="1540" w:right="140" w:hanging="331"/>
        <w:spacing w:after="0" w:line="286"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6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Adjusted Net Income (Loss)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loss on early extinguishment of long-term borrowings, net and (v) others.</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from continuing operations that we make in order to calculate Adjusted Net Income (Loss) (including on a per share basis)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c>
          <w:tcPr>
            <w:tcW w:w="28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Adjustments: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Foreign currency loss (gain), net(b)</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540"/>
              <w:spacing w:after="0"/>
              <w:rPr>
                <w:sz w:val="20"/>
                <w:szCs w:val="20"/>
                <w:color w:val="auto"/>
              </w:rPr>
            </w:pPr>
            <w:r>
              <w:rPr>
                <w:rFonts w:ascii="Arial" w:cs="Arial" w:eastAsia="Arial" w:hAnsi="Arial"/>
                <w:sz w:val="18"/>
                <w:szCs w:val="18"/>
                <w:color w:val="auto"/>
              </w:rPr>
              <w:t>borrowings, net(d)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Adjusted Net Income (Loss)</w:t>
            </w: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6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6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 – basic</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Reported earnings (loss) per share – diluted</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35,092,312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34,992,734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34,245,127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46,474,237</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34,992,734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34,245,127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(loss) per share – basic</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Adjusted earnings (loss) per share – diluted</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35,092,312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34,992,734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34,245,127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36,330,083</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36,248,039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34,965,562</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34,220,141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540" w:right="220" w:hanging="424"/>
        <w:spacing w:after="0" w:line="25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six months ended June 30, 2020, this adjustment eliminates non-recurring professional service fees and expenses incurred in connection with certain treasury and finance initiatives. For the six months ended June 30, 2019, 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560"/>
        <w:spacing w:after="0" w:line="259" w:lineRule="auto"/>
        <w:rPr>
          <w:rFonts w:ascii="Arial" w:cs="Arial" w:eastAsia="Arial" w:hAnsi="Arial"/>
          <w:sz w:val="18"/>
          <w:szCs w:val="18"/>
          <w:color w:val="auto"/>
        </w:rPr>
      </w:pPr>
      <w:r>
        <w:rPr>
          <w:rFonts w:ascii="Arial" w:cs="Arial" w:eastAsia="Arial" w:hAnsi="Arial"/>
          <w:sz w:val="18"/>
          <w:szCs w:val="18"/>
          <w:color w:val="auto"/>
        </w:rPr>
        <w:t>There was no tax impact from the adjustments to net income (loss) to calculate our Adjusted Net Income (Loss) from continuing operations for the six months ended June 30, 2020 and 2019 due to net operating loss carry-forwards available to offset taxable income and full allowance for deferred tax assets. We believe that all adjustments to net income (loss) from continuing operations used to calculate Adjusted Net Income (Loss) from continuing operations were applied consistently to the periods presented.</w:t>
      </w:r>
    </w:p>
    <w:p>
      <w:pPr>
        <w:spacing w:after="0" w:line="78"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130" w:lineRule="exact"/>
        <w:rPr>
          <w:rFonts w:ascii="Arial" w:cs="Arial" w:eastAsia="Arial" w:hAnsi="Arial"/>
          <w:sz w:val="18"/>
          <w:szCs w:val="18"/>
          <w:color w:val="auto"/>
        </w:rPr>
      </w:pPr>
    </w:p>
    <w:p>
      <w:pPr>
        <w:ind w:left="1540" w:right="800" w:hanging="331"/>
        <w:spacing w:after="0" w:line="27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6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Net </w:t>
      </w:r>
      <w:r>
        <w:rPr>
          <w:rFonts w:ascii="Arial" w:cs="Arial" w:eastAsia="Arial" w:hAnsi="Arial"/>
          <w:sz w:val="18"/>
          <w:szCs w:val="18"/>
          <w:b w:val="1"/>
          <w:bCs w:val="1"/>
          <w:i w:val="1"/>
          <w:iCs w:val="1"/>
          <w:color w:val="auto"/>
        </w:rPr>
        <w:t>Sales.</w:t>
      </w:r>
      <w:r>
        <w:rPr>
          <w:rFonts w:ascii="Arial" w:cs="Arial" w:eastAsia="Arial" w:hAnsi="Arial"/>
          <w:sz w:val="18"/>
          <w:szCs w:val="18"/>
          <w:b w:val="1"/>
          <w:bCs w:val="1"/>
          <w:color w:val="auto"/>
        </w:rPr>
        <w:t xml:space="preserve"> </w:t>
      </w:r>
      <w:r>
        <w:rPr>
          <w:rFonts w:ascii="Arial" w:cs="Arial" w:eastAsia="Arial" w:hAnsi="Arial"/>
          <w:sz w:val="18"/>
          <w:szCs w:val="18"/>
          <w:color w:val="auto"/>
        </w:rPr>
        <w:t>We derive substantially all of our sales (net of sales returns and allowances) from our standard products business. We outsource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of advanced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w:t>
      </w:r>
    </w:p>
    <w:p>
      <w:pPr>
        <w:spacing w:after="0" w:line="19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recognize revenue when risk and reward of ownership pass to the customer either upon shipment, upon product delivery at the customer’s location or upon customer acceptance, depending on the terms of the arrangement. For the six months ended June 30, 2020 and 2019, we sold products to 158 and 154 customers, respectively, and our net sales to our ten largest customers represented 89% of our net sales — standard products business, in each period.</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provide the Transitional Fab 3 Foundry Services for a period up to three years after the sale of the Foundry Services Group business and Fab 4. For the periods prior to the sale of the Foundry Services Group business and Fab 4 (which is accounted for as a discontinued operation beginning in the first quarter of 2020), revenue derived from the Transitional Fab 3 Foundry Services is recorded at cost in both our continuing and discontinued operations.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June 30, 2020, approximately 98% of our employees were eligible for severance benefits.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8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40-nanometer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2020, the outstanding intercompany loan balance including accrued interest between our Korean subsidiary and our Dutch subsidiary was $690.7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On March 30, 2020, we entered into the BTA for the sale of our Foundry Services Group business and our Fab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Buyer. As a result, the results of the Foundry Services Group were classified as discontinued operations in our consolidated statements of operations and excluded from both continuing operations and segment results for all periods presented.</w:t>
      </w:r>
    </w:p>
    <w:p>
      <w:pPr>
        <w:spacing w:after="0" w:line="184"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June 30,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June 30,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June 30,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109.0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132.0</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118.8</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140.9</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(22.1)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100.4</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109.3</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(11.6)</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w:t>
            </w:r>
          </w:p>
        </w:tc>
        <w:tc>
          <w:tcPr>
            <w:tcW w:w="24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8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5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Total Revenues</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59.8%</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 (15.1)</w:t>
            </w:r>
          </w:p>
        </w:tc>
        <w:tc>
          <w:tcPr>
            <w:tcW w:w="0" w:type="dxa"/>
            <w:vAlign w:val="bottom"/>
          </w:tcPr>
          <w:p>
            <w:pPr>
              <w:spacing w:after="0"/>
              <w:rPr>
                <w:sz w:val="1"/>
                <w:szCs w:val="1"/>
                <w:color w:val="auto"/>
              </w:rPr>
            </w:pPr>
          </w:p>
        </w:tc>
      </w:tr>
      <w:tr>
        <w:trPr>
          <w:trHeight w:val="216"/>
        </w:trPr>
        <w:tc>
          <w:tcPr>
            <w:tcW w:w="590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47.7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132.0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(23.1)</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$ 118.8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140.9</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 (22.1)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8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Net sales</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revenues were $118.8 million for the three months ended June 30, 2020, a $22.1 million, or 15.7%, decrease compared to $140.9 million for the three months ended June 30, 2019. This decrease was primarily due to a decrease in revenue related to our standard products business as described below.</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Net sales from our standard products business were $109.0 million for the three months ended June 30,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23.1 million, or 17.5%, decreased compared to $132.0 million for the three months ended June 30, 2019. This decrease was primarily attributable to a decrease in revenue related to our mobile OLED display driver ICs as a result of COVID-19, which negatively affected the global smartphone market during the second quarter of 2020, and a strategic reduction of our lower margin non-auto LCD DDIC business. The significant global macro-economic market disruption due to COVID-19 also affected customer demand for some of our Power Solution products, resulting in a decrease in revenue from our Power Solutions business line.</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$9.9 million and $8.9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Total gross profit was $32.1 million for the three months ended June 30, 2020 compared to $31.6 million for the three months ended June 30, 2019, a $0.5 million, or 1.6%, increase. Gross profit as a percentage of net sales for the three months ended June 30, 2020 increased to 27.0% compared to 22.4% for the three months ended June 30, 2019. The increase in gross profit and gross profit as a percentage of net sales was due to an increase in gross profit and gross profit as a percentage of net sales from our standard products business as further described below.</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our standard products business was $32.1 million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represented a $0.5 million, or 1.6%, increase from gross profit of $31.6 million for the three months ended June 30, 2019. Gross profit as a percentage of net sales for the three months ended June 30, 2020 increased to 29.5% compared to 24.0% for the three months ended June 30, 2019. The increase in both gross profit and gross profit as a percentage of net sales was primarily attributable to an inventory reserve related to a legacy display product that was recorded in the second quarter of 2019.</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 - standard products business by geographic region and the percentage of total net sales - standard products business represented by each geographic region for the three months ended June 30, 2020 and 2019: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standard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business</w:t>
            </w:r>
          </w:p>
        </w:tc>
        <w:tc>
          <w:tcPr>
            <w:tcW w:w="1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business</w:t>
            </w:r>
          </w:p>
        </w:tc>
        <w:tc>
          <w:tcPr>
            <w:tcW w:w="62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93.7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132.0</w:t>
            </w:r>
          </w:p>
        </w:tc>
        <w:tc>
          <w:tcPr>
            <w:tcW w:w="26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(23.1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sales – standard products business in Korea for the three months ended June 30, 2020 decreased from $36.6 million to $22.0 million compared to the three months ended June 30, 2019, which represented a decrease of $14.6 million, or 39.9%, primarily due to lower demand for power products such as MOSFETs primarily for TV and smartphone applications, and a strategic reduction of our lower margin non-auto LCD DDIC business, which was offset in part by an increase in revenue related to our mobile OLED display driver ICs due to an increase in demand for production of new OLED smartphones by Chinese manufacturers due in part to the geographic diversification of our OLED product portfolio amid a COVID-19-related disruption.</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Net sales – standard products business in Asia Pacific (other than Korea) for the three months ended June 30, 2020 decreased to $84.2 million from $93.7 million in the three months ended June 30, 2019, which represented a decrease of $9.4 million, or 10.1%, primarily due to a decrease in revenue from our mobile OLED display driver ICs as a result of COVID-19, which negatively affected the global smartphone market during the second quarter of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$12.4 million, or 10.4%,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2020, compared to $11.1 million, or 7.9%, of total revenues, for the three months ended June 30, 2019. The increase of $1.3 million, or 11.8%, was primarily attributable to an increase in employee compensation, including issuance of equity-based compensation.</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$11.1 million, or 9.3%, of total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compared to $11.8 million, or 8.4%, of total revenues, for the three months ended June 30, 2019. The decrease of $0.7 million, or 5.6%, was primarily attributable to the timing of development activities for our 28-nanometer OLED display driver ICs and a decrease in outside service fees and various overhead expenses. This decrease was offset in part by an increase in employee compensation, including issuance of equity-based compensation.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a result of the foregoing, operating income of $8.6 million was recorded for the three months ended June 30, 2020, compared to operating income of $8.8 million the three months ended June 30, 2019. As discussed above, the decrease in operating income of $0.1 million resulted primarily from a $1.3 million increase in selling, general and administrative expenses, which was offset in part by a $0.5 million increase in gross profit and a $0.7 million decrease in research and development expenses.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$5.4 million for each of the three months ended June 30, 2020 and June 30, 2019.</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Gain (Loss), Net. </w:t>
      </w:r>
      <w:r>
        <w:rPr>
          <w:rFonts w:ascii="Arial" w:cs="Arial" w:eastAsia="Arial" w:hAnsi="Arial"/>
          <w:sz w:val="17"/>
          <w:szCs w:val="17"/>
          <w:color w:val="auto"/>
        </w:rPr>
        <w:t>Net foreign currency gain for the three months ended June 30, 2020 was $8.5 million compared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currency loss of $11.6 million for the three months ended June 30, 2019. The net foreign currency gain for the three months ended June 30, 2020 was due to the appreciation in value of the Korean won relative to the U.S. dollar during the period. The net foreign currency loss for the three months ended June 30, 2019 was due to the depreciation in value of the Korean won relative to the U.S. dollar during the period.</w:t>
      </w:r>
    </w:p>
    <w:p>
      <w:pPr>
        <w:spacing w:after="0" w:line="17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w:t>
      </w:r>
    </w:p>
    <w:p>
      <w:pPr>
        <w:ind w:left="120"/>
        <w:spacing w:after="0" w:line="273" w:lineRule="auto"/>
        <w:rPr>
          <w:sz w:val="20"/>
          <w:szCs w:val="20"/>
          <w:color w:val="auto"/>
        </w:rPr>
      </w:pPr>
      <w:r>
        <w:rPr>
          <w:rFonts w:ascii="Arial" w:cs="Arial" w:eastAsia="Arial" w:hAnsi="Arial"/>
          <w:sz w:val="17"/>
          <w:szCs w:val="17"/>
          <w:color w:val="auto"/>
        </w:rPr>
        <w:t>US dollar. As of June 30, 2020 and June 30, 2019, the outstanding intercompany loan balances including accrued interest between our Korean subsidiary and our Dutch subsidiary were $691 million and $673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June 30, 2020 and June 30, 2019 was $0.8 million and $0.6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Income tax expense was $0.7 million and $0.8 million for the three months ended June 30, 2020 and 2019, respectively, and was primarily attributable to interest on intercompany loan balances. Income tax expense was recorded for our Korean subsidiary based on the estimated taxable income for the respective periods, combined with our ability to utilize net operating loss carryforwards up to 60%.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of the foregoing, net income from continuing operations increased by $20.3 million for the three months ended June 30, 2020 compared to the three months ended June 30, 2019. As discussed above, the increase in net income from continuing operations primarily resulted from a $20.0 million improvement in net foreign currency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On March 30, 2020, we entered into the BTA for the sale of our Foundry Services Group business and Fab 4. As a result, the results of the Foundry Services Group were classified as discontinued operations in our consolidated statements of operations and excluded from our continuing operations for all periods presented.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Income from discontinued operations, net of tax for the three months ended June 30, 2020 was $17.4 million, compared to loss from discontinued operations, net of tax of $1.0 million for the three months ended June 30, 2019. The $18.4 million increase in net income from discontinued operations primarily resulted from an $18.7 million increase in gross profit due in part to depreciation and amortization associated with the assets classified as those held for sale having been ceased in the second quarter of 2020, a $0.9 million decrease in selling, general and administrative expenses, a $0.5 million decrease in restructuring and other charges, a $0.3 million decrease in research and development expenses, which were offset in part by an $1.2 million decrease in foreign currency gain, net and a $0.9 million increase in income tax expense.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580" w:firstLine="440"/>
        <w:spacing w:after="0" w:line="311" w:lineRule="auto"/>
        <w:rPr>
          <w:sz w:val="20"/>
          <w:szCs w:val="20"/>
          <w:color w:val="auto"/>
        </w:rPr>
      </w:pPr>
      <w:r>
        <w:rPr>
          <w:rFonts w:ascii="Arial" w:cs="Arial" w:eastAsia="Arial" w:hAnsi="Arial"/>
          <w:sz w:val="16"/>
          <w:szCs w:val="16"/>
          <w:color w:val="auto"/>
        </w:rPr>
        <w:t>As a result of the foregoing, net income of $29.2 million was recorded for the three months ended June 30, 2020 compared to net loss of $9.5 million for the three months ended June 30, 2019. As discussed above, the increase in net income of $38.7 million primarily resulted from a $20.3 million increase in net income from continuing operations and an $18.4 million increase in net income from discontinued operations.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Six Months Ended June 30,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six months ended June 30,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22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June 30,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219.7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$232.3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239.3</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248.2</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158.4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181.6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178.0</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23.1</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charges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(11.0)</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(13.3)</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(31.9)</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(28.5)</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(19.3)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(13.6)</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(43.6)</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8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Total Revenues</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$146.8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$142.5</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0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232.3</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248.2</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8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Total revenues were $239.3 million for the six months ended June 30, 2020, an $8.9 million, or 3.6%, decrease compared to $248.2 million for the six months ended June 30, 2019. This decrease was primarily due to a decrease in revenue related to our standard products business as described below.</w:t>
      </w:r>
    </w:p>
    <w:p>
      <w:pPr>
        <w:spacing w:after="0" w:line="12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Net sales from our standard products business were $219.7 million for the six months ended June 30,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12.6 million, or 5.4%, decrease compared to $232.3 million for the six months ended June 30, 2019. This decrease was primarily attributable to a decrease in revenue from our Power Solutions business line as a result of the significant global macro-economic disruption due to COVID-19 during the first half of 2020, and a strategic reduction of our lower margin non-auto LCD DDIC business. These decreases were offset in part by an increase in revenue related to our mobile OLED display driver ICs due to certain new product launches by our customers and geographically diversified product portfolios amid a COVID-19-related disruption.</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$19.6 million and $15.9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Total gross profit was $61.3 million for the six months ended June 30, 2020 compared to $50.6 million for the six months ended June 30, 2019, a $10.6 million, or 21.0%, increase. Gross profit as a percentage of net sales for the six months ended June 30, 2020 increased to 25.6% compared to</w:t>
      </w:r>
    </w:p>
    <w:p>
      <w:pPr>
        <w:ind w:left="120" w:right="140"/>
        <w:spacing w:after="0" w:line="260" w:lineRule="auto"/>
        <w:rPr>
          <w:sz w:val="20"/>
          <w:szCs w:val="20"/>
          <w:color w:val="auto"/>
        </w:rPr>
      </w:pPr>
      <w:r>
        <w:rPr>
          <w:rFonts w:ascii="Arial" w:cs="Arial" w:eastAsia="Arial" w:hAnsi="Arial"/>
          <w:sz w:val="18"/>
          <w:szCs w:val="18"/>
          <w:color w:val="auto"/>
        </w:rPr>
        <w:t>20.4% for the six months ended June 30, 2019. The increase in gross profit and gross profit as a percentage of net sales was due to the increase in gross profit and gross profit as a percentage of net sales from our standard products business as further described below.</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our standard products business was $61.3 million for the six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represented a $10.6 million, or 21.0%, increase from gross profit of $50.6 million for the six months ended June 30, 2019. Gross profit as a percentage of net sales for the six months ended June 30, 2020 increased to 27.9% compared to 21.8% for the six months ended June 30, 2019. The increase in both gross profit and gross profit as a percentage of net sales was primarily attributable to inventory reserves related to certain legacy display products that were recorded in the first half of 2019 and an improved product mix.</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 - standard products business by geographic region and the percentage of total net sales - standard products business represented by each geographic region for the six months ended June 30, 2020 and 2019: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standard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business</w:t>
            </w:r>
          </w:p>
        </w:tc>
        <w:tc>
          <w:tcPr>
            <w:tcW w:w="1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business</w:t>
            </w:r>
          </w:p>
        </w:tc>
        <w:tc>
          <w:tcPr>
            <w:tcW w:w="62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(18.4)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161.8</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157.4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67.8</w:t>
            </w: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219.7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232.3</w:t>
            </w:r>
          </w:p>
        </w:tc>
        <w:tc>
          <w:tcPr>
            <w:tcW w:w="26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(12.6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Net sales – standard products business in Korea for the six months ended June 30, 2020 decreased from $71.2 million to $52.8 million compared to the six months ended June 30, 2019, which represented a decrease of $18.4 million, or 25.9%, primarily due to lower demand for power products such as MOSFETs primarily for TV and smartphone applications, and a strategic reduction of our lower margin non-auto LCD DDIC business, which was offset in part by an increase in revenue related to our mobile OLED display driver ICs due to an increase in demand for production of new OLED smartphones by Chinese manufacturers due in part to the geographic diversification of our OLED product portfolio amid a COVID-19-related disruption.</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Net sales – standard products business in Asia Pacific (other than Korea) for the six months ended June 30, 2020 increased to $161.8 million from $157.4 million in the six months ended June 30, 2019, which represented an increase of $4.3 million, or 2.8%, primarily due to an increase in revenue related to our mobile OLED display driver ICs due to an increase in demand for production of new OLED smartphones by Chinese and Korean manufacturers due in part to the geographically diversified product portfolios amid a COVID-19-related disruption.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$24.5 million, or 10.2%,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2020, compared to $23.1 million, or 9.3%, of total revenues, for the six months ended June 30, 2019. The increase of $1.4 million, or 6.0%, was primarily attributable to an increase in employee compensation, including issuance of equity-based compensation, which was offset in part by a $0.5 million legal settlement charge related to dispute with a prior customer recorded in the first quarter of 2019.</w:t>
      </w:r>
    </w:p>
    <w:p>
      <w:pPr>
        <w:spacing w:after="0" w:line="15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$21.6 million, or 9.0%, of total revenues,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2020, compared to $23.8 million, or 9.6%, of total revenues, for the six months ended June 30, 2019. The decrease of $2.2 million, or</w:t>
      </w:r>
    </w:p>
    <w:p>
      <w:pPr>
        <w:ind w:left="120" w:right="40"/>
        <w:spacing w:after="0" w:line="255" w:lineRule="auto"/>
        <w:rPr>
          <w:sz w:val="20"/>
          <w:szCs w:val="20"/>
          <w:color w:val="auto"/>
        </w:rPr>
      </w:pPr>
      <w:r>
        <w:rPr>
          <w:rFonts w:ascii="Arial" w:cs="Arial" w:eastAsia="Arial" w:hAnsi="Arial"/>
          <w:sz w:val="18"/>
          <w:szCs w:val="18"/>
          <w:color w:val="auto"/>
        </w:rPr>
        <w:t>9.2%, was primarily attributable to the timing of development activities for our 28-nanometer OLED display driver ICs and a decrease in outside service fees and various overhead expenses. This decrease was offset in part by an increase in employee compensation, including issuance of equity-based compensation.</w:t>
      </w:r>
    </w:p>
    <w:p>
      <w:pPr>
        <w:spacing w:after="0" w:line="19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$0.6 million for the six months ended June 30, 2020, which were consisted of professional service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incurred in connection with certain treasury and finance initiatives.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As a result of the foregoing, operating income of $14.6 million was recorded for the six months ended June 30, 2020 compared to operating income of $3.7 million the six months ended June 30, 2019. As discussed above, the increase in operating income of $10.9 million resulted primarily from a $10.6 million increase in gross profit and a $2.2 million decrease in research and development expenses, which were offset in part by a $1.4 million increase in selling, general and administrative expenses.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$11.0 million and $11.1 million for the six months ended June 30, 2020 and June 30, 2019, respectively.</w:t>
      </w:r>
    </w:p>
    <w:p>
      <w:pPr>
        <w:spacing w:after="0" w:line="248" w:lineRule="exact"/>
        <w:rPr>
          <w:sz w:val="20"/>
          <w:szCs w:val="20"/>
          <w:color w:val="auto"/>
        </w:rPr>
      </w:pPr>
    </w:p>
    <w:p>
      <w:pPr>
        <w:jc w:val="both"/>
        <w:ind w:left="120" w:right="5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six months ended June 30, 2020 was $22.5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$22.2 million for the six months ended June 30, 2019. The net foreign currency loss for the six months ended June 30, 2020 and June 30, 2019 was due to the depreciation in value of the Korean won relative to the US dollar during each period.</w:t>
      </w:r>
    </w:p>
    <w:p>
      <w:pPr>
        <w:spacing w:after="0" w:line="16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w:t>
      </w:r>
    </w:p>
    <w:p>
      <w:pPr>
        <w:ind w:left="120"/>
        <w:spacing w:after="0" w:line="273" w:lineRule="auto"/>
        <w:rPr>
          <w:sz w:val="20"/>
          <w:szCs w:val="20"/>
          <w:color w:val="auto"/>
        </w:rPr>
      </w:pPr>
      <w:r>
        <w:rPr>
          <w:rFonts w:ascii="Arial" w:cs="Arial" w:eastAsia="Arial" w:hAnsi="Arial"/>
          <w:sz w:val="17"/>
          <w:szCs w:val="17"/>
          <w:color w:val="auto"/>
        </w:rPr>
        <w:t>US dollar. As of June 30, 2020 and June 30, 2019, the outstanding intercompany loan balances including accrued interest between our Korean subsidiary and our Dutch subsidiary were $691 million and $673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For the six months ended June 30, 2019, we repurchased a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 million and $0.9 million of the 2021 Notes and the Exchangeable Notes, respectively. In connection with these repurchases, we recognized a $0.04 million net loss.</w:t>
      </w:r>
    </w:p>
    <w:p>
      <w:pPr>
        <w:spacing w:after="0" w:line="18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six months ended June 30, 2020 and June 30, 2019 was $1.6 million and $1.1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Income tax expense was $2.0 million and $1.6 million for the six months ended June 30, 2020 and 2019, respectively, and was primarily attributable to interest on intercompany loan balances. Income tax expense was recorded for our Korean subsidiary based on the estimated taxable income for the respective periods, combined with our ability to utilize net operating loss carryforwards up to 60%.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a result of the foregoing, net loss from continuing operations improved by $10.7 million for the six months ended June 30, 2020 compared to the six months ended June 30, 2019. As discussed above, the improvement in net loss from continuing operations primarily resulted from a $10.9 million increase in operating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On March 30, 2020, we entered into the BTA for the sale of our Foundry Services Group business and Fab 4. As a result, the results of the Foundry Services Group were classified as discontinued operations in our consolidated statements of operations and excluded from our continuing operations for all periods presented.</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Net income from discontinued operations for the six months ended June 30, 2020 was $24.7 million compared to net loss from discontinued operations of $13.6 million for the six months ended June 30, 2019. The $38.3 million increase in net income from discontinued operations primarily resulted from a $35.7 million increase in gross profit due in part to depreciation and amortization associated with the assets classified as those held for sale having been ceased in the second quarter of 2020, an $1.3 million decrease in selling, general and administrative expenses, an $1.3 million decrease in restructuring and other charges, a $0.9 million decrease in research and development expenses and a $0.3 million increase in foreign currency gain, net, which were offset in part by an $1.3 million increase in income tax expense.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860" w:firstLine="440"/>
        <w:spacing w:after="0" w:line="311" w:lineRule="auto"/>
        <w:rPr>
          <w:sz w:val="20"/>
          <w:szCs w:val="20"/>
          <w:color w:val="auto"/>
        </w:rPr>
      </w:pPr>
      <w:r>
        <w:rPr>
          <w:rFonts w:ascii="Arial" w:cs="Arial" w:eastAsia="Arial" w:hAnsi="Arial"/>
          <w:sz w:val="16"/>
          <w:szCs w:val="16"/>
          <w:color w:val="auto"/>
        </w:rPr>
        <w:t>As a result of the foregoing, net income of $5.4 million was recorded for the six months ended June 30, 2020 compared to net loss of $43.6 million for the six months ended June 30, 2019. As discussed above, the decrease in net loss of $49.1 million primarily resulted from a $38.3 million increase in net income from discontinued operations and a $10.7 million improvement in net loss from continuing operations.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3. Sales of Accounts Receivable and Receivable Discount Program” included elsewhere in this Report. In addition, from time to time, we may make payments to our vendors on extended terms with their consent. As of June 30, 2020, we do not have any accounts payable on extended terms or payment deferment with our vendors.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March 30, 2020, we entered into the BTA for the sale of our Foundry Services Group business and the Fab 4, which has a purchase price equal to the KRW equivalent of $344.7 million in cash, subject to working capital adjustments set forth in the BTA. The sale is expected to close by September 2020, subject to customary closing conditions, whereupon we expect to use a portion of the cash received to repay indebtedness and for general corporate purposes. We currently believe that we will have sufficient cash reserves from cash on hand and expected cash from operations, as well as cash received from the consummation of the BTA, to fund our operations as well as capital expenditures for the next twelve months and the foreseeable future.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We may, from time to time, repurchase a portion of our outstanding 2021 Notes and our Exchangeable Notes through open market purchases or privately negotiated transactions subject to prevailing market conditions and our available cash reserves. In December 2018 and February 2019, we repurchased a principal amount equal to $1.6 million and $0.9 million, respectively, of the Exchangeable Notes in the open market. As of June 30, 2020, our Exchangeable Notes were reclassified as a current liability as their maturities were less than one year.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working capital balance as of June 30, 2020 was $202.2 million, compared to $245.5 million as of December 31, 2019. The $43.4 million decrease was primarily attributable to a reclassification of our Exchangeable Notes of $82.7 million, which was recorded as a current liability from the first quarter of 2020, which was offset in part by a $41.2 million increase in cash and cash equivalents.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Cash inflow provided by operating activities totaled $57.1 million for the six months ended June 30, 2020, compared to $17.2 million of cash inflow provided by operating activities for the six months ended June 30, 2019. The net operating cash inflow for the six months ended June 30, 2020 reflects our net income of $5.4 million, as adjusted favorably by $52.9 million, which mainly consisted of net foreign currency loss, depreciation and amortization, provision for severance benefits, and net unfavorable impact of $1.2 million from changes of operating assets and liabilities.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Cash outflow used in investing activities totaled $11.8 million for the six months ended June 30, 2020, compared to $20.2 million of cash outflow used in investing activities for the six months ended June 30, 2019. The $8.4 million decrease was primarily attributable to a $6.2 million decrease in purchase of plant, property and equipment, an $1.8 million net decrease in hedge collateral and a $0.4 million net decrease in guarantee deposits.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Cash outflow used in financing activities totaled $0.7 million for the six months ended June 30, 2020, compared to $4.0 million of cash outflow used in financing activities for the six months ended June 30, 2019. The financing cash outflow for the six months ended June 30, 2020 was primarily attributable to a payment of $1.0 million for the repurchase of our common stock to satisfy tax withholding obligation in connection with the vesting of restricted stock units. The financing cash outflow for the six months ended June 30, 2019 was primarily attributable to a payment of $1.2 million for the repurchases of 2021 Notes and Exchangeable Notes in the first quarter of 2019 and a payment of $2.4 million for the repurchases of our common stock in January 2019 pursuant to our stock repurchase plan.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For additional cash flow information associated with our discontinued operation, please see “Item 1. Financial Statements and Supplementary Data – Notes to Consolidated Financial Statements – Note 2 – Discontinued Operations and Assets Held for Sale” included elsewhere in this Report.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facilities and reinforcement of our global research and development capability. For the six months ended June 30, 2020, capital expenditures for plant, property and equipment were $8.8 million, a $6.2 million, or 41.1%, decrease from $15.0 million for the six months ended June 30, 2019. The decrease was mainly due to the timing of our equipment deployment. The capital expenditures for the six months ended June 30, 2020 and 2019 were related to meeting customer demand, supporting technology and facility improvement at our fabrication facilities.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35"/>
              <w:spacing w:after="0" w:line="119" w:lineRule="exact"/>
              <w:rPr>
                <w:sz w:val="20"/>
                <w:szCs w:val="20"/>
                <w:color w:val="auto"/>
              </w:rPr>
            </w:pPr>
            <w:r>
              <w:rPr>
                <w:rFonts w:ascii="Arial" w:cs="Arial" w:eastAsia="Arial" w:hAnsi="Arial"/>
                <w:sz w:val="13"/>
                <w:szCs w:val="13"/>
                <w:b w:val="1"/>
                <w:bCs w:val="1"/>
                <w:color w:val="auto"/>
              </w:rPr>
              <w:t>Remainder</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of</w:t>
            </w:r>
          </w:p>
        </w:tc>
        <w:tc>
          <w:tcPr>
            <w:tcW w:w="7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2024</w:t>
            </w: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$ 87.9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$ 85.8</w:t>
            </w: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Senior notes(2)</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246.5</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239.1</w:t>
            </w: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Finance leases(3)</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0.0</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Others(5)</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0.0</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160" w:hanging="424"/>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June 30, 2020, which bear interest at a rate of 5.0% per annum and are scheduled to mature in 2021 if not earlier exchanged at the price of approximately $8.26 per share of common stock.</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June 30, 2020, which bear interest at a rate of 6.625% per annum and are scheduled to mature in 2021 if not earlier redeemed.</w:t>
      </w: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1,200.7:1, the exchange rate as of June 30,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Financial Statements and Supplementary Data—Notes to Consolidated Financial Statements—Note 11.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lease office space and equipment under various operating lease agreements that expire through 2023.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party to an arrangement for the water treatment facility in Gumi, Korea, which includes a 10-year service agreement.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June 30, 2020, our accrued severance benefits totaled</w:t>
      </w:r>
    </w:p>
    <w:p>
      <w:pPr>
        <w:spacing w:after="0" w:line="1" w:lineRule="exact"/>
        <w:rPr>
          <w:sz w:val="20"/>
          <w:szCs w:val="20"/>
          <w:color w:val="auto"/>
        </w:rPr>
      </w:pPr>
    </w:p>
    <w:p>
      <w:pPr>
        <w:ind w:left="120" w:right="120"/>
        <w:spacing w:after="0" w:line="323" w:lineRule="auto"/>
        <w:rPr>
          <w:sz w:val="20"/>
          <w:szCs w:val="20"/>
          <w:color w:val="auto"/>
        </w:rPr>
      </w:pPr>
      <w:r>
        <w:rPr>
          <w:rFonts w:ascii="Arial" w:cs="Arial" w:eastAsia="Arial" w:hAnsi="Arial"/>
          <w:sz w:val="16"/>
          <w:szCs w:val="16"/>
          <w:color w:val="auto"/>
        </w:rPr>
        <w:t>$49.9 million and cumulative contributions to these severance insurance deposit accounts amounted to $1.6 million. Our related cash payments for future contributions are $3.3 million for the remaining period of 2020, to the extent that our obligations are contractual, fixed and reasonably estimable.</w:t>
      </w:r>
    </w:p>
    <w:p>
      <w:pPr>
        <w:spacing w:after="0" w:line="13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June 30, 2020.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2019, or our 2019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2019 Form 10-K, under “Management’s Discussion and Analysis of Financial Conditions and Reports of Operations—Critical Accounting Policies and Estimates.” There have been no material changes in the matters for which we make accounting estimates in the preparation of our consolidated financial statements for the six months ended June 30, 2020, except for those related to discontinued operations as a result of changes in reporting that relate to the sale of the Foundry Services Group business and Fab 4.</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We review the presentation of the planned disposition of the Foundry Services Group business and Fab 4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information and events that have occurred. The review consists of evaluating whether the disposition meets the definition of a component for which the operations and cash flows are clearly distinguishable from the other components of the business, and if so, whether it is anticipated that after the disposal the cash flows of the component would be eliminated from continuing operations and whether the disposition represents a strategic shift that has a major effect on operations and financial results. In addition, we evaluate whether the Foundry Services Group business and Fab 4 have met the criteria as assets held for sale. In order for a planned disposition to be classified as assets held for sale, the established criteria must be met as of the reporting date, including an active program to market the sale and the expected disposition of within one year. The assets classified as held for sale are recorded at the lower of carrying amounts or estimated fair value less costs to sell and depreciation and amortization ceases on the that the held for sale criteria are met.</w:t>
      </w:r>
    </w:p>
    <w:p>
      <w:pPr>
        <w:spacing w:after="0" w:line="19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Foundry Services Group business and Fab 4 is presented as discontinued operations beginning in the first quarter 2020 since all the criteria described above are met. For a divestiture that qualifies as a discontinued operation, all comparative periods presented are reclassified in the consolidated balance sheet. Additionally, the results of operations of a discontinued operation are reclassified to income or loss from discontinued operations, net of tax, for all periods presented. See “Item 1. Financial Statements and Supplementary Data – Notes to Consolidated Financial Statements – Note 2 - Discontinued Operations and Assets Held for Sale” for additional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2020 for our Korean subsidiary, a</w:t>
      </w:r>
    </w:p>
    <w:p>
      <w:pPr>
        <w:spacing w:after="0" w:line="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10% devaluation of the Korean won against the US dollar would have resulted in a decrease of $0.3 million in our US dollar financial instruments and cash balances.</w:t>
      </w:r>
    </w:p>
    <w:p>
      <w:pPr>
        <w:spacing w:after="0" w:line="18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of June 30, 2020,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June 30, 2020, $224.25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interest rate risk related to the Exchangeable Notes and the 2021 Notes.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June 30, 2020,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that have materially affected, or are reasonably likely to materially affect, our internal control over financial reporting.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8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3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legal proceedings, see “Part I: Item 3. Legal Proceedings” of our 2019 Form 10-K.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“Part I: Item 1A. Risk Factors” and Note 18 of our 2019 Form 10-K for additional information.</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2019 Form</w:t>
      </w:r>
    </w:p>
    <w:p>
      <w:pPr>
        <w:ind w:left="120"/>
        <w:spacing w:after="0" w:line="255" w:lineRule="auto"/>
        <w:rPr>
          <w:sz w:val="20"/>
          <w:szCs w:val="20"/>
          <w:color w:val="auto"/>
        </w:rPr>
      </w:pPr>
      <w:r>
        <w:rPr>
          <w:rFonts w:ascii="Arial" w:cs="Arial" w:eastAsia="Arial" w:hAnsi="Arial"/>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and prospects may be materially and adversely affected by the recent COVID-19 pandemic.</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COVID-19, a virus causing potentially deadly respiratory tract infections, which has spread rapidly and enveloped most of the world, is a global public health crisis. On March 11, 2020, the World Health Organization characterized the COVID-19 outbreak as a pandemic. Governments in affected countries are imposing travel bans, quarantines and other emergency public health measures. In response to the virus, national and local governments in numerous countries around the world have implemented substantial lockdown measures, and other countries and local governments may enact similar policies. Private sector companies are also taking precautionary measures, such as requiring employees to work remotely, imposing travel restrictions and temporarily closing businesses and facilities. These restrictions, and future prevention and mitigation measures, are likely to have an adverse impact on global economic conditions, which could materially adversely affect our future operations. Uncertainties regarding the economic impact of the COVID-19 outbreak are likely to result in sustained market turmoil, which could also negatively impact our business, financial condition and cash flows.</w:t>
      </w:r>
    </w:p>
    <w:p>
      <w:pPr>
        <w:spacing w:after="0" w:line="19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be located in areas that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78"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w:t>
      </w:r>
    </w:p>
    <w:p>
      <w:pPr>
        <w:spacing w:after="0" w:line="2"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Additionally, weaker economic conditions generally could result in impairment in value of our tangible or intangible assets, or our ability to raise additional capital, if needed.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100"/>
          </w:cols>
          <w:pgMar w:left="320" w:top="486" w:right="479" w:bottom="1440" w:gutter="0" w:footer="0" w:header="0"/>
        </w:sect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Number</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MagnaChip Semiconductor Corporation 2020 Equity and Incentive Compensation Plan</w:t>
        </w:r>
      </w:hyperlink>
    </w:p>
    <w:p>
      <w:pPr>
        <w:spacing w:after="0" w:line="23" w:lineRule="exact"/>
        <w:rPr>
          <w:sz w:val="20"/>
          <w:szCs w:val="20"/>
          <w:color w:val="auto"/>
        </w:rPr>
      </w:pPr>
    </w:p>
    <w:p>
      <w:pPr>
        <w:spacing w:after="0"/>
        <w:rPr>
          <w:rFonts w:ascii="Arial" w:cs="Arial" w:eastAsia="Arial" w:hAnsi="Arial"/>
          <w:sz w:val="16"/>
          <w:szCs w:val="16"/>
          <w:u w:val="single" w:color="auto"/>
          <w:color w:val="0000EE"/>
        </w:rPr>
      </w:pPr>
      <w:hyperlink r:id="rId73">
        <w:r>
          <w:rPr>
            <w:rFonts w:ascii="Arial" w:cs="Arial" w:eastAsia="Arial" w:hAnsi="Arial"/>
            <w:sz w:val="16"/>
            <w:szCs w:val="16"/>
            <w:u w:val="single" w:color="auto"/>
            <w:color w:val="0000EE"/>
          </w:rPr>
          <w:t>(incorporated by reference to Exhibit 10.1 to our Current Report on Form 8-K filed on June 17, 2020).</w:t>
        </w:r>
      </w:hyperlink>
    </w:p>
    <w:p>
      <w:pPr>
        <w:spacing w:after="0" w:line="17" w:lineRule="exact"/>
        <w:rPr>
          <w:sz w:val="20"/>
          <w:szCs w:val="20"/>
          <w:color w:val="auto"/>
        </w:rPr>
      </w:pPr>
    </w:p>
    <w:p>
      <w:pPr>
        <w:sectPr>
          <w:pgSz w:w="11900" w:h="16838" w:orient="portrait"/>
          <w:cols w:equalWidth="0" w:num="2">
            <w:col w:w="760" w:space="460"/>
            <w:col w:w="9880"/>
          </w:cols>
          <w:pgMar w:left="320" w:top="486" w:right="479" w:bottom="1440" w:gutter="0" w:footer="0" w:header="0"/>
          <w:type w:val="continuous"/>
        </w:sectPr>
      </w:pPr>
    </w:p>
    <w:tbl>
      <w:tblPr>
        <w:tblLayout w:type="fixed"/>
        <w:tblInd w:w="120" w:type="dxa"/>
        <w:tblCellMar>
          <w:top w:w="0" w:type="dxa"/>
          <w:left w:w="0" w:type="dxa"/>
          <w:bottom w:w="0" w:type="dxa"/>
          <w:right w:w="0" w:type="dxa"/>
        </w:tblCellMar>
      </w:tblPr>
      <w:tr>
        <w:trPr>
          <w:trHeight w:val="299"/>
        </w:trPr>
        <w:tc>
          <w:tcPr>
            <w:tcW w:w="110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26"/>
                <w:szCs w:val="26"/>
                <w:color w:val="auto"/>
                <w:vertAlign w:val="superscript"/>
              </w:rPr>
              <w:t>*</w:t>
            </w:r>
          </w:p>
        </w:tc>
        <w:tc>
          <w:tcPr>
            <w:tcW w:w="9640" w:type="dxa"/>
            <w:vAlign w:val="bottom"/>
            <w:tcBorders>
              <w:bottom w:val="single" w:sz="8" w:color="0000EE"/>
            </w:tcBorders>
            <w:gridSpan w:val="10"/>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MagnaChip Semiconductor Corporation 2020 Form of Restricted Stock Units Agreement (Non-employee Directors) (incorporated by</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reference to Exhibit 99.2 to our Registration Statement on Form S-8 filed on July 15, 2020).</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vMerge w:val="continue"/>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w w:val="97"/>
              </w:rPr>
            </w:pPr>
            <w:hyperlink r:id="rId75">
              <w:r>
                <w:rPr>
                  <w:rFonts w:ascii="Arial" w:cs="Arial" w:eastAsia="Arial" w:hAnsi="Arial"/>
                  <w:sz w:val="18"/>
                  <w:szCs w:val="18"/>
                  <w:color w:val="0000EE"/>
                  <w:w w:val="97"/>
                </w:rPr>
                <w:t>MagnaChip Semiconductor Corporation 2020 Form of Restricted Stock Units Agreement (Section 16 Officers)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reference to Exhibit 99.3 to our Registration Statement on Form S-8 filed on July 15, 2020).</w:t>
              </w:r>
            </w:hyperlink>
          </w:p>
        </w:tc>
        <w:tc>
          <w:tcPr>
            <w:tcW w:w="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10.4</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vMerge w:val="continue"/>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MagnaChip Semiconductor Corporation 2020 Form of Restricted Stock Units Agreement - Financial Performance (CEO) (incorporated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by reference to Exhibit 99.4 to our Registration Statement on Form S-8 filed on July 15, 2020).</w:t>
              </w:r>
            </w:hyperlink>
          </w:p>
        </w:tc>
        <w:tc>
          <w:tcPr>
            <w:tcW w:w="29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26"/>
                <w:szCs w:val="26"/>
                <w:color w:val="auto"/>
                <w:vertAlign w:val="superscript"/>
              </w:rPr>
              <w:t>*</w:t>
            </w:r>
          </w:p>
        </w:tc>
        <w:tc>
          <w:tcPr>
            <w:tcW w:w="9880" w:type="dxa"/>
            <w:vAlign w:val="bottom"/>
            <w:tcBorders>
              <w:bottom w:val="single" w:sz="8" w:color="0000EE"/>
            </w:tcBorders>
            <w:gridSpan w:val="14"/>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MagnaChip Semiconductor Corporation 2020 Form of Restricted Stock Units Agreement - Financial Performance (Non-CEO Section 16</w:t>
              </w:r>
            </w:hyperlink>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9880" w:type="dxa"/>
            <w:vAlign w:val="bottom"/>
            <w:gridSpan w:val="14"/>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Officers) (incorporated by reference to Exhibit 99.5 to our Registration Statement on Form S-8 filed on July 15, 2020).</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line="283" w:lineRule="exact"/>
              <w:rPr>
                <w:sz w:val="20"/>
                <w:szCs w:val="20"/>
                <w:color w:val="auto"/>
              </w:rPr>
            </w:pPr>
            <w:r>
              <w:rPr>
                <w:rFonts w:ascii="Arial" w:cs="Arial" w:eastAsia="Arial" w:hAnsi="Arial"/>
                <w:sz w:val="18"/>
                <w:szCs w:val="18"/>
                <w:color w:val="auto"/>
              </w:rPr>
              <w:t>10.6</w:t>
            </w:r>
            <w:r>
              <w:rPr>
                <w:rFonts w:ascii="Arial" w:cs="Arial" w:eastAsia="Arial" w:hAnsi="Arial"/>
                <w:sz w:val="26"/>
                <w:szCs w:val="26"/>
                <w:color w:val="auto"/>
                <w:vertAlign w:val="superscript"/>
              </w:rPr>
              <w:t>*</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MagnaChip Semiconductor Corporation 2020 Form of Restricted Stock Units Agreement - TSR Performance (CEO) (incorporated by</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reference to Exhibit 99.6 to our Registration Statement on Form S-8 filed on July 15, 2020).</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10.7</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vMerge w:val="continue"/>
          </w:tcPr>
          <w:p>
            <w:pPr>
              <w:spacing w:after="0"/>
              <w:rPr>
                <w:sz w:val="24"/>
                <w:szCs w:val="24"/>
                <w:color w:val="auto"/>
              </w:rPr>
            </w:pPr>
          </w:p>
        </w:tc>
        <w:tc>
          <w:tcPr>
            <w:tcW w:w="9540" w:type="dxa"/>
            <w:vAlign w:val="bottom"/>
            <w:tcBorders>
              <w:bottom w:val="single" w:sz="8" w:color="0000EE"/>
            </w:tcBorders>
            <w:gridSpan w:val="7"/>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MagnaChip Semiconductor Corporation 2020 Form of Restricted Stock Units Agreement - TSR Performance (Non-CEO Section 16</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9880" w:type="dxa"/>
            <w:vAlign w:val="bottom"/>
            <w:gridSpan w:val="14"/>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Officers) (incorporated by reference to Exhibit 99.7 to our Registration Statement on Form S-8 filed on July 15, 2020).</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line="283" w:lineRule="exact"/>
              <w:rPr>
                <w:sz w:val="20"/>
                <w:szCs w:val="20"/>
                <w:color w:val="auto"/>
              </w:rPr>
            </w:pPr>
            <w:r>
              <w:rPr>
                <w:rFonts w:ascii="Arial" w:cs="Arial" w:eastAsia="Arial" w:hAnsi="Arial"/>
                <w:sz w:val="18"/>
                <w:szCs w:val="18"/>
                <w:color w:val="auto"/>
              </w:rPr>
              <w:t>10.8</w:t>
            </w:r>
            <w:r>
              <w:rPr>
                <w:rFonts w:ascii="Arial" w:cs="Arial" w:eastAsia="Arial" w:hAnsi="Arial"/>
                <w:sz w:val="26"/>
                <w:szCs w:val="26"/>
                <w:color w:val="auto"/>
                <w:vertAlign w:val="superscript"/>
              </w:rPr>
              <w:t>*#</w:t>
            </w:r>
          </w:p>
        </w:tc>
        <w:tc>
          <w:tcPr>
            <w:tcW w:w="9880" w:type="dxa"/>
            <w:vAlign w:val="bottom"/>
            <w:gridSpan w:val="1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Executive Service Agreement, dated as of May 25, 2020, by and between Young Soo Woo, MagnaChip Semiconductor Corporation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MagnaChip Semiconductor, Ltd.</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10.9</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vMerge w:val="continue"/>
          </w:tcPr>
          <w:p>
            <w:pPr>
              <w:spacing w:after="0"/>
              <w:rPr>
                <w:sz w:val="24"/>
                <w:szCs w:val="24"/>
                <w:color w:val="auto"/>
              </w:rPr>
            </w:pPr>
          </w:p>
        </w:tc>
        <w:tc>
          <w:tcPr>
            <w:tcW w:w="95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Executive Service Agreement, dated as of June 1, 2020, by and between Chan Ho Park, MagnaChip Semiconductor Corporation and</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MagnaChip Semiconductor, Ltd.</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00" w:type="dxa"/>
            <w:vAlign w:val="bottom"/>
            <w:vMerge w:val="continue"/>
          </w:tcPr>
          <w:p>
            <w:pPr>
              <w:spacing w:after="0"/>
              <w:rPr>
                <w:sz w:val="24"/>
                <w:szCs w:val="24"/>
                <w:color w:val="auto"/>
              </w:rPr>
            </w:pPr>
          </w:p>
        </w:tc>
        <w:tc>
          <w:tcPr>
            <w:tcW w:w="9880" w:type="dxa"/>
            <w:vAlign w:val="bottom"/>
            <w:gridSpan w:val="14"/>
          </w:tcPr>
          <w:p>
            <w:pPr>
              <w:spacing w:after="0"/>
              <w:rPr>
                <w:rFonts w:ascii="Arial" w:cs="Arial" w:eastAsia="Arial" w:hAnsi="Arial"/>
                <w:sz w:val="18"/>
                <w:szCs w:val="18"/>
                <w:u w:val="single" w:color="auto"/>
                <w:color w:val="0000EE"/>
                <w:w w:val="96"/>
              </w:rPr>
            </w:pPr>
            <w:hyperlink w:anchor="page102">
              <w:r>
                <w:rPr>
                  <w:rFonts w:ascii="Arial" w:cs="Arial" w:eastAsia="Arial" w:hAnsi="Arial"/>
                  <w:sz w:val="18"/>
                  <w:szCs w:val="18"/>
                  <w:u w:val="single" w:color="auto"/>
                  <w:color w:val="0000EE"/>
                  <w:w w:val="96"/>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6"/>
                <w:szCs w:val="26"/>
                <w:color w:val="auto"/>
                <w:vertAlign w:val="superscript"/>
              </w:rPr>
              <w:t>#</w:t>
            </w:r>
          </w:p>
        </w:tc>
        <w:tc>
          <w:tcPr>
            <w:tcW w:w="9880" w:type="dxa"/>
            <w:vAlign w:val="bottom"/>
            <w:gridSpan w:val="14"/>
          </w:tcPr>
          <w:p>
            <w:pPr>
              <w:spacing w:after="0"/>
              <w:rPr>
                <w:rFonts w:ascii="Arial" w:cs="Arial" w:eastAsia="Arial" w:hAnsi="Arial"/>
                <w:sz w:val="18"/>
                <w:szCs w:val="18"/>
                <w:u w:val="single" w:color="auto"/>
                <w:color w:val="0000EE"/>
                <w:w w:val="94"/>
              </w:rPr>
            </w:pPr>
            <w:hyperlink w:anchor="page103">
              <w:r>
                <w:rPr>
                  <w:rFonts w:ascii="Arial" w:cs="Arial" w:eastAsia="Arial" w:hAnsi="Arial"/>
                  <w:sz w:val="18"/>
                  <w:szCs w:val="18"/>
                  <w:u w:val="single" w:color="auto"/>
                  <w:color w:val="0000EE"/>
                  <w:w w:val="94"/>
                </w:rPr>
                <w:t>Certification pursuant to Rule 13a-14(a) or Rule 15d-14(a) of the Securities Exchange Act of 1934 of the Principal Financial Officer.</w:t>
              </w:r>
            </w:hyperlink>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9"/>
          </w:tcPr>
          <w:p>
            <w:pPr>
              <w:spacing w:after="0" w:line="190"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Executive Officer.</w:t>
              </w:r>
            </w:hyperlink>
          </w:p>
        </w:tc>
        <w:tc>
          <w:tcPr>
            <w:tcW w:w="8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6"/>
                <w:szCs w:val="26"/>
                <w:color w:val="auto"/>
                <w:vertAlign w:val="superscript"/>
              </w:rPr>
              <w:t>#</w:t>
            </w:r>
          </w:p>
        </w:tc>
        <w:tc>
          <w:tcPr>
            <w:tcW w:w="1260" w:type="dxa"/>
            <w:vAlign w:val="bottom"/>
            <w:shd w:val="clear" w:color="auto" w:fill="0000EE"/>
          </w:tcPr>
          <w:p>
            <w:pPr>
              <w:spacing w:after="0" w:line="20" w:lineRule="exact"/>
              <w:rPr>
                <w:sz w:val="1"/>
                <w:szCs w:val="1"/>
                <w:color w:val="auto"/>
              </w:rPr>
            </w:pPr>
          </w:p>
        </w:tc>
        <w:tc>
          <w:tcPr>
            <w:tcW w:w="86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00" w:type="dxa"/>
            <w:vAlign w:val="bottom"/>
            <w:vMerge w:val="continue"/>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6"/>
                <w:szCs w:val="26"/>
                <w:color w:val="auto"/>
                <w:vertAlign w:val="superscript"/>
              </w:rPr>
              <w:t>#</w:t>
            </w:r>
          </w:p>
        </w:tc>
        <w:tc>
          <w:tcPr>
            <w:tcW w:w="988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6"/>
                <w:szCs w:val="26"/>
                <w:color w:val="auto"/>
                <w:vertAlign w:val="superscript"/>
              </w:rPr>
              <w:t>#</w:t>
            </w:r>
          </w:p>
        </w:tc>
        <w:tc>
          <w:tcPr>
            <w:tcW w:w="988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6"/>
                <w:szCs w:val="26"/>
                <w:color w:val="auto"/>
                <w:vertAlign w:val="superscript"/>
              </w:rPr>
              <w:t>#</w:t>
            </w:r>
          </w:p>
        </w:tc>
        <w:tc>
          <w:tcPr>
            <w:tcW w:w="988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6"/>
                <w:szCs w:val="26"/>
                <w:color w:val="auto"/>
                <w:vertAlign w:val="superscript"/>
              </w:rPr>
              <w:t>#</w:t>
            </w:r>
          </w:p>
        </w:tc>
        <w:tc>
          <w:tcPr>
            <w:tcW w:w="988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6"/>
                <w:szCs w:val="26"/>
                <w:color w:val="auto"/>
                <w:vertAlign w:val="superscript"/>
              </w:rPr>
              <w:t>#</w:t>
            </w:r>
          </w:p>
        </w:tc>
        <w:tc>
          <w:tcPr>
            <w:tcW w:w="988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14"/>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5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380"/>
          </w:cols>
          <w:pgMar w:left="320" w:top="486" w:right="1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SERVICE AGREEMENT</w:t>
      </w:r>
    </w:p>
    <w:p>
      <w:pPr>
        <w:spacing w:after="0" w:line="229"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This Executive Service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on May 25,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Young Soo Woo (the “</w:t>
      </w:r>
      <w:r>
        <w:rPr>
          <w:rFonts w:ascii="Arial" w:cs="Arial" w:eastAsia="Arial" w:hAnsi="Arial"/>
          <w:sz w:val="18"/>
          <w:szCs w:val="18"/>
          <w:u w:val="single" w:color="auto"/>
          <w:color w:val="auto"/>
        </w:rPr>
        <w:t>Executive</w:t>
      </w:r>
      <w:r>
        <w:rPr>
          <w:rFonts w:ascii="Arial" w:cs="Arial" w:eastAsia="Arial" w:hAnsi="Arial"/>
          <w:sz w:val="18"/>
          <w:szCs w:val="18"/>
          <w:color w:val="auto"/>
        </w:rPr>
        <w:t>”), on the one hand, and MagnaChip Semiconductor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MagnaChip Semiconductor, Ltd., a wholly owned subsidiary of Parent (“</w:t>
      </w:r>
      <w:r>
        <w:rPr>
          <w:rFonts w:ascii="Arial" w:cs="Arial" w:eastAsia="Arial" w:hAnsi="Arial"/>
          <w:sz w:val="18"/>
          <w:szCs w:val="18"/>
          <w:u w:val="single" w:color="auto"/>
          <w:color w:val="auto"/>
        </w:rPr>
        <w:t>MSK</w:t>
      </w:r>
      <w:r>
        <w:rPr>
          <w:rFonts w:ascii="Arial" w:cs="Arial" w:eastAsia="Arial" w:hAnsi="Arial"/>
          <w:sz w:val="18"/>
          <w:szCs w:val="18"/>
          <w:color w:val="auto"/>
        </w:rPr>
        <w:t>” and together with Parent and each of its Affiliates that may engage the Executive from time to time, including any and all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on the other hand.</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 The Company wishes to engage the Executive, and the Executive wishes to provide services to the Company, as further set forth herein.</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The Company and the Executive desire to enter into this Agreement to set forth the rights and obligations of the parties hereto.</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62" w:lineRule="exact"/>
        <w:rPr>
          <w:sz w:val="20"/>
          <w:szCs w:val="20"/>
          <w:color w:val="auto"/>
        </w:rPr>
      </w:pPr>
    </w:p>
    <w:p>
      <w:pPr>
        <w:ind w:left="184" w:hanging="184"/>
        <w:spacing w:after="0"/>
        <w:tabs>
          <w:tab w:leader="none" w:pos="1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436"/>
        <w:spacing w:after="0" w:line="308" w:lineRule="auto"/>
        <w:tabs>
          <w:tab w:leader="none" w:pos="689"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46" w:lineRule="exact"/>
        <w:rPr>
          <w:rFonts w:ascii="Arial" w:cs="Arial" w:eastAsia="Arial" w:hAnsi="Arial"/>
          <w:sz w:val="17"/>
          <w:szCs w:val="17"/>
          <w:color w:val="auto"/>
        </w:rPr>
      </w:pPr>
    </w:p>
    <w:p>
      <w:pPr>
        <w:ind w:left="704" w:hanging="264"/>
        <w:spacing w:after="0"/>
        <w:tabs>
          <w:tab w:leader="none" w:pos="7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4" w:right="380" w:firstLine="436"/>
        <w:spacing w:after="0" w:line="277" w:lineRule="auto"/>
        <w:tabs>
          <w:tab w:leader="none" w:pos="6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For the avoidance of doubt, none of the Annual Bonus, the Signing Bonus or the Special Bonus shall be included in, or be a part of, the Annual Base Salary.</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4" w:right="140" w:firstLine="436"/>
        <w:spacing w:after="0" w:line="290" w:lineRule="auto"/>
        <w:tabs>
          <w:tab w:leader="none" w:pos="669"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shall have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to terminate the Executive’s engagement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4(a)(iii) hereunder upon (i) the Executive’s conviction of,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(iv) the Executive’s refusal to fulfill the Executive’s duties and responsibilities (other than by reason of death or Disability) to the Company; (v) the Executive’s material violation of any established lawful policy of the Company; (vi) the Executive’s material breach of any of the terms of any agreement the Executive has with the Company; (vii) the Executive’s habitual use of illicit drugs or habitual abuse of alcohol that affects his job performance; or (viii) any gross negligence, material misconduct or material wrongful act or omission on the Executive’s part in connection with the Executive’s duties and responsibilities to the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8" w:name="page59"/>
    <w:bookmarkEnd w:id="58"/>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The Company may terminate the Executive’s engagement for Cause under this Agreement, following issuance to the Executive of written notice of the circumstances the Company believes constitute Cause, at any time within 90 days after it becomes aware of such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basis for termination is curable, then the Executive shall have 15 days after receipt of such written notice to cure such basis, and if not cured, the Company may terminate the Executive’s engagement for Cause at any time within 90 days after the expiration of such cure period. If, within 90 days subsequent to termination of Executive’s engagement for any reason (other than by the Company for Cause), the Company determines that the Executive’s engagement could have been terminated for Cause, the Executive’s engagement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Company’s ability to retroactively determine that the Executive’s engagement could have been terminated for Cause under this sentence will cease upon the occurrence of a Change in Control.</w:t>
      </w:r>
    </w:p>
    <w:p>
      <w:pPr>
        <w:spacing w:after="0" w:line="185"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shall mean the Chief Executive Officer of Parent.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given to such term in the Equity Incentive Plan.</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first day on which the Executive reports to work with the Company.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xml:space="preserve">” shall mean the effective date of termination of Executive’s engagement,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436"/>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180 calendar days during any period of 365 consecutive calendar days, and such incapacity is expected to continue.</w:t>
      </w:r>
    </w:p>
    <w:p>
      <w:pPr>
        <w:spacing w:after="0" w:line="165" w:lineRule="exact"/>
        <w:rPr>
          <w:rFonts w:ascii="Arial" w:cs="Arial" w:eastAsia="Arial" w:hAnsi="Arial"/>
          <w:sz w:val="17"/>
          <w:szCs w:val="17"/>
          <w:color w:val="auto"/>
        </w:rPr>
      </w:pPr>
    </w:p>
    <w:p>
      <w:pPr>
        <w:ind w:left="740" w:hanging="304"/>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Awards</w:t>
      </w:r>
      <w:r>
        <w:rPr>
          <w:rFonts w:ascii="Arial" w:cs="Arial" w:eastAsia="Arial" w:hAnsi="Arial"/>
          <w:sz w:val="18"/>
          <w:szCs w:val="18"/>
          <w:color w:val="auto"/>
        </w:rPr>
        <w:t>” means the equity awards that the Executive may receive subject to the Board’s approval and under the terms of the Equity Incentive Plan and standard forms of award agreements under the Equity Incentive Plan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means, as applicable, the MagnaChip Semiconductor Corporation 2011 Equity Incentive Plan or any successor equity incentive plan of the Parent, as amended or amended and restated from time to time.</w:t>
      </w:r>
    </w:p>
    <w:p>
      <w:pPr>
        <w:spacing w:after="0" w:line="170" w:lineRule="exact"/>
        <w:rPr>
          <w:rFonts w:ascii="Arial" w:cs="Arial" w:eastAsia="Arial" w:hAnsi="Arial"/>
          <w:sz w:val="18"/>
          <w:szCs w:val="18"/>
          <w:color w:val="auto"/>
        </w:rPr>
      </w:pPr>
    </w:p>
    <w:p>
      <w:pPr>
        <w:ind w:firstLine="436"/>
        <w:spacing w:after="0" w:line="263"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Base Salary</w:t>
      </w:r>
      <w:r>
        <w:rPr>
          <w:rFonts w:ascii="Arial" w:cs="Arial" w:eastAsia="Arial" w:hAnsi="Arial"/>
          <w:sz w:val="18"/>
          <w:szCs w:val="18"/>
          <w:color w:val="auto"/>
        </w:rPr>
        <w:t>” means the Executive’s Annual Base Salary as in effect immediately prior to the termination of the Executive’s engagement (or, if clause (i) or (ii) of the definition of “Good Reason” is implicated, immediately before any relevant diminution of the Executive’s Annual Base Salary).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9" w:name="page60"/>
    <w:bookmarkEnd w:id="59"/>
    <w:p>
      <w:pPr>
        <w:ind w:left="4" w:firstLine="436"/>
        <w:spacing w:after="0" w:line="284" w:lineRule="auto"/>
        <w:tabs>
          <w:tab w:leader="none" w:pos="669"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to resign or otherwise terminate his engagement with the Company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the event that any of the following actions are taken by the Company without his consent: (i) if upon or following a Change in Control, a diminution in the Executive’s Annual Base Salary or Target Annual Bonus opportunity; (ii) if prior to a Change in Control, a diminution in (A) the Executive’s Annual Base Salary, other than an across the board cumulative reduction of no more than 15% that applies in a similar manner to all similarly-situated members of the senior management of the Company or (B) the Executive’s Target Annual Bonus opportunity (other than a reduction that occurs as a result of a reduction described in the foregoing clause (A)); (iii) the Company’s material breach of any of the material terms of any material agreement between the Executive and the Company; or (iv) a non-temporary relocation of the Executive’s primary work location by the Company to a location that is more than</w:t>
      </w:r>
    </w:p>
    <w:p>
      <w:pPr>
        <w:spacing w:after="0" w:line="2" w:lineRule="exact"/>
        <w:rPr>
          <w:rFonts w:ascii="Arial" w:cs="Arial" w:eastAsia="Arial" w:hAnsi="Arial"/>
          <w:sz w:val="16"/>
          <w:szCs w:val="16"/>
          <w:color w:val="auto"/>
        </w:rPr>
      </w:pPr>
    </w:p>
    <w:p>
      <w:pPr>
        <w:ind w:left="4" w:right="20" w:hanging="4"/>
        <w:spacing w:after="0" w:line="281" w:lineRule="auto"/>
        <w:tabs>
          <w:tab w:leader="none" w:pos="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miles from the Executive’s principal place of service as of the date hereof (which the parties acknowledge is Seoul, South Korea and/or Cheongju, South Korea) and that increases the Executive’s one-way commute to work by more than 35 miles. The Executive will not have Good Reason to terminate his engagement and receive payments or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unless the Executive provides the Board and the CEO with written notice of the circumstances the Executive believes constitute Good Reason within 30 days after the occurrence of such circumstances. If the Company does not cure within 15 days after receipt of such written notice, then the Executive may terminate his engagement for Good Reason at any time within 90 days after the expiration of such cure period. If the Executive terminates his engagement prior to the expiration of the 15-day cure period or more than</w:t>
      </w:r>
    </w:p>
    <w:p>
      <w:pPr>
        <w:spacing w:after="0" w:line="3" w:lineRule="exact"/>
        <w:rPr>
          <w:rFonts w:ascii="Arial" w:cs="Arial" w:eastAsia="Arial" w:hAnsi="Arial"/>
          <w:sz w:val="16"/>
          <w:szCs w:val="16"/>
          <w:color w:val="auto"/>
        </w:rPr>
      </w:pPr>
    </w:p>
    <w:p>
      <w:pPr>
        <w:ind w:left="224" w:hanging="224"/>
        <w:spacing w:after="0"/>
        <w:tabs>
          <w:tab w:leader="none" w:pos="2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after the expiration of the cure period, the Executive will not be treated as having terminated his engagement for Good Reason.</w:t>
      </w:r>
    </w:p>
    <w:p>
      <w:pPr>
        <w:spacing w:after="0" w:line="210" w:lineRule="exact"/>
        <w:rPr>
          <w:rFonts w:ascii="Arial" w:cs="Arial" w:eastAsia="Arial" w:hAnsi="Arial"/>
          <w:sz w:val="18"/>
          <w:szCs w:val="18"/>
          <w:color w:val="auto"/>
        </w:rPr>
      </w:pPr>
    </w:p>
    <w:p>
      <w:pPr>
        <w:ind w:left="684" w:hanging="244"/>
        <w:spacing w:after="0"/>
        <w:tabs>
          <w:tab w:leader="none" w:pos="6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4" w:right="1080" w:firstLine="436"/>
        <w:spacing w:after="0" w:line="277"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744" w:hanging="304"/>
        <w:spacing w:after="0"/>
        <w:tabs>
          <w:tab w:leader="none" w:pos="7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have the meaning set forth in the Equity Incentive Plan.</w:t>
      </w:r>
    </w:p>
    <w:p>
      <w:pPr>
        <w:spacing w:after="0" w:line="225" w:lineRule="exact"/>
        <w:rPr>
          <w:rFonts w:ascii="Arial" w:cs="Arial" w:eastAsia="Arial" w:hAnsi="Arial"/>
          <w:sz w:val="18"/>
          <w:szCs w:val="18"/>
          <w:color w:val="auto"/>
        </w:rPr>
      </w:pPr>
    </w:p>
    <w:p>
      <w:pPr>
        <w:ind w:left="4" w:right="160" w:firstLine="436"/>
        <w:spacing w:after="0" w:line="277"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cash bonus plan as is then in effect.</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Executive’s Service.</w:t>
      </w:r>
    </w:p>
    <w:p>
      <w:pPr>
        <w:spacing w:after="0" w:line="225" w:lineRule="exact"/>
        <w:rPr>
          <w:rFonts w:ascii="Arial" w:cs="Arial" w:eastAsia="Arial" w:hAnsi="Arial"/>
          <w:sz w:val="18"/>
          <w:szCs w:val="18"/>
          <w:color w:val="auto"/>
        </w:rPr>
      </w:pPr>
    </w:p>
    <w:p>
      <w:pPr>
        <w:ind w:left="4" w:right="420" w:firstLine="436"/>
        <w:spacing w:after="0" w:line="277" w:lineRule="auto"/>
        <w:tabs>
          <w:tab w:leader="none" w:pos="689"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Company shall engage the Executive, and the Executive shall provide services to the Company,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0" w:name="page61"/>
    <w:bookmarkEnd w:id="60"/>
    <w:p>
      <w:pPr>
        <w:ind w:left="4" w:right="220" w:firstLine="436"/>
        <w:spacing w:after="0" w:line="286" w:lineRule="auto"/>
        <w:tabs>
          <w:tab w:leader="none" w:pos="699"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w:t>
      </w:r>
      <w:r>
        <w:rPr>
          <w:rFonts w:ascii="Arial" w:cs="Arial" w:eastAsia="Arial" w:hAnsi="Arial"/>
          <w:sz w:val="17"/>
          <w:szCs w:val="17"/>
          <w:color w:val="auto"/>
        </w:rPr>
        <w:t>.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shall begin on the Effective Date and remain in effect, until terminated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Notwithstanding anything herein to the contrary, the Executive’s engagement with the Company shall be “at-will”, and the Executive or the Company may terminate the Executive’s engagement for any reason or no reason at any time, in either case subject to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684" w:hanging="244"/>
        <w:spacing w:after="0"/>
        <w:tabs>
          <w:tab w:leader="none" w:pos="68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9" w:lineRule="auto"/>
        <w:tabs>
          <w:tab w:leader="none" w:pos="1210"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During the Term, the Executive shall serve as the Chief Financial Officer of Parent and MSK, with responsibilities, duties and authority customary for such position;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alter such responsibilities, duties and authority from time to time. The Executive shall also serve as an officer of other Affiliates of the Company as requested by the Company.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his full business time, skill, attention and best efforts to the performance of his duties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spacing w:after="0" w:line="181" w:lineRule="exact"/>
        <w:rPr>
          <w:rFonts w:ascii="Arial" w:cs="Arial" w:eastAsia="Arial" w:hAnsi="Arial"/>
          <w:sz w:val="17"/>
          <w:szCs w:val="17"/>
          <w:color w:val="auto"/>
        </w:rPr>
      </w:pPr>
    </w:p>
    <w:p>
      <w:pPr>
        <w:ind w:left="4" w:right="180" w:firstLine="987"/>
        <w:spacing w:after="0" w:line="263" w:lineRule="auto"/>
        <w:tabs>
          <w:tab w:leader="none" w:pos="12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Executive shall be principally based at the Company’s offices in Seoul, South Korea or Cheongju, South Korea. The Executive shall perform his duties and responsibilities to the Company at such principal place of service and at such other location(s) to which the Company may reasonably require the Executive to travel for Company business purposes.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436"/>
        <w:spacing w:after="0" w:line="342" w:lineRule="auto"/>
        <w:tabs>
          <w:tab w:leader="none" w:pos="689"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the Executive shall receive a base salary at a rate of Three Hundred Forty Million Korean Won (KRW 340,000,000) per annum, which shall be paid in accordance with the customary payroll practices of the Company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right="260" w:firstLine="436"/>
        <w:spacing w:after="0" w:line="259" w:lineRule="auto"/>
        <w:tabs>
          <w:tab w:leader="none" w:pos="69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With respect to each calendar year that ends during the Term, the Executive shall be eligible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under the terms of the Company’s cash bonus plan as is then in effect. It is currently intended that the Board will set the Executive’s target Annual Bonus at 50% of the Executive’s Annual Base Salary, which target Annual Bonus may be increased by the Board in its discretion.</w:t>
      </w:r>
    </w:p>
    <w:p>
      <w:pPr>
        <w:spacing w:after="0" w:line="186" w:lineRule="exact"/>
        <w:rPr>
          <w:rFonts w:ascii="Arial" w:cs="Arial" w:eastAsia="Arial" w:hAnsi="Arial"/>
          <w:sz w:val="18"/>
          <w:szCs w:val="18"/>
          <w:color w:val="auto"/>
        </w:rPr>
      </w:pPr>
    </w:p>
    <w:p>
      <w:pPr>
        <w:ind w:left="4" w:right="120" w:firstLine="436"/>
        <w:spacing w:after="0" w:line="259"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Subject to Board approval and the Executive’s continued engagement on such date, as soon as practicable after the Commencement Date, the Executive will be granted a Restricted Stock Unit award for 18,000 shares of common stock of Parent (the “</w:t>
      </w:r>
      <w:r>
        <w:rPr>
          <w:rFonts w:ascii="Arial" w:cs="Arial" w:eastAsia="Arial" w:hAnsi="Arial"/>
          <w:sz w:val="18"/>
          <w:szCs w:val="18"/>
          <w:u w:val="single" w:color="auto"/>
          <w:color w:val="auto"/>
        </w:rPr>
        <w:t>RSU Award</w:t>
      </w:r>
      <w:r>
        <w:rPr>
          <w:rFonts w:ascii="Arial" w:cs="Arial" w:eastAsia="Arial" w:hAnsi="Arial"/>
          <w:sz w:val="18"/>
          <w:szCs w:val="18"/>
          <w:color w:val="auto"/>
        </w:rPr>
        <w:t>”), which grant shall be under the terms of the Equity Incentive Plan and the applicable Award Agreement. The RSU Award shall vest over three (3) years, with one-third (1/3) of the RSU Award vesting on each of the first, second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61" w:name="page62"/>
    <w:bookmarkEnd w:id="61"/>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third anniversaries of the grant date, all in accordance with, and subject to the terms of, the Equity Incentive Plan. In addition, while the Executive is engaged to provide services to the Company, the Executive will be eligible to participate in the equity incentive program applicable to the Company’s executives. It is currently anticipated that the Executive will receive additional Equity Awards in each of 2021 and 2022 under the then-current Equity Incentive Plan, with the target dollar value of such awards to be in line with the target value of Equity Awards received by similarly situated executives in such year and subject to the Executive’s continued provision of his services to the Company. Such Equity Awards shall, in all case, be determined and approved by the Board in its sole discretion. Prior to receiving any Equity Award, including the RSU Award, the Executive must execute the Award Agreement(s) in the form(s) approved by the Board. Accordingly, the actual terms of any Equity Award, including the RSU Award, will be governed by the Equity Incentive Plan and the actual Award Agreement and documents evidencing the grant of such Equity Award, and not by any other terms set forth herein or otherwise.</w:t>
      </w:r>
    </w:p>
    <w:p>
      <w:pPr>
        <w:spacing w:after="0" w:line="196" w:lineRule="exact"/>
        <w:rPr>
          <w:sz w:val="20"/>
          <w:szCs w:val="20"/>
          <w:color w:val="auto"/>
        </w:rPr>
      </w:pPr>
    </w:p>
    <w:p>
      <w:pPr>
        <w:ind w:left="4" w:right="100" w:firstLine="436"/>
        <w:spacing w:after="0" w:line="263" w:lineRule="auto"/>
        <w:tabs>
          <w:tab w:leader="none" w:pos="69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benefit plans, programs and arrangements of the Company now (or, to the extent determined by the Board, hereafter) in effect, in accordance with their terms, including medical and welfare benefits and company automobile, all on the terms applicable to other similarly situated executives of the Company.</w:t>
      </w:r>
    </w:p>
    <w:p>
      <w:pPr>
        <w:spacing w:after="0" w:line="183" w:lineRule="exact"/>
        <w:rPr>
          <w:rFonts w:ascii="Arial" w:cs="Arial" w:eastAsia="Arial" w:hAnsi="Arial"/>
          <w:sz w:val="18"/>
          <w:szCs w:val="18"/>
          <w:color w:val="auto"/>
        </w:rPr>
      </w:pPr>
    </w:p>
    <w:p>
      <w:pPr>
        <w:ind w:left="4" w:firstLine="436"/>
        <w:spacing w:after="0" w:line="279" w:lineRule="auto"/>
        <w:tabs>
          <w:tab w:leader="none" w:pos="689"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Annual Vacation</w:t>
      </w:r>
      <w:r>
        <w:rPr>
          <w:rFonts w:ascii="Arial" w:cs="Arial" w:eastAsia="Arial" w:hAnsi="Arial"/>
          <w:sz w:val="17"/>
          <w:szCs w:val="17"/>
          <w:color w:val="auto"/>
        </w:rPr>
        <w:t>. During the Term, the Executive shall be entitled to paid-time-off (including vacation days) on an annual basis in accordance with the Company’s applicable policies and practices. Under the policies applicable to other similarly situated executives of the Company, any unused paid-time-off (including vacation days) shall neither be carried over to the following year nor be compensated for. Any paid-time-off (including vacation days) shall be taken at the reasonable and mutual convenience of the Company and the Executive.</w:t>
      </w:r>
    </w:p>
    <w:p>
      <w:pPr>
        <w:spacing w:after="0" w:line="171" w:lineRule="exact"/>
        <w:rPr>
          <w:rFonts w:ascii="Arial" w:cs="Arial" w:eastAsia="Arial" w:hAnsi="Arial"/>
          <w:sz w:val="17"/>
          <w:szCs w:val="17"/>
          <w:color w:val="auto"/>
        </w:rPr>
      </w:pPr>
    </w:p>
    <w:p>
      <w:pPr>
        <w:ind w:left="4" w:firstLine="436"/>
        <w:spacing w:after="0" w:line="342" w:lineRule="auto"/>
        <w:tabs>
          <w:tab w:leader="none" w:pos="669"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23" w:lineRule="exact"/>
        <w:rPr>
          <w:rFonts w:ascii="Arial" w:cs="Arial" w:eastAsia="Arial" w:hAnsi="Arial"/>
          <w:sz w:val="16"/>
          <w:szCs w:val="16"/>
          <w:color w:val="auto"/>
        </w:rPr>
      </w:pPr>
    </w:p>
    <w:p>
      <w:pPr>
        <w:ind w:left="4" w:right="1040" w:hanging="4"/>
        <w:spacing w:after="0" w:line="277"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engagement hereunder may be terminated without any breach of this Agreement only under the following circumstances: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engagement hereunder shall terminate upon his death.</w:t>
      </w:r>
    </w:p>
    <w:p>
      <w:pPr>
        <w:spacing w:after="0" w:line="225" w:lineRule="exact"/>
        <w:rPr>
          <w:rFonts w:ascii="Arial" w:cs="Arial" w:eastAsia="Arial" w:hAnsi="Arial"/>
          <w:sz w:val="18"/>
          <w:szCs w:val="18"/>
          <w:color w:val="auto"/>
        </w:rPr>
      </w:pPr>
    </w:p>
    <w:p>
      <w:pPr>
        <w:ind w:left="4" w:firstLine="987"/>
        <w:spacing w:after="0" w:line="275" w:lineRule="auto"/>
        <w:tabs>
          <w:tab w:leader="none" w:pos="1260" w:val="left"/>
        </w:tabs>
        <w:numPr>
          <w:ilvl w:val="2"/>
          <w:numId w:val="2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the Executive has incurred a Disability, the Company may give the Executive written notice of its intention to terminate the Executive’s engagement. In that event, the Executive’s engagement with the Company shall terminate effective on the later of the 30th day after receipt of such notice by the Executive and the date specified in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Executive shall have returned to full-time performance of his duties hereunder within the 30-day period following receipt of such notice and shall have reasonably demonstrated that the Executive is not subject to a Disability, then the Executive’s engagement shall not be terminated pursuant to this clause (ii).</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2" w:name="page63"/>
    <w:bookmarkEnd w:id="62"/>
    <w:p>
      <w:pPr>
        <w:ind w:left="1304" w:hanging="313"/>
        <w:spacing w:after="0"/>
        <w:tabs>
          <w:tab w:leader="none" w:pos="1304"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with Cause</w:t>
      </w:r>
      <w:r>
        <w:rPr>
          <w:rFonts w:ascii="Arial" w:cs="Arial" w:eastAsia="Arial" w:hAnsi="Arial"/>
          <w:sz w:val="18"/>
          <w:szCs w:val="18"/>
          <w:color w:val="auto"/>
        </w:rPr>
        <w:t>. The Company may terminate the Executive’s engagement with Cause.</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The Company may terminate the Executive’s engagement without Cause.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 The Executive may resign from his engagement with Good Reason.</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w:t>
      </w:r>
      <w:r>
        <w:rPr>
          <w:rFonts w:ascii="Arial" w:cs="Arial" w:eastAsia="Arial" w:hAnsi="Arial"/>
          <w:sz w:val="16"/>
          <w:szCs w:val="16"/>
          <w:color w:val="auto"/>
        </w:rPr>
        <w:t>. The Executive may resign from his engagement without Good Reason upon not less than thirty</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advance written notice to the Board and the Company’s Chief Executive Officer.</w:t>
      </w:r>
    </w:p>
    <w:p>
      <w:pPr>
        <w:spacing w:after="0" w:line="210"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Any termination of the Executive’s engagement with the Company, whether by the Company or the Executive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(other than termination pursuant to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shall be communicated by written notice to the other party hereto (i) indicating the specific termination provision in this Agreement relied upon, (ii) except with respect to a termination pursuant to </w:t>
      </w:r>
      <w:r>
        <w:rPr>
          <w:rFonts w:ascii="Arial" w:cs="Arial" w:eastAsia="Arial" w:hAnsi="Arial"/>
          <w:sz w:val="17"/>
          <w:szCs w:val="17"/>
          <w:u w:val="single" w:color="auto"/>
          <w:color w:val="auto"/>
        </w:rPr>
        <w:t>Section 4(a)(iv)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w:t>
      </w:r>
      <w:r>
        <w:rPr>
          <w:rFonts w:ascii="Arial" w:cs="Arial" w:eastAsia="Arial" w:hAnsi="Arial"/>
          <w:sz w:val="17"/>
          <w:szCs w:val="17"/>
          <w:color w:val="auto"/>
        </w:rPr>
        <w:t>, setting forth in reasonable detail the facts and circumstances claimed to provide a basis for termination of the Executive’s engagement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notice need not specify a Date of Termination, in which case the Date of Termination shall be determined pursuant to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4(a)(iv)</w:t>
      </w:r>
      <w:r>
        <w:rPr>
          <w:rFonts w:ascii="Arial" w:cs="Arial" w:eastAsia="Arial" w:hAnsi="Arial"/>
          <w:sz w:val="17"/>
          <w:szCs w:val="17"/>
          <w:color w:val="auto"/>
        </w:rPr>
        <w:t xml:space="preserve">, the Date of Termination shall be, in the Company’s sole discretion, the date on which the Executive receives such notice or any subsequent date selected by the Company. If the Executive delivers a Notice of Termination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4(a)(v) or (a)(vi),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81" w:lineRule="exact"/>
        <w:rPr>
          <w:rFonts w:ascii="Arial" w:cs="Arial" w:eastAsia="Arial" w:hAnsi="Arial"/>
          <w:sz w:val="17"/>
          <w:szCs w:val="17"/>
          <w:color w:val="auto"/>
        </w:rPr>
      </w:pPr>
    </w:p>
    <w:p>
      <w:pPr>
        <w:ind w:left="4" w:right="20" w:firstLine="436"/>
        <w:spacing w:after="0" w:line="259" w:lineRule="auto"/>
        <w:tabs>
          <w:tab w:leader="none" w:pos="689"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and Resignation of All Positions</w:t>
      </w:r>
      <w:r>
        <w:rPr>
          <w:rFonts w:ascii="Arial" w:cs="Arial" w:eastAsia="Arial" w:hAnsi="Arial"/>
          <w:sz w:val="18"/>
          <w:szCs w:val="18"/>
          <w:color w:val="auto"/>
        </w:rPr>
        <w:t xml:space="preserve">. Upon termination of the Executive’s engagement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87" w:lineRule="exact"/>
        <w:rPr>
          <w:sz w:val="20"/>
          <w:szCs w:val="20"/>
          <w:color w:val="auto"/>
        </w:rPr>
      </w:pPr>
    </w:p>
    <w:p>
      <w:pPr>
        <w:ind w:left="184" w:hanging="184"/>
        <w:spacing w:after="0"/>
        <w:tabs>
          <w:tab w:leader="none" w:pos="1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the Executive’s Engagement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689"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11(a)</w:t>
      </w:r>
      <w:r>
        <w:rPr>
          <w:rFonts w:ascii="Arial" w:cs="Arial" w:eastAsia="Arial" w:hAnsi="Arial"/>
          <w:sz w:val="18"/>
          <w:szCs w:val="18"/>
          <w:color w:val="auto"/>
        </w:rPr>
        <w:t>, upon termination of the Executive’s engagement for any reason, the Executive (or the Executive’s estate) shall be entitled to receive (i) any amount of the Executive’s Annual Base Salary earned through the Date of Termination not theretofore paid, (ii) any Annual Bonus for the year prior to the year in</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63" w:name="page64"/>
    <w:bookmarkEnd w:id="63"/>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which the Date of Termination occurred that was earned but not yet paid, (iii) any expenses owed to the Executive under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and (iv) any vested payment or benefit arising from the Executive’s participation in, or benefits under, any qualified benefit plans, programs or arrangements under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(other than severance plans, programs or arrangements), which amounts shall be payable in accordance with the terms and conditions of such benefit plans, programs or arrangements including, where applicable, any death and disability benefits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Notwithstanding anything herein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benefit plan, program or arrangement.</w:t>
      </w:r>
    </w:p>
    <w:p>
      <w:pPr>
        <w:spacing w:after="0" w:line="177" w:lineRule="exact"/>
        <w:rPr>
          <w:sz w:val="20"/>
          <w:szCs w:val="20"/>
          <w:color w:val="auto"/>
        </w:rPr>
      </w:pPr>
    </w:p>
    <w:p>
      <w:pPr>
        <w:ind w:firstLine="436"/>
        <w:spacing w:after="0" w:line="311"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with Good Reason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and subject to the Executive’s continued compliance with the covenants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10, if the Company terminates the Executive’s engagement without Cause pursuant to </w:t>
      </w: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the Executive resigns from his engagement with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the Company shall, in addition to the Accrued Obligations:</w:t>
      </w:r>
    </w:p>
    <w:p>
      <w:pPr>
        <w:spacing w:after="0" w:line="148" w:lineRule="exact"/>
        <w:rPr>
          <w:rFonts w:ascii="Arial" w:cs="Arial" w:eastAsia="Arial" w:hAnsi="Arial"/>
          <w:sz w:val="16"/>
          <w:szCs w:val="16"/>
          <w:color w:val="auto"/>
        </w:rPr>
      </w:pPr>
    </w:p>
    <w:p>
      <w:pPr>
        <w:ind w:firstLine="987"/>
        <w:spacing w:after="0" w:line="268" w:lineRule="auto"/>
        <w:tabs>
          <w:tab w:leader="none" w:pos="1206"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continue to pay the Final Base Salary in accordance with the Company’s customary payroll practices during the period beginning on the Date of Termination and ending on the earlier to occur of (A) six (6) months after the Date of Termination and (B) the first date that the Executive violates any covenant contained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6 or 7 (the “</w:t>
      </w:r>
      <w:r>
        <w:rPr>
          <w:rFonts w:ascii="Arial" w:cs="Arial" w:eastAsia="Arial" w:hAnsi="Arial"/>
          <w:sz w:val="17"/>
          <w:szCs w:val="17"/>
          <w:u w:val="single" w:color="auto"/>
          <w:color w:val="auto"/>
        </w:rPr>
        <w:t>Salary Payment</w:t>
      </w:r>
      <w:r>
        <w:rPr>
          <w:rFonts w:ascii="Arial" w:cs="Arial" w:eastAsia="Arial" w:hAnsi="Arial"/>
          <w:sz w:val="17"/>
          <w:szCs w:val="17"/>
          <w:color w:val="auto"/>
        </w:rPr>
        <w:t>”), and if the Date of Termination occurs after June 30 of the calendar year in which the Date of Termination occurs, pay the Executive a prorated portion of the Annual Bonus payable with respect to the calendar year in which such termination occurs (which prorated amount shall equal the amount of the Annual Bonus multiplied by a fraction, (x) the numerator of which equals the number of days that have elapsed between January 1 of such calendar year and the Date of Termination and (y) the denominator of which equals 365), based on actual performance achievement for such year, and payable if and when annual bonuses are paid to other senior executives of the Company with respect to such year (the “</w:t>
      </w:r>
      <w:r>
        <w:rPr>
          <w:rFonts w:ascii="Arial" w:cs="Arial" w:eastAsia="Arial" w:hAnsi="Arial"/>
          <w:sz w:val="17"/>
          <w:szCs w:val="17"/>
          <w:u w:val="single" w:color="auto"/>
          <w:color w:val="auto"/>
        </w:rPr>
        <w:t>Pro Rata Bonus</w:t>
      </w:r>
      <w:r>
        <w:rPr>
          <w:rFonts w:ascii="Arial" w:cs="Arial" w:eastAsia="Arial" w:hAnsi="Arial"/>
          <w:sz w:val="17"/>
          <w:szCs w:val="17"/>
          <w:color w:val="auto"/>
        </w:rPr>
        <w:t>”, together with the Salary Payment, the “</w:t>
      </w:r>
      <w:r>
        <w:rPr>
          <w:rFonts w:ascii="Arial" w:cs="Arial" w:eastAsia="Arial" w:hAnsi="Arial"/>
          <w:sz w:val="17"/>
          <w:szCs w:val="17"/>
          <w:u w:val="single" w:color="auto"/>
          <w:color w:val="auto"/>
        </w:rPr>
        <w:t>Severance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if the Company terminates the Executive’s engagement without Cause pursuant to </w:t>
      </w:r>
      <w:r>
        <w:rPr>
          <w:rFonts w:ascii="Arial" w:cs="Arial" w:eastAsia="Arial" w:hAnsi="Arial"/>
          <w:sz w:val="17"/>
          <w:szCs w:val="17"/>
          <w:u w:val="single" w:color="auto"/>
          <w:color w:val="auto"/>
        </w:rPr>
        <w:t>Section 4(a)(iv)</w:t>
      </w:r>
      <w:r>
        <w:rPr>
          <w:rFonts w:ascii="Arial" w:cs="Arial" w:eastAsia="Arial" w:hAnsi="Arial"/>
          <w:sz w:val="17"/>
          <w:szCs w:val="17"/>
          <w:color w:val="auto"/>
        </w:rPr>
        <w:t xml:space="preserve"> or the Executive resigns from his engagement with Good Reason pursuant to </w:t>
      </w:r>
      <w:r>
        <w:rPr>
          <w:rFonts w:ascii="Arial" w:cs="Arial" w:eastAsia="Arial" w:hAnsi="Arial"/>
          <w:sz w:val="17"/>
          <w:szCs w:val="17"/>
          <w:u w:val="single" w:color="auto"/>
          <w:color w:val="auto"/>
        </w:rPr>
        <w:t>Section 4(a)(v)</w:t>
      </w:r>
      <w:r>
        <w:rPr>
          <w:rFonts w:ascii="Arial" w:cs="Arial" w:eastAsia="Arial" w:hAnsi="Arial"/>
          <w:sz w:val="17"/>
          <w:szCs w:val="17"/>
          <w:color w:val="auto"/>
        </w:rPr>
        <w:t>, in each case, either (x) during a period of time when the Company is party to a definitive corporate transaction agreement, the consummation of which would result in a Change in Control, or (y) within 18 months following a Change in Control (such a termination a “</w:t>
      </w:r>
      <w:r>
        <w:rPr>
          <w:rFonts w:ascii="Arial" w:cs="Arial" w:eastAsia="Arial" w:hAnsi="Arial"/>
          <w:sz w:val="17"/>
          <w:szCs w:val="17"/>
          <w:u w:val="single" w:color="auto"/>
          <w:color w:val="auto"/>
        </w:rPr>
        <w:t>CIC</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Qualified Termination</w:t>
      </w:r>
      <w:r>
        <w:rPr>
          <w:rFonts w:ascii="Arial" w:cs="Arial" w:eastAsia="Arial" w:hAnsi="Arial"/>
          <w:sz w:val="17"/>
          <w:szCs w:val="17"/>
          <w:color w:val="auto"/>
        </w:rPr>
        <w:t xml:space="preserve">”), then the Severance Payment shall instead be equal to the Final Base Salary, payable over 12 months, in each case so long as the Release (as defined below) has become effective and the Executive has not violated any covenant contained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in which case the Severance Payment shall be forfeited; and</w:t>
      </w:r>
    </w:p>
    <w:p>
      <w:pPr>
        <w:spacing w:after="0" w:line="184" w:lineRule="exact"/>
        <w:rPr>
          <w:rFonts w:ascii="Arial" w:cs="Arial" w:eastAsia="Arial" w:hAnsi="Arial"/>
          <w:sz w:val="17"/>
          <w:szCs w:val="17"/>
          <w:color w:val="auto"/>
        </w:rPr>
      </w:pPr>
    </w:p>
    <w:p>
      <w:pPr>
        <w:ind w:left="1260" w:hanging="273"/>
        <w:spacing w:after="0"/>
        <w:tabs>
          <w:tab w:leader="none" w:pos="12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provide for vesting of any outstanding unvested Equity Awards, as set forth in the Equity Incentive Plan and the applicable Award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-2625090</wp:posOffset>
            </wp:positionV>
            <wp:extent cx="1428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9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all payments and benefits to be paid or provided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commence on the 60th day following the Date of Termination, and, only with respect to any cash payments, the initial installment of such payments shall include a lump-sum payment of all amounts accrued under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from the Date of Termination through the date of such initial payment.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4" w:name="page65"/>
    <w:bookmarkEnd w:id="64"/>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herein to the contrary, if the Executive breaches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Company shall have the right to cease providing any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if requested, the Executive shall repay to the Company within 60 days of such request any previously paid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unless the Company provides the Executive with written notice of the circumstances it believes constitutes a breach of such covenants within 90 days after it becomes aware of such circumstances;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basis for the alleged breach is curable, then the Executive shall have 15 days after receipt of such written notice to cure such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-716915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 xml:space="preserve">Payment of the amounts and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is in lieu of any other severance or separation pay payable to the Executive whether under any previous agreement, offer letter or severance program, plan or policy, applicable law (including the laws of the Republic of Korea) or other statute, or otherwise.</w:t>
      </w:r>
    </w:p>
    <w:p>
      <w:pPr>
        <w:spacing w:after="0" w:line="184" w:lineRule="exact"/>
        <w:rPr>
          <w:sz w:val="20"/>
          <w:szCs w:val="20"/>
          <w:color w:val="auto"/>
        </w:rPr>
      </w:pPr>
    </w:p>
    <w:p>
      <w:pPr>
        <w:ind w:left="4" w:firstLine="436"/>
        <w:spacing w:after="0" w:line="257" w:lineRule="auto"/>
        <w:tabs>
          <w:tab w:leader="none" w:pos="689"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herein to the contrary, the amounts payable and benefits to be provided to the Executive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other than the Accrued Obligations, shall be contingent upon and subject to the Executive’s (or the Executive’s estate’s, if applicable) execution and non-revocation of a general waiver and release of claims agreement generally consistent with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appropriately modified to comply with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60th day following the Date of Termination.</w:t>
      </w:r>
    </w:p>
    <w:p>
      <w:pPr>
        <w:spacing w:after="0" w:line="187" w:lineRule="exact"/>
        <w:rPr>
          <w:rFonts w:ascii="Arial" w:cs="Arial" w:eastAsia="Arial" w:hAnsi="Arial"/>
          <w:sz w:val="18"/>
          <w:szCs w:val="18"/>
          <w:color w:val="auto"/>
        </w:rPr>
      </w:pPr>
    </w:p>
    <w:p>
      <w:pPr>
        <w:ind w:left="4" w:right="60" w:firstLine="436"/>
        <w:spacing w:after="0" w:line="342" w:lineRule="auto"/>
        <w:tabs>
          <w:tab w:leader="none" w:pos="699"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obligations of any of the parties under this Agreement which by their nature may require either partial or total performance after the termination of the Term or this Agreement (including those under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10) will survive any termination of this Agreement.</w:t>
      </w:r>
    </w:p>
    <w:p>
      <w:pPr>
        <w:spacing w:after="0" w:line="123" w:lineRule="exact"/>
        <w:rPr>
          <w:rFonts w:ascii="Arial" w:cs="Arial" w:eastAsia="Arial" w:hAnsi="Arial"/>
          <w:sz w:val="16"/>
          <w:szCs w:val="16"/>
          <w:color w:val="auto"/>
        </w:rPr>
      </w:pPr>
    </w:p>
    <w:p>
      <w:pPr>
        <w:ind w:left="184" w:hanging="184"/>
        <w:spacing w:after="0"/>
        <w:tabs>
          <w:tab w:leader="none" w:pos="1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436"/>
        <w:spacing w:after="0" w:line="290" w:lineRule="auto"/>
        <w:tabs>
          <w:tab w:leader="none" w:pos="689"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the Executive agrees that during the Executive’s engagement with the Company, and for the 12-month period following termination of the Executive’s engagement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 or other equity interest acquired is not more than five percent (5%) of the outstanding interest in such business. Notwithstanding anything herein to the contrary, if prior to the expiration of the aforementioned 12-month period the Executive enters into any agreement that obligates the Executive to provide any form of services to the Company, then such 12-month period shall commence on the date that the Executives ceases to provide services under such agreement.</w:t>
      </w:r>
    </w:p>
    <w:p>
      <w:pPr>
        <w:spacing w:after="0" w:line="165" w:lineRule="exact"/>
        <w:rPr>
          <w:rFonts w:ascii="Arial" w:cs="Arial" w:eastAsia="Arial" w:hAnsi="Arial"/>
          <w:sz w:val="16"/>
          <w:szCs w:val="16"/>
          <w:color w:val="auto"/>
        </w:rPr>
      </w:pPr>
    </w:p>
    <w:p>
      <w:pPr>
        <w:jc w:val="both"/>
        <w:ind w:left="4" w:right="140" w:firstLine="436"/>
        <w:spacing w:after="0" w:line="279" w:lineRule="auto"/>
        <w:tabs>
          <w:tab w:leader="none" w:pos="69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engagement with the Company, and for the 12-month period following termination of the Executive’s engagement for any reason, the Executive will not, directly or indirectly, on the Executive’s own behalf or on behalf of another (i) solicit, induce or attempt to solicit or induce any officer, director, employee or consultant of the Company to terminate their relationship with or leave the Company, or in any way interfere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-2239010</wp:posOffset>
            </wp:positionV>
            <wp:extent cx="1428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8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5" w:name="page66"/>
    <w:bookmarkEnd w:id="65"/>
    <w:p>
      <w:pPr>
        <w:ind w:left="4"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relationship between the Company, on the one hand, and any officer, director, employee or consultant thereof, on the other hand, (ii) hire (or other similar arrangement) any Person (in any capacity whether as an officer, director, employee or consultant) who is, or at any time in the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161" w:lineRule="exact"/>
        <w:rPr>
          <w:sz w:val="20"/>
          <w:szCs w:val="20"/>
          <w:color w:val="auto"/>
        </w:rPr>
      </w:pPr>
    </w:p>
    <w:p>
      <w:pPr>
        <w:ind w:left="4" w:firstLine="436"/>
        <w:spacing w:after="0" w:line="291" w:lineRule="auto"/>
        <w:tabs>
          <w:tab w:leader="none" w:pos="689"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In the event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reasonable in terms of duration, scope and area restrictions and are necessary to protect the goodwill of the Company. The Executive hereby authorizes the Company to inform any future employer or prospective employer of the existence and terms of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7 without liability for interference with the Executive’s employment or prospective employment.</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436"/>
        <w:spacing w:after="0" w:line="268" w:lineRule="auto"/>
        <w:tabs>
          <w:tab w:leader="none" w:pos="68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engagement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termination of the Executive’s engagement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84" w:lineRule="exact"/>
        <w:rPr>
          <w:rFonts w:ascii="Arial" w:cs="Arial" w:eastAsia="Arial" w:hAnsi="Arial"/>
          <w:sz w:val="17"/>
          <w:szCs w:val="17"/>
          <w:color w:val="auto"/>
        </w:rPr>
      </w:pPr>
    </w:p>
    <w:p>
      <w:pPr>
        <w:ind w:left="4" w:right="80" w:firstLine="436"/>
        <w:spacing w:after="0" w:line="286" w:lineRule="auto"/>
        <w:tabs>
          <w:tab w:leader="none" w:pos="69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shall not, at any time during his engagement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-2928620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6" w:name="page67"/>
    <w:bookmarkEnd w:id="66"/>
    <w:p>
      <w:pPr>
        <w:ind w:left="680" w:hanging="244"/>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Intellectual Property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85" w:lineRule="auto"/>
        <w:tabs>
          <w:tab w:leader="none" w:pos="12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any and all Proprietary Rights of whatsoever nature therein, whether or not now or hereafter known, existing, contemplated, recognized or developed, to the Company (or, if applicable or as directed by the Company),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171" w:lineRule="exact"/>
        <w:rPr>
          <w:rFonts w:ascii="Arial" w:cs="Arial" w:eastAsia="Arial" w:hAnsi="Arial"/>
          <w:sz w:val="16"/>
          <w:szCs w:val="16"/>
          <w:color w:val="auto"/>
        </w:rPr>
      </w:pPr>
    </w:p>
    <w:p>
      <w:pPr>
        <w:ind w:firstLine="987"/>
        <w:spacing w:after="0" w:line="253" w:lineRule="auto"/>
        <w:tabs>
          <w:tab w:leader="none" w:pos="1256"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w:t>
      </w:r>
      <w:r>
        <w:rPr>
          <w:rFonts w:ascii="Arial" w:cs="Arial" w:eastAsia="Arial" w:hAnsi="Arial"/>
          <w:sz w:val="18"/>
          <w:szCs w:val="18"/>
          <w:u w:val="single" w:color="auto"/>
          <w:color w:val="auto"/>
        </w:rPr>
        <w:t>Section 7(c)(ii)</w:t>
      </w:r>
      <w:r>
        <w:rPr>
          <w:rFonts w:ascii="Arial" w:cs="Arial" w:eastAsia="Arial" w:hAnsi="Arial"/>
          <w:sz w:val="18"/>
          <w:szCs w:val="18"/>
          <w:color w:val="auto"/>
        </w:rPr>
        <w:t xml:space="preserve"> is subject to and shall not be deemed to limit, restrict or constitute any waiver by the Company of any Proprietary Rights of ownership to which the Company may be entitled by operation of law by virtue of the Executive’s engagement with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7" w:name="page68"/>
    <w:bookmarkEnd w:id="67"/>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engagement with the Company.</w:t>
      </w:r>
    </w:p>
    <w:p>
      <w:pPr>
        <w:spacing w:after="0" w:line="188" w:lineRule="exact"/>
        <w:rPr>
          <w:sz w:val="20"/>
          <w:szCs w:val="20"/>
          <w:color w:val="auto"/>
        </w:rPr>
      </w:pPr>
    </w:p>
    <w:p>
      <w:pPr>
        <w:ind w:left="704" w:hanging="264"/>
        <w:spacing w:after="0"/>
        <w:tabs>
          <w:tab w:leader="none" w:pos="70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Protected Disclosures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987"/>
        <w:spacing w:after="0" w:line="259" w:lineRule="auto"/>
        <w:tabs>
          <w:tab w:leader="none" w:pos="1210" w:val="left"/>
        </w:tabs>
        <w:numPr>
          <w:ilvl w:val="2"/>
          <w:numId w:val="32"/>
        </w:numPr>
        <w:rPr>
          <w:rFonts w:ascii="Arial" w:cs="Arial" w:eastAsia="Arial" w:hAnsi="Arial"/>
          <w:sz w:val="18"/>
          <w:szCs w:val="18"/>
          <w:color w:val="auto"/>
        </w:rPr>
      </w:pPr>
      <w:r>
        <w:rPr>
          <w:rFonts w:ascii="Arial" w:cs="Arial" w:eastAsia="Arial" w:hAnsi="Arial"/>
          <w:sz w:val="18"/>
          <w:szCs w:val="18"/>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186" w:lineRule="exact"/>
        <w:rPr>
          <w:rFonts w:ascii="Arial" w:cs="Arial" w:eastAsia="Arial" w:hAnsi="Arial"/>
          <w:sz w:val="18"/>
          <w:szCs w:val="18"/>
          <w:color w:val="auto"/>
        </w:rPr>
      </w:pPr>
    </w:p>
    <w:p>
      <w:pPr>
        <w:ind w:left="4" w:firstLine="987"/>
        <w:spacing w:after="0" w:line="293" w:lineRule="auto"/>
        <w:tabs>
          <w:tab w:leader="none" w:pos="1260" w:val="left"/>
        </w:tabs>
        <w:numPr>
          <w:ilvl w:val="2"/>
          <w:numId w:val="32"/>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164" w:lineRule="exact"/>
        <w:rPr>
          <w:rFonts w:ascii="Arial" w:cs="Arial" w:eastAsia="Arial" w:hAnsi="Arial"/>
          <w:sz w:val="16"/>
          <w:szCs w:val="16"/>
          <w:color w:val="auto"/>
        </w:rPr>
      </w:pPr>
    </w:p>
    <w:p>
      <w:pPr>
        <w:ind w:left="4" w:right="160" w:firstLine="987"/>
        <w:spacing w:after="0" w:line="287" w:lineRule="auto"/>
        <w:tabs>
          <w:tab w:leader="none" w:pos="1310" w:val="left"/>
        </w:tabs>
        <w:numPr>
          <w:ilvl w:val="2"/>
          <w:numId w:val="32"/>
        </w:numPr>
        <w:rPr>
          <w:rFonts w:ascii="Arial" w:cs="Arial" w:eastAsia="Arial" w:hAnsi="Arial"/>
          <w:sz w:val="16"/>
          <w:szCs w:val="16"/>
          <w:color w:val="auto"/>
        </w:rPr>
      </w:pPr>
      <w:r>
        <w:rPr>
          <w:rFonts w:ascii="Arial" w:cs="Arial" w:eastAsia="Arial" w:hAnsi="Arial"/>
          <w:sz w:val="16"/>
          <w:szCs w:val="16"/>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w:t>
      </w:r>
    </w:p>
    <w:p>
      <w:pPr>
        <w:spacing w:after="0" w:line="2"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89" w:lineRule="exact"/>
        <w:rPr>
          <w:rFonts w:ascii="Arial" w:cs="Arial" w:eastAsia="Arial" w:hAnsi="Arial"/>
          <w:sz w:val="18"/>
          <w:szCs w:val="18"/>
          <w:color w:val="auto"/>
        </w:rPr>
      </w:pPr>
    </w:p>
    <w:p>
      <w:pPr>
        <w:ind w:left="4" w:right="340" w:firstLine="987"/>
        <w:spacing w:after="0" w:line="308" w:lineRule="auto"/>
        <w:tabs>
          <w:tab w:leader="none" w:pos="1300"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The foregoing provisions regarding protected disclosures are intended to comply with all applicable laws. If any laws are adopted, amended or repealed after the execution of this Agreement,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 deemed to be amended to reflect the same.</w:t>
      </w:r>
    </w:p>
    <w:p>
      <w:pPr>
        <w:spacing w:after="0" w:line="146" w:lineRule="exact"/>
        <w:rPr>
          <w:sz w:val="20"/>
          <w:szCs w:val="20"/>
          <w:color w:val="auto"/>
        </w:rPr>
      </w:pPr>
    </w:p>
    <w:p>
      <w:pPr>
        <w:ind w:left="4" w:right="60" w:hanging="4"/>
        <w:spacing w:after="0" w:line="259" w:lineRule="auto"/>
        <w:tabs>
          <w:tab w:leader="none" w:pos="18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The Executive recognizes and acknowledges that a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in addition to any other remedy that may be available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-446405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-34925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8" w:name="page69"/>
    <w:bookmarkEnd w:id="68"/>
    <w:p>
      <w:pPr>
        <w:jc w:val="both"/>
        <w:ind w:left="4"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will be entitled to specific performance and injunctive relief (without posting a bond). In the event of any breach or violation by the Executive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time period of such covenant with respect to the Executive shall, to the fullest extent permitted by law, be tolled until such breach or violation is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-173990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4" w:hanging="4"/>
        <w:spacing w:after="0" w:line="289" w:lineRule="auto"/>
        <w:tabs>
          <w:tab w:leader="none" w:pos="18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During the Executive’s engagement as a director or officer (or both) of Parent, and at all times thereafter during which the Executive may be subject to liability in connection with the Executive’s performance of his duties as a director or officer (or both) of Parent, the Executive shall be entitled to the protection set forth in the Indemnification Agreement between the Executive and the Company to be entered into on or about the Commencement Date, in addition to the protection of any insurance policies the Company may elect to maintain generally for the benefit of its directors and officers against all costs, charges, and expenses incurred or sustained by him in connection with any action, suit or proceeding to which he may be made a party by reason of his being or having been a director, officer or employee of the Company, as well as any rights the Executive may have under the Company’s articles of incorporation and bylaws (in each case, other than any dispute, claim or controversy arising under or relating to this Agreement or otherwise arising under or relating to the Executive’s engagement, equity ownership or compensation). Notwithstanding anything herein to the contrary, the Executive’s rights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survive the termination or expiration of this Agreement for any reason.</w:t>
      </w:r>
    </w:p>
    <w:p>
      <w:pPr>
        <w:spacing w:after="0" w:line="166" w:lineRule="exact"/>
        <w:rPr>
          <w:rFonts w:ascii="Arial" w:cs="Arial" w:eastAsia="Arial" w:hAnsi="Arial"/>
          <w:sz w:val="16"/>
          <w:szCs w:val="16"/>
          <w:color w:val="auto"/>
        </w:rPr>
      </w:pPr>
    </w:p>
    <w:p>
      <w:pPr>
        <w:ind w:left="4" w:right="200" w:hanging="4"/>
        <w:spacing w:after="0" w:line="269" w:lineRule="auto"/>
        <w:tabs>
          <w:tab w:leader="none" w:pos="27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Executive agrees that, subject to the Executive’s reasonable availability, during and after the Executive’s engagement with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engagement (including furnishing relevant information and materials to the Company or its designee and/or providing testimony at depositions and at trial);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reimburse the Executive for reasonable out-of-pocket expenses the Executive incurs that are associated with any such cooperation;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cooperation occurring after the termination of the Executive’s engagement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85" w:lineRule="auto"/>
        <w:tabs>
          <w:tab w:leader="none" w:pos="68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any such regulations or other guidance that may be issued after the Effective Date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in the event that the Company determines that any amounts payable hereunder will be taxable currently to the Executive under Section 409A(a)(1)(A) of the Code and related Department of Treasury guidance, the Company and the Executive shall cooperate in good faith to</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 adopt such amendments to this Agreement and appropriate policies and procedures, including amendments and policies</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69" w:name="page70"/>
    <w:bookmarkEnd w:id="69"/>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w:t>
      </w:r>
    </w:p>
    <w:p>
      <w:pPr>
        <w:ind w:left="4" w:right="80" w:hanging="4"/>
        <w:spacing w:after="0" w:line="292" w:lineRule="auto"/>
        <w:tabs>
          <w:tab w:leader="none" w:pos="26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take such other actions as mutually determined to be necessary or appropriate to exempt the amounts payable hereunder from Section 409A or to comply with the requirements of Section 409A and thereby avoid the application of penalty taxes thereunder;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does not create an obligation on the part of the Company to modify this Agreement and does not guarantee that the amounts payable hereunder will not be subject to interest or penalties under Section 409A, and in no event whatsoever shall the Company be liable for any additional tax, interest or penalties that may be imposed on the Executive as a result of Section 409A or any damages for failing to comply with Section 409A.</w:t>
      </w:r>
    </w:p>
    <w:p>
      <w:pPr>
        <w:spacing w:after="0" w:line="162"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To the extent Section 409A is applicable, notwithstanding any provision to the contrary in this Agreement: (i) no amount shall be payable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unless the termination of the Executive’s engagement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any portion of the additional compensation awarded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earlier of such dates, all payments deferred pursuant to this </w:t>
      </w:r>
      <w:r>
        <w:rPr>
          <w:rFonts w:ascii="Arial" w:cs="Arial" w:eastAsia="Arial" w:hAnsi="Arial"/>
          <w:sz w:val="16"/>
          <w:szCs w:val="16"/>
          <w:u w:val="single" w:color="auto"/>
          <w:color w:val="auto"/>
        </w:rPr>
        <w:t>Section 11(b)(ii)</w:t>
      </w:r>
      <w:r>
        <w:rPr>
          <w:rFonts w:ascii="Arial" w:cs="Arial" w:eastAsia="Arial" w:hAnsi="Arial"/>
          <w:sz w:val="16"/>
          <w:szCs w:val="16"/>
          <w:color w:val="auto"/>
        </w:rPr>
        <w:t xml:space="preserve">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Section 1.409A-1(i) of the Department of Treasury Regulations and any successor provision thereto); (iv) for purposes of Section 409A of the Code, the Executive’s right to receive installment payments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3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70" w:name="page71"/>
    <w:bookmarkEnd w:id="70"/>
    <w:p>
      <w:pPr>
        <w:ind w:left="264" w:hanging="264"/>
        <w:spacing w:after="0"/>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280G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Internal Revenue Code of 1986, and (ii) but for this sentence, be subject to the excise tax imposed by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(2)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67" w:lineRule="exact"/>
        <w:rPr>
          <w:rFonts w:ascii="Arial" w:cs="Arial" w:eastAsia="Arial" w:hAnsi="Arial"/>
          <w:sz w:val="16"/>
          <w:szCs w:val="16"/>
          <w:color w:val="auto"/>
        </w:rPr>
      </w:pPr>
    </w:p>
    <w:p>
      <w:pPr>
        <w:jc w:val="both"/>
        <w:ind w:left="4" w:right="180" w:firstLine="436"/>
        <w:spacing w:after="0" w:line="286" w:lineRule="auto"/>
        <w:tabs>
          <w:tab w:leader="none" w:pos="699" w:val="left"/>
        </w:tabs>
        <w:numPr>
          <w:ilvl w:val="1"/>
          <w:numId w:val="37"/>
        </w:numPr>
        <w:rPr>
          <w:rFonts w:ascii="Arial" w:cs="Arial" w:eastAsia="Arial" w:hAnsi="Arial"/>
          <w:sz w:val="16"/>
          <w:szCs w:val="16"/>
          <w:color w:val="auto"/>
        </w:rPr>
      </w:pPr>
      <w:r>
        <w:rPr>
          <w:rFonts w:ascii="Arial" w:cs="Arial" w:eastAsia="Arial" w:hAnsi="Arial"/>
          <w:sz w:val="16"/>
          <w:szCs w:val="16"/>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w:t>
      </w:r>
    </w:p>
    <w:p>
      <w:pPr>
        <w:spacing w:after="0" w:line="1"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192" w:lineRule="exact"/>
        <w:rPr>
          <w:rFonts w:ascii="Arial" w:cs="Arial" w:eastAsia="Arial" w:hAnsi="Arial"/>
          <w:sz w:val="16"/>
          <w:szCs w:val="16"/>
          <w:color w:val="auto"/>
        </w:rPr>
      </w:pPr>
    </w:p>
    <w:p>
      <w:pPr>
        <w:ind w:left="4" w:hanging="4"/>
        <w:spacing w:after="0" w:line="293" w:lineRule="auto"/>
        <w:tabs>
          <w:tab w:leader="none" w:pos="27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xml:space="preserve">.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engagement, all unpaid amounts otherwise due to the Executive (including under </w:t>
      </w:r>
      <w:r>
        <w:rPr>
          <w:rFonts w:ascii="Arial" w:cs="Arial" w:eastAsia="Arial" w:hAnsi="Arial"/>
          <w:sz w:val="16"/>
          <w:szCs w:val="16"/>
          <w:u w:val="single" w:color="auto"/>
          <w:color w:val="auto"/>
        </w:rPr>
        <w:t>Section 5</w:t>
      </w:r>
      <w:r>
        <w:rPr>
          <w:rFonts w:ascii="Arial" w:cs="Arial" w:eastAsia="Arial" w:hAnsi="Arial"/>
          <w:sz w:val="16"/>
          <w:szCs w:val="16"/>
          <w:color w:val="auto"/>
        </w:rPr>
        <w:t>) shall be paid to his estate.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71" w:name="page72"/>
    <w:bookmarkEnd w:id="71"/>
    <w:p>
      <w:pPr>
        <w:jc w:val="both"/>
        <w:ind w:left="4" w:right="400" w:hanging="4"/>
        <w:spacing w:after="0" w:line="263"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183" w:lineRule="exact"/>
        <w:rPr>
          <w:rFonts w:ascii="Arial" w:cs="Arial" w:eastAsia="Arial" w:hAnsi="Arial"/>
          <w:sz w:val="18"/>
          <w:szCs w:val="18"/>
          <w:color w:val="auto"/>
        </w:rPr>
      </w:pPr>
    </w:p>
    <w:p>
      <w:pPr>
        <w:ind w:left="4" w:right="380" w:hanging="4"/>
        <w:spacing w:after="0" w:line="277"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left="4" w:right="100" w:hanging="4"/>
        <w:spacing w:after="0" w:line="259"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Chief Executive Officer.</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225" w:lineRule="exact"/>
        <w:rPr>
          <w:rFonts w:ascii="Arial" w:cs="Arial" w:eastAsia="Arial" w:hAnsi="Arial"/>
          <w:sz w:val="18"/>
          <w:szCs w:val="18"/>
          <w:color w:val="auto"/>
        </w:rPr>
      </w:pPr>
    </w:p>
    <w:p>
      <w:pPr>
        <w:ind w:left="4" w:right="240" w:hanging="4"/>
        <w:spacing w:after="0" w:line="277"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4" w:hanging="4"/>
        <w:spacing w:after="0" w:line="271" w:lineRule="auto"/>
        <w:tabs>
          <w:tab w:leader="none" w:pos="27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Executive’s engagement with the Company and its Affiliates and to supersede any and all prior agreements, communications expressing the Company’s offer to the Executive, severance agreements and similar agreements, plans, provisions, understandings or arrangements, whether written or oral,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78" w:lineRule="exact"/>
        <w:rPr>
          <w:rFonts w:ascii="Arial" w:cs="Arial" w:eastAsia="Arial" w:hAnsi="Arial"/>
          <w:sz w:val="17"/>
          <w:szCs w:val="17"/>
          <w:color w:val="auto"/>
        </w:rPr>
      </w:pPr>
    </w:p>
    <w:p>
      <w:pPr>
        <w:ind w:left="4" w:right="20" w:hanging="4"/>
        <w:spacing w:after="0" w:line="254"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72" w:name="page73"/>
    <w:bookmarkEnd w:id="72"/>
    <w:p>
      <w:pPr>
        <w:jc w:val="both"/>
        <w:ind w:left="4" w:right="200" w:hanging="4"/>
        <w:spacing w:after="0" w:line="263" w:lineRule="auto"/>
        <w:tabs>
          <w:tab w:leader="none" w:pos="27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3" w:lineRule="exact"/>
        <w:rPr>
          <w:rFonts w:ascii="Arial" w:cs="Arial" w:eastAsia="Arial" w:hAnsi="Arial"/>
          <w:sz w:val="18"/>
          <w:szCs w:val="18"/>
          <w:color w:val="auto"/>
        </w:rPr>
      </w:pPr>
    </w:p>
    <w:p>
      <w:pPr>
        <w:ind w:left="4" w:right="80" w:hanging="4"/>
        <w:spacing w:after="0" w:line="285" w:lineRule="auto"/>
        <w:tabs>
          <w:tab w:leader="none" w:pos="27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(c) “any,” “all,” “each,” or “every” means “any and all,” and “each and every”; (d) “includes” and “including” are each “without limitation”; and</w:t>
      </w:r>
    </w:p>
    <w:p>
      <w:pPr>
        <w:spacing w:after="0" w:line="20" w:lineRule="exact"/>
        <w:rPr>
          <w:rFonts w:ascii="Arial" w:cs="Arial" w:eastAsia="Arial" w:hAnsi="Arial"/>
          <w:sz w:val="16"/>
          <w:szCs w:val="16"/>
          <w:color w:val="auto"/>
        </w:rPr>
      </w:pPr>
    </w:p>
    <w:p>
      <w:pPr>
        <w:ind w:left="4" w:right="160"/>
        <w:spacing w:after="0" w:line="260" w:lineRule="auto"/>
        <w:rPr>
          <w:rFonts w:ascii="Arial" w:cs="Arial" w:eastAsia="Arial" w:hAnsi="Arial"/>
          <w:sz w:val="16"/>
          <w:szCs w:val="16"/>
          <w:color w:val="auto"/>
        </w:rPr>
      </w:pPr>
      <w:r>
        <w:rPr>
          <w:rFonts w:ascii="Arial" w:cs="Arial" w:eastAsia="Arial" w:hAnsi="Arial"/>
          <w:sz w:val="18"/>
          <w:szCs w:val="18"/>
          <w:color w:val="auto"/>
        </w:rPr>
        <w:t>(e) “herein,” “hereof,” “hereunder,” and other similar compounds of the word “here” refer to the entire Agreement and not to any particular paragraph, subparagraph, section or subsection.</w:t>
      </w:r>
    </w:p>
    <w:p>
      <w:pPr>
        <w:spacing w:after="0" w:line="185" w:lineRule="exact"/>
        <w:rPr>
          <w:rFonts w:ascii="Arial" w:cs="Arial" w:eastAsia="Arial" w:hAnsi="Arial"/>
          <w:sz w:val="16"/>
          <w:szCs w:val="16"/>
          <w:color w:val="auto"/>
        </w:rPr>
      </w:pPr>
    </w:p>
    <w:p>
      <w:pPr>
        <w:ind w:left="4" w:right="20" w:hanging="4"/>
        <w:spacing w:after="0" w:line="272" w:lineRule="auto"/>
        <w:tabs>
          <w:tab w:leader="none" w:pos="27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77" w:lineRule="exact"/>
        <w:rPr>
          <w:rFonts w:ascii="Arial" w:cs="Arial" w:eastAsia="Arial" w:hAnsi="Arial"/>
          <w:sz w:val="17"/>
          <w:szCs w:val="17"/>
          <w:color w:val="auto"/>
        </w:rPr>
      </w:pPr>
    </w:p>
    <w:p>
      <w:pPr>
        <w:ind w:left="4" w:right="80" w:hanging="4"/>
        <w:spacing w:after="0" w:line="273" w:lineRule="auto"/>
        <w:tabs>
          <w:tab w:leader="none" w:pos="27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7" w:lineRule="exact"/>
        <w:rPr>
          <w:rFonts w:ascii="Arial" w:cs="Arial" w:eastAsia="Arial" w:hAnsi="Arial"/>
          <w:sz w:val="17"/>
          <w:szCs w:val="17"/>
          <w:color w:val="auto"/>
        </w:rPr>
      </w:pPr>
    </w:p>
    <w:p>
      <w:pPr>
        <w:ind w:left="4" w:hanging="4"/>
        <w:spacing w:after="0" w:line="263" w:lineRule="auto"/>
        <w:tabs>
          <w:tab w:leader="none" w:pos="27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73" w:name="page74"/>
    <w:bookmarkEnd w:id="73"/>
    <w:p>
      <w:pPr>
        <w:ind w:left="4" w:right="120" w:hanging="4"/>
        <w:spacing w:after="0" w:line="255"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Clawback</w:t>
      </w:r>
      <w:r>
        <w:rPr>
          <w:rFonts w:ascii="Arial" w:cs="Arial" w:eastAsia="Arial" w:hAnsi="Arial"/>
          <w:sz w:val="18"/>
          <w:szCs w:val="18"/>
          <w:color w:val="auto"/>
        </w:rPr>
        <w:t xml:space="preserve">. To the extent required by applicable law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304 of the Sarbanes-Oxley Act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192" w:lineRule="exact"/>
        <w:rPr>
          <w:rFonts w:ascii="Arial" w:cs="Arial" w:eastAsia="Arial" w:hAnsi="Arial"/>
          <w:sz w:val="18"/>
          <w:szCs w:val="18"/>
          <w:color w:val="auto"/>
        </w:rPr>
      </w:pPr>
    </w:p>
    <w:p>
      <w:pPr>
        <w:ind w:left="4" w:right="60" w:hanging="4"/>
        <w:spacing w:after="0" w:line="308" w:lineRule="auto"/>
        <w:tabs>
          <w:tab w:leader="none" w:pos="27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46" w:lineRule="exact"/>
        <w:rPr>
          <w:rFonts w:ascii="Arial" w:cs="Arial" w:eastAsia="Arial" w:hAnsi="Arial"/>
          <w:sz w:val="17"/>
          <w:szCs w:val="17"/>
          <w:color w:val="auto"/>
        </w:rPr>
      </w:pPr>
    </w:p>
    <w:p>
      <w:pPr>
        <w:ind w:left="4" w:right="20" w:hanging="4"/>
        <w:spacing w:after="0" w:line="271" w:lineRule="auto"/>
        <w:tabs>
          <w:tab w:leader="none" w:pos="27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spacing w:after="0" w:line="178" w:lineRule="exact"/>
        <w:rPr>
          <w:rFonts w:ascii="Arial" w:cs="Arial" w:eastAsia="Arial" w:hAnsi="Arial"/>
          <w:sz w:val="17"/>
          <w:szCs w:val="17"/>
          <w:color w:val="auto"/>
        </w:rPr>
      </w:pPr>
    </w:p>
    <w:p>
      <w:pPr>
        <w:ind w:left="4" w:hanging="4"/>
        <w:spacing w:after="0" w:line="277"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Representative Director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35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 Soo Woo</w:t>
      </w:r>
    </w:p>
    <w:p>
      <w:pPr>
        <w:sectPr>
          <w:pgSz w:w="11900" w:h="16838" w:orient="portrait"/>
          <w:cols w:equalWidth="0" w:num="1">
            <w:col w:w="10400"/>
          </w:cols>
          <w:pgMar w:left="880" w:top="274" w:right="6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22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Executive Service</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Agreement dated between MagnaChip Semiconductor, Ltd. (the “</w:t>
      </w:r>
      <w:r>
        <w:rPr>
          <w:rFonts w:ascii="Arial" w:cs="Arial" w:eastAsia="Arial" w:hAnsi="Arial"/>
          <w:sz w:val="18"/>
          <w:szCs w:val="18"/>
          <w:u w:val="single" w:color="auto"/>
          <w:color w:val="auto"/>
        </w:rPr>
        <w:t>Company</w:t>
      </w:r>
      <w:r>
        <w:rPr>
          <w:rFonts w:ascii="Arial" w:cs="Arial" w:eastAsia="Arial" w:hAnsi="Arial"/>
          <w:sz w:val="18"/>
          <w:szCs w:val="18"/>
          <w:color w:val="auto"/>
        </w:rPr>
        <w:t>), MagnaChip Semiconductor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Young Soo Woo (my “</w:t>
      </w:r>
      <w:r>
        <w:rPr>
          <w:rFonts w:ascii="Arial" w:cs="Arial" w:eastAsia="Arial" w:hAnsi="Arial"/>
          <w:sz w:val="18"/>
          <w:szCs w:val="18"/>
          <w:u w:val="single" w:color="auto"/>
          <w:color w:val="auto"/>
        </w:rPr>
        <w:t>Service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-172720</wp:posOffset>
            </wp:positionV>
            <wp:extent cx="571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5"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 xml:space="preserve">For and in consideration of the payments and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the Service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benefit plans in which I am or have been a participant by virtue of my engagement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engagement with or service to the Company or the termination thereof, including any and all claims arising under national, federal, provincial, state or local laws relating to employment, including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-1670050</wp:posOffset>
            </wp:positionV>
            <wp:extent cx="285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76" w:name="page77"/>
    <w:bookmarkEnd w:id="76"/>
    <w:p>
      <w:pPr>
        <w:ind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Proceeding</w:t>
      </w:r>
      <w:r>
        <w:rPr>
          <w:rFonts w:ascii="Arial" w:cs="Arial" w:eastAsia="Arial" w:hAnsi="Arial"/>
          <w:sz w:val="17"/>
          <w:szCs w:val="17"/>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except where otherwise provided by law, including any Proceeding conducted by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78"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By executing this Release, I specifically release all claims relating to my engagement with and service to the Company, and its termination, under ADEA, a federal statute that, among other things, prohibits discrimination on the basis of age in engagement and benefit plans.</w:t>
      </w:r>
    </w:p>
    <w:p>
      <w:pPr>
        <w:spacing w:after="0" w:line="14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Notwithstanding the generality of the foregoing, I do not release (i) claims to receive payments and benefits under Section 5(b) of the Service Agreement in accordance with the terms of the Service Agreement, (ii) claims for indemnification arising under any applicable indemnification obligation of the Company, (iii) any vested rights I may have under any qualified benefit plans, programs or policies of the Company,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-597535</wp:posOffset>
            </wp:positionV>
            <wp:extent cx="28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Nothing in this Agreement, or any other agreement with the Company, prohibits or is intended in any manner to prohibit, me from (i) reporting a possible violation of federal or other applicable law or regulation to any governmental agency or entity, including the Department of Justice, the SEC, the U.S. Congress and any governmental agency Inspector General, or (ii) making other disclosures that are protected under whistleblower provisions of federal law or regulation. This Agreement does not limit my right to receive an award (including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92"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77" w:name="page78"/>
    <w:bookmarkEnd w:id="77"/>
    <w:p>
      <w:pPr>
        <w:jc w:val="both"/>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1"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Service Agreement unless this Release is effective on or before the date that is 60 days following the Date of Termination (as defined in the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-195580</wp:posOffset>
            </wp:positionV>
            <wp:extent cx="28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 hereby agree to waive any and all claims to re-engagement with the Company and affirmatively agree not to seek further engagement with the Company.</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10.9</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SERVICE AGREEMENT</w:t>
      </w:r>
    </w:p>
    <w:p>
      <w:pPr>
        <w:spacing w:after="0" w:line="229" w:lineRule="exact"/>
        <w:rPr>
          <w:sz w:val="20"/>
          <w:szCs w:val="20"/>
          <w:color w:val="auto"/>
        </w:rPr>
      </w:pPr>
    </w:p>
    <w:p>
      <w:pPr>
        <w:ind w:left="4" w:right="300" w:firstLine="440"/>
        <w:spacing w:after="0" w:line="279" w:lineRule="auto"/>
        <w:rPr>
          <w:sz w:val="20"/>
          <w:szCs w:val="20"/>
          <w:color w:val="auto"/>
        </w:rPr>
      </w:pPr>
      <w:r>
        <w:rPr>
          <w:rFonts w:ascii="Arial" w:cs="Arial" w:eastAsia="Arial" w:hAnsi="Arial"/>
          <w:sz w:val="17"/>
          <w:szCs w:val="17"/>
          <w:color w:val="auto"/>
        </w:rPr>
        <w:t>This Executive Service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entered into on June 1,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between Chan Ho Park (the “</w:t>
      </w:r>
      <w:r>
        <w:rPr>
          <w:rFonts w:ascii="Arial" w:cs="Arial" w:eastAsia="Arial" w:hAnsi="Arial"/>
          <w:sz w:val="17"/>
          <w:szCs w:val="17"/>
          <w:u w:val="single" w:color="auto"/>
          <w:color w:val="auto"/>
        </w:rPr>
        <w:t>Executive</w:t>
      </w:r>
      <w:r>
        <w:rPr>
          <w:rFonts w:ascii="Arial" w:cs="Arial" w:eastAsia="Arial" w:hAnsi="Arial"/>
          <w:sz w:val="17"/>
          <w:szCs w:val="17"/>
          <w:color w:val="auto"/>
        </w:rPr>
        <w:t>”), on the one hand, and MagnaChip Semiconductor Corporation,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MagnaChip Semiconductor, Ltd., a wholly owned subsidiary of Parent (“</w:t>
      </w:r>
      <w:r>
        <w:rPr>
          <w:rFonts w:ascii="Arial" w:cs="Arial" w:eastAsia="Arial" w:hAnsi="Arial"/>
          <w:sz w:val="17"/>
          <w:szCs w:val="17"/>
          <w:u w:val="single" w:color="auto"/>
          <w:color w:val="auto"/>
        </w:rPr>
        <w:t>MSK</w:t>
      </w:r>
      <w:r>
        <w:rPr>
          <w:rFonts w:ascii="Arial" w:cs="Arial" w:eastAsia="Arial" w:hAnsi="Arial"/>
          <w:sz w:val="17"/>
          <w:szCs w:val="17"/>
          <w:color w:val="auto"/>
        </w:rPr>
        <w:t>” and together with Parent and each of its Affiliates that may engage the Executive from time to time, including any and all successors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on the other hand.</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 The Company wishes to engage the Executive, and the Executive wishes to provide services to the Company, as further set forth herein.</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The Company and the Executive desire to enter into this Agreement to set forth the rights and obligations of the parties hereto.</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170" w:lineRule="exact"/>
        <w:rPr>
          <w:sz w:val="20"/>
          <w:szCs w:val="20"/>
          <w:color w:val="auto"/>
        </w:rPr>
      </w:pPr>
    </w:p>
    <w:p>
      <w:pPr>
        <w:ind w:left="184" w:hanging="184"/>
        <w:spacing w:after="0"/>
        <w:tabs>
          <w:tab w:leader="none" w:pos="1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436"/>
        <w:spacing w:after="0" w:line="308" w:lineRule="auto"/>
        <w:tabs>
          <w:tab w:leader="none" w:pos="689"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46" w:lineRule="exact"/>
        <w:rPr>
          <w:rFonts w:ascii="Arial" w:cs="Arial" w:eastAsia="Arial" w:hAnsi="Arial"/>
          <w:sz w:val="17"/>
          <w:szCs w:val="17"/>
          <w:color w:val="auto"/>
        </w:rPr>
      </w:pPr>
    </w:p>
    <w:p>
      <w:pPr>
        <w:ind w:left="704" w:hanging="264"/>
        <w:spacing w:after="0"/>
        <w:tabs>
          <w:tab w:leader="none" w:pos="704"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4" w:right="380" w:firstLine="436"/>
        <w:spacing w:after="0" w:line="277" w:lineRule="auto"/>
        <w:tabs>
          <w:tab w:leader="none" w:pos="689"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For the avoidance of doubt, none of the Annual Bonus, the Signing Bonus or the Special Bonus shall be included in, or be a part of, the Annual Base Salary.</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 Payment Date</w:t>
      </w:r>
      <w:r>
        <w:rPr>
          <w:rFonts w:ascii="Arial" w:cs="Arial" w:eastAsia="Arial" w:hAnsi="Arial"/>
          <w:sz w:val="17"/>
          <w:szCs w:val="17"/>
          <w:color w:val="auto"/>
        </w:rPr>
        <w:t>” shall mean the day on which the Executive receives his monthly installment of his Annual Base Salary.</w:t>
      </w:r>
    </w:p>
    <w:p>
      <w:pPr>
        <w:spacing w:after="0" w:line="236" w:lineRule="exact"/>
        <w:rPr>
          <w:rFonts w:ascii="Arial" w:cs="Arial" w:eastAsia="Arial" w:hAnsi="Arial"/>
          <w:sz w:val="17"/>
          <w:szCs w:val="17"/>
          <w:color w:val="auto"/>
        </w:rPr>
      </w:pPr>
    </w:p>
    <w:p>
      <w:pPr>
        <w:ind w:left="664" w:hanging="224"/>
        <w:spacing w:after="0"/>
        <w:tabs>
          <w:tab w:leader="none" w:pos="6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4" w:right="220" w:firstLine="436"/>
        <w:spacing w:after="0" w:line="254" w:lineRule="auto"/>
        <w:tabs>
          <w:tab w:leader="none" w:pos="6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shall have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to terminate the Executive’s engagement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4(a)(iii) hereunder upon (i) the Executive’s conviction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(iv) the Executive’s refusal to fulfill the Executive’s duties and responsibilities (other than by reason of death or Disability) to the Company; (v) the Executive’s material violation of any established lawful policy of the Company; (vi) the Executive’s material breach of any of the terms of any agreement the Executive has with the Company; (vii) the Executive’s habitual</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79" w:name="page80"/>
    <w:bookmarkEnd w:id="7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use of illicit drugs or habitual abuse of alcohol that affects his job performance; or (viii) any gross negligence, material misconduct or material wrongful act or omission on the Executive’s part in connection with the Executive’s duties and responsibilities to the Company. The Company may terminate the Executive’s engagement for Cause under this Agreement, following issuance to the Executive of written notice of the circumstances the Company believes constitute Cause, at any time within 90 days after it becomes aware of such circumstances;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if the basis for termination is curable, then the Executive shall have 15 days after receipt of such written notice to cure such basis, and if not cured, the Company may terminate the Executive’s engagement for Cause at any time within 90 days after the expiration of such cure period. If, within 90 days subsequent to termination of Executive’s engagement for any reason (other than by the Company for Cause), the Company determines that the Executive’s engagement could have been terminated for Cause, the Executive’s engagement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Company’s ability to retroactively determine that the Executive’s engagement could have been terminated for Cause under this sentence will cease upon the occurrence of a Change in Control.</w:t>
      </w:r>
    </w:p>
    <w:p>
      <w:pPr>
        <w:spacing w:after="0" w:line="179" w:lineRule="exact"/>
        <w:rPr>
          <w:sz w:val="20"/>
          <w:szCs w:val="20"/>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shall mean the Chief Executive Officer of Parent.</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given to such term in the Equity Incentive Plan.</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first day on which the Executive reports to work with the Company.</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xml:space="preserve">” shall mean the effective date of termination of Executive’s engagement,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436"/>
        <w:spacing w:after="0" w:line="286" w:lineRule="auto"/>
        <w:tabs>
          <w:tab w:leader="none" w:pos="7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180 calendar days during any period of 365 consecutive calendar days, and such incapacity is expected to continue.</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Awards</w:t>
      </w:r>
      <w:r>
        <w:rPr>
          <w:rFonts w:ascii="Arial" w:cs="Arial" w:eastAsia="Arial" w:hAnsi="Arial"/>
          <w:sz w:val="18"/>
          <w:szCs w:val="18"/>
          <w:color w:val="auto"/>
        </w:rPr>
        <w:t>” means the equity awards that the Executive may receive subject to the Board’s approval and under the terms of the Equity Incentive Plan and standard forms of award agreements under the Equity Incentive Plan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means, as applicable, the MagnaChip Semiconductor Corporation 2011 Equity Incentive Plan or any successor equity incentive plan of the Parent, as amended or amended and restated from time to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80" w:name="page81"/>
    <w:bookmarkEnd w:id="80"/>
    <w:p>
      <w:pPr>
        <w:ind w:right="20" w:firstLine="436"/>
        <w:spacing w:after="0" w:line="263" w:lineRule="auto"/>
        <w:tabs>
          <w:tab w:leader="none" w:pos="66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Final Base Salary</w:t>
      </w:r>
      <w:r>
        <w:rPr>
          <w:rFonts w:ascii="Arial" w:cs="Arial" w:eastAsia="Arial" w:hAnsi="Arial"/>
          <w:sz w:val="18"/>
          <w:szCs w:val="18"/>
          <w:color w:val="auto"/>
        </w:rPr>
        <w:t>” means the Executive’s Annual Base Salary as in effect immediately prior to the termination of the Executive’s engagement (or, if clause (i) or (ii) of the definition of “Good Reason” is implicated, immediately before any relevant diminution of the Executive’s Annual Base Salary).</w:t>
      </w:r>
    </w:p>
    <w:p>
      <w:pPr>
        <w:spacing w:after="0" w:line="183" w:lineRule="exact"/>
        <w:rPr>
          <w:rFonts w:ascii="Arial" w:cs="Arial" w:eastAsia="Arial" w:hAnsi="Arial"/>
          <w:sz w:val="18"/>
          <w:szCs w:val="18"/>
          <w:color w:val="auto"/>
        </w:rPr>
      </w:pPr>
    </w:p>
    <w:p>
      <w:pPr>
        <w:ind w:firstLine="436"/>
        <w:spacing w:after="0" w:line="283" w:lineRule="auto"/>
        <w:tabs>
          <w:tab w:leader="none" w:pos="6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to resign or otherwise terminate his engagement with the Company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the event that any of the following actions are taken by the Company without his consent: (i) if upon or following a Change in Control, a diminution in the Executive’s Annual Base Salary or Target Annual Bonus opportunity; (ii) if prior to a Change in Control, a diminution in (A) the Executive’s Annual Base Salary, other than an across the board cumulative reduction of no more than 15% that applies in a similar manner to all similarly-situated members of the senior management of the Company or (B) the Executive’s Target Annual Bonus opportunity (other than a reduction that occurs as a result of a reduction described in the foregoing clause (A)); (iii) the Company’s material breach of any of the material terms of any material agreement between the Executive and the Company; or (iv) a non-temporary relocation of the Executive’s primary work location by the Company to a location that is more than 35 miles from the Executive’s principal place of service as of the date hereof (which the parties acknowledge is Seoul, South Korea and/or Cheongju, South Korea) and that increases the Executive’s one-way commute to work by more than 35 miles. The Executive will not have Good Reason to terminate his engagement and receive payments or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unless the Executive provides the Board and the CEO with written notice of the circumstances the Executive believes constitute Good Reason within 30 days after the occurrence of such circumstances. If the Company does not cure within 15 days after receipt of such written notice, then the Executive may terminate his engagement for Good Reason at any time within 90 days after the expiration of such cure period. If the Executive terminates his engagement prior to the expiration of the 15-day cure period or more than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90 days after the expiration of the cure period, the Executive will not be treated as having terminated his engagement for Good Reason.</w:t>
      </w:r>
    </w:p>
    <w:p>
      <w:pPr>
        <w:spacing w:after="0" w:line="210" w:lineRule="exact"/>
        <w:rPr>
          <w:rFonts w:ascii="Arial" w:cs="Arial" w:eastAsia="Arial" w:hAnsi="Arial"/>
          <w:sz w:val="16"/>
          <w:szCs w:val="16"/>
          <w:color w:val="auto"/>
        </w:rPr>
      </w:pPr>
    </w:p>
    <w:p>
      <w:pPr>
        <w:ind w:left="660" w:hanging="22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1040" w:firstLine="436"/>
        <w:spacing w:after="0" w:line="27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have the meaning set forth in the Equity Incentive Plan.</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(aa) “</w:t>
      </w:r>
      <w:r>
        <w:rPr>
          <w:rFonts w:ascii="Arial" w:cs="Arial" w:eastAsia="Arial" w:hAnsi="Arial"/>
          <w:sz w:val="18"/>
          <w:szCs w:val="18"/>
          <w:u w:val="single" w:color="auto"/>
          <w:color w:val="auto"/>
        </w:rPr>
        <w:t>Special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1" w:name="page82"/>
    <w:bookmarkEnd w:id="81"/>
    <w:p>
      <w:pPr>
        <w:ind w:left="4" w:right="100" w:firstLine="436"/>
        <w:spacing w:after="0" w:line="277" w:lineRule="auto"/>
        <w:tabs>
          <w:tab w:leader="none" w:pos="789"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cash bonus plan as is then in effect.</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Executive’s Service.</w:t>
      </w:r>
    </w:p>
    <w:p>
      <w:pPr>
        <w:spacing w:after="0" w:line="225" w:lineRule="exact"/>
        <w:rPr>
          <w:rFonts w:ascii="Arial" w:cs="Arial" w:eastAsia="Arial" w:hAnsi="Arial"/>
          <w:sz w:val="18"/>
          <w:szCs w:val="18"/>
          <w:color w:val="auto"/>
        </w:rPr>
      </w:pPr>
    </w:p>
    <w:p>
      <w:pPr>
        <w:ind w:left="4" w:right="440" w:firstLine="436"/>
        <w:spacing w:after="0" w:line="277" w:lineRule="auto"/>
        <w:tabs>
          <w:tab w:leader="none" w:pos="68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Company shall engage the Executive, and the Executive shall provide services to the Company,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170" w:lineRule="exact"/>
        <w:rPr>
          <w:rFonts w:ascii="Arial" w:cs="Arial" w:eastAsia="Arial" w:hAnsi="Arial"/>
          <w:sz w:val="18"/>
          <w:szCs w:val="18"/>
          <w:color w:val="auto"/>
        </w:rPr>
      </w:pPr>
    </w:p>
    <w:p>
      <w:pPr>
        <w:ind w:left="4" w:right="220" w:firstLine="436"/>
        <w:spacing w:after="0" w:line="311" w:lineRule="auto"/>
        <w:tabs>
          <w:tab w:leader="none" w:pos="699"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begin on the Effective Date and remain in effect, until terminated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Notwithstanding anything herein to the contrary, the Executive’s engagement with the Company shall be “at-will”, and the Executive or the Company may terminate the Executive’s engagement for any reason or no reason at any time, in either case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4 hereunder.</w:t>
      </w:r>
    </w:p>
    <w:p>
      <w:pPr>
        <w:spacing w:after="0" w:line="148" w:lineRule="exact"/>
        <w:rPr>
          <w:rFonts w:ascii="Arial" w:cs="Arial" w:eastAsia="Arial" w:hAnsi="Arial"/>
          <w:sz w:val="16"/>
          <w:szCs w:val="16"/>
          <w:color w:val="auto"/>
        </w:rPr>
      </w:pPr>
    </w:p>
    <w:p>
      <w:pPr>
        <w:ind w:left="684" w:hanging="244"/>
        <w:spacing w:after="0"/>
        <w:tabs>
          <w:tab w:leader="none" w:pos="68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9" w:lineRule="auto"/>
        <w:tabs>
          <w:tab w:leader="none" w:pos="1210"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During the Term, the Executive shall serve as General Manager of Power Solutions of MSK, with responsibilities, duties and authority customary for such position;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alter such responsibilities, duties and authority from time to time. The Executive shall also serve as an officer of other Affiliates of the Company as requested by the Company.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his full business time, skill, attention and best efforts to the performance of his duties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spacing w:after="0" w:line="181" w:lineRule="exact"/>
        <w:rPr>
          <w:rFonts w:ascii="Arial" w:cs="Arial" w:eastAsia="Arial" w:hAnsi="Arial"/>
          <w:sz w:val="17"/>
          <w:szCs w:val="17"/>
          <w:color w:val="auto"/>
        </w:rPr>
      </w:pPr>
    </w:p>
    <w:p>
      <w:pPr>
        <w:ind w:left="4" w:right="180" w:firstLine="987"/>
        <w:spacing w:after="0" w:line="263" w:lineRule="auto"/>
        <w:tabs>
          <w:tab w:leader="none" w:pos="12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Executive shall be principally based at the Company’s offices in Seoul, South Korea or Cheongju, South Korea. The Executive shall perform his duties and responsibilities to the Company at such principal place of service and at such other location(s) to which the Company may reasonably require the Executive to travel for Company business purposes.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20" w:firstLine="436"/>
        <w:spacing w:after="0" w:line="263" w:lineRule="auto"/>
        <w:tabs>
          <w:tab w:leader="none" w:pos="68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During the Term, the Executive shall receive a base salary at a rate of Three Hundred Thirty Thousand United States Dollars (USD 330,000.00) per annum, which shall be paid in accordance with the customary payroll practices of the Company (the “</w:t>
      </w:r>
      <w:r>
        <w:rPr>
          <w:rFonts w:ascii="Arial" w:cs="Arial" w:eastAsia="Arial" w:hAnsi="Arial"/>
          <w:sz w:val="18"/>
          <w:szCs w:val="18"/>
          <w:u w:val="single" w:color="auto"/>
          <w:color w:val="auto"/>
        </w:rPr>
        <w:t>Annual 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82" w:name="page83"/>
    <w:bookmarkEnd w:id="82"/>
    <w:p>
      <w:pPr>
        <w:ind w:right="320" w:firstLine="436"/>
        <w:spacing w:after="0" w:line="277"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Special Bonus</w:t>
      </w:r>
      <w:r>
        <w:rPr>
          <w:rFonts w:ascii="Arial" w:cs="Arial" w:eastAsia="Arial" w:hAnsi="Arial"/>
          <w:sz w:val="18"/>
          <w:szCs w:val="18"/>
          <w:color w:val="auto"/>
        </w:rPr>
        <w:t>. During the Term, the Executive shall receive a cash bonus (the “</w:t>
      </w:r>
      <w:r>
        <w:rPr>
          <w:rFonts w:ascii="Arial" w:cs="Arial" w:eastAsia="Arial" w:hAnsi="Arial"/>
          <w:sz w:val="18"/>
          <w:szCs w:val="18"/>
          <w:u w:val="single" w:color="auto"/>
          <w:color w:val="auto"/>
        </w:rPr>
        <w:t>Special Bonus</w:t>
      </w:r>
      <w:r>
        <w:rPr>
          <w:rFonts w:ascii="Arial" w:cs="Arial" w:eastAsia="Arial" w:hAnsi="Arial"/>
          <w:sz w:val="18"/>
          <w:szCs w:val="18"/>
          <w:color w:val="auto"/>
        </w:rPr>
        <w:t>”) of Eighty Thousand United States Dollars (USD 80,000.00) per annum, which shall be paid in monthly installments on each Base Salary Payment Date.</w:t>
      </w:r>
    </w:p>
    <w:p>
      <w:pPr>
        <w:spacing w:after="0" w:line="170" w:lineRule="exact"/>
        <w:rPr>
          <w:rFonts w:ascii="Arial" w:cs="Arial" w:eastAsia="Arial" w:hAnsi="Arial"/>
          <w:sz w:val="18"/>
          <w:szCs w:val="18"/>
          <w:color w:val="auto"/>
        </w:rPr>
      </w:pPr>
    </w:p>
    <w:p>
      <w:pPr>
        <w:ind w:right="240" w:firstLine="436"/>
        <w:spacing w:after="0" w:line="259"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With respect to each calendar year that ends during the Term, the Executive shall be eligible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under the terms of the Company’s cash bonus plan as is then in effect. It is currently intended that the Board will set the Executive’s target Annual Bonus at 50% of the Executive’s Annual Base Salary, which target Annual Bonus may be increased by the Board in its discretion.</w:t>
      </w:r>
    </w:p>
    <w:p>
      <w:pPr>
        <w:spacing w:after="0" w:line="186" w:lineRule="exact"/>
        <w:rPr>
          <w:rFonts w:ascii="Arial" w:cs="Arial" w:eastAsia="Arial" w:hAnsi="Arial"/>
          <w:sz w:val="18"/>
          <w:szCs w:val="18"/>
          <w:color w:val="auto"/>
        </w:rPr>
      </w:pPr>
    </w:p>
    <w:p>
      <w:pPr>
        <w:ind w:right="200" w:firstLine="436"/>
        <w:spacing w:after="0" w:line="254"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Signing Bonus</w:t>
      </w:r>
      <w:r>
        <w:rPr>
          <w:rFonts w:ascii="Arial" w:cs="Arial" w:eastAsia="Arial" w:hAnsi="Arial"/>
          <w:sz w:val="18"/>
          <w:szCs w:val="18"/>
          <w:color w:val="auto"/>
        </w:rPr>
        <w:t>. On the first Base Salary Payment Date, the Executive shall receive a one-time cash bonus (the “</w:t>
      </w:r>
      <w:r>
        <w:rPr>
          <w:rFonts w:ascii="Arial" w:cs="Arial" w:eastAsia="Arial" w:hAnsi="Arial"/>
          <w:sz w:val="18"/>
          <w:szCs w:val="18"/>
          <w:u w:val="single" w:color="auto"/>
          <w:color w:val="auto"/>
        </w:rPr>
        <w:t>Signing Bonus</w:t>
      </w:r>
      <w:r>
        <w:rPr>
          <w:rFonts w:ascii="Arial" w:cs="Arial" w:eastAsia="Arial" w:hAnsi="Arial"/>
          <w:sz w:val="18"/>
          <w:szCs w:val="18"/>
          <w:color w:val="auto"/>
        </w:rPr>
        <w:t xml:space="preserve">”) of One Hundred Thousand United States Dollars (USD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first anniversary of the Commencement Date, (i) if the Executive resigns from the Company for any reason, then the Executive shall repay to the Company a prorated amount of the Signing Bonus, which prorated amount shall be calculated by multiplying the Signing Bonus by a fraction, (x) the numerator of which equals 365 minus the number of days that have elapsed between the Commencement Date and the date of Executive’s resignation and (y) the denominator of which equals 365, or (ii) if the Company terminates the Executive’s engagement for Cause, then the Executive shall repay to the Company the entire Signing Bonus. The Company may, at its option, offset the repayment of the Signing Bonus from any amounts owed by the Company to the Executive under this Agreement or otherwise.</w:t>
      </w:r>
    </w:p>
    <w:p>
      <w:pPr>
        <w:spacing w:after="0" w:line="191" w:lineRule="exact"/>
        <w:rPr>
          <w:rFonts w:ascii="Arial" w:cs="Arial" w:eastAsia="Arial" w:hAnsi="Arial"/>
          <w:sz w:val="18"/>
          <w:szCs w:val="18"/>
          <w:color w:val="auto"/>
        </w:rPr>
      </w:pPr>
    </w:p>
    <w:p>
      <w:pPr>
        <w:ind w:firstLine="436"/>
        <w:spacing w:after="0" w:line="287"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Board approval and the Executive’s continued engagement on such date, as soon as practicable after the Commencement Date, the Executive will be granted a Restricted Stock Unit award for 15,000 shares of common stock of Parent (the “</w:t>
      </w:r>
      <w:r>
        <w:rPr>
          <w:rFonts w:ascii="Arial" w:cs="Arial" w:eastAsia="Arial" w:hAnsi="Arial"/>
          <w:sz w:val="16"/>
          <w:szCs w:val="16"/>
          <w:u w:val="single" w:color="auto"/>
          <w:color w:val="auto"/>
        </w:rPr>
        <w:t>RSU Award</w:t>
      </w:r>
      <w:r>
        <w:rPr>
          <w:rFonts w:ascii="Arial" w:cs="Arial" w:eastAsia="Arial" w:hAnsi="Arial"/>
          <w:sz w:val="16"/>
          <w:szCs w:val="16"/>
          <w:color w:val="auto"/>
        </w:rPr>
        <w:t>”), which grant shall be under the terms of the Equity Incentive Plan and the applicable Award Agreement. The RSU Award shall vest over three (3) years, with one-third (1/3) of the RSU Award vesting on each of the first, second and third anniversaries of the grant date, all in accordance with, and subject to the terms of, the Equity Incentive Plan. In addition, while the Executive is engaged to provide services to the Company, the Executive will be eligible to participate in the equity incentive program applicable to the Company’s executives. It is currently anticipated that the Executive will receive additional Equity Awards in each of 2021 and 2022 under the then-current Equity Incentive Plan, with the target dollar value of such awards to be in line with the target value of Equity Awards received by similarly situated executives in such year and subject to the Executive’s continued provision of his services to the Company. Such Equity Awards shall, in all case, be determined and approved by the Board in its sole discretion. Prior to receiving any Equity Award, including the RSU Award, the Executive must execute the Award Agreement(s) in the form(s) approved by the Board. Accordingly, the actual terms of any Equity Award, including the RSU Award, will be governed by the Equity Incentive Plan and the actual Award Agreement and documents evidencing the grant of such Equity Award, and not by any other terms set forth herein or otherwise.</w:t>
      </w:r>
    </w:p>
    <w:p>
      <w:pPr>
        <w:spacing w:after="0" w:line="167" w:lineRule="exact"/>
        <w:rPr>
          <w:rFonts w:ascii="Arial" w:cs="Arial" w:eastAsia="Arial" w:hAnsi="Arial"/>
          <w:sz w:val="16"/>
          <w:szCs w:val="16"/>
          <w:color w:val="auto"/>
        </w:rPr>
      </w:pPr>
    </w:p>
    <w:p>
      <w:pPr>
        <w:ind w:right="140" w:firstLine="436"/>
        <w:spacing w:after="0" w:line="263" w:lineRule="auto"/>
        <w:tabs>
          <w:tab w:leader="none" w:pos="6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benefit plans, programs and arrangements of the Company now (or, to the extent determined by the Board, hereafter) in effect, in accordance with their terms, including medical and welfare benefits and company automobile, all on the terms applicable to other similarly situated executives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3" w:name="page84"/>
    <w:bookmarkEnd w:id="83"/>
    <w:p>
      <w:pPr>
        <w:ind w:left="4" w:right="20" w:firstLine="436"/>
        <w:spacing w:after="0" w:line="259"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Preparation.</w:t>
      </w:r>
      <w:r>
        <w:rPr>
          <w:rFonts w:ascii="Arial" w:cs="Arial" w:eastAsia="Arial" w:hAnsi="Arial"/>
          <w:sz w:val="18"/>
          <w:szCs w:val="18"/>
          <w:color w:val="auto"/>
        </w:rPr>
        <w:t xml:space="preserve"> For each calendar year during which the Executive provides services to the Company pursuant to this Agreement, the Company shall provide (or pay for) reasonable professional tax preparation services to the Executive. For the avoidances of doubt, the Company shall in no way be liable for any damages or penalties claimed or imposed by anyone against the Executive arising out of such tax preparation services, nor shall the Executive be entitled to any tax equalization.</w:t>
      </w:r>
    </w:p>
    <w:p>
      <w:pPr>
        <w:spacing w:after="0" w:line="186" w:lineRule="exact"/>
        <w:rPr>
          <w:rFonts w:ascii="Arial" w:cs="Arial" w:eastAsia="Arial" w:hAnsi="Arial"/>
          <w:sz w:val="18"/>
          <w:szCs w:val="18"/>
          <w:color w:val="auto"/>
        </w:rPr>
      </w:pPr>
    </w:p>
    <w:p>
      <w:pPr>
        <w:ind w:left="4" w:right="20" w:firstLine="436"/>
        <w:spacing w:after="0" w:line="263"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Visas and Work Permits</w:t>
      </w:r>
      <w:r>
        <w:rPr>
          <w:rFonts w:ascii="Arial" w:cs="Arial" w:eastAsia="Arial" w:hAnsi="Arial"/>
          <w:sz w:val="18"/>
          <w:szCs w:val="18"/>
          <w:color w:val="auto"/>
        </w:rPr>
        <w:t>. The Company shall provide reasonable services and cover the cost to obtain the necessary visas (or other applicable entry or residence permits) to enable the Executive to legally reside and work in Korea, and his family to legally reside in or visit Korea, for the duration that the Executive is assigned to perform services in Korea.</w:t>
      </w:r>
    </w:p>
    <w:p>
      <w:pPr>
        <w:spacing w:after="0" w:line="183" w:lineRule="exact"/>
        <w:rPr>
          <w:rFonts w:ascii="Arial" w:cs="Arial" w:eastAsia="Arial" w:hAnsi="Arial"/>
          <w:sz w:val="18"/>
          <w:szCs w:val="18"/>
          <w:color w:val="auto"/>
        </w:rPr>
      </w:pPr>
    </w:p>
    <w:p>
      <w:pPr>
        <w:jc w:val="both"/>
        <w:ind w:left="4" w:firstLine="436"/>
        <w:spacing w:after="0" w:line="275" w:lineRule="auto"/>
        <w:tabs>
          <w:tab w:leader="none" w:pos="659"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Annual Vacation</w:t>
      </w:r>
      <w:r>
        <w:rPr>
          <w:rFonts w:ascii="Arial" w:cs="Arial" w:eastAsia="Arial" w:hAnsi="Arial"/>
          <w:sz w:val="17"/>
          <w:szCs w:val="17"/>
          <w:color w:val="auto"/>
        </w:rPr>
        <w:t>. During the Term, the Executive shall be entitled to paid-time-off (including vacation days) on an annual basis in accordance with the Company’s applicable policies and practices. Under the policies applicable to other similarly situated executives of the Company, any unused paid-time-off (including vacation days) shall neither be carried over to the following year nor be compensated for. Any paid-time-off (including vacation days) shall be taken at the reasonable and mutual convenience of the Company and the Executive. For the avoidance of doubt, the Executive shall not be entitled to any home leave in addition to the paid-time-off (including vacation days).</w:t>
      </w:r>
    </w:p>
    <w:p>
      <w:pPr>
        <w:spacing w:after="0" w:line="176" w:lineRule="exact"/>
        <w:rPr>
          <w:rFonts w:ascii="Arial" w:cs="Arial" w:eastAsia="Arial" w:hAnsi="Arial"/>
          <w:sz w:val="17"/>
          <w:szCs w:val="17"/>
          <w:color w:val="auto"/>
        </w:rPr>
      </w:pPr>
    </w:p>
    <w:p>
      <w:pPr>
        <w:ind w:left="4" w:firstLine="436"/>
        <w:spacing w:after="0" w:line="342" w:lineRule="auto"/>
        <w:tabs>
          <w:tab w:leader="none" w:pos="659"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23" w:lineRule="exact"/>
        <w:rPr>
          <w:rFonts w:ascii="Arial" w:cs="Arial" w:eastAsia="Arial" w:hAnsi="Arial"/>
          <w:sz w:val="16"/>
          <w:szCs w:val="16"/>
          <w:color w:val="auto"/>
        </w:rPr>
      </w:pPr>
    </w:p>
    <w:p>
      <w:pPr>
        <w:ind w:left="4" w:right="360" w:firstLine="436"/>
        <w:spacing w:after="0" w:line="308" w:lineRule="auto"/>
        <w:tabs>
          <w:tab w:leader="none" w:pos="699"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Health Insurance</w:t>
      </w:r>
      <w:r>
        <w:rPr>
          <w:rFonts w:ascii="Arial" w:cs="Arial" w:eastAsia="Arial" w:hAnsi="Arial"/>
          <w:sz w:val="17"/>
          <w:szCs w:val="17"/>
          <w:color w:val="auto"/>
        </w:rPr>
        <w:t>. During the Term, the Executive shall be eligible to participate in the Company’s international health insurance coverage offered by Cigna</w:t>
      </w:r>
      <w:r>
        <w:rPr>
          <w:rFonts w:ascii="Arial" w:cs="Arial" w:eastAsia="Arial" w:hAnsi="Arial"/>
          <w:sz w:val="14"/>
          <w:szCs w:val="14"/>
          <w:color w:val="auto"/>
        </w:rPr>
        <w:t>®</w:t>
      </w:r>
      <w:r>
        <w:rPr>
          <w:rFonts w:ascii="Arial" w:cs="Arial" w:eastAsia="Arial" w:hAnsi="Arial"/>
          <w:sz w:val="17"/>
          <w:szCs w:val="17"/>
          <w:color w:val="auto"/>
        </w:rPr>
        <w:t xml:space="preserve"> on the same terms applicable to other executives of the Company who are provided such coverage.</w:t>
      </w:r>
    </w:p>
    <w:p>
      <w:pPr>
        <w:spacing w:after="0" w:line="146" w:lineRule="exact"/>
        <w:rPr>
          <w:rFonts w:ascii="Arial" w:cs="Arial" w:eastAsia="Arial" w:hAnsi="Arial"/>
          <w:sz w:val="17"/>
          <w:szCs w:val="17"/>
          <w:color w:val="auto"/>
        </w:rPr>
      </w:pPr>
    </w:p>
    <w:p>
      <w:pPr>
        <w:ind w:left="4" w:right="340" w:firstLine="436"/>
        <w:spacing w:after="0" w:line="308" w:lineRule="auto"/>
        <w:tabs>
          <w:tab w:leader="none" w:pos="659"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No Expatriate Benefits</w:t>
      </w:r>
      <w:r>
        <w:rPr>
          <w:rFonts w:ascii="Arial" w:cs="Arial" w:eastAsia="Arial" w:hAnsi="Arial"/>
          <w:sz w:val="17"/>
          <w:szCs w:val="17"/>
          <w:color w:val="auto"/>
        </w:rPr>
        <w:t xml:space="preserve">. Except as expressly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the Executive shall not be entitled to receive any expatriate benefits, including those that may be provided to other executives of the Company, whether under a relevant policy or otherwise.</w:t>
      </w:r>
    </w:p>
    <w:p>
      <w:pPr>
        <w:spacing w:after="0" w:line="146" w:lineRule="exact"/>
        <w:rPr>
          <w:rFonts w:ascii="Arial" w:cs="Arial" w:eastAsia="Arial" w:hAnsi="Arial"/>
          <w:sz w:val="17"/>
          <w:szCs w:val="17"/>
          <w:color w:val="auto"/>
        </w:rPr>
      </w:pPr>
    </w:p>
    <w:p>
      <w:pPr>
        <w:ind w:left="4" w:right="1040" w:hanging="4"/>
        <w:spacing w:after="0" w:line="277" w:lineRule="auto"/>
        <w:tabs>
          <w:tab w:leader="none" w:pos="18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engagement hereunder may be terminated without any breach of this Agreement only under the following circumstances:</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engagement hereunder shall terminate upon his death.</w:t>
      </w:r>
    </w:p>
    <w:p>
      <w:pPr>
        <w:spacing w:after="0" w:line="225" w:lineRule="exact"/>
        <w:rPr>
          <w:rFonts w:ascii="Arial" w:cs="Arial" w:eastAsia="Arial" w:hAnsi="Arial"/>
          <w:sz w:val="18"/>
          <w:szCs w:val="18"/>
          <w:color w:val="auto"/>
        </w:rPr>
      </w:pPr>
    </w:p>
    <w:p>
      <w:pPr>
        <w:ind w:left="4" w:firstLine="987"/>
        <w:spacing w:after="0" w:line="275" w:lineRule="auto"/>
        <w:tabs>
          <w:tab w:leader="none" w:pos="1260" w:val="left"/>
        </w:tabs>
        <w:numPr>
          <w:ilvl w:val="2"/>
          <w:numId w:val="48"/>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the Executive has incurred a Disability, the Company may give the Executive written notice of its intention to terminate the Executive’s engagement. In that event, the Executive’s engagement with the Company shall terminate effective on the later of the 30th day after receipt of such notice by the Executive and the date specified in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Executive shall have returned to full-time performance of his duties hereunder within the 30-day period following receipt of such notice and shall have reasonably demonstrated that the Executive is not subject to a Disability, then the Executive’s engagement shall not be terminated pursuant to this clause (ii).</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84" w:name="page85"/>
    <w:bookmarkEnd w:id="84"/>
    <w:p>
      <w:pPr>
        <w:ind w:left="1304" w:hanging="313"/>
        <w:spacing w:after="0"/>
        <w:tabs>
          <w:tab w:leader="none" w:pos="130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with Cause</w:t>
      </w:r>
      <w:r>
        <w:rPr>
          <w:rFonts w:ascii="Arial" w:cs="Arial" w:eastAsia="Arial" w:hAnsi="Arial"/>
          <w:sz w:val="18"/>
          <w:szCs w:val="18"/>
          <w:color w:val="auto"/>
        </w:rPr>
        <w:t>. The Company may terminate the Executive’s engagement with Cause.</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engagement without Cause.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 The Executive may resign from his engagement with Good Reason.</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w:t>
      </w:r>
      <w:r>
        <w:rPr>
          <w:rFonts w:ascii="Arial" w:cs="Arial" w:eastAsia="Arial" w:hAnsi="Arial"/>
          <w:sz w:val="16"/>
          <w:szCs w:val="16"/>
          <w:color w:val="auto"/>
        </w:rPr>
        <w:t>. The Executive may resign from his engagement without Good Reason upon not less than thirty</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advance written notice to the Board and the Company’s Chief Executive Officer.</w:t>
      </w:r>
    </w:p>
    <w:p>
      <w:pPr>
        <w:spacing w:after="0" w:line="210"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Any termination of the Executive’s engagement with the Company, whether by the Company or the Executive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(other than termination pursuant to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shall be communicated by written notice to the other party hereto (i) indicating the specific termination provision in this Agreement relied upon, (ii) except with respect to a termination pursuant to </w:t>
      </w:r>
      <w:r>
        <w:rPr>
          <w:rFonts w:ascii="Arial" w:cs="Arial" w:eastAsia="Arial" w:hAnsi="Arial"/>
          <w:sz w:val="17"/>
          <w:szCs w:val="17"/>
          <w:u w:val="single" w:color="auto"/>
          <w:color w:val="auto"/>
        </w:rPr>
        <w:t>Section 4(a)(iv)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w:t>
      </w:r>
      <w:r>
        <w:rPr>
          <w:rFonts w:ascii="Arial" w:cs="Arial" w:eastAsia="Arial" w:hAnsi="Arial"/>
          <w:sz w:val="17"/>
          <w:szCs w:val="17"/>
          <w:color w:val="auto"/>
        </w:rPr>
        <w:t>, setting forth in reasonable detail the facts and circumstances claimed to provide a basis for termination of the Executive’s engagement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notice need not specify a Date of Termination, in which case the Date of Termination shall be determined pursuant to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4(a)(iv)</w:t>
      </w:r>
      <w:r>
        <w:rPr>
          <w:rFonts w:ascii="Arial" w:cs="Arial" w:eastAsia="Arial" w:hAnsi="Arial"/>
          <w:sz w:val="17"/>
          <w:szCs w:val="17"/>
          <w:color w:val="auto"/>
        </w:rPr>
        <w:t xml:space="preserve">, the Date of Termination shall be, in the Company’s sole discretion, the date on which the Executive receives such notice or any subsequent date selected by the Company. If the Executive delivers a Notice of Termination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4(a)(v) or (a)(vi),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81" w:lineRule="exact"/>
        <w:rPr>
          <w:rFonts w:ascii="Arial" w:cs="Arial" w:eastAsia="Arial" w:hAnsi="Arial"/>
          <w:sz w:val="17"/>
          <w:szCs w:val="17"/>
          <w:color w:val="auto"/>
        </w:rPr>
      </w:pPr>
    </w:p>
    <w:p>
      <w:pPr>
        <w:ind w:left="4" w:right="20" w:firstLine="436"/>
        <w:spacing w:after="0" w:line="259" w:lineRule="auto"/>
        <w:tabs>
          <w:tab w:leader="none" w:pos="68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and Resignation of All Positions</w:t>
      </w:r>
      <w:r>
        <w:rPr>
          <w:rFonts w:ascii="Arial" w:cs="Arial" w:eastAsia="Arial" w:hAnsi="Arial"/>
          <w:sz w:val="18"/>
          <w:szCs w:val="18"/>
          <w:color w:val="auto"/>
        </w:rPr>
        <w:t xml:space="preserve">. Upon termination of the Executive’s engagement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85" w:name="page86"/>
    <w:bookmarkEnd w:id="85"/>
    <w:p>
      <w:pPr>
        <w:ind w:left="184" w:hanging="184"/>
        <w:spacing w:after="0"/>
        <w:tabs>
          <w:tab w:leader="none" w:pos="18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Obligations upon Termination of the Executive’s Engagement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289" w:lineRule="auto"/>
        <w:tabs>
          <w:tab w:leader="none" w:pos="689"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upon termination of the Executive’s engagement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and (iv) any vested payment or benefit arising from the Executive’s participation in, or benefits under, any qualified benefit plans, programs or arrangements under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(other than severance plans, programs or arrangements), which amounts shall be payable in accordance with the terms and conditions of such benefit plans, programs or arrangements including, where applicable, any death and disability benefits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Notwithstanding anything herein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benefit plan, program or arrangement.</w:t>
      </w:r>
    </w:p>
    <w:p>
      <w:pPr>
        <w:spacing w:after="0" w:line="166" w:lineRule="exact"/>
        <w:rPr>
          <w:rFonts w:ascii="Arial" w:cs="Arial" w:eastAsia="Arial" w:hAnsi="Arial"/>
          <w:sz w:val="16"/>
          <w:szCs w:val="16"/>
          <w:color w:val="auto"/>
        </w:rPr>
      </w:pPr>
    </w:p>
    <w:p>
      <w:pPr>
        <w:ind w:left="4" w:firstLine="436"/>
        <w:spacing w:after="0" w:line="311" w:lineRule="auto"/>
        <w:tabs>
          <w:tab w:leader="none" w:pos="699"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with Good Reason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and subject to the Executive’s continued compliance with the covenants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10, if the Company terminates the Executive’s engagement without Cause pursuant to </w:t>
      </w: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the Executive resigns from his engagement with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the Company shall, in addition to the Accrued Obligations:</w:t>
      </w:r>
    </w:p>
    <w:p>
      <w:pPr>
        <w:spacing w:after="0" w:line="148" w:lineRule="exact"/>
        <w:rPr>
          <w:rFonts w:ascii="Arial" w:cs="Arial" w:eastAsia="Arial" w:hAnsi="Arial"/>
          <w:sz w:val="16"/>
          <w:szCs w:val="16"/>
          <w:color w:val="auto"/>
        </w:rPr>
      </w:pPr>
    </w:p>
    <w:p>
      <w:pPr>
        <w:ind w:left="4" w:firstLine="987"/>
        <w:spacing w:after="0" w:line="268" w:lineRule="auto"/>
        <w:tabs>
          <w:tab w:leader="none" w:pos="1210" w:val="left"/>
        </w:tabs>
        <w:numPr>
          <w:ilvl w:val="2"/>
          <w:numId w:val="51"/>
        </w:numPr>
        <w:rPr>
          <w:rFonts w:ascii="Arial" w:cs="Arial" w:eastAsia="Arial" w:hAnsi="Arial"/>
          <w:sz w:val="17"/>
          <w:szCs w:val="17"/>
          <w:color w:val="auto"/>
        </w:rPr>
      </w:pPr>
      <w:r>
        <w:rPr>
          <w:rFonts w:ascii="Arial" w:cs="Arial" w:eastAsia="Arial" w:hAnsi="Arial"/>
          <w:sz w:val="17"/>
          <w:szCs w:val="17"/>
          <w:color w:val="auto"/>
        </w:rPr>
        <w:t xml:space="preserve">continue to pay the Final Base Salary in accordance with the Company’s customary payroll practices during the period beginning on the Date of Termination and ending on the earlier to occur of (A) six (6) months after the Date of Termination and (B) the first date that the Executive violates any covenant contained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6 or 7 (the “</w:t>
      </w:r>
      <w:r>
        <w:rPr>
          <w:rFonts w:ascii="Arial" w:cs="Arial" w:eastAsia="Arial" w:hAnsi="Arial"/>
          <w:sz w:val="17"/>
          <w:szCs w:val="17"/>
          <w:u w:val="single" w:color="auto"/>
          <w:color w:val="auto"/>
        </w:rPr>
        <w:t>Salary Payment</w:t>
      </w:r>
      <w:r>
        <w:rPr>
          <w:rFonts w:ascii="Arial" w:cs="Arial" w:eastAsia="Arial" w:hAnsi="Arial"/>
          <w:sz w:val="17"/>
          <w:szCs w:val="17"/>
          <w:color w:val="auto"/>
        </w:rPr>
        <w:t>”), and if the Date of Termination occurs after June 30 of the calendar year in which the Date of Termination occurs, pay the Executive a prorated portion of the Annual Bonus payable with respect to the calendar year in which such termination occurs (which prorated amount shall equal the amount of the Annual Bonus multiplied by a fraction, (x) the numerator of which equals the number of days that have elapsed between January 1 of such calendar year and the Date of Termination and (y) the denominator of which equals 365), based on actual performance achievement for such year, and payable if and when annual bonuses are paid to other senior executives of the Company with respect to such year (the “</w:t>
      </w:r>
      <w:r>
        <w:rPr>
          <w:rFonts w:ascii="Arial" w:cs="Arial" w:eastAsia="Arial" w:hAnsi="Arial"/>
          <w:sz w:val="17"/>
          <w:szCs w:val="17"/>
          <w:u w:val="single" w:color="auto"/>
          <w:color w:val="auto"/>
        </w:rPr>
        <w:t>Pro Rata Bonus</w:t>
      </w:r>
      <w:r>
        <w:rPr>
          <w:rFonts w:ascii="Arial" w:cs="Arial" w:eastAsia="Arial" w:hAnsi="Arial"/>
          <w:sz w:val="17"/>
          <w:szCs w:val="17"/>
          <w:color w:val="auto"/>
        </w:rPr>
        <w:t>”, together with the Salary Payment, the “</w:t>
      </w:r>
      <w:r>
        <w:rPr>
          <w:rFonts w:ascii="Arial" w:cs="Arial" w:eastAsia="Arial" w:hAnsi="Arial"/>
          <w:sz w:val="17"/>
          <w:szCs w:val="17"/>
          <w:u w:val="single" w:color="auto"/>
          <w:color w:val="auto"/>
        </w:rPr>
        <w:t>Severance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if the Company terminates the Executive’s engagement without Cause pursuant to </w:t>
      </w:r>
      <w:r>
        <w:rPr>
          <w:rFonts w:ascii="Arial" w:cs="Arial" w:eastAsia="Arial" w:hAnsi="Arial"/>
          <w:sz w:val="17"/>
          <w:szCs w:val="17"/>
          <w:u w:val="single" w:color="auto"/>
          <w:color w:val="auto"/>
        </w:rPr>
        <w:t>Section 4(a)(iv)</w:t>
      </w:r>
      <w:r>
        <w:rPr>
          <w:rFonts w:ascii="Arial" w:cs="Arial" w:eastAsia="Arial" w:hAnsi="Arial"/>
          <w:sz w:val="17"/>
          <w:szCs w:val="17"/>
          <w:color w:val="auto"/>
        </w:rPr>
        <w:t xml:space="preserve"> or the Executive resigns from his engagement with Good Reason pursuant to </w:t>
      </w:r>
      <w:r>
        <w:rPr>
          <w:rFonts w:ascii="Arial" w:cs="Arial" w:eastAsia="Arial" w:hAnsi="Arial"/>
          <w:sz w:val="17"/>
          <w:szCs w:val="17"/>
          <w:u w:val="single" w:color="auto"/>
          <w:color w:val="auto"/>
        </w:rPr>
        <w:t>Section 4(a)(v)</w:t>
      </w:r>
      <w:r>
        <w:rPr>
          <w:rFonts w:ascii="Arial" w:cs="Arial" w:eastAsia="Arial" w:hAnsi="Arial"/>
          <w:sz w:val="17"/>
          <w:szCs w:val="17"/>
          <w:color w:val="auto"/>
        </w:rPr>
        <w:t>, in each case, either (x) during a period of time when the Company is party to a definitive corporate transaction agreement, the consummation of which would result in a Change in Control, or (y) within 18 months following a Change in Control (such a termination a “</w:t>
      </w:r>
      <w:r>
        <w:rPr>
          <w:rFonts w:ascii="Arial" w:cs="Arial" w:eastAsia="Arial" w:hAnsi="Arial"/>
          <w:sz w:val="17"/>
          <w:szCs w:val="17"/>
          <w:u w:val="single" w:color="auto"/>
          <w:color w:val="auto"/>
        </w:rPr>
        <w:t>CIC</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Qualified Termination</w:t>
      </w:r>
      <w:r>
        <w:rPr>
          <w:rFonts w:ascii="Arial" w:cs="Arial" w:eastAsia="Arial" w:hAnsi="Arial"/>
          <w:sz w:val="17"/>
          <w:szCs w:val="17"/>
          <w:color w:val="auto"/>
        </w:rPr>
        <w:t xml:space="preserve">”), then the Severance Payment shall instead be equal to the Final Base Salary, payable over 12 months, in each case so long as the Release (as defined below) has become effective and the Executive has not violated any covenant contained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in which case the Severance Payment shall be forfeited;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-2230755</wp:posOffset>
            </wp:positionV>
            <wp:extent cx="1428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6" w:name="page87"/>
    <w:bookmarkEnd w:id="86"/>
    <w:p>
      <w:pPr>
        <w:ind w:left="1264" w:hanging="273"/>
        <w:spacing w:after="0"/>
        <w:tabs>
          <w:tab w:leader="none" w:pos="1264"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 for vesting of any outstanding unvested Equity Awards, as set forth in the Equity Incentive Plan and the applicable Award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11" w:lineRule="exact"/>
        <w:rPr>
          <w:sz w:val="20"/>
          <w:szCs w:val="20"/>
          <w:color w:val="auto"/>
        </w:rPr>
      </w:pPr>
    </w:p>
    <w:p>
      <w:pPr>
        <w:jc w:val="both"/>
        <w:ind w:left="4" w:right="320"/>
        <w:spacing w:after="0" w:line="286"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all payments and benefits to be paid or provided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commence on the 60th day following the Date of Termination, and, only with respect to any cash payments, the initial installment of such payments shall include a lump-sum payment of all amounts accrued under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from the Date of Termination through the date of such initial payment.</w:t>
      </w:r>
    </w:p>
    <w:p>
      <w:pPr>
        <w:spacing w:after="0" w:line="165"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 xml:space="preserve">Notwithstanding anything herein to the contrary, if the Executive breaches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Company shall have the right to cease providing any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if requested, the Executive shall repay to the Company within 60 days of such request any previously paid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unless the Company provides the Executive with written notice of the circumstances it believes constitutes a breach of such covenants within 90 days after it becomes aware of such circumstances;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basis for the alleged breach is curable, then the Executive shall have 15 days after receipt of such written notice to cure such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-716915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 xml:space="preserve">Payment of the amounts and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is in lieu of any other severance or separation pay payable to the Executive whether under any previous agreement, offer letter or severance program, plan or policy, applicable law (including the laws of the Republic of Korea) or other statute, or otherwise.</w:t>
      </w:r>
    </w:p>
    <w:p>
      <w:pPr>
        <w:spacing w:after="0" w:line="184" w:lineRule="exact"/>
        <w:rPr>
          <w:sz w:val="20"/>
          <w:szCs w:val="20"/>
          <w:color w:val="auto"/>
        </w:rPr>
      </w:pPr>
    </w:p>
    <w:p>
      <w:pPr>
        <w:ind w:left="4" w:firstLine="436"/>
        <w:spacing w:after="0" w:line="257" w:lineRule="auto"/>
        <w:tabs>
          <w:tab w:leader="none" w:pos="68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herein to the contrary, the amounts payable and benefits to be provided to the Executive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other than the Accrued Obligations, shall be contingent upon and subject to the Executive’s (or the Executive’s estate’s, if applicable) execution and non-revocation of a general waiver and release of claims agreement generally consistent with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appropriately modified to comply with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60th day following the Date of Termination.</w:t>
      </w:r>
    </w:p>
    <w:p>
      <w:pPr>
        <w:spacing w:after="0" w:line="187" w:lineRule="exact"/>
        <w:rPr>
          <w:rFonts w:ascii="Arial" w:cs="Arial" w:eastAsia="Arial" w:hAnsi="Arial"/>
          <w:sz w:val="18"/>
          <w:szCs w:val="18"/>
          <w:color w:val="auto"/>
        </w:rPr>
      </w:pPr>
    </w:p>
    <w:p>
      <w:pPr>
        <w:ind w:left="4" w:right="60" w:firstLine="436"/>
        <w:spacing w:after="0" w:line="342" w:lineRule="auto"/>
        <w:tabs>
          <w:tab w:leader="none" w:pos="69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obligations of any of the parties under this Agreement which by their nature may require either partial or total performance after the termination of the Term or this Agreement (including those under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10) will survive any termination of this Agreement.</w:t>
      </w:r>
    </w:p>
    <w:p>
      <w:pPr>
        <w:spacing w:after="0" w:line="123" w:lineRule="exact"/>
        <w:rPr>
          <w:rFonts w:ascii="Arial" w:cs="Arial" w:eastAsia="Arial" w:hAnsi="Arial"/>
          <w:sz w:val="16"/>
          <w:szCs w:val="16"/>
          <w:color w:val="auto"/>
        </w:rPr>
      </w:pPr>
    </w:p>
    <w:p>
      <w:pPr>
        <w:ind w:left="184" w:hanging="184"/>
        <w:spacing w:after="0"/>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436"/>
        <w:spacing w:after="0" w:line="290" w:lineRule="auto"/>
        <w:tabs>
          <w:tab w:leader="none" w:pos="689"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the Executive agrees that during the Executive’s engagement with the Company, and for the 12-month period following termination of the Executive’s engagement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 or other equity interest acquired is not more than five percent (5%) of the outstanding interest in such business. Notwithstanding anything herein to the contrary, if prior to the expiration of the aforementioned 12-month period the Executive enters into any agreement that obligates the Executive to provide any form of services to the Company, then such 12-month period shall commence on the date that the Executives ceases to provide services under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-1557020</wp:posOffset>
            </wp:positionV>
            <wp:extent cx="1428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87" w:name="page88"/>
    <w:bookmarkEnd w:id="87"/>
    <w:p>
      <w:pPr>
        <w:ind w:left="4" w:right="60" w:firstLine="436"/>
        <w:spacing w:after="0" w:line="270" w:lineRule="auto"/>
        <w:tabs>
          <w:tab w:leader="none" w:pos="699" w:val="left"/>
        </w:tabs>
        <w:numPr>
          <w:ilvl w:val="1"/>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fullest extent permitted by applicable law, the Executive agrees that during the Executive’s engagement with the Company, and for the 12-month period following termination of the Executive’s engagement for any reason, the Executive will not, directly or indirectly, on the Executive’s own behalf or on behalf of another (i) solicit, induce or attempt to solicit or induce any officer, director, employee or consultant of the Company to terminate their relationship with or leave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180" w:lineRule="exact"/>
        <w:rPr>
          <w:rFonts w:ascii="Arial" w:cs="Arial" w:eastAsia="Arial" w:hAnsi="Arial"/>
          <w:sz w:val="17"/>
          <w:szCs w:val="17"/>
          <w:color w:val="auto"/>
        </w:rPr>
      </w:pPr>
    </w:p>
    <w:p>
      <w:pPr>
        <w:ind w:left="4" w:firstLine="436"/>
        <w:spacing w:after="0" w:line="291" w:lineRule="auto"/>
        <w:tabs>
          <w:tab w:leader="none" w:pos="689"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In the event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reasonable in terms of duration, scope and area restrictions and are necessary to protect the goodwill of the Company. The Executive hereby authorizes the Company to inform any future employer or prospective employer of the existence and terms of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7 without liability for interference with the Executive’s employment or prospective employment.</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436"/>
        <w:spacing w:after="0" w:line="268" w:lineRule="auto"/>
        <w:tabs>
          <w:tab w:leader="none" w:pos="689"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engagement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termination of the Executive’s engagement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-2367915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8" w:name="page89"/>
    <w:bookmarkEnd w:id="88"/>
    <w:p>
      <w:pPr>
        <w:ind w:left="-80" w:firstLine="436"/>
        <w:spacing w:after="0" w:line="286" w:lineRule="auto"/>
        <w:tabs>
          <w:tab w:leader="none" w:pos="61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Non-Disparagement</w:t>
      </w:r>
      <w:r>
        <w:rPr>
          <w:rFonts w:ascii="Arial" w:cs="Arial" w:eastAsia="Arial" w:hAnsi="Arial"/>
          <w:sz w:val="17"/>
          <w:szCs w:val="17"/>
          <w:color w:val="auto"/>
        </w:rPr>
        <w:t>. The Executive shall not, at any time during his engagement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165" w:lineRule="exact"/>
        <w:rPr>
          <w:rFonts w:ascii="Arial" w:cs="Arial" w:eastAsia="Arial" w:hAnsi="Arial"/>
          <w:sz w:val="17"/>
          <w:szCs w:val="17"/>
          <w:color w:val="auto"/>
        </w:rPr>
      </w:pPr>
    </w:p>
    <w:p>
      <w:pPr>
        <w:ind w:left="600" w:hanging="244"/>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987"/>
        <w:spacing w:after="0" w:line="285" w:lineRule="auto"/>
        <w:tabs>
          <w:tab w:leader="none" w:pos="1126"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any and all Proprietary Rights of whatsoever nature therein, whether or not now or hereafter known, existing, contemplated, recognized or developed, to the Company (or, if applicable or as directed by the Company),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171" w:lineRule="exact"/>
        <w:rPr>
          <w:rFonts w:ascii="Arial" w:cs="Arial" w:eastAsia="Arial" w:hAnsi="Arial"/>
          <w:sz w:val="16"/>
          <w:szCs w:val="16"/>
          <w:color w:val="auto"/>
        </w:rPr>
      </w:pPr>
    </w:p>
    <w:p>
      <w:pPr>
        <w:ind w:left="-80" w:right="140" w:firstLine="987"/>
        <w:spacing w:after="0" w:line="273" w:lineRule="auto"/>
        <w:tabs>
          <w:tab w:leader="none" w:pos="117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w:t>
      </w:r>
      <w:r>
        <w:rPr>
          <w:rFonts w:ascii="Arial" w:cs="Arial" w:eastAsia="Arial" w:hAnsi="Arial"/>
          <w:sz w:val="17"/>
          <w:szCs w:val="17"/>
          <w:u w:val="single" w:color="auto"/>
          <w:color w:val="auto"/>
        </w:rPr>
        <w:t>Section 7(c)(ii)</w:t>
      </w:r>
      <w:r>
        <w:rPr>
          <w:rFonts w:ascii="Arial" w:cs="Arial" w:eastAsia="Arial" w:hAnsi="Arial"/>
          <w:sz w:val="17"/>
          <w:szCs w:val="17"/>
          <w:color w:val="auto"/>
        </w:rPr>
        <w:t xml:space="preserve"> is subject to and shall not be deemed to limit, restrict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4" w:right="539" w:bottom="1440" w:gutter="0" w:footer="0" w:header="0"/>
        </w:sectPr>
      </w:pPr>
    </w:p>
    <w:bookmarkStart w:id="89" w:name="page90"/>
    <w:bookmarkEnd w:id="89"/>
    <w:p>
      <w:pPr>
        <w:ind w:left="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constitute any waiver by the Company of any Proprietary Rights of ownership to which the Company may be entitled by operation of law by virtue of the Executive’s engagement with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engagement with the Company.</w:t>
      </w:r>
    </w:p>
    <w:p>
      <w:pPr>
        <w:spacing w:after="0" w:line="165" w:lineRule="exact"/>
        <w:rPr>
          <w:sz w:val="20"/>
          <w:szCs w:val="20"/>
          <w:color w:val="auto"/>
        </w:rPr>
      </w:pPr>
    </w:p>
    <w:p>
      <w:pPr>
        <w:ind w:left="704" w:hanging="264"/>
        <w:spacing w:after="0"/>
        <w:tabs>
          <w:tab w:leader="none" w:pos="704"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Protected Disclosures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987"/>
        <w:spacing w:after="0" w:line="259" w:lineRule="auto"/>
        <w:tabs>
          <w:tab w:leader="none" w:pos="1210" w:val="left"/>
        </w:tabs>
        <w:numPr>
          <w:ilvl w:val="2"/>
          <w:numId w:val="58"/>
        </w:numPr>
        <w:rPr>
          <w:rFonts w:ascii="Arial" w:cs="Arial" w:eastAsia="Arial" w:hAnsi="Arial"/>
          <w:sz w:val="18"/>
          <w:szCs w:val="18"/>
          <w:color w:val="auto"/>
        </w:rPr>
      </w:pPr>
      <w:r>
        <w:rPr>
          <w:rFonts w:ascii="Arial" w:cs="Arial" w:eastAsia="Arial" w:hAnsi="Arial"/>
          <w:sz w:val="18"/>
          <w:szCs w:val="18"/>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186" w:lineRule="exact"/>
        <w:rPr>
          <w:rFonts w:ascii="Arial" w:cs="Arial" w:eastAsia="Arial" w:hAnsi="Arial"/>
          <w:sz w:val="18"/>
          <w:szCs w:val="18"/>
          <w:color w:val="auto"/>
        </w:rPr>
      </w:pPr>
    </w:p>
    <w:p>
      <w:pPr>
        <w:ind w:left="4" w:firstLine="987"/>
        <w:spacing w:after="0" w:line="293" w:lineRule="auto"/>
        <w:tabs>
          <w:tab w:leader="none" w:pos="1260" w:val="left"/>
        </w:tabs>
        <w:numPr>
          <w:ilvl w:val="2"/>
          <w:numId w:val="58"/>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164" w:lineRule="exact"/>
        <w:rPr>
          <w:rFonts w:ascii="Arial" w:cs="Arial" w:eastAsia="Arial" w:hAnsi="Arial"/>
          <w:sz w:val="16"/>
          <w:szCs w:val="16"/>
          <w:color w:val="auto"/>
        </w:rPr>
      </w:pPr>
    </w:p>
    <w:p>
      <w:pPr>
        <w:ind w:left="4" w:right="160" w:firstLine="987"/>
        <w:spacing w:after="0" w:line="287" w:lineRule="auto"/>
        <w:tabs>
          <w:tab w:leader="none" w:pos="1310" w:val="left"/>
        </w:tabs>
        <w:numPr>
          <w:ilvl w:val="2"/>
          <w:numId w:val="58"/>
        </w:numPr>
        <w:rPr>
          <w:rFonts w:ascii="Arial" w:cs="Arial" w:eastAsia="Arial" w:hAnsi="Arial"/>
          <w:sz w:val="16"/>
          <w:szCs w:val="16"/>
          <w:color w:val="auto"/>
        </w:rPr>
      </w:pPr>
      <w:r>
        <w:rPr>
          <w:rFonts w:ascii="Arial" w:cs="Arial" w:eastAsia="Arial" w:hAnsi="Arial"/>
          <w:sz w:val="16"/>
          <w:szCs w:val="16"/>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w:t>
      </w:r>
    </w:p>
    <w:p>
      <w:pPr>
        <w:spacing w:after="0" w:line="2"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89" w:lineRule="exact"/>
        <w:rPr>
          <w:rFonts w:ascii="Arial" w:cs="Arial" w:eastAsia="Arial" w:hAnsi="Arial"/>
          <w:sz w:val="18"/>
          <w:szCs w:val="18"/>
          <w:color w:val="auto"/>
        </w:rPr>
      </w:pPr>
    </w:p>
    <w:p>
      <w:pPr>
        <w:ind w:left="4" w:right="340" w:firstLine="987"/>
        <w:spacing w:after="0" w:line="308" w:lineRule="auto"/>
        <w:tabs>
          <w:tab w:leader="none" w:pos="13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The foregoing provisions regarding protected disclosures are intended to comply with all applicable laws. If any laws are adopted, amended or repealed after the execution of this Agreement,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 deemed to be amended to reflect the same.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90" w:name="page91"/>
    <w:bookmarkEnd w:id="90"/>
    <w:p>
      <w:pPr>
        <w:ind w:left="4" w:right="20" w:hanging="4"/>
        <w:spacing w:after="0" w:line="254" w:lineRule="auto"/>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Injunctive Relief</w:t>
      </w:r>
      <w:r>
        <w:rPr>
          <w:rFonts w:ascii="Arial" w:cs="Arial" w:eastAsia="Arial" w:hAnsi="Arial"/>
          <w:sz w:val="18"/>
          <w:szCs w:val="18"/>
          <w:color w:val="auto"/>
        </w:rPr>
        <w:t xml:space="preserve">. The Executive recognizes and acknowledges that a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in addition to any other remedy that may be available at law or in equity, the Company will be entitled to specific performance and injunctive relief (without posting a bond). In the event of any breach or violation by the Executive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time period of such covenant with respect to the Executive shall, to the fullest extent permitted by law, be tolled until such breach or violation is resolved.</w:t>
      </w:r>
    </w:p>
    <w:p>
      <w:pPr>
        <w:spacing w:after="0" w:line="194" w:lineRule="exact"/>
        <w:rPr>
          <w:rFonts w:ascii="Arial" w:cs="Arial" w:eastAsia="Arial" w:hAnsi="Arial"/>
          <w:sz w:val="18"/>
          <w:szCs w:val="18"/>
          <w:color w:val="auto"/>
        </w:rPr>
      </w:pPr>
    </w:p>
    <w:p>
      <w:pPr>
        <w:ind w:left="4" w:hanging="4"/>
        <w:spacing w:after="0" w:line="289" w:lineRule="auto"/>
        <w:tabs>
          <w:tab w:leader="none" w:pos="184"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During the Executive’s engagement as a director or officer (or both) of Parent, and at all times thereafter during which the Executive may be subject to liability in connection with the Executive’s performance of his duties as a director or officer (or both) of Parent, the Executive shall be entitled to the protection set forth in the Indemnification Agreement between the Executive and the Company to be entered into on or about the Commencement Date, in addition to the protection of any insurance policies the Company may elect to maintain generally for the benefit of its directors and officers against all costs, charges, and expenses incurred or sustained by him in connection with any action, suit or proceeding to which he may be made a party by reason of his being or having been a director, officer or employee of the Company, as well as any rights the Executive may have under the Company’s articles of incorporation and bylaws (in each case, other than any dispute, claim or controversy arising under or relating to this Agreement or otherwise arising under or relating to the Executive’s engagement, equity ownership or compensation). Notwithstanding anything herein to the contrary, the Executive’s rights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survive the termination or expiration of this Agreement for any reason.</w:t>
      </w:r>
    </w:p>
    <w:p>
      <w:pPr>
        <w:spacing w:after="0" w:line="166" w:lineRule="exact"/>
        <w:rPr>
          <w:rFonts w:ascii="Arial" w:cs="Arial" w:eastAsia="Arial" w:hAnsi="Arial"/>
          <w:sz w:val="16"/>
          <w:szCs w:val="16"/>
          <w:color w:val="auto"/>
        </w:rPr>
      </w:pPr>
    </w:p>
    <w:p>
      <w:pPr>
        <w:ind w:left="4" w:right="200" w:hanging="4"/>
        <w:spacing w:after="0" w:line="269" w:lineRule="auto"/>
        <w:tabs>
          <w:tab w:leader="none" w:pos="27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Executive agrees that, subject to the Executive’s reasonable availability, during and after the Executive’s engagement with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engagement (including furnishing relevant information and materials to the Company or its designee and/or providing testimony at depositions and at trial);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reimburse the Executive for reasonable out-of-pocket expenses the Executive incurs that are associated with any such cooperation;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cooperation occurring after the termination of the Executive’s engagement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-3987800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-3576320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-3302000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 w:firstLine="436"/>
        <w:spacing w:after="0" w:line="263" w:lineRule="auto"/>
        <w:tabs>
          <w:tab w:leader="none" w:pos="68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any such regulations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91" w:name="page92"/>
    <w:bookmarkEnd w:id="91"/>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guidance that may be issued after the Effective Date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Notwithstanding anything herein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or to comply with the requirements of Section 409A and thereby avoid the application of penalty taxes thereunder;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does not create an obligation on the part of the Company to modify this Agreement and does not guarantee that the amounts payable hereunder will not be subject to interest or penalties under Section 409A, and in no event whatsoever shall the Company be liable for any additional tax, interest or penalties that may be imposed on the Executive as a result of Section 409A or any damages for failing to comply with Section 409A.</w:t>
      </w:r>
    </w:p>
    <w:p>
      <w:pPr>
        <w:spacing w:after="0" w:line="182" w:lineRule="exact"/>
        <w:rPr>
          <w:sz w:val="20"/>
          <w:szCs w:val="20"/>
          <w:color w:val="auto"/>
        </w:rPr>
      </w:pPr>
    </w:p>
    <w:p>
      <w:pPr>
        <w:ind w:firstLine="436"/>
        <w:spacing w:after="0" w:line="285"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To the extent Section 409A is applicable, notwithstanding any provision to the contrary in this Agreement: (i) no amount shall be payable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unless the termination of the Executive’s engagement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any portion of the additional compensation awarded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earlier of such dates, all payments deferred pursuant to this </w:t>
      </w:r>
      <w:r>
        <w:rPr>
          <w:rFonts w:ascii="Arial" w:cs="Arial" w:eastAsia="Arial" w:hAnsi="Arial"/>
          <w:sz w:val="16"/>
          <w:szCs w:val="16"/>
          <w:u w:val="single" w:color="auto"/>
          <w:color w:val="auto"/>
        </w:rPr>
        <w:t>Section 11(b)(ii)</w:t>
      </w:r>
      <w:r>
        <w:rPr>
          <w:rFonts w:ascii="Arial" w:cs="Arial" w:eastAsia="Arial" w:hAnsi="Arial"/>
          <w:sz w:val="16"/>
          <w:szCs w:val="16"/>
          <w:color w:val="auto"/>
        </w:rPr>
        <w:t xml:space="preserve">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Section 1.409A-1(i) of the Department of Treasury Regulations and any successor provision thereto); (iv) for purposes of Section 409A of the Code, the Executive’s right to receive installment payments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2" w:name="page93"/>
    <w:bookmarkEnd w:id="92"/>
    <w:p>
      <w:pPr>
        <w:ind w:left="4"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65" w:lineRule="exact"/>
        <w:rPr>
          <w:sz w:val="20"/>
          <w:szCs w:val="20"/>
          <w:color w:val="auto"/>
        </w:rPr>
      </w:pPr>
    </w:p>
    <w:p>
      <w:pPr>
        <w:ind w:left="264" w:hanging="264"/>
        <w:spacing w:after="0"/>
        <w:tabs>
          <w:tab w:leader="none" w:pos="26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Internal Revenue Code of 1986, and (ii) but for this sentence, be subject to the excise tax imposed by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(2)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67" w:lineRule="exact"/>
        <w:rPr>
          <w:rFonts w:ascii="Arial" w:cs="Arial" w:eastAsia="Arial" w:hAnsi="Arial"/>
          <w:sz w:val="16"/>
          <w:szCs w:val="16"/>
          <w:color w:val="auto"/>
        </w:rPr>
      </w:pPr>
    </w:p>
    <w:p>
      <w:pPr>
        <w:jc w:val="both"/>
        <w:ind w:left="4" w:right="180" w:firstLine="436"/>
        <w:spacing w:after="0" w:line="286" w:lineRule="auto"/>
        <w:tabs>
          <w:tab w:leader="none" w:pos="699" w:val="left"/>
        </w:tabs>
        <w:numPr>
          <w:ilvl w:val="1"/>
          <w:numId w:val="63"/>
        </w:numPr>
        <w:rPr>
          <w:rFonts w:ascii="Arial" w:cs="Arial" w:eastAsia="Arial" w:hAnsi="Arial"/>
          <w:sz w:val="16"/>
          <w:szCs w:val="16"/>
          <w:color w:val="auto"/>
        </w:rPr>
      </w:pPr>
      <w:r>
        <w:rPr>
          <w:rFonts w:ascii="Arial" w:cs="Arial" w:eastAsia="Arial" w:hAnsi="Arial"/>
          <w:sz w:val="16"/>
          <w:szCs w:val="16"/>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w:t>
      </w:r>
    </w:p>
    <w:p>
      <w:pPr>
        <w:spacing w:after="0" w:line="1"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93" w:name="page94"/>
    <w:bookmarkEnd w:id="93"/>
    <w:p>
      <w:pPr>
        <w:ind w:left="4" w:hanging="4"/>
        <w:spacing w:after="0" w:line="293" w:lineRule="auto"/>
        <w:tabs>
          <w:tab w:leader="none" w:pos="27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and Successors</w:t>
      </w:r>
      <w:r>
        <w:rPr>
          <w:rFonts w:ascii="Arial" w:cs="Arial" w:eastAsia="Arial" w:hAnsi="Arial"/>
          <w:sz w:val="16"/>
          <w:szCs w:val="16"/>
          <w:color w:val="auto"/>
        </w:rPr>
        <w:t xml:space="preserve">.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engagement, all unpaid amounts otherwise due to the Executive (including under </w:t>
      </w:r>
      <w:r>
        <w:rPr>
          <w:rFonts w:ascii="Arial" w:cs="Arial" w:eastAsia="Arial" w:hAnsi="Arial"/>
          <w:sz w:val="16"/>
          <w:szCs w:val="16"/>
          <w:u w:val="single" w:color="auto"/>
          <w:color w:val="auto"/>
        </w:rPr>
        <w:t>Section 5</w:t>
      </w:r>
      <w:r>
        <w:rPr>
          <w:rFonts w:ascii="Arial" w:cs="Arial" w:eastAsia="Arial" w:hAnsi="Arial"/>
          <w:sz w:val="16"/>
          <w:szCs w:val="16"/>
          <w:color w:val="auto"/>
        </w:rPr>
        <w:t>) shall be paid to his estate.</w:t>
      </w:r>
    </w:p>
    <w:p>
      <w:pPr>
        <w:spacing w:after="0" w:line="164" w:lineRule="exact"/>
        <w:rPr>
          <w:rFonts w:ascii="Arial" w:cs="Arial" w:eastAsia="Arial" w:hAnsi="Arial"/>
          <w:sz w:val="16"/>
          <w:szCs w:val="16"/>
          <w:color w:val="auto"/>
        </w:rPr>
      </w:pPr>
    </w:p>
    <w:p>
      <w:pPr>
        <w:jc w:val="both"/>
        <w:ind w:left="4" w:right="400" w:hanging="4"/>
        <w:spacing w:after="0" w:line="263" w:lineRule="auto"/>
        <w:tabs>
          <w:tab w:leader="none" w:pos="27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183" w:lineRule="exact"/>
        <w:rPr>
          <w:rFonts w:ascii="Arial" w:cs="Arial" w:eastAsia="Arial" w:hAnsi="Arial"/>
          <w:sz w:val="18"/>
          <w:szCs w:val="18"/>
          <w:color w:val="auto"/>
        </w:rPr>
      </w:pPr>
    </w:p>
    <w:p>
      <w:pPr>
        <w:ind w:left="4" w:right="380" w:hanging="4"/>
        <w:spacing w:after="0" w:line="277" w:lineRule="auto"/>
        <w:tabs>
          <w:tab w:leader="none" w:pos="27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left="4" w:right="100" w:hanging="4"/>
        <w:spacing w:after="0" w:line="259" w:lineRule="auto"/>
        <w:tabs>
          <w:tab w:leader="none" w:pos="27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Chief Executive Officer.</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225" w:lineRule="exact"/>
        <w:rPr>
          <w:rFonts w:ascii="Arial" w:cs="Arial" w:eastAsia="Arial" w:hAnsi="Arial"/>
          <w:sz w:val="18"/>
          <w:szCs w:val="18"/>
          <w:color w:val="auto"/>
        </w:rPr>
      </w:pPr>
    </w:p>
    <w:p>
      <w:pPr>
        <w:ind w:left="4" w:right="240" w:hanging="4"/>
        <w:spacing w:after="0" w:line="277" w:lineRule="auto"/>
        <w:tabs>
          <w:tab w:leader="none" w:pos="27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4" w:hanging="4"/>
        <w:spacing w:after="0" w:line="271" w:lineRule="auto"/>
        <w:tabs>
          <w:tab w:leader="none" w:pos="27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Executive’s engagement with the Company and its Affiliates and to supersede any and all prior agreements, communications expressing the Company’s offer to the Executive, severance agreements and similar agreements, plans, provisions, understandings or arrangements, whether written or oral,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94" w:name="page95"/>
    <w:bookmarkEnd w:id="94"/>
    <w:p>
      <w:pPr>
        <w:ind w:left="4" w:hanging="4"/>
        <w:spacing w:after="0" w:line="254" w:lineRule="auto"/>
        <w:tabs>
          <w:tab w:leader="none" w:pos="27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 Waivers</w:t>
      </w:r>
      <w:r>
        <w:rPr>
          <w:rFonts w:ascii="Arial" w:cs="Arial" w:eastAsia="Arial" w:hAnsi="Arial"/>
          <w:sz w:val="18"/>
          <w:szCs w:val="18"/>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94" w:lineRule="exact"/>
        <w:rPr>
          <w:rFonts w:ascii="Arial" w:cs="Arial" w:eastAsia="Arial" w:hAnsi="Arial"/>
          <w:sz w:val="18"/>
          <w:szCs w:val="18"/>
          <w:color w:val="auto"/>
        </w:rPr>
      </w:pPr>
    </w:p>
    <w:p>
      <w:pPr>
        <w:jc w:val="both"/>
        <w:ind w:left="4" w:right="180" w:hanging="4"/>
        <w:spacing w:after="0" w:line="263" w:lineRule="auto"/>
        <w:tabs>
          <w:tab w:leader="none" w:pos="27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3" w:lineRule="exact"/>
        <w:rPr>
          <w:rFonts w:ascii="Arial" w:cs="Arial" w:eastAsia="Arial" w:hAnsi="Arial"/>
          <w:sz w:val="18"/>
          <w:szCs w:val="18"/>
          <w:color w:val="auto"/>
        </w:rPr>
      </w:pPr>
    </w:p>
    <w:p>
      <w:pPr>
        <w:ind w:left="4" w:right="60" w:hanging="4"/>
        <w:spacing w:after="0" w:line="285" w:lineRule="auto"/>
        <w:tabs>
          <w:tab w:leader="none" w:pos="27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(c) “any,” “all,” “each,” or “every” means “any and all,” and “each and every”; (d) “includes” and “including” are each “without limitation”; and</w:t>
      </w:r>
    </w:p>
    <w:p>
      <w:pPr>
        <w:spacing w:after="0" w:line="20"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color w:val="auto"/>
        </w:rPr>
        <w:t>(e) “herein,” “hereof,” “hereunder,” and other similar compounds of the word “here” refer to the entire Agreement and not to any particular paragraph, subparagraph, section or subsection.</w:t>
      </w:r>
    </w:p>
    <w:p>
      <w:pPr>
        <w:spacing w:after="0" w:line="185" w:lineRule="exact"/>
        <w:rPr>
          <w:rFonts w:ascii="Arial" w:cs="Arial" w:eastAsia="Arial" w:hAnsi="Arial"/>
          <w:sz w:val="16"/>
          <w:szCs w:val="16"/>
          <w:color w:val="auto"/>
        </w:rPr>
      </w:pPr>
    </w:p>
    <w:p>
      <w:pPr>
        <w:ind w:left="4" w:hanging="4"/>
        <w:spacing w:after="0" w:line="272" w:lineRule="auto"/>
        <w:tabs>
          <w:tab w:leader="none" w:pos="27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77" w:lineRule="exact"/>
        <w:rPr>
          <w:rFonts w:ascii="Arial" w:cs="Arial" w:eastAsia="Arial" w:hAnsi="Arial"/>
          <w:sz w:val="17"/>
          <w:szCs w:val="17"/>
          <w:color w:val="auto"/>
        </w:rPr>
      </w:pPr>
    </w:p>
    <w:p>
      <w:pPr>
        <w:ind w:left="4" w:right="60" w:hanging="4"/>
        <w:spacing w:after="0" w:line="273" w:lineRule="auto"/>
        <w:tabs>
          <w:tab w:leader="none" w:pos="27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95" w:name="page96"/>
    <w:bookmarkEnd w:id="95"/>
    <w:p>
      <w:pPr>
        <w:ind w:left="4" w:hanging="4"/>
        <w:spacing w:after="0" w:line="263" w:lineRule="auto"/>
        <w:tabs>
          <w:tab w:leader="none" w:pos="2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83" w:lineRule="exact"/>
        <w:rPr>
          <w:rFonts w:ascii="Arial" w:cs="Arial" w:eastAsia="Arial" w:hAnsi="Arial"/>
          <w:sz w:val="18"/>
          <w:szCs w:val="18"/>
          <w:color w:val="auto"/>
        </w:rPr>
      </w:pPr>
    </w:p>
    <w:p>
      <w:pPr>
        <w:ind w:left="4" w:right="140" w:hanging="4"/>
        <w:spacing w:after="0" w:line="255" w:lineRule="auto"/>
        <w:tabs>
          <w:tab w:leader="none" w:pos="2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xml:space="preserve">. To the extent required by applicable law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304 of the Sarbanes-Oxley Act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192" w:lineRule="exact"/>
        <w:rPr>
          <w:rFonts w:ascii="Arial" w:cs="Arial" w:eastAsia="Arial" w:hAnsi="Arial"/>
          <w:sz w:val="18"/>
          <w:szCs w:val="18"/>
          <w:color w:val="auto"/>
        </w:rPr>
      </w:pPr>
    </w:p>
    <w:p>
      <w:pPr>
        <w:ind w:left="4" w:right="80" w:hanging="4"/>
        <w:spacing w:after="0" w:line="308" w:lineRule="auto"/>
        <w:tabs>
          <w:tab w:leader="none" w:pos="27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46" w:lineRule="exact"/>
        <w:rPr>
          <w:rFonts w:ascii="Arial" w:cs="Arial" w:eastAsia="Arial" w:hAnsi="Arial"/>
          <w:sz w:val="17"/>
          <w:szCs w:val="17"/>
          <w:color w:val="auto"/>
        </w:rPr>
      </w:pPr>
    </w:p>
    <w:p>
      <w:pPr>
        <w:ind w:left="4" w:right="40" w:hanging="4"/>
        <w:spacing w:after="0" w:line="271" w:lineRule="auto"/>
        <w:tabs>
          <w:tab w:leader="none" w:pos="27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spacing w:after="0" w:line="178" w:lineRule="exact"/>
        <w:rPr>
          <w:rFonts w:ascii="Arial" w:cs="Arial" w:eastAsia="Arial" w:hAnsi="Arial"/>
          <w:sz w:val="17"/>
          <w:szCs w:val="17"/>
          <w:color w:val="auto"/>
        </w:rPr>
      </w:pPr>
    </w:p>
    <w:p>
      <w:pPr>
        <w:ind w:left="4" w:right="20" w:hanging="4"/>
        <w:spacing w:after="0" w:line="277" w:lineRule="auto"/>
        <w:tabs>
          <w:tab w:leader="none" w:pos="2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2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Representative Director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Chan Ho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Chan Ho Park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[Redacted]</w:t>
      </w:r>
    </w:p>
    <w:p>
      <w:pPr>
        <w:sectPr>
          <w:pgSz w:w="11900" w:h="16838" w:orient="portrait"/>
          <w:cols w:equalWidth="0" w:num="1">
            <w:col w:w="10400"/>
          </w:cols>
          <w:pgMar w:left="880" w:top="274" w:right="6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As used in this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Executive Service Agreement dated __________ between MagnaChip Semiconductor, Ltd. (the “</w:t>
      </w:r>
      <w:r>
        <w:rPr>
          <w:rFonts w:ascii="Arial" w:cs="Arial" w:eastAsia="Arial" w:hAnsi="Arial"/>
          <w:sz w:val="18"/>
          <w:szCs w:val="18"/>
          <w:u w:val="single" w:color="auto"/>
          <w:color w:val="auto"/>
        </w:rPr>
        <w:t>Company</w:t>
      </w:r>
      <w:r>
        <w:rPr>
          <w:rFonts w:ascii="Arial" w:cs="Arial" w:eastAsia="Arial" w:hAnsi="Arial"/>
          <w:sz w:val="18"/>
          <w:szCs w:val="18"/>
          <w:color w:val="auto"/>
        </w:rPr>
        <w:t>), MagnaChip Semiconductor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Chan Ho Park (my “</w:t>
      </w:r>
      <w:r>
        <w:rPr>
          <w:rFonts w:ascii="Arial" w:cs="Arial" w:eastAsia="Arial" w:hAnsi="Arial"/>
          <w:sz w:val="18"/>
          <w:szCs w:val="18"/>
          <w:u w:val="single" w:color="auto"/>
          <w:color w:val="auto"/>
        </w:rPr>
        <w:t>Service Agreement</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 xml:space="preserve">For and in consideration of the payments and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the Service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benefit plans in which I am or have been a participant by virtue of my engagement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engagement with or service to the Company or the termination thereof, including any and all claims arising under national, federal, provincial, state or local laws relating to employment, including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-1670050</wp:posOffset>
            </wp:positionV>
            <wp:extent cx="28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98" w:name="page99"/>
    <w:bookmarkEnd w:id="98"/>
    <w:p>
      <w:pPr>
        <w:ind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Proceeding</w:t>
      </w:r>
      <w:r>
        <w:rPr>
          <w:rFonts w:ascii="Arial" w:cs="Arial" w:eastAsia="Arial" w:hAnsi="Arial"/>
          <w:sz w:val="17"/>
          <w:szCs w:val="17"/>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except where otherwise provided by law, including any Proceeding conducted by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78"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By executing this Release, I specifically release all claims relating to my engagement with and service to the Company, and its termination, under ADEA, a federal statute that, among other things, prohibits discrimination on the basis of age in engagement and benefit plans.</w:t>
      </w:r>
    </w:p>
    <w:p>
      <w:pPr>
        <w:spacing w:after="0" w:line="14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Notwithstanding the generality of the foregoing, I do not release (i) claims to receive payments and benefits under Section 5(b) of the Service Agreement in accordance with the terms of the Service Agreement, (ii) claims for indemnification arising under any applicable indemnification obligation of the Company, (iii) any vested rights I may have under any qualified benefit plans, programs or policies of the Company,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-597535</wp:posOffset>
            </wp:positionV>
            <wp:extent cx="28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Nothing in this Agreement, or any other agreement with the Company, prohibits or is intended in any manner to prohibit, me from (i) reporting a possible violation of federal or other applicable law or regulation to any governmental agency or entity, including the Department of Justice, the SEC, the U.S. Congress and any governmental agency Inspector General, or (ii) making other disclosures that are protected under whistleblower provisions of federal law or regulation. This Agreement does not limit my right to receive an award (including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9" w:name="page100"/>
    <w:bookmarkEnd w:id="99"/>
    <w:p>
      <w:pPr>
        <w:ind w:right="8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1"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Service_Agreement unless this Release is effective on or before the date that is 60 days following the Date of Termination (as defined in the Service Agreement).</w:t>
      </w:r>
    </w:p>
    <w:p>
      <w:pPr>
        <w:spacing w:after="0" w:line="149" w:lineRule="exact"/>
        <w:rPr>
          <w:sz w:val="20"/>
          <w:szCs w:val="20"/>
          <w:color w:val="auto"/>
        </w:rPr>
      </w:pPr>
    </w:p>
    <w:p>
      <w:pPr>
        <w:jc w:val="both"/>
        <w:ind w:right="180" w:firstLine="440"/>
        <w:spacing w:after="0" w:line="277" w:lineRule="auto"/>
        <w:rPr>
          <w:sz w:val="20"/>
          <w:szCs w:val="20"/>
          <w:color w:val="auto"/>
        </w:rPr>
      </w:pPr>
      <w:r>
        <w:rPr>
          <w:rFonts w:ascii="Arial" w:cs="Arial" w:eastAsia="Arial" w:hAnsi="Arial"/>
          <w:sz w:val="18"/>
          <w:szCs w:val="18"/>
          <w:color w:val="auto"/>
        </w:rPr>
        <w:t>I hereby agree to waive any and all claims to re-engagement with the Company and affirmatively agree not to seek further engagement with the Company.</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00" w:name="page101"/>
    <w:bookmarkEnd w:id="100"/>
    <w:p>
      <w:pPr>
        <w:jc w:val="right"/>
        <w:ind w:right="2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 Ho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787"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 Soo Woo, certify that:</w:t>
      </w:r>
    </w:p>
    <w:p>
      <w:pPr>
        <w:spacing w:after="0" w:line="117" w:lineRule="exact"/>
        <w:rPr>
          <w:sz w:val="20"/>
          <w:szCs w:val="20"/>
          <w:color w:val="auto"/>
        </w:rPr>
      </w:pPr>
    </w:p>
    <w:p>
      <w:pPr>
        <w:ind w:left="620" w:hanging="184"/>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7, 2020</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7, 2020</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lowerLetter"/>
      <w:start w:val="1"/>
    </w:lvl>
    <w:lvl w:ilvl="1">
      <w:lvlJc w:val="left"/>
      <w:lvlText w:val="•"/>
      <w:numFmt w:val="bullet"/>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2"/>
    </w:lvl>
    <w:lvl w:ilvl="1">
      <w:lvlJc w:val="left"/>
      <w:lvlText w:val="•"/>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
    </w:lvl>
    <w:lvl w:ilvl="1">
      <w:lvlJc w:val="left"/>
      <w:lvlText w:val="(%2)"/>
      <w:numFmt w:val="lowerLetter"/>
      <w:start w:val="1"/>
    </w:lvl>
  </w:abstractNum>
  <w:abstractNum w:abstractNumId="13">
    <w:nsid w:val="57E4CCAF"/>
    <w:multiLevelType w:val="hybridMultilevel"/>
    <w:lvl w:ilvl="0">
      <w:lvlJc w:val="left"/>
      <w:lvlText w:val="(%1)"/>
      <w:numFmt w:val="lowerLetter"/>
      <w:start w:val="7"/>
    </w:lvl>
  </w:abstractNum>
  <w:abstractNum w:abstractNumId="14">
    <w:nsid w:val="7A6D8D3C"/>
    <w:multiLevelType w:val="hybridMultilevel"/>
    <w:lvl w:ilvl="0">
      <w:lvlJc w:val="left"/>
      <w:lvlText w:val="%1"/>
      <w:numFmt w:val="decimal"/>
      <w:start w:val="1"/>
    </w:lvl>
    <w:lvl w:ilvl="1">
      <w:lvlJc w:val="left"/>
      <w:lvlText w:val="(%2)"/>
      <w:numFmt w:val="lowerLetter"/>
      <w:start w:val="18"/>
    </w:lvl>
  </w:abstractNum>
  <w:abstractNum w:abstractNumId="15">
    <w:nsid w:val="4B588F54"/>
    <w:multiLevelType w:val="hybridMultilevel"/>
    <w:lvl w:ilvl="0">
      <w:lvlJc w:val="left"/>
      <w:lvlText w:val="%1"/>
      <w:numFmt w:val="decimal"/>
      <w:start w:val="35"/>
    </w:lvl>
    <w:lvl w:ilvl="1">
      <w:lvlJc w:val="left"/>
      <w:lvlText w:val="%2"/>
      <w:numFmt w:val="lowerLetter"/>
      <w:start w:val="1"/>
    </w:lvl>
  </w:abstractNum>
  <w:abstractNum w:abstractNumId="16">
    <w:nsid w:val="542289EC"/>
    <w:multiLevelType w:val="hybridMultilevel"/>
    <w:lvl w:ilvl="0">
      <w:lvlJc w:val="left"/>
      <w:lvlText w:val="%1"/>
      <w:numFmt w:val="decimal"/>
      <w:start w:val="90"/>
    </w:lvl>
    <w:lvl w:ilvl="1">
      <w:lvlJc w:val="left"/>
      <w:lvlText w:val="(%2)"/>
      <w:numFmt w:val="lowerLetter"/>
      <w:start w:val="19"/>
    </w:lvl>
  </w:abstractNum>
  <w:abstractNum w:abstractNumId="17">
    <w:nsid w:val="6DE91B18"/>
    <w:multiLevelType w:val="hybridMultilevel"/>
    <w:lvl w:ilvl="0">
      <w:lvlJc w:val="left"/>
      <w:lvlText w:val="%1."/>
      <w:numFmt w:val="decimal"/>
      <w:start w:val="2"/>
    </w:lvl>
    <w:lvl w:ilvl="1">
      <w:lvlJc w:val="left"/>
      <w:lvlText w:val="(%2)"/>
      <w:numFmt w:val="lowerLetter"/>
      <w:start w:val="1"/>
    </w:lvl>
  </w:abstractNum>
  <w:abstractNum w:abstractNumId="18">
    <w:nsid w:val="38437FD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7644A4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32FFF90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684A48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
    <w:nsid w:val="749ABB43"/>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24">
    <w:nsid w:val="3DC240FB"/>
    <w:multiLevelType w:val="hybridMultilevel"/>
    <w:lvl w:ilvl="0">
      <w:lvlJc w:val="left"/>
      <w:lvlText w:val="%1."/>
      <w:numFmt w:val="decimal"/>
      <w:start w:val="5"/>
    </w:lvl>
    <w:lvl w:ilvl="1">
      <w:lvlJc w:val="left"/>
      <w:lvlText w:val="(%2)"/>
      <w:numFmt w:val="lowerLetter"/>
      <w:start w:val="1"/>
    </w:lvl>
  </w:abstractNum>
  <w:abstractNum w:abstractNumId="25">
    <w:nsid w:val="1BA026FA"/>
    <w:multiLevelType w:val="hybridMultilevel"/>
    <w:lvl w:ilvl="0">
      <w:lvlJc w:val="left"/>
      <w:lvlText w:val="(%1)"/>
      <w:numFmt w:val="lowerLetter"/>
      <w:start w:val="2"/>
    </w:lvl>
    <w:lvl w:ilvl="1">
      <w:lvlJc w:val="left"/>
      <w:lvlText w:val="(%2)"/>
      <w:numFmt w:val="lowerRoman"/>
      <w:start w:val="1"/>
    </w:lvl>
  </w:abstractNum>
  <w:abstractNum w:abstractNumId="26">
    <w:nsid w:val="79A1DEAA"/>
    <w:multiLevelType w:val="hybridMultilevel"/>
    <w:lvl w:ilvl="0">
      <w:lvlJc w:val="left"/>
      <w:lvlText w:val="%1"/>
      <w:numFmt w:val="decimal"/>
      <w:start w:val="1"/>
    </w:lvl>
    <w:lvl w:ilvl="1">
      <w:lvlJc w:val="left"/>
      <w:lvlText w:val="(%2)"/>
      <w:numFmt w:val="lowerLetter"/>
      <w:start w:val="3"/>
    </w:lvl>
  </w:abstractNum>
  <w:abstractNum w:abstractNumId="27">
    <w:nsid w:val="75C6C33A"/>
    <w:multiLevelType w:val="hybridMultilevel"/>
    <w:lvl w:ilvl="0">
      <w:lvlJc w:val="left"/>
      <w:lvlText w:val="%1."/>
      <w:numFmt w:val="decimal"/>
      <w:start w:val="6"/>
    </w:lvl>
    <w:lvl w:ilvl="1">
      <w:lvlJc w:val="left"/>
      <w:lvlText w:val="(%2)"/>
      <w:numFmt w:val="lowerLetter"/>
      <w:start w:val="1"/>
    </w:lvl>
  </w:abstractNum>
  <w:abstractNum w:abstractNumId="28">
    <w:nsid w:val="12E685FB"/>
    <w:multiLevelType w:val="hybridMultilevel"/>
    <w:lvl w:ilvl="0">
      <w:lvlJc w:val="left"/>
      <w:lvlText w:val="%1"/>
      <w:numFmt w:val="decimal"/>
      <w:start w:val="1"/>
    </w:lvl>
    <w:lvl w:ilvl="1">
      <w:lvlJc w:val="left"/>
      <w:lvlText w:val="(%2)"/>
      <w:numFmt w:val="lowerLetter"/>
      <w:start w:val="3"/>
    </w:lvl>
  </w:abstractNum>
  <w:abstractNum w:abstractNumId="29">
    <w:nsid w:val="70C6A529"/>
    <w:multiLevelType w:val="hybridMultilevel"/>
    <w:lvl w:ilvl="0">
      <w:lvlJc w:val="left"/>
      <w:lvlText w:val="%1."/>
      <w:numFmt w:val="decimal"/>
      <w:start w:val="7"/>
    </w:lvl>
    <w:lvl w:ilvl="1">
      <w:lvlJc w:val="left"/>
      <w:lvlText w:val="(%2)"/>
      <w:numFmt w:val="lowerLetter"/>
      <w:start w:val="1"/>
    </w:lvl>
  </w:abstractNum>
  <w:abstractNum w:abstractNumId="30">
    <w:nsid w:val="520EEDD1"/>
    <w:multiLevelType w:val="hybridMultilevel"/>
    <w:lvl w:ilvl="0">
      <w:lvlJc w:val="left"/>
      <w:lvlText w:val="(%1)"/>
      <w:numFmt w:val="lowerLetter"/>
      <w:start w:val="3"/>
    </w:lvl>
    <w:lvl w:ilvl="1">
      <w:lvlJc w:val="left"/>
      <w:lvlText w:val="(%2)"/>
      <w:numFmt w:val="lowerRoman"/>
      <w:start w:val="1"/>
    </w:lvl>
  </w:abstractNum>
  <w:abstractNum w:abstractNumId="31">
    <w:nsid w:val="374A3FE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
    <w:nsid w:val="4F4EF0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4"/>
    </w:lvl>
  </w:abstractNum>
  <w:abstractNum w:abstractNumId="33">
    <w:nsid w:val="23F9C13C"/>
    <w:multiLevelType w:val="hybridMultilevel"/>
    <w:lvl w:ilvl="0">
      <w:lvlJc w:val="left"/>
      <w:lvlText w:val="%1."/>
      <w:numFmt w:val="decimal"/>
      <w:start w:val="8"/>
    </w:lvl>
  </w:abstractNum>
  <w:abstractNum w:abstractNumId="34">
    <w:nsid w:val="649BB77C"/>
    <w:multiLevelType w:val="hybridMultilevel"/>
    <w:lvl w:ilvl="0">
      <w:lvlJc w:val="left"/>
      <w:lvlText w:val="%1."/>
      <w:numFmt w:val="decimal"/>
      <w:start w:val="9"/>
    </w:lvl>
    <w:lvl w:ilvl="1">
      <w:lvlJc w:val="left"/>
      <w:lvlText w:val="(%2)"/>
      <w:numFmt w:val="lowerLetter"/>
      <w:start w:val="1"/>
    </w:lvl>
  </w:abstractNum>
  <w:abstractNum w:abstractNumId="35">
    <w:nsid w:val="275AC794"/>
    <w:multiLevelType w:val="hybridMultilevel"/>
    <w:lvl w:ilvl="0">
      <w:lvlJc w:val="left"/>
      <w:lvlText w:val="(%1)"/>
      <w:numFmt w:val="lowerLetter"/>
      <w:start w:val="35"/>
    </w:lvl>
    <w:lvl w:ilvl="1">
      <w:lvlJc w:val="left"/>
      <w:lvlText w:val="(%2)"/>
      <w:numFmt w:val="lowerLetter"/>
      <w:start w:val="2"/>
    </w:lvl>
  </w:abstractNum>
  <w:abstractNum w:abstractNumId="36">
    <w:nsid w:val="39386575"/>
    <w:multiLevelType w:val="hybridMultilevel"/>
    <w:lvl w:ilvl="0">
      <w:lvlJc w:val="left"/>
      <w:lvlText w:val="%1."/>
      <w:numFmt w:val="decimal"/>
      <w:start w:val="12"/>
    </w:lvl>
    <w:lvl w:ilvl="1">
      <w:lvlJc w:val="left"/>
      <w:lvlText w:val="(%2)"/>
      <w:numFmt w:val="lowerLetter"/>
      <w:start w:val="1"/>
    </w:lvl>
  </w:abstractNum>
  <w:abstractNum w:abstractNumId="37">
    <w:nsid w:val="1CF10FD8"/>
    <w:multiLevelType w:val="hybridMultilevel"/>
    <w:lvl w:ilvl="0">
      <w:lvlJc w:val="left"/>
      <w:lvlText w:val="%1."/>
      <w:numFmt w:val="decimal"/>
      <w:start w:val="14"/>
    </w:lvl>
    <w:lvl w:ilvl="1">
      <w:lvlJc w:val="left"/>
      <w:lvlText w:val="(%2)"/>
      <w:numFmt w:val="lowerLetter"/>
      <w:start w:val="1"/>
    </w:lvl>
  </w:abstractNum>
  <w:abstractNum w:abstractNumId="38">
    <w:nsid w:val="180115BE"/>
    <w:multiLevelType w:val="hybridMultilevel"/>
    <w:lvl w:ilvl="0">
      <w:lvlJc w:val="left"/>
      <w:lvlText w:val="%1."/>
      <w:numFmt w:val="decimal"/>
      <w:start w:val="20"/>
    </w:lvl>
  </w:abstractNum>
  <w:abstractNum w:abstractNumId="39">
    <w:nsid w:val="235BA861"/>
    <w:multiLevelType w:val="hybridMultilevel"/>
    <w:lvl w:ilvl="0">
      <w:lvlJc w:val="left"/>
      <w:lvlText w:val="%1."/>
      <w:numFmt w:val="decimal"/>
      <w:start w:val="25"/>
    </w:lvl>
  </w:abstractNum>
  <w:abstractNum w:abstractNumId="40">
    <w:nsid w:val="47398C89"/>
    <w:multiLevelType w:val="hybridMultilevel"/>
    <w:lvl w:ilvl="0">
      <w:lvlJc w:val="left"/>
      <w:lvlText w:val="%1."/>
      <w:numFmt w:val="decimal"/>
      <w:start w:val="1"/>
    </w:lvl>
    <w:lvl w:ilvl="1">
      <w:lvlJc w:val="left"/>
      <w:lvlText w:val="(%2)"/>
      <w:numFmt w:val="lowerLetter"/>
      <w:start w:val="1"/>
    </w:lvl>
  </w:abstractNum>
  <w:abstractNum w:abstractNumId="41">
    <w:nsid w:val="354FE9F9"/>
    <w:multiLevelType w:val="hybridMultilevel"/>
    <w:lvl w:ilvl="0">
      <w:lvlJc w:val="left"/>
      <w:lvlText w:val="(%1)"/>
      <w:numFmt w:val="lowerLetter"/>
      <w:start w:val="8"/>
    </w:lvl>
  </w:abstractNum>
  <w:abstractNum w:abstractNumId="42">
    <w:nsid w:val="15B5AF5C"/>
    <w:multiLevelType w:val="hybridMultilevel"/>
    <w:lvl w:ilvl="0">
      <w:lvlJc w:val="left"/>
      <w:lvlText w:val="(%1)"/>
      <w:numFmt w:val="lowerLetter"/>
      <w:start w:val="18"/>
    </w:lvl>
  </w:abstractNum>
  <w:abstractNum w:abstractNumId="43">
    <w:nsid w:val="741226BB"/>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abstractNum>
  <w:abstractNum w:abstractNumId="44">
    <w:nsid w:val="D34B6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
    <w:nsid w:val="10233C99"/>
    <w:multiLevelType w:val="hybridMultilevel"/>
    <w:lvl w:ilvl="0">
      <w:lvlJc w:val="left"/>
      <w:lvlText w:val="(%1)"/>
      <w:numFmt w:val="lowerLetter"/>
      <w:start w:val="2"/>
    </w:lvl>
  </w:abstractNum>
  <w:abstractNum w:abstractNumId="46">
    <w:nsid w:val="3F6AB60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7">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9">
    <w:nsid w:val="77AE35EB"/>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50">
    <w:nsid w:val="579BE4F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1">
    <w:nsid w:val="310C50B3"/>
    <w:multiLevelType w:val="hybridMultilevel"/>
    <w:lvl w:ilvl="0">
      <w:lvlJc w:val="left"/>
      <w:lvlText w:val="(%1)"/>
      <w:numFmt w:val="lowerRoman"/>
      <w:start w:val="2"/>
    </w:lvl>
  </w:abstractNum>
  <w:abstractNum w:abstractNumId="52">
    <w:nsid w:val="5FF87E05"/>
    <w:multiLevelType w:val="hybridMultilevel"/>
    <w:lvl w:ilvl="0">
      <w:lvlJc w:val="left"/>
      <w:lvlText w:val="%1"/>
      <w:numFmt w:val="decimal"/>
      <w:start w:val="1"/>
    </w:lvl>
    <w:lvl w:ilvl="1">
      <w:lvlJc w:val="left"/>
      <w:lvlText w:val="(%2)"/>
      <w:numFmt w:val="lowerLetter"/>
      <w:start w:val="3"/>
    </w:lvl>
  </w:abstractNum>
  <w:abstractNum w:abstractNumId="53">
    <w:nsid w:val="2F305DEF"/>
    <w:multiLevelType w:val="hybridMultilevel"/>
    <w:lvl w:ilvl="0">
      <w:lvlJc w:val="left"/>
      <w:lvlText w:val="%1."/>
      <w:numFmt w:val="decimal"/>
      <w:start w:val="6"/>
    </w:lvl>
    <w:lvl w:ilvl="1">
      <w:lvlJc w:val="left"/>
      <w:lvlText w:val="(%2)"/>
      <w:numFmt w:val="lowerLetter"/>
      <w:start w:val="1"/>
    </w:lvl>
  </w:abstractNum>
  <w:abstractNum w:abstractNumId="54">
    <w:nsid w:val="25A70BF7"/>
    <w:multiLevelType w:val="hybridMultilevel"/>
    <w:lvl w:ilvl="0">
      <w:lvlJc w:val="left"/>
      <w:lvlText w:val="%1"/>
      <w:numFmt w:val="decimal"/>
      <w:start w:val="1"/>
    </w:lvl>
    <w:lvl w:ilvl="1">
      <w:lvlJc w:val="left"/>
      <w:lvlText w:val="(%2)"/>
      <w:numFmt w:val="lowerLetter"/>
      <w:start w:val="2"/>
    </w:lvl>
  </w:abstractNum>
  <w:abstractNum w:abstractNumId="55">
    <w:nsid w:val="1DBABF00"/>
    <w:multiLevelType w:val="hybridMultilevel"/>
    <w:lvl w:ilvl="0">
      <w:lvlJc w:val="left"/>
      <w:lvlText w:val="%1."/>
      <w:numFmt w:val="decimal"/>
      <w:start w:val="7"/>
    </w:lvl>
    <w:lvl w:ilvl="1">
      <w:lvlJc w:val="left"/>
      <w:lvlText w:val="(%2)"/>
      <w:numFmt w:val="lowerLetter"/>
      <w:start w:val="1"/>
    </w:lvl>
  </w:abstractNum>
  <w:abstractNum w:abstractNumId="56">
    <w:nsid w:val="4AD084E9"/>
    <w:multiLevelType w:val="hybridMultilevel"/>
    <w:lvl w:ilvl="0">
      <w:lvlJc w:val="left"/>
      <w:lvlText w:val="(%1)"/>
      <w:numFmt w:val="lowerLetter"/>
      <w:start w:val="2"/>
    </w:lvl>
    <w:lvl w:ilvl="1">
      <w:lvlJc w:val="left"/>
      <w:lvlText w:val="(%2)"/>
      <w:numFmt w:val="lowerRoman"/>
      <w:start w:val="1"/>
    </w:lvl>
  </w:abstractNum>
  <w:abstractNum w:abstractNumId="57">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138182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4"/>
    </w:lvl>
  </w:abstractNum>
  <w:abstractNum w:abstractNumId="59">
    <w:nsid w:val="5DB70AE5"/>
    <w:multiLevelType w:val="hybridMultilevel"/>
    <w:lvl w:ilvl="0">
      <w:lvlJc w:val="left"/>
      <w:lvlText w:val="%1."/>
      <w:numFmt w:val="decimal"/>
      <w:start w:val="8"/>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2"/>
    </w:lvl>
    <w:lvl w:ilvl="1">
      <w:lvlJc w:val="left"/>
      <w:lvlText w:val="(%2)"/>
      <w:numFmt w:val="lowerLetter"/>
      <w:start w:val="1"/>
    </w:lvl>
  </w:abstractNum>
  <w:abstractNum w:abstractNumId="63">
    <w:nsid w:val="5F5E7FD0"/>
    <w:multiLevelType w:val="hybridMultilevel"/>
    <w:lvl w:ilvl="0">
      <w:lvlJc w:val="left"/>
      <w:lvlText w:val="%1."/>
      <w:numFmt w:val="decimal"/>
      <w:start w:val="13"/>
    </w:lvl>
    <w:lvl w:ilvl="1">
      <w:lvlJc w:val="left"/>
      <w:lvlText w:val="(%2)"/>
      <w:numFmt w:val="lowerLetter"/>
      <w:start w:val="1"/>
    </w:lvl>
  </w:abstractNum>
  <w:abstractNum w:abstractNumId="64">
    <w:nsid w:val="98A3148"/>
    <w:multiLevelType w:val="hybridMultilevel"/>
    <w:lvl w:ilvl="0">
      <w:lvlJc w:val="left"/>
      <w:lvlText w:val="%1."/>
      <w:numFmt w:val="decimal"/>
      <w:start w:val="19"/>
    </w:lvl>
  </w:abstractNum>
  <w:abstractNum w:abstractNumId="65">
    <w:nsid w:val="799D0247"/>
    <w:multiLevelType w:val="hybridMultilevel"/>
    <w:lvl w:ilvl="0">
      <w:lvlJc w:val="left"/>
      <w:lvlText w:val="%1."/>
      <w:numFmt w:val="decimal"/>
      <w:start w:val="24"/>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5"/>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5"/>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lowerRoman"/>
      <w:start w:val="1"/>
    </w:lvl>
  </w:abstractNum>
  <w:abstractNum w:abstractNumId="75">
    <w:nsid w:val="613EFD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73" Type="http://schemas.openxmlformats.org/officeDocument/2006/relationships/hyperlink" Target="http://www.sec.gov/Archives/edgar/data/1325702/000119312520171326/d922566dex101.htm" TargetMode="External"/><Relationship Id="rId74" Type="http://schemas.openxmlformats.org/officeDocument/2006/relationships/hyperlink" Target="http://www.sec.gov/Archives/edgar/data/1325702/000119312520193326/d945107dex992.htm" TargetMode="External"/><Relationship Id="rId75" Type="http://schemas.openxmlformats.org/officeDocument/2006/relationships/hyperlink" Target="http://www.sec.gov/Archives/edgar/data/1325702/000119312520193326/d945107dex993.htm" TargetMode="External"/><Relationship Id="rId76" Type="http://schemas.openxmlformats.org/officeDocument/2006/relationships/hyperlink" Target="http://www.sec.gov/Archives/edgar/data/1325702/000119312520193326/d945107dex994.htm" TargetMode="External"/><Relationship Id="rId77" Type="http://schemas.openxmlformats.org/officeDocument/2006/relationships/hyperlink" Target="http://www.sec.gov/Archives/edgar/data/1325702/000119312520193326/d945107dex995.htm" TargetMode="External"/><Relationship Id="rId78" Type="http://schemas.openxmlformats.org/officeDocument/2006/relationships/hyperlink" Target="http://www.sec.gov/Archives/edgar/data/1325702/000119312520193326/d945107dex996.htm" TargetMode="External"/><Relationship Id="rId79" Type="http://schemas.openxmlformats.org/officeDocument/2006/relationships/hyperlink" Target="http://www.sec.gov/Archives/edgar/data/1325702/000119312520193326/d945107d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2020-08-07T05:43:41Z</dcterms:created>
  <dcterms:modified xsi:type="dcterms:W3CDTF">2020-08-07T05:43:41Z</dcterms:modified>
</cp:coreProperties>
</file>