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20" w:type="dxa"/>
            <w:vAlign w:val="bottom"/>
          </w:tcPr>
          <w:p>
            <w:pPr>
              <w:jc w:val="center"/>
              <w:ind w:right="205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380"/>
              <w:spacing w:after="0"/>
              <w:rPr>
                <w:sz w:val="20"/>
                <w:szCs w:val="20"/>
                <w:color w:val="auto"/>
              </w:rPr>
            </w:pPr>
            <w:r>
              <w:rPr>
                <w:rFonts w:ascii="Arial" w:cs="Arial" w:eastAsia="Arial" w:hAnsi="Arial"/>
                <w:sz w:val="18"/>
                <w:szCs w:val="18"/>
                <w:b w:val="1"/>
                <w:bCs w:val="1"/>
                <w:color w:val="auto"/>
              </w:rPr>
              <w:t>001-34791</w:t>
            </w:r>
          </w:p>
        </w:tc>
        <w:tc>
          <w:tcPr>
            <w:tcW w:w="2920" w:type="dxa"/>
            <w:vAlign w:val="bottom"/>
          </w:tcPr>
          <w:p>
            <w:pPr>
              <w:jc w:val="center"/>
              <w:ind w:left="170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20" w:type="dxa"/>
            <w:vAlign w:val="bottom"/>
          </w:tcPr>
          <w:p>
            <w:pPr>
              <w:jc w:val="center"/>
              <w:ind w:right="20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20" w:type="dxa"/>
            <w:vAlign w:val="bottom"/>
          </w:tcPr>
          <w:p>
            <w:pPr>
              <w:jc w:val="center"/>
              <w:ind w:right="203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6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5"/>
        </w:trPr>
        <w:tc>
          <w:tcPr>
            <w:tcW w:w="382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2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50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first quarter ended March 31, 2022, as presented in a press release dated May 3, 2022.</w:t>
      </w:r>
    </w:p>
    <w:p>
      <w:pPr>
        <w:spacing w:after="0" w:line="146"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1"/>
        </w:trPr>
        <w:tc>
          <w:tcPr>
            <w:tcW w:w="5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2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64"/>
        </w:trPr>
        <w:tc>
          <w:tcPr>
            <w:tcW w:w="500" w:type="dxa"/>
            <w:vAlign w:val="bottom"/>
          </w:tcPr>
          <w:p>
            <w:pPr>
              <w:jc w:val="right"/>
              <w:ind w:right="102"/>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2"/>
                <w:szCs w:val="22"/>
                <w:color w:val="auto"/>
              </w:rPr>
            </w:pPr>
          </w:p>
        </w:tc>
        <w:tc>
          <w:tcPr>
            <w:tcW w:w="9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for Magnachip Semiconductor Corporation dated May 3, 2022, announcing the results for the first quarter ended March 31,</w:t>
              </w:r>
            </w:hyperlink>
          </w:p>
        </w:tc>
      </w:tr>
      <w:tr>
        <w:trPr>
          <w:trHeight w:val="196"/>
        </w:trPr>
        <w:tc>
          <w:tcPr>
            <w:tcW w:w="500" w:type="dxa"/>
            <w:vAlign w:val="bottom"/>
          </w:tcPr>
          <w:p>
            <w:pPr>
              <w:spacing w:after="0"/>
              <w:rPr>
                <w:sz w:val="17"/>
                <w:szCs w:val="17"/>
                <w:color w:val="auto"/>
              </w:rPr>
            </w:pPr>
          </w:p>
        </w:tc>
        <w:tc>
          <w:tcPr>
            <w:tcW w:w="940" w:type="dxa"/>
            <w:vAlign w:val="bottom"/>
            <w:gridSpan w:val="2"/>
          </w:tcPr>
          <w:p>
            <w:pPr>
              <w:ind w:left="54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2022.</w:t>
              </w:r>
            </w:hyperlink>
          </w:p>
        </w:tc>
        <w:tc>
          <w:tcPr>
            <w:tcW w:w="4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bl>
    <w:p>
      <w:pPr>
        <w:sectPr>
          <w:pgSz w:w="11900" w:h="16838" w:orient="portrait"/>
          <w:cols w:equalWidth="0" w:num="1">
            <w:col w:w="10884"/>
          </w:cols>
          <w:pgMar w:left="436" w:top="297" w:right="5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31457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45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Reports Results for First Quarter 2022</w:t>
      </w:r>
    </w:p>
    <w:p>
      <w:pPr>
        <w:spacing w:after="0" w:line="131" w:lineRule="exact"/>
        <w:rPr>
          <w:sz w:val="20"/>
          <w:szCs w:val="20"/>
          <w:color w:val="auto"/>
        </w:rPr>
      </w:pPr>
    </w:p>
    <w:p>
      <w:pPr>
        <w:ind w:left="960" w:right="200" w:hanging="424"/>
        <w:spacing w:after="0" w:line="261"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of $104.1 million was down 5.7% sequentially and down 15.4% year-over-year (YoY). The decrease was mainly due to a 29.3% sequential decline in Display solutions revenue as a result of continued severe supply shortage of 28nm 12” OLED wafers, partially offset by record revenue in our Power solutions business, which was up 11.4% sequentially and 20.0% YoY on strong demand in premium products.</w:t>
      </w:r>
    </w:p>
    <w:p>
      <w:pPr>
        <w:spacing w:after="0" w:line="85" w:lineRule="exact"/>
        <w:rPr>
          <w:rFonts w:ascii="Arial" w:cs="Arial" w:eastAsia="Arial" w:hAnsi="Arial"/>
          <w:sz w:val="18"/>
          <w:szCs w:val="18"/>
          <w:b w:val="1"/>
          <w:bCs w:val="1"/>
          <w:color w:val="auto"/>
        </w:rPr>
      </w:pPr>
    </w:p>
    <w:p>
      <w:pPr>
        <w:ind w:left="960" w:right="220" w:hanging="424"/>
        <w:spacing w:after="0" w:line="261"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margin was 37.5%, up 250 basis points from Q4 and up over 960 basis points from Q1 a year ago. The YoY increase was primarily attributable to an improved product mix, combined with an increase in average selling price under a favorable pricing environment. Sequentially, Q1 benefited by approximately 200 basis points from the timing mismatch of lower cost 12” wafers purchased in a prior period and sold in Q1.</w:t>
      </w:r>
    </w:p>
    <w:p>
      <w:pPr>
        <w:spacing w:after="0" w:line="85"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GAAP diluted earnings per share (EPS) was $0.20.</w:t>
      </w:r>
    </w:p>
    <w:p>
      <w:pPr>
        <w:spacing w:after="0" w:line="130"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Non-GAAP diluted EPS was $0.28.</w:t>
      </w:r>
    </w:p>
    <w:p>
      <w:pPr>
        <w:spacing w:after="0" w:line="22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SEOUL, South Korea, May 3, 2022 </w:t>
      </w:r>
      <w:r>
        <w:rPr>
          <w:rFonts w:ascii="Arial" w:cs="Arial" w:eastAsia="Arial" w:hAnsi="Arial"/>
          <w:sz w:val="18"/>
          <w:szCs w:val="18"/>
          <w:color w:val="auto"/>
        </w:rPr>
        <w:t>— Magnachip Semiconductor Corporation (NYSE: MX) (“Magnachip” or the “Company”)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first quarter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results for the first quarter of 2022, YJ Kim, Magnachip’s chief executive officer stated, “In Q1, we reported revenue of</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$104.1 million and non-GAAP EPS of 28 cents, which was an increase of 27% year-over-year bolstered by a strong gross profit margin. As expected, OLED revenue remained severely impacted by the shortage of 28nm 12-inch wafer supply; however, this impact was somewhat offset by strength in our Power solutions business, which achieved yet another record quarterly revenue.”</w:t>
      </w:r>
    </w:p>
    <w:p>
      <w:pPr>
        <w:spacing w:after="0" w:line="19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YJ Kim continued, “Looking forward, the ongoing lockdowns in China have added new challenges to an already stressed supply chain. Despite the current macro issues, which may limit our near-term growth, our recent design tractions with an existing OLED customer, broadening customer base, and new wafer capacity later this year give us confidence and optimism about our long-term growth.”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2022 Financial Highlights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80" w:type="dxa"/>
            <w:vAlign w:val="bottom"/>
            <w:gridSpan w:val="7"/>
          </w:tcPr>
          <w:p>
            <w:pPr>
              <w:jc w:val="right"/>
              <w:ind w:right="380"/>
              <w:spacing w:after="0"/>
              <w:rPr>
                <w:sz w:val="20"/>
                <w:szCs w:val="20"/>
                <w:color w:val="auto"/>
              </w:rPr>
            </w:pPr>
            <w:r>
              <w:rPr>
                <w:rFonts w:ascii="Arial" w:cs="Arial" w:eastAsia="Arial" w:hAnsi="Arial"/>
                <w:sz w:val="14"/>
                <w:szCs w:val="14"/>
                <w:color w:val="auto"/>
                <w:w w:val="95"/>
              </w:rPr>
              <w:t>In thousands of U.S. dollars, except share data</w:t>
            </w:r>
          </w:p>
        </w:tc>
      </w:tr>
      <w:tr>
        <w:trPr>
          <w:trHeight w:val="142"/>
        </w:trPr>
        <w:tc>
          <w:tcPr>
            <w:tcW w:w="1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GAAP</w:t>
            </w: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Q1 2022</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Q4 2021</w:t>
            </w:r>
          </w:p>
        </w:tc>
        <w:tc>
          <w:tcPr>
            <w:tcW w:w="146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Q/Q change</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Q1 2021</w:t>
            </w:r>
          </w:p>
        </w:tc>
        <w:tc>
          <w:tcPr>
            <w:tcW w:w="10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Y/Y change</w:t>
            </w:r>
          </w:p>
        </w:tc>
        <w:tc>
          <w:tcPr>
            <w:tcW w:w="380" w:type="dxa"/>
            <w:vAlign w:val="bottom"/>
          </w:tcPr>
          <w:p>
            <w:pPr>
              <w:spacing w:after="0"/>
              <w:rPr>
                <w:sz w:val="12"/>
                <w:szCs w:val="12"/>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Standard Products Business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29,185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41,298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58,895</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Power Solutions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64,825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58,212</w:t>
            </w:r>
          </w:p>
        </w:tc>
        <w:tc>
          <w:tcPr>
            <w:tcW w:w="520" w:type="dxa"/>
            <w:vAlign w:val="bottom"/>
          </w:tcPr>
          <w:p>
            <w:pPr>
              <w:jc w:val="right"/>
              <w:spacing w:after="0"/>
              <w:rPr>
                <w:sz w:val="20"/>
                <w:szCs w:val="20"/>
                <w:color w:val="auto"/>
              </w:rPr>
            </w:pPr>
            <w:r>
              <w:rPr>
                <w:rFonts w:ascii="Arial" w:cs="Arial" w:eastAsia="Arial" w:hAnsi="Arial"/>
                <w:sz w:val="18"/>
                <w:szCs w:val="18"/>
                <w:color w:val="auto"/>
              </w:rPr>
              <w:t>up</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11.4%</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54,011</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Transitional Fab 3 foundry services</w:t>
            </w:r>
            <w:r>
              <w:rPr>
                <w:rFonts w:ascii="Arial" w:cs="Arial" w:eastAsia="Arial" w:hAnsi="Arial"/>
                <w:sz w:val="15"/>
                <w:szCs w:val="15"/>
                <w:color w:val="auto"/>
              </w:rPr>
              <w:t>(1)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10,083</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10,825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10,113</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Gross Profit Margin</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520" w:type="dxa"/>
            <w:vAlign w:val="bottom"/>
          </w:tcPr>
          <w:p>
            <w:pPr>
              <w:jc w:val="right"/>
              <w:spacing w:after="0"/>
              <w:rPr>
                <w:sz w:val="20"/>
                <w:szCs w:val="20"/>
                <w:color w:val="auto"/>
              </w:rPr>
            </w:pPr>
            <w:r>
              <w:rPr>
                <w:rFonts w:ascii="Arial" w:cs="Arial" w:eastAsia="Arial" w:hAnsi="Arial"/>
                <w:sz w:val="18"/>
                <w:szCs w:val="18"/>
                <w:color w:val="auto"/>
              </w:rPr>
              <w:t>up</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2.5%pts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9.6%pts</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r>
              <w:rPr>
                <w:rFonts w:ascii="Arial" w:cs="Arial" w:eastAsia="Arial" w:hAnsi="Arial"/>
                <w:sz w:val="15"/>
                <w:szCs w:val="15"/>
                <w:color w:val="auto"/>
              </w:rPr>
              <w:t>(2)</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12,879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63,870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79.8%</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(2,091)</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9,528</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53,611</w:t>
            </w:r>
          </w:p>
        </w:tc>
        <w:tc>
          <w:tcPr>
            <w:tcW w:w="520" w:type="dxa"/>
            <w:vAlign w:val="bottom"/>
          </w:tcPr>
          <w:p>
            <w:pPr>
              <w:jc w:val="right"/>
              <w:spacing w:after="0"/>
              <w:rPr>
                <w:sz w:val="20"/>
                <w:szCs w:val="20"/>
                <w:color w:val="auto"/>
              </w:rPr>
            </w:pPr>
            <w:r>
              <w:rPr>
                <w:rFonts w:ascii="Arial" w:cs="Arial" w:eastAsia="Arial" w:hAnsi="Arial"/>
                <w:sz w:val="18"/>
                <w:szCs w:val="18"/>
                <w:color w:val="auto"/>
              </w:rPr>
              <w:t>down</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82.2%</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(7,473)</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81.9%</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0.20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520" w:type="dxa"/>
            <w:vAlign w:val="bottom"/>
          </w:tcPr>
          <w:p>
            <w:pPr>
              <w:jc w:val="right"/>
              <w:spacing w:after="0"/>
              <w:rPr>
                <w:sz w:val="20"/>
                <w:szCs w:val="20"/>
                <w:color w:val="auto"/>
              </w:rPr>
            </w:pPr>
            <w:r>
              <w:rPr>
                <w:rFonts w:ascii="Arial" w:cs="Arial" w:eastAsia="Arial" w:hAnsi="Arial"/>
                <w:sz w:val="18"/>
                <w:szCs w:val="18"/>
                <w:color w:val="auto"/>
              </w:rPr>
              <w:t>down</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82.1%</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r>
      <w:tr>
        <w:trPr>
          <w:trHeight w:val="346"/>
        </w:trPr>
        <w:tc>
          <w:tcPr>
            <w:tcW w:w="12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7"/>
          </w:tcPr>
          <w:p>
            <w:pPr>
              <w:jc w:val="right"/>
              <w:ind w:right="380"/>
              <w:spacing w:after="0"/>
              <w:rPr>
                <w:sz w:val="20"/>
                <w:szCs w:val="20"/>
                <w:color w:val="auto"/>
              </w:rPr>
            </w:pPr>
            <w:r>
              <w:rPr>
                <w:rFonts w:ascii="Arial" w:cs="Arial" w:eastAsia="Arial" w:hAnsi="Arial"/>
                <w:sz w:val="14"/>
                <w:szCs w:val="14"/>
                <w:color w:val="auto"/>
                <w:w w:val="95"/>
              </w:rPr>
              <w:t>In thousands of U.S. dollars, except share data</w:t>
            </w:r>
          </w:p>
        </w:tc>
      </w:tr>
      <w:tr>
        <w:trPr>
          <w:trHeight w:val="142"/>
        </w:trPr>
        <w:tc>
          <w:tcPr>
            <w:tcW w:w="1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Non-GAAP</w:t>
            </w:r>
            <w:r>
              <w:rPr>
                <w:rFonts w:ascii="Arial" w:cs="Arial" w:eastAsia="Arial" w:hAnsi="Arial"/>
                <w:sz w:val="12"/>
                <w:szCs w:val="12"/>
                <w:b w:val="1"/>
                <w:bCs w:val="1"/>
                <w:color w:val="auto"/>
              </w:rPr>
              <w:t>(3)</w:t>
            </w: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Q1 2022</w:t>
            </w: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Q4 2021</w:t>
            </w:r>
          </w:p>
        </w:tc>
        <w:tc>
          <w:tcPr>
            <w:tcW w:w="3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Q/Q change</w:t>
            </w:r>
          </w:p>
        </w:tc>
        <w:tc>
          <w:tcPr>
            <w:tcW w:w="4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Q1 2021</w:t>
            </w:r>
          </w:p>
        </w:tc>
        <w:tc>
          <w:tcPr>
            <w:tcW w:w="2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Y/Y change</w:t>
            </w:r>
          </w:p>
        </w:tc>
        <w:tc>
          <w:tcPr>
            <w:tcW w:w="380" w:type="dxa"/>
            <w:vAlign w:val="bottom"/>
            <w:tcBorders>
              <w:bottom w:val="single" w:sz="8" w:color="CCEEFF"/>
            </w:tcBorders>
          </w:tcPr>
          <w:p>
            <w:pPr>
              <w:spacing w:after="0"/>
              <w:rPr>
                <w:sz w:val="12"/>
                <w:szCs w:val="12"/>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14,517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14,421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18,755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18,144</w:t>
            </w:r>
          </w:p>
        </w:tc>
        <w:tc>
          <w:tcPr>
            <w:tcW w:w="520" w:type="dxa"/>
            <w:vAlign w:val="bottom"/>
          </w:tcPr>
          <w:p>
            <w:pPr>
              <w:jc w:val="right"/>
              <w:spacing w:after="0"/>
              <w:rPr>
                <w:sz w:val="20"/>
                <w:szCs w:val="20"/>
                <w:color w:val="auto"/>
              </w:rPr>
            </w:pPr>
            <w:r>
              <w:rPr>
                <w:rFonts w:ascii="Arial" w:cs="Arial" w:eastAsia="Arial" w:hAnsi="Arial"/>
                <w:sz w:val="18"/>
                <w:szCs w:val="18"/>
                <w:color w:val="auto"/>
              </w:rPr>
              <w:t>up</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13,504</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12,936</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14,606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9,346</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0.28</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0.31</w:t>
            </w:r>
          </w:p>
        </w:tc>
        <w:tc>
          <w:tcPr>
            <w:tcW w:w="520" w:type="dxa"/>
            <w:vAlign w:val="bottom"/>
          </w:tcPr>
          <w:p>
            <w:pPr>
              <w:jc w:val="right"/>
              <w:spacing w:after="0"/>
              <w:rPr>
                <w:sz w:val="20"/>
                <w:szCs w:val="20"/>
                <w:color w:val="auto"/>
              </w:rPr>
            </w:pPr>
            <w:r>
              <w:rPr>
                <w:rFonts w:ascii="Arial" w:cs="Arial" w:eastAsia="Arial" w:hAnsi="Arial"/>
                <w:sz w:val="18"/>
                <w:szCs w:val="18"/>
                <w:color w:val="auto"/>
              </w:rPr>
              <w:t>down</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0.22</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r>
      <w:tr>
        <w:trPr>
          <w:trHeight w:val="117"/>
        </w:trPr>
        <w:tc>
          <w:tcPr>
            <w:tcW w:w="1220" w:type="dxa"/>
            <w:vAlign w:val="bottom"/>
            <w:tcBorders>
              <w:bottom w:val="single" w:sz="8" w:color="auto"/>
            </w:tcBorders>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ind w:left="424" w:right="20" w:hanging="424"/>
        <w:spacing w:after="0" w:line="286"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5857240</wp:posOffset>
            </wp:positionH>
            <wp:positionV relativeFrom="page">
              <wp:posOffset>183515</wp:posOffset>
            </wp:positionV>
            <wp:extent cx="141478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14780" cy="351155"/>
                    </a:xfrm>
                    <a:prstGeom prst="rect">
                      <a:avLst/>
                    </a:prstGeom>
                    <a:noFill/>
                  </pic:spPr>
                </pic:pic>
              </a:graphicData>
            </a:graphic>
          </wp:anchor>
        </w:drawing>
        <w:t>Following the consummation of the sale of the Foundry Services Group business and Fab 4 in Q3 2020, and for a period of up to three years, we will provide transitional foundry services to the buyer for foundry products manufactured in our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businesses.</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three months ended December 31, 2021, operating income of $63.9 million included net gain of $49.4 million that represented</w:t>
      </w:r>
    </w:p>
    <w:p>
      <w:pPr>
        <w:spacing w:after="0" w:line="20" w:lineRule="exact"/>
        <w:rPr>
          <w:rFonts w:ascii="Arial" w:cs="Arial" w:eastAsia="Arial" w:hAnsi="Arial"/>
          <w:sz w:val="17"/>
          <w:szCs w:val="17"/>
          <w:color w:val="auto"/>
        </w:rPr>
      </w:pPr>
    </w:p>
    <w:p>
      <w:pPr>
        <w:ind w:left="424" w:right="100"/>
        <w:spacing w:after="0" w:line="250" w:lineRule="auto"/>
        <w:rPr>
          <w:rFonts w:ascii="Arial" w:cs="Arial" w:eastAsia="Arial" w:hAnsi="Arial"/>
          <w:sz w:val="17"/>
          <w:szCs w:val="17"/>
          <w:color w:val="auto"/>
        </w:rPr>
      </w:pPr>
      <w:r>
        <w:rPr>
          <w:rFonts w:ascii="Arial" w:cs="Arial" w:eastAsia="Arial" w:hAnsi="Arial"/>
          <w:sz w:val="18"/>
          <w:szCs w:val="18"/>
          <w:color w:val="auto"/>
        </w:rPr>
        <w:t>$70.2 million income from the recognition of a reverse termination fee, net of professional service fees and expenses of $20.8 million incurred in connection with the contemplated merger transaction.</w:t>
      </w:r>
    </w:p>
    <w:p>
      <w:pPr>
        <w:ind w:left="424" w:right="100" w:hanging="424"/>
        <w:spacing w:after="0" w:line="25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income (loss) or as a better indicator of our operating performance than measures that are presented in accordance with GAAP. A reconciliation of GAAP results to non-GAAP results is included in this press release.</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Q2 2022 Financial Guidance</w:t>
      </w:r>
    </w:p>
    <w:p>
      <w:pPr>
        <w:spacing w:after="0" w:line="12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Our near-term outlook is still being challenged by persisting supply constraints, especially for 28nm 12” wafers. While actual results may vary, looking into the next quarter, Magnachip currently expects:</w:t>
      </w:r>
    </w:p>
    <w:p>
      <w:pPr>
        <w:spacing w:after="0" w:line="76" w:lineRule="exact"/>
        <w:rPr>
          <w:sz w:val="20"/>
          <w:szCs w:val="20"/>
          <w:color w:val="auto"/>
        </w:rPr>
      </w:pPr>
    </w:p>
    <w:p>
      <w:pPr>
        <w:ind w:left="1424" w:hanging="331"/>
        <w:spacing w:after="0"/>
        <w:tabs>
          <w:tab w:leader="none" w:pos="1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Revenue to be in the range of $100 million to $105 million, including about $9.5 million of Transitional Fab 3 Foundry Services.</w:t>
      </w:r>
    </w:p>
    <w:p>
      <w:pPr>
        <w:spacing w:after="0" w:line="142" w:lineRule="exact"/>
        <w:rPr>
          <w:rFonts w:ascii="Arial" w:cs="Arial" w:eastAsia="Arial" w:hAnsi="Arial"/>
          <w:sz w:val="17"/>
          <w:szCs w:val="17"/>
          <w:color w:val="auto"/>
        </w:rPr>
      </w:pPr>
    </w:p>
    <w:p>
      <w:pPr>
        <w:ind w:left="1424" w:hanging="331"/>
        <w:spacing w:after="0"/>
        <w:tabs>
          <w:tab w:leader="none" w:pos="1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margin to be in the range of 33% to 35%.</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Q1 2022 Earnings Conference Call</w:t>
      </w:r>
    </w:p>
    <w:p>
      <w:pPr>
        <w:spacing w:after="0" w:line="121" w:lineRule="exact"/>
        <w:rPr>
          <w:sz w:val="20"/>
          <w:szCs w:val="20"/>
          <w:color w:val="auto"/>
        </w:rPr>
      </w:pPr>
    </w:p>
    <w:p>
      <w:pPr>
        <w:ind w:left="4" w:right="80"/>
        <w:spacing w:after="0" w:line="291" w:lineRule="auto"/>
        <w:rPr>
          <w:sz w:val="20"/>
          <w:szCs w:val="20"/>
          <w:color w:val="auto"/>
        </w:rPr>
      </w:pPr>
      <w:r>
        <w:rPr>
          <w:rFonts w:ascii="Arial" w:cs="Arial" w:eastAsia="Arial" w:hAnsi="Arial"/>
          <w:sz w:val="16"/>
          <w:szCs w:val="16"/>
          <w:color w:val="auto"/>
        </w:rPr>
        <w:t xml:space="preserve">Magnachip will host a corresponding conference call at 2:00 p.m. PT / 5:00 p.m. ET on May 3, 2022 to discuss its financial results. The conference call will be webcast live and also is available by dialing toll-free at </w:t>
      </w:r>
      <w:r>
        <w:rPr>
          <w:rFonts w:ascii="Arial" w:cs="Arial" w:eastAsia="Arial" w:hAnsi="Arial"/>
          <w:sz w:val="16"/>
          <w:szCs w:val="16"/>
          <w:b w:val="1"/>
          <w:bCs w:val="1"/>
          <w:color w:val="auto"/>
        </w:rPr>
        <w:t>1-844-536-5472</w:t>
      </w:r>
      <w:r>
        <w:rPr>
          <w:rFonts w:ascii="Arial" w:cs="Arial" w:eastAsia="Arial" w:hAnsi="Arial"/>
          <w:sz w:val="16"/>
          <w:szCs w:val="16"/>
          <w:color w:val="auto"/>
        </w:rPr>
        <w:t xml:space="preserve"> in US/Canada. International call-in participants can dial</w:t>
      </w:r>
    </w:p>
    <w:p>
      <w:pPr>
        <w:ind w:left="4"/>
        <w:spacing w:after="0" w:line="273" w:lineRule="auto"/>
        <w:rPr>
          <w:sz w:val="20"/>
          <w:szCs w:val="20"/>
          <w:color w:val="auto"/>
        </w:rPr>
      </w:pPr>
      <w:r>
        <w:rPr>
          <w:rFonts w:ascii="Arial" w:cs="Arial" w:eastAsia="Arial" w:hAnsi="Arial"/>
          <w:sz w:val="17"/>
          <w:szCs w:val="17"/>
          <w:b w:val="1"/>
          <w:bCs w:val="1"/>
          <w:color w:val="auto"/>
        </w:rPr>
        <w:t>1-614-999-9318</w:t>
      </w:r>
      <w:r>
        <w:rPr>
          <w:rFonts w:ascii="Arial" w:cs="Arial" w:eastAsia="Arial" w:hAnsi="Arial"/>
          <w:sz w:val="17"/>
          <w:szCs w:val="17"/>
          <w:color w:val="auto"/>
        </w:rPr>
        <w:t>. The conference ID number is</w:t>
      </w:r>
      <w:r>
        <w:rPr>
          <w:rFonts w:ascii="Arial" w:cs="Arial" w:eastAsia="Arial" w:hAnsi="Arial"/>
          <w:sz w:val="17"/>
          <w:szCs w:val="17"/>
          <w:b w:val="1"/>
          <w:bCs w:val="1"/>
          <w:color w:val="auto"/>
        </w:rPr>
        <w:t xml:space="preserve"> 2619959</w:t>
      </w:r>
      <w:r>
        <w:rPr>
          <w:rFonts w:ascii="Arial" w:cs="Arial" w:eastAsia="Arial" w:hAnsi="Arial"/>
          <w:sz w:val="17"/>
          <w:szCs w:val="17"/>
          <w:color w:val="auto"/>
        </w:rPr>
        <w:t>. Participants are encouraged to initiate their calls at least 10 minutes in advance of the start time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ensure a timely connection. A live and archived webcast of the conference call and a copy of earnings release will be accessible from the ‘Investors’ section of the company’s website at www.magnachip.com. A replay of the conference call will be available until 8:00 p.m. ET on May 10, 2022. The replay dial-in numbers are </w:t>
      </w:r>
      <w:r>
        <w:rPr>
          <w:rFonts w:ascii="Arial" w:cs="Arial" w:eastAsia="Arial" w:hAnsi="Arial"/>
          <w:sz w:val="17"/>
          <w:szCs w:val="17"/>
          <w:b w:val="1"/>
          <w:bCs w:val="1"/>
          <w:color w:val="auto"/>
        </w:rPr>
        <w:t>1-404-537-3406</w:t>
      </w:r>
      <w:r>
        <w:rPr>
          <w:rFonts w:ascii="Arial" w:cs="Arial" w:eastAsia="Arial" w:hAnsi="Arial"/>
          <w:sz w:val="17"/>
          <w:szCs w:val="17"/>
          <w:color w:val="auto"/>
        </w:rPr>
        <w:t xml:space="preserve"> or toll-free at </w:t>
      </w:r>
      <w:r>
        <w:rPr>
          <w:rFonts w:ascii="Arial" w:cs="Arial" w:eastAsia="Arial" w:hAnsi="Arial"/>
          <w:sz w:val="17"/>
          <w:szCs w:val="17"/>
          <w:b w:val="1"/>
          <w:bCs w:val="1"/>
          <w:color w:val="auto"/>
        </w:rPr>
        <w:t>1-855-859-2056</w:t>
      </w:r>
      <w:r>
        <w:rPr>
          <w:rFonts w:ascii="Arial" w:cs="Arial" w:eastAsia="Arial" w:hAnsi="Arial"/>
          <w:sz w:val="17"/>
          <w:szCs w:val="17"/>
          <w:color w:val="auto"/>
        </w:rPr>
        <w:t xml:space="preserve">. The conference ID number is </w:t>
      </w:r>
      <w:r>
        <w:rPr>
          <w:rFonts w:ascii="Arial" w:cs="Arial" w:eastAsia="Arial" w:hAnsi="Arial"/>
          <w:sz w:val="17"/>
          <w:szCs w:val="17"/>
          <w:b w:val="1"/>
          <w:bCs w:val="1"/>
          <w:color w:val="auto"/>
        </w:rPr>
        <w:t>2619959</w:t>
      </w:r>
      <w:r>
        <w:rPr>
          <w:rFonts w:ascii="Arial" w:cs="Arial" w:eastAsia="Arial" w:hAnsi="Arial"/>
          <w:sz w:val="17"/>
          <w:szCs w:val="17"/>
          <w:color w:val="auto"/>
        </w:rPr>
        <w:t>.</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second quarter 2022 revenue and gross profit margin expectations, and the impact of the COVID-19 pandemic or the emergence of various variants of the virus, escalated trade tensions and supply constraints on Magnachip’s second quarter 2022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and/or general economic conditions, including those caused by or related to the COVID-19 pandemic or the emergence of various variants of the virus and governmental lock-downs or other measures implemented in response thereto, other outbreaks of disease, the Russia-Ukraine crisis, recessions, economic instability or civil unrest;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or supply constraints; effective and cost efficient utilization of manufacturing capacity; financial stability in foreign</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976" w:right="479" w:bottom="1440" w:gutter="0" w:footer="0" w:header="0"/>
        </w:sectPr>
      </w:pPr>
    </w:p>
    <w:bookmarkStart w:id="5" w:name="page6"/>
    <w:bookmarkEnd w:id="5"/>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5857240</wp:posOffset>
            </wp:positionH>
            <wp:positionV relativeFrom="page">
              <wp:posOffset>182880</wp:posOffset>
            </wp:positionV>
            <wp:extent cx="1414780"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14780" cy="351155"/>
                    </a:xfrm>
                    <a:prstGeom prst="rect">
                      <a:avLst/>
                    </a:prstGeom>
                    <a:noFill/>
                  </pic:spPr>
                </pic:pic>
              </a:graphicData>
            </a:graphic>
          </wp:anchor>
        </w:drawing>
        <w:t>markets and the impact of foreign exchange rates; unanticipated costs and expenses or the inability to identify expenses which can be eliminated; compliance with U.S. and international trade and export laws and regulations by us, our customers and our distributors, including those related to the Russia-Ukraine crisis; change or ratification of local or international laws and regulations, including those related to environment, health and safety; public health issues, including the COVID-19 pandemic or the emergence of various variants of the virus; other business interruptions that could disrupt supply or delivery of, or demand for, Magnachip’s products, including uncertainties regarding the impacts of the COVID-19 pandemic or the emergence of various variants of the virus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U.S. Securities and Exchange Commission (the “SEC”), including our Form 10-K filed on February 23, 2022 (including that the impact of the COVID-19 pandemic or the emergence of various variants of the virus, trade tensions and supply constraints may also exacerbate the risks discussed therein)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1,150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Yujia Zhai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214-0809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Yujia@blueshirtgroup.com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976" w:right="459" w:bottom="1440" w:gutter="0" w:footer="0" w:header="0"/>
        </w:sectPr>
      </w:pPr>
    </w:p>
    <w:bookmarkStart w:id="6" w:name="page7"/>
    <w:bookmarkEnd w:id="6"/>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5857240</wp:posOffset>
            </wp:positionH>
            <wp:positionV relativeFrom="page">
              <wp:posOffset>182880</wp:posOffset>
            </wp:positionV>
            <wp:extent cx="141478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14780" cy="35115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5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312"/>
              <w:spacing w:after="0" w:line="119" w:lineRule="exact"/>
              <w:rPr>
                <w:sz w:val="20"/>
                <w:szCs w:val="20"/>
                <w:color w:val="auto"/>
              </w:rPr>
            </w:pPr>
            <w:r>
              <w:rPr>
                <w:rFonts w:ascii="Arial" w:cs="Arial" w:eastAsia="Arial" w:hAnsi="Arial"/>
                <w:sz w:val="13"/>
                <w:szCs w:val="13"/>
                <w:b w:val="1"/>
                <w:bCs w:val="1"/>
                <w:color w:val="auto"/>
              </w:rPr>
              <w:t>March 31,</w:t>
            </w:r>
          </w:p>
        </w:tc>
        <w:tc>
          <w:tcPr>
            <w:tcW w:w="16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r>
      <w:tr>
        <w:trPr>
          <w:trHeight w:val="171"/>
        </w:trPr>
        <w:tc>
          <w:tcPr>
            <w:tcW w:w="5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1200" w:type="dxa"/>
            <w:vAlign w:val="bottom"/>
          </w:tcPr>
          <w:p>
            <w:pPr>
              <w:jc w:val="center"/>
              <w:ind w:right="391"/>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94,010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99,510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112,906</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10,083</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10,825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10,113</w:t>
            </w:r>
          </w:p>
        </w:tc>
      </w:tr>
      <w:tr>
        <w:trPr>
          <w:trHeight w:val="216"/>
        </w:trPr>
        <w:tc>
          <w:tcPr>
            <w:tcW w:w="51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104,093</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110,335</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123,019</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56,080</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62,206</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79,247</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9,017</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9,525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9,390</w:t>
            </w:r>
          </w:p>
        </w:tc>
      </w:tr>
      <w:tr>
        <w:trPr>
          <w:trHeight w:val="216"/>
        </w:trPr>
        <w:tc>
          <w:tcPr>
            <w:tcW w:w="514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65,097</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71,731</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88,637</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38,996</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38,604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34,382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3"/>
              </w:rPr>
              <w:t>Gross profit as a percentage of standard products business net sales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40.3%</w:t>
            </w:r>
          </w:p>
        </w:tc>
        <w:tc>
          <w:tcPr>
            <w:tcW w:w="40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14,163</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13,255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12,634</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11,954</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12,197</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13,423</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 (income),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(49,369)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9,831</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Other charges,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(1,349)</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 (income)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26,117</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(25,266)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36,473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12,879</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63,870</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(2,091)</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Foreign currency gain (loss),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(690)</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(4,671)</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933</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947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13,011</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64,832</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(7,183)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3,483</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11,221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 (loss)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9,528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53,611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(7,473)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0.21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0.20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1.12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Basic</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45,603,208</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w w:val="88"/>
              </w:rPr>
              <w:t>46,369,520</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40,292,838</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46,693,294</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88"/>
              </w:rPr>
              <w:t>47,691,816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40,292,838</w:t>
            </w:r>
          </w:p>
        </w:tc>
      </w:tr>
      <w:tr>
        <w:trPr>
          <w:trHeight w:val="365"/>
        </w:trPr>
        <w:tc>
          <w:tcPr>
            <w:tcW w:w="5140" w:type="dxa"/>
            <w:vAlign w:val="bottom"/>
          </w:tcPr>
          <w:p>
            <w:pPr>
              <w:spacing w:after="0"/>
              <w:rPr>
                <w:sz w:val="24"/>
                <w:szCs w:val="24"/>
                <w:color w:val="auto"/>
              </w:rPr>
            </w:pPr>
          </w:p>
        </w:tc>
        <w:tc>
          <w:tcPr>
            <w:tcW w:w="1820" w:type="dxa"/>
            <w:vAlign w:val="bottom"/>
          </w:tcPr>
          <w:p>
            <w:pPr>
              <w:jc w:val="right"/>
              <w:ind w:right="13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972" w:right="439" w:bottom="1440" w:gutter="0" w:footer="0" w:header="0"/>
        </w:sectPr>
      </w:pP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5857240</wp:posOffset>
            </wp:positionH>
            <wp:positionV relativeFrom="page">
              <wp:posOffset>182880</wp:posOffset>
            </wp:positionV>
            <wp:extent cx="1414780" cy="351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14780" cy="35115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284,921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279,547</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51,208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50,954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36,947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39,370</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26,121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9,124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4,060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9,262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421,643</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102,675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107,882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3,719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6,771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40,246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41,095</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10,608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587,865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583,654</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37,566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37,593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20,573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20,071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2,223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84,419</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32,572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33,064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1,496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8,216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30"/>
        </w:trPr>
        <w:tc>
          <w:tcPr>
            <w:tcW w:w="8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126,703</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Common stock, $0.01 par value, 150,000,000 shares authorized, 56,225,441 shares issued and 44,894,385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outstanding at March 31, 2022 and 55,905,320 shares issued and 45,659,304 outstanding at December 31, 2021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261,830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241,197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353,070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343,542</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w w:val="94"/>
              </w:rPr>
              <w:t>Treasury stock, 11,331,056 shares at March 31, 2022 and 10,246,016 shares at December 31, 2021, respectively</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(148,523)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(130,306)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(5,777)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30"/>
        </w:trPr>
        <w:tc>
          <w:tcPr>
            <w:tcW w:w="89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461,162</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452,762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587,865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583,654</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972"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5857240</wp:posOffset>
            </wp:positionH>
            <wp:positionV relativeFrom="page">
              <wp:posOffset>182880</wp:posOffset>
            </wp:positionV>
            <wp:extent cx="1414780" cy="351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14780" cy="35115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19"/>
        </w:trPr>
        <w:tc>
          <w:tcPr>
            <w:tcW w:w="920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9,528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3,891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14,873</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Provision for inventory reserves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(10,700)</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(10,444)</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10,254</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279,547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279,940</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284,921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290,194</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46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972"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5857240</wp:posOffset>
            </wp:positionH>
            <wp:positionV relativeFrom="page">
              <wp:posOffset>182880</wp:posOffset>
            </wp:positionV>
            <wp:extent cx="1414780"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14780" cy="35115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OPERATING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20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38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6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w w:val="99"/>
              </w:rPr>
              <w:t>March 31,</w:t>
            </w:r>
          </w:p>
        </w:tc>
        <w:tc>
          <w:tcPr>
            <w:tcW w:w="120" w:type="dxa"/>
            <w:vAlign w:val="bottom"/>
          </w:tcPr>
          <w:p>
            <w:pPr>
              <w:spacing w:after="0"/>
              <w:rPr>
                <w:sz w:val="10"/>
                <w:szCs w:val="10"/>
                <w:color w:val="auto"/>
              </w:rPr>
            </w:pPr>
          </w:p>
        </w:tc>
      </w:tr>
      <w:tr>
        <w:trPr>
          <w:trHeight w:val="171"/>
        </w:trPr>
        <w:tc>
          <w:tcPr>
            <w:tcW w:w="820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94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$ 12,879</w:t>
            </w:r>
          </w:p>
        </w:tc>
        <w:tc>
          <w:tcPr>
            <w:tcW w:w="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63,870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(2,091)</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Adjustments:</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Inventory reserve related to Huawei impact of downstream trade restrictions</w:t>
            </w: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 (income), net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(49,369)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9,831</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Other charges, net</w:t>
            </w: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(1,349)</w:t>
            </w: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$ 14,517</w:t>
            </w:r>
          </w:p>
        </w:tc>
        <w:tc>
          <w:tcPr>
            <w:tcW w:w="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14,421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9,971</w:t>
            </w:r>
          </w:p>
        </w:tc>
      </w:tr>
    </w:tbl>
    <w:p>
      <w:pPr>
        <w:spacing w:after="0" w:line="202"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We present Adjusted Operating Income as a supplemental measure of our performance. We define Adjusted Operating Income for the periods indicated as operating income (loss) adjusted to exclude (i) Equity-based compensation expense, (ii) Inventory reserve related to Huawei impact of downstream trade restrictions, (iii) Merger-related costs (income), net and (iv) Other charges, net.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three months ended December 31, 2021, we recorded in our consolidated statement of operations net gain of $49,369 thousand that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represented income of $70,200 thousand from the recognition of a reverse termination fee, net of professional service fees and expenses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$20,831 thousand incurred in connection with the contemplated merger transaction of the Company that was terminated in December 2021.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period, we also recorded $1,419 thousand gain on sale of certain legacy equipment of the closed back-end line in our fabrication facility in Gumi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was closed during the year ended December 31, 2018), partially offset by $70 thousand of non-recurring expenses incurred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regulatory requests.</w:t>
      </w:r>
    </w:p>
    <w:p>
      <w:pPr>
        <w:spacing w:after="0" w:line="21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For the three months ended March 31, 2021, we recorded $9,831 thousand non-recurring professional service fees and expenses incurred in connection with the contemplated merger transaction. For the same period, we also recorded $585 thousand non-recurring professional service fees and expenses incurred in connection with the regulatory requests.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972" w:right="439" w:bottom="1440" w:gutter="0" w:footer="0" w:header="0"/>
        </w:sectPr>
      </w:pPr>
    </w:p>
    <w:bookmarkStart w:id="10" w:name="page11"/>
    <w:bookmarkEnd w:id="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5857240</wp:posOffset>
            </wp:positionH>
            <wp:positionV relativeFrom="page">
              <wp:posOffset>183515</wp:posOffset>
            </wp:positionV>
            <wp:extent cx="1414780" cy="351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14780" cy="35179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(LOSS) TO ADJUSTED EBITDA AND ADJUSTED NET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6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ind w:right="231"/>
              <w:spacing w:after="0" w:line="119" w:lineRule="exact"/>
              <w:rPr>
                <w:sz w:val="20"/>
                <w:szCs w:val="20"/>
                <w:color w:val="auto"/>
              </w:rPr>
            </w:pPr>
            <w:r>
              <w:rPr>
                <w:rFonts w:ascii="Arial" w:cs="Arial" w:eastAsia="Arial" w:hAnsi="Arial"/>
                <w:sz w:val="13"/>
                <w:szCs w:val="13"/>
                <w:b w:val="1"/>
                <w:bCs w:val="1"/>
                <w:color w:val="auto"/>
              </w:rPr>
              <w:t>March 31,</w:t>
            </w:r>
          </w:p>
        </w:tc>
        <w:tc>
          <w:tcPr>
            <w:tcW w:w="15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tcPr>
          <w:p>
            <w:pPr>
              <w:spacing w:after="0"/>
              <w:rPr>
                <w:sz w:val="10"/>
                <w:szCs w:val="10"/>
                <w:color w:val="auto"/>
              </w:rPr>
            </w:pPr>
          </w:p>
        </w:tc>
        <w:tc>
          <w:tcPr>
            <w:tcW w:w="800" w:type="dxa"/>
            <w:vAlign w:val="bottom"/>
          </w:tcPr>
          <w:p>
            <w:pPr>
              <w:jc w:val="right"/>
              <w:ind w:right="51"/>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6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1160" w:type="dxa"/>
            <w:vAlign w:val="bottom"/>
          </w:tcPr>
          <w:p>
            <w:pPr>
              <w:jc w:val="center"/>
              <w:ind w:right="351"/>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9,528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53,611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Adjustments: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(income),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(604)</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(726)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3,483</w:t>
            </w:r>
          </w:p>
        </w:tc>
        <w:tc>
          <w:tcPr>
            <w:tcW w:w="40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11,221</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3,891</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3,663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EBITDA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16,298</w:t>
            </w:r>
          </w:p>
        </w:tc>
        <w:tc>
          <w:tcPr>
            <w:tcW w:w="40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67,769</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(3,315)</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1,638</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1,648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690</w:t>
            </w:r>
          </w:p>
        </w:tc>
        <w:tc>
          <w:tcPr>
            <w:tcW w:w="4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4,671</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Inventory reserve related to Huawei impact of downstream trade restrictions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 (income),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(49,369)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9,831</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Other charges,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(1,349)</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18,755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18,144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9,528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53,611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(7,473)</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1,638</w:t>
            </w:r>
          </w:p>
        </w:tc>
        <w:tc>
          <w:tcPr>
            <w:tcW w:w="40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1,648</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1,646</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(gain),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690</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4,671</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Derivative valuation loss (gain),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129</w:t>
            </w:r>
          </w:p>
        </w:tc>
        <w:tc>
          <w:tcPr>
            <w:tcW w:w="4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related to Huawei impact of downstream trade restrictions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Merger-related costs (income),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(49,369)</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9,831</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(1,349)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GAAP and cash tax expense difference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907</w:t>
            </w: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 on non-GAAP adjustments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951</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9,713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Adjusted Net Income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12,936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14,606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9,346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 Basic</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0.28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0.31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w w:val="86"/>
              </w:rPr>
              <w:t>45,603,208</w:t>
            </w:r>
          </w:p>
        </w:tc>
        <w:tc>
          <w:tcPr>
            <w:tcW w:w="40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w w:val="88"/>
              </w:rPr>
              <w:t>46,369,520</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40,292,838</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6"/>
              </w:rPr>
              <w:t>46,693,294</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8"/>
              </w:rPr>
              <w:t>47,691,816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47,470,416</w:t>
            </w:r>
          </w:p>
        </w:tc>
      </w:tr>
    </w:tbl>
    <w:p>
      <w:pPr>
        <w:spacing w:after="0" w:line="202" w:lineRule="exact"/>
        <w:rPr>
          <w:sz w:val="20"/>
          <w:szCs w:val="20"/>
          <w:color w:val="auto"/>
        </w:rPr>
      </w:pPr>
    </w:p>
    <w:p>
      <w:pPr>
        <w:jc w:val="both"/>
        <w:ind w:left="4" w:right="400" w:firstLine="440"/>
        <w:spacing w:after="0" w:line="291"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Equity-based compensation expense, (ii) Foreign currency loss (gain), net,</w:t>
      </w:r>
    </w:p>
    <w:p>
      <w:pPr>
        <w:ind w:left="4" w:right="420" w:hanging="4"/>
        <w:spacing w:after="0" w:line="255"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valuation loss (gain), net, (iv) Inventory reserve related to Huawei impact of downstream trade restrictions, (v) Merger-related costs (income), net and (vi) Other charges, net. EBITDA for the periods indicated is defined as net income (loss) before interest expense (income), net, income tax expense and depreciation and amortization.</w:t>
      </w:r>
    </w:p>
    <w:p>
      <w:pPr>
        <w:spacing w:after="0" w:line="190"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net income (loss), adjusted to exclude (i) Equity-based compensation expense, (ii) Foreign currency loss (gain), net,</w:t>
      </w:r>
    </w:p>
    <w:p>
      <w:pPr>
        <w:spacing w:after="0" w:line="1" w:lineRule="exact"/>
        <w:rPr>
          <w:sz w:val="20"/>
          <w:szCs w:val="20"/>
          <w:color w:val="auto"/>
        </w:rPr>
      </w:pPr>
    </w:p>
    <w:p>
      <w:pPr>
        <w:ind w:left="4" w:right="420" w:hanging="4"/>
        <w:spacing w:after="0" w:line="323" w:lineRule="auto"/>
        <w:tabs>
          <w:tab w:leader="none" w:pos="319" w:val="left"/>
        </w:tabs>
        <w:numPr>
          <w:ilvl w:val="0"/>
          <w:numId w:val="7"/>
        </w:numPr>
        <w:rPr>
          <w:rFonts w:ascii="Arial" w:cs="Arial" w:eastAsia="Arial" w:hAnsi="Arial"/>
          <w:sz w:val="16"/>
          <w:szCs w:val="16"/>
          <w:color w:val="auto"/>
        </w:rPr>
      </w:pPr>
      <w:r>
        <w:rPr>
          <w:rFonts w:ascii="Arial" w:cs="Arial" w:eastAsia="Arial" w:hAnsi="Arial"/>
          <w:sz w:val="16"/>
          <w:szCs w:val="16"/>
          <w:color w:val="auto"/>
        </w:rPr>
        <w:t>Derivative valuation loss (gain), net, (iv) Inventory reserve related to Huawei impact of downstream trade restrictions, (v) Merger-related costs (income), net, (vi) Other charges, net, (vii) GAAP and cash tax expense difference and (viii) Income tax effect on non-GAAP adjustments.</w:t>
      </w:r>
    </w:p>
    <w:p>
      <w:pPr>
        <w:spacing w:after="0" w:line="13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For the three months ended December 31, 2021, we recorded in our consolidated statement of operations net gain of $49,369 thousand that</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represented income of $70,200 thousand from the recognition of a reverse termination fee, net of professional service fees and expenses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$20,831 thousand incurred in connection with the contemplated merger transaction of the Company that was terminated in December 2021. For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same period, we also recorded $1,419 thousand gain on sale of certain legacy equipment of the closed back-end line in our fabrication facility in Gumi</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(which was closed during the year ended December 31, 2018), partially offset by $70 thousand of non-recurring expenses incurred in connection with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regulatory requests.</w:t>
      </w:r>
    </w:p>
    <w:p>
      <w:pPr>
        <w:spacing w:after="0" w:line="211"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For the three months ended March 31, 2021, we recorded $9,831 thousand non-recurring professional service fees and expenses incurred in connection with the contemplated merger transaction. For the same period, we also recorded $585 thousand non-recurring professional service fees and expenses incurred in connection with the regulatory requests.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sectPr>
      <w:pgSz w:w="11900" w:h="16838" w:orient="portrait"/>
      <w:cols w:equalWidth="0" w:num="1">
        <w:col w:w="11024"/>
      </w:cols>
      <w:pgMar w:left="436" w:top="97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2022-05-03T15:35:12Z</dcterms:created>
  <dcterms:modified xsi:type="dcterms:W3CDTF">2022-05-03T15:35:12Z</dcterms:modified>
</cp:coreProperties>
</file>