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w:t>
      </w:r>
    </w:p>
    <w:p>
      <w:pPr>
        <w:jc w:val="center"/>
        <w:ind w:right="-2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 October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120" w:type="dxa"/>
            <w:vAlign w:val="bottom"/>
          </w:tcPr>
          <w:p>
            <w:pPr>
              <w:jc w:val="center"/>
              <w:ind w:right="231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100"/>
              <w:spacing w:after="0"/>
              <w:rPr>
                <w:sz w:val="20"/>
                <w:szCs w:val="20"/>
                <w:color w:val="auto"/>
              </w:rPr>
            </w:pPr>
            <w:r>
              <w:rPr>
                <w:rFonts w:ascii="Arial" w:cs="Arial" w:eastAsia="Arial" w:hAnsi="Arial"/>
                <w:sz w:val="18"/>
                <w:szCs w:val="18"/>
                <w:b w:val="1"/>
                <w:bCs w:val="1"/>
                <w:color w:val="auto"/>
              </w:rPr>
              <w:t>001-34791</w:t>
            </w:r>
          </w:p>
        </w:tc>
        <w:tc>
          <w:tcPr>
            <w:tcW w:w="248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15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4120" w:type="dxa"/>
            <w:vAlign w:val="bottom"/>
          </w:tcPr>
          <w:p>
            <w:pPr>
              <w:jc w:val="center"/>
              <w:ind w:left="1158"/>
              <w:spacing w:after="0"/>
              <w:rPr>
                <w:sz w:val="20"/>
                <w:szCs w:val="20"/>
                <w:color w:val="auto"/>
              </w:rPr>
            </w:pPr>
            <w:r>
              <w:rPr>
                <w:rFonts w:ascii="Arial" w:cs="Arial" w:eastAsia="Arial" w:hAnsi="Arial"/>
                <w:sz w:val="18"/>
                <w:szCs w:val="18"/>
                <w:b w:val="1"/>
                <w:bCs w:val="1"/>
                <w:color w:val="auto"/>
                <w:w w:val="90"/>
              </w:rPr>
              <w:t>1, Allée Scheffer, L-2520</w:t>
            </w:r>
          </w:p>
        </w:tc>
        <w:tc>
          <w:tcPr>
            <w:tcW w:w="22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5"/>
        </w:trPr>
        <w:tc>
          <w:tcPr>
            <w:tcW w:w="634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2"/>
              </w:rPr>
              <w:t>Luxembourg, Grand Duchy of Luxembourg</w:t>
            </w:r>
          </w:p>
        </w:tc>
        <w:tc>
          <w:tcPr>
            <w:tcW w:w="2480" w:type="dxa"/>
            <w:vAlign w:val="bottom"/>
          </w:tcPr>
          <w:p>
            <w:pPr>
              <w:jc w:val="center"/>
              <w:ind w:left="1241"/>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8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third quarter ended September 30, 2018, as presented in a press release dated October 30, 2018.</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500" w:type="dxa"/>
            <w:vAlign w:val="bottom"/>
          </w:tcPr>
          <w:p>
            <w:pPr>
              <w:spacing w:after="0"/>
              <w:rPr>
                <w:sz w:val="14"/>
                <w:szCs w:val="14"/>
                <w:color w:val="auto"/>
              </w:rPr>
            </w:pPr>
          </w:p>
        </w:tc>
        <w:tc>
          <w:tcPr>
            <w:tcW w:w="8020" w:type="dxa"/>
            <w:vAlign w:val="bottom"/>
            <w:gridSpan w:val="3"/>
            <w:vMerge w:val="restart"/>
          </w:tcPr>
          <w:p>
            <w:pPr>
              <w:ind w:left="3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b w:val="1"/>
                <w:bCs w:val="1"/>
                <w:color w:val="auto"/>
                <w:w w:val="88"/>
              </w:rPr>
              <w:t>No.</w:t>
            </w: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gridSpan w:val="2"/>
          </w:tcPr>
          <w:p>
            <w:pPr>
              <w:spacing w:after="0"/>
              <w:rPr>
                <w:sz w:val="20"/>
                <w:szCs w:val="20"/>
                <w:color w:val="auto"/>
              </w:rPr>
            </w:pPr>
            <w:r>
              <w:rPr>
                <w:rFonts w:ascii="Arial" w:cs="Arial" w:eastAsia="Arial" w:hAnsi="Arial"/>
                <w:sz w:val="18"/>
                <w:szCs w:val="18"/>
                <w:color w:val="auto"/>
                <w:w w:val="91"/>
              </w:rPr>
              <w:t>99.1</w:t>
            </w:r>
          </w:p>
        </w:tc>
        <w:tc>
          <w:tcPr>
            <w:tcW w:w="640" w:type="dxa"/>
            <w:vAlign w:val="bottom"/>
          </w:tcPr>
          <w:p>
            <w:pPr>
              <w:spacing w:after="0"/>
              <w:rPr>
                <w:sz w:val="24"/>
                <w:szCs w:val="24"/>
                <w:color w:val="auto"/>
              </w:rPr>
            </w:pPr>
          </w:p>
        </w:tc>
        <w:tc>
          <w:tcPr>
            <w:tcW w:w="95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for MagnaChip Semiconductor Corporation dated October 30, 2018, announcing the results for the third quarter ended</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September 30, 2018.</w:t>
              </w:r>
            </w:hyperlink>
          </w:p>
        </w:tc>
        <w:tc>
          <w:tcPr>
            <w:tcW w:w="80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70" w:right="6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260" w:val="left"/>
          <w:tab w:leader="none" w:pos="5840" w:val="left"/>
        </w:tabs>
        <w:rPr>
          <w:sz w:val="20"/>
          <w:szCs w:val="20"/>
          <w:color w:val="auto"/>
        </w:rPr>
      </w:pPr>
      <w:r>
        <w:rPr>
          <w:rFonts w:ascii="Arial" w:cs="Arial" w:eastAsia="Arial" w:hAnsi="Arial"/>
          <w:sz w:val="18"/>
          <w:szCs w:val="18"/>
          <w:color w:val="auto"/>
        </w:rPr>
        <w:t>Dated: October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14605</wp:posOffset>
            </wp:positionV>
            <wp:extent cx="3284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Chief Compliance Officer, Executive Vice President, General Counsel</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0920"/>
          </w:cols>
          <w:pgMar w:left="440" w:top="270"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Reports Third Quarter 2018 Financial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up 16.6% Year-over-Year; Operating Income, Adjusted EBITDA Highest in Six Years—</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SEOUL, South Korea and SAN JOSE, Calif., October 30, 2018 </w:t>
      </w:r>
      <w:r>
        <w:rPr>
          <w:rFonts w:ascii="Arial" w:cs="Arial" w:eastAsia="Arial" w:hAnsi="Arial"/>
          <w:sz w:val="18"/>
          <w:szCs w:val="18"/>
          <w:color w:val="auto"/>
        </w:rPr>
        <w:t>— MagnaChip Semiconductor Corporation (NYSE: MX) today announced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third quarter of 2018 ended September 30.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2018 Summary</w:t>
      </w:r>
    </w:p>
    <w:p>
      <w:pPr>
        <w:spacing w:after="0" w:line="135" w:lineRule="exact"/>
        <w:rPr>
          <w:sz w:val="20"/>
          <w:szCs w:val="20"/>
          <w:color w:val="auto"/>
        </w:rPr>
      </w:pPr>
    </w:p>
    <w:p>
      <w:pPr>
        <w:ind w:left="860" w:right="8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$206 million within the guidance range of $200-210 million, and highest since fourth quarter of 2012; revenue increased 16.6% Year-over-Year (YoY) as Display and Power showed gains.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Standard Products Group revenue grew 26.8% YoY; gross margin of 28.8% sets record</w:t>
      </w:r>
    </w:p>
    <w:p>
      <w:pPr>
        <w:spacing w:after="0" w:line="130" w:lineRule="exact"/>
        <w:rPr>
          <w:rFonts w:ascii="Arial" w:cs="Arial" w:eastAsia="Arial" w:hAnsi="Arial"/>
          <w:sz w:val="18"/>
          <w:szCs w:val="18"/>
          <w:color w:val="auto"/>
        </w:rPr>
      </w:pPr>
    </w:p>
    <w:p>
      <w:pPr>
        <w:ind w:left="860" w:right="4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OLED display driver revenue of $58.3 million up 232.2% YoY; OLED revenue at nearly $155 million Year-to-Date (YTD) and poised to set revenue record in 2018</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Highest-ever Power standard products revenue; increased 14% YoY</w:t>
      </w:r>
    </w:p>
    <w:p>
      <w:pPr>
        <w:spacing w:after="0" w:line="130" w:lineRule="exact"/>
        <w:rPr>
          <w:rFonts w:ascii="Arial" w:cs="Arial" w:eastAsia="Arial" w:hAnsi="Arial"/>
          <w:sz w:val="18"/>
          <w:szCs w:val="18"/>
          <w:color w:val="auto"/>
        </w:rPr>
      </w:pPr>
    </w:p>
    <w:p>
      <w:pPr>
        <w:ind w:left="860" w:right="66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gross profit margin of 27.1% in line with 26-28% guidance range, and down 1.4 percentage points YoY; gross profit dollars of $55.7 million increased 10.8% YoY</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of $18.3 million, or 8.9% of revenue, increased 17.9% YoY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of $27.9 million, or 13.5% of revenue, increased 12.8% YoY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Comments from YJ Kim</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16.6% from the same quarter a year ago, and was the highest since the fourth quarter of 2012.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Within the Standard Products Group, the Power products business generated record revenue of $44.5 million and achieved double-digit growth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over-year as well as sequentially. The OLED display driver business, which represented 75% of the total Display business, grew three-fold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$58.3 million. With OLED revenue of nearly $155 million through the first three quarters of 2018, we are on track to surpass the previous record of</w:t>
      </w:r>
    </w:p>
    <w:p>
      <w:pPr>
        <w:spacing w:after="0" w:line="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$161 million achieved in 2016. During Q3, six smartphones with our OLED drivers were launched, as anticipated, and we continued to win several new designs for smartphones in Asia.”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CFO Comments from Jonathan Kim</w:t>
      </w:r>
      <w:r>
        <w:rPr>
          <w:rFonts w:ascii="Arial" w:cs="Arial" w:eastAsia="Arial" w:hAnsi="Arial"/>
          <w:sz w:val="18"/>
          <w:szCs w:val="18"/>
          <w:color w:val="auto"/>
        </w:rPr>
        <w:t>:</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“Key profitability metrics continued to improve in Q3. Higher revenue contributed to a year-over-year increase in gross profit dollars, operating income and Adjusted EBITDA. Gross profit dollars of $55.7 million increased 10.8% year-over-year, operating income of $18.3 million increased 17.9% and Adjusted EBITDA of $27.9 million rose 12.8%. Total revenue, operating income and Adjusted EBITDA all were at their highest levels since the fourth quarter of 2012. Total gross margin of 27.1% was in line with the previous guidance of 26-28% despite headwinds from higher wafer prices and lower fab utilization. As previously stated, the Company remains fully committed to improving profitability over time.”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revenue in the third quarter of 2018 was $206.0 million, up 16.6% as compared to reported revenue of $176.7 million from the third quarter of 2017, and up 3.2% from $199.7 million in the second quarter of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 and Segment Adjustments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January 2018, as part of the Company’s ongoing portfolio optimization effort to realign business processes and streamline the organizational structure, the Company transferred a portion of the non-OLED Display business, which was $11.5 million for Q3 2018 and $19.6 million YTD, from the Standard Products Group to the Foundry Services Group. As a result, the historical financial results below are discussed both on an as reported and as adjusted basis for comparative purposes.</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Foundry Services Group revenue in the third quarter was $83.9 million, up 4.3% from, on an as reported basis, $80.4 million in the third quarter of 2017, and up 3.7% from the second quarter of 2018; and on an as adjusted basis, down 5.8% from the third quarter of 2017, and down 4.2% from the second quarter of 2017.</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the strategic realignment and portfolio optimization discussed above, Standard Products Group revenue in the third quarter of 2018 was</w:t>
      </w:r>
    </w:p>
    <w:p>
      <w:pPr>
        <w:spacing w:after="0" w:line="3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$122.0 million, up 26.8% year-over-year on an as reported basis and up 2.8% sequentially; and on an as adjusted basis, up 39.3% year-over-year, and up 54.4% from the second quarter of 2017. The improved results in the Standard Products Group reflected continued higher demand for premium Power products as well as continued strong demand for mobile OLED drivers, primarily from China manufacturers.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Gross Profit and Gross Profit Margin</w:t>
      </w:r>
    </w:p>
    <w:p>
      <w:pPr>
        <w:spacing w:after="0" w:line="12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Total gross profit in the third quarter of 2018 was $55.7 million or 27.1% as a percentage of sales as compared with gross profit of $50.3 million or 28.5% gross profit margin in the third quarter of 2017, and $53.9 million or 27.0% gross profit margin for the second quarter of 2018.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Gross Profit Margin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Foundry Services Group gross profit margin was 24.4% in the third quarter of 2018 as compared with 30.3% on an as reported basis in the third quarter of 2017 and 27.4% in the second quarter of 2018. The Foundry Services Group gross profit margin was, on an as adjusted basis, 29.6% in the third quarter of 2017 and 28.2% in the second quarter of 2017. The Standard Products Group gross profit margin was 28.8% in the third quarter of 2018 as compared with, on an as reported basis, 26.9% in the third quarter of 2017, and 26.6% in the second quarter of 2018. The Standard Products Group gross profit margin was, on an adjusted basis, 27.3% in the third quarter of 2017, and 27.7% in the second quarter of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Net Income, Adjusted Net Income, Adjusted EBITDA</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Operating income, on a GAAP basis, for the third quarter was $18.3 million as compared with $15.5 million in the third quarter of 2017 and $13.9 million in the second quarter of 2018.</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income on a GAAP basis, for the third quarter was $17.2 million or $0.50 per basic share and $0.41 per diluted share, as compared with net income of $5.6 million or $0.16 per basic share and $0.15 per diluted share in the third quarter of 2017, and a net loss of $21.5 million or $0.62 cents per basic share and diluted share in the second quarter of 2018. The net income in the third quarter was attributable primarily to a non-cash foreign exchange gain on the Company’s intercompany loans.</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Adjusted Net Income, a non-GAAP financial measure, for the third quarter of 2018 totaled $13.3 million or $0.38 per basic share and $0.32 per diluted share, as compared with Adjusted Net Income of $11.4 million or $0.33 per basic share and $0.28 per diluted share in the third quarter of 2017, and compared with Adjusted Net Income of $8.9 million or $0.26 per basic share and $0.23 per diluted share in the second quarter of 2018.</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Adjusted EBITDA, a non-GAAP financial measure, in the third quarter was $27.9 million or 13.5% of revenue, as compared with Adjusted EBITDA of $24.7 million or 14.0% of revenue in the third quarter of 2017, and compared with Adjusted EBITDA of $23.5 million or 11.8% of revenue in the second quarter of 2018.</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or as a better indicator of our operating performance than measures that are presented in accordance with GAAP. A reconciliation of GAAP results to non-GAAP results is included in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totaled $133.5 million at the end of the third quarter, up from $131.7 million at the end of the second quarter of 2018.</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Note: The following table sets forth information relating to our operating segments (in thousands). The historical amounts below are presented both on an as reported and as adjusted basis to show the impact of the strategic realignment and transfer of a portion of the non-OLED Display business from the Standard Products Group to the Foundry Services Group beginning in the first quarter of 2018:</w:t>
      </w:r>
    </w:p>
    <w:p>
      <w:pPr>
        <w:sectPr>
          <w:pgSz w:w="11900" w:h="16838" w:orient="portrait"/>
          <w:cols w:equalWidth="0" w:num="1">
            <w:col w:w="11020"/>
          </w:cols>
          <w:pgMar w:left="440" w:top="274"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6"/>
          </w:tcPr>
          <w:p>
            <w:pPr>
              <w:jc w:val="center"/>
              <w:ind w:right="5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c>
          <w:tcPr>
            <w:tcW w:w="9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left="74"/>
              <w:spacing w:after="0" w:line="149"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6"/>
          </w:tcPr>
          <w:p>
            <w:pPr>
              <w:jc w:val="center"/>
              <w:ind w:right="500"/>
              <w:spacing w:after="0"/>
              <w:rPr>
                <w:sz w:val="20"/>
                <w:szCs w:val="20"/>
                <w:color w:val="auto"/>
              </w:rPr>
            </w:pPr>
            <w:r>
              <w:rPr>
                <w:rFonts w:ascii="Arial" w:cs="Arial" w:eastAsia="Arial" w:hAnsi="Arial"/>
                <w:sz w:val="14"/>
                <w:szCs w:val="14"/>
                <w:b w:val="1"/>
                <w:bCs w:val="1"/>
                <w:i w:val="1"/>
                <w:iCs w:val="1"/>
                <w:color w:val="auto"/>
                <w:w w:val="88"/>
              </w:rPr>
              <w:t>As Reported</w:t>
            </w:r>
          </w:p>
        </w:tc>
        <w:tc>
          <w:tcPr>
            <w:tcW w:w="60" w:type="dxa"/>
            <w:vAlign w:val="bottom"/>
          </w:tcPr>
          <w:p>
            <w:pPr>
              <w:spacing w:after="0"/>
              <w:rPr>
                <w:sz w:val="14"/>
                <w:szCs w:val="14"/>
                <w:color w:val="auto"/>
              </w:rPr>
            </w:pPr>
          </w:p>
        </w:tc>
        <w:tc>
          <w:tcPr>
            <w:tcW w:w="940" w:type="dxa"/>
            <w:vAlign w:val="bottom"/>
            <w:gridSpan w:val="4"/>
          </w:tcPr>
          <w:p>
            <w:pPr>
              <w:jc w:val="center"/>
              <w:ind w:right="40"/>
              <w:spacing w:after="0"/>
              <w:rPr>
                <w:sz w:val="20"/>
                <w:szCs w:val="20"/>
                <w:color w:val="auto"/>
              </w:rPr>
            </w:pPr>
            <w:r>
              <w:rPr>
                <w:rFonts w:ascii="Arial" w:cs="Arial" w:eastAsia="Arial" w:hAnsi="Arial"/>
                <w:sz w:val="14"/>
                <w:szCs w:val="14"/>
                <w:b w:val="1"/>
                <w:bCs w:val="1"/>
                <w:i w:val="1"/>
                <w:iCs w:val="1"/>
                <w:color w:val="auto"/>
                <w:w w:val="85"/>
              </w:rPr>
              <w:t>As Adjusted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83,862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left="138"/>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w w:val="87"/>
              </w:rPr>
              <w:t>80,404</w:t>
            </w:r>
          </w:p>
        </w:tc>
        <w:tc>
          <w:tcPr>
            <w:tcW w:w="2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89,004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ind w:left="720"/>
              <w:spacing w:after="0"/>
              <w:rPr>
                <w:sz w:val="20"/>
                <w:szCs w:val="20"/>
                <w:color w:val="auto"/>
              </w:rPr>
            </w:pPr>
            <w:r>
              <w:rPr>
                <w:rFonts w:ascii="Arial" w:cs="Arial" w:eastAsia="Arial" w:hAnsi="Arial"/>
                <w:sz w:val="18"/>
                <w:szCs w:val="18"/>
                <w:color w:val="auto"/>
              </w:rPr>
              <w:t>Display Solutions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77,578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w w:val="87"/>
              </w:rPr>
              <w:t>57,236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48,636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Power Solutions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44,458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7"/>
              </w:rPr>
              <w:t>39,001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39,001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ind w:left="1080"/>
              <w:spacing w:after="0"/>
              <w:rPr>
                <w:sz w:val="20"/>
                <w:szCs w:val="20"/>
                <w:color w:val="auto"/>
              </w:rPr>
            </w:pPr>
            <w:r>
              <w:rPr>
                <w:rFonts w:ascii="Arial" w:cs="Arial" w:eastAsia="Arial" w:hAnsi="Arial"/>
                <w:sz w:val="18"/>
                <w:szCs w:val="18"/>
                <w:color w:val="auto"/>
              </w:rPr>
              <w:t>Total Standard Products Group</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122,036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left="138"/>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w w:val="87"/>
              </w:rPr>
              <w:t>96,237</w:t>
            </w:r>
          </w:p>
        </w:tc>
        <w:tc>
          <w:tcPr>
            <w:tcW w:w="2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87,637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0" w:type="dxa"/>
            <w:vAlign w:val="bottom"/>
          </w:tcPr>
          <w:p>
            <w:pPr>
              <w:ind w:left="1080"/>
              <w:spacing w:after="0"/>
              <w:rPr>
                <w:sz w:val="20"/>
                <w:szCs w:val="20"/>
                <w:color w:val="auto"/>
              </w:rPr>
            </w:pPr>
            <w:r>
              <w:rPr>
                <w:rFonts w:ascii="Arial" w:cs="Arial" w:eastAsia="Arial" w:hAnsi="Arial"/>
                <w:sz w:val="18"/>
                <w:szCs w:val="18"/>
                <w:color w:val="auto"/>
              </w:rPr>
              <w:t>Total net sales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206,000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2"/>
          </w:tcPr>
          <w:p>
            <w:pPr>
              <w:jc w:val="center"/>
              <w:ind w:left="138"/>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ind w:right="320"/>
              <w:spacing w:after="0"/>
              <w:rPr>
                <w:sz w:val="20"/>
                <w:szCs w:val="20"/>
                <w:color w:val="auto"/>
              </w:rPr>
            </w:pPr>
            <w:r>
              <w:rPr>
                <w:rFonts w:ascii="Arial" w:cs="Arial" w:eastAsia="Arial" w:hAnsi="Arial"/>
                <w:sz w:val="18"/>
                <w:szCs w:val="18"/>
                <w:color w:val="auto"/>
              </w:rPr>
              <w:t>176,697</w:t>
            </w:r>
          </w:p>
        </w:tc>
        <w:tc>
          <w:tcPr>
            <w:tcW w:w="200" w:type="dxa"/>
            <w:vAlign w:val="bottom"/>
          </w:tcPr>
          <w:p>
            <w:pPr>
              <w:spacing w:after="0"/>
              <w:rPr>
                <w:sz w:val="20"/>
                <w:szCs w:val="20"/>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176,697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6"/>
          </w:tcPr>
          <w:p>
            <w:pPr>
              <w:jc w:val="center"/>
              <w:ind w:right="5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c>
          <w:tcPr>
            <w:tcW w:w="9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left="74"/>
              <w:spacing w:after="0" w:line="149"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6"/>
          </w:tcPr>
          <w:p>
            <w:pPr>
              <w:jc w:val="center"/>
              <w:ind w:right="500"/>
              <w:spacing w:after="0"/>
              <w:rPr>
                <w:sz w:val="20"/>
                <w:szCs w:val="20"/>
                <w:color w:val="auto"/>
              </w:rPr>
            </w:pPr>
            <w:r>
              <w:rPr>
                <w:rFonts w:ascii="Arial" w:cs="Arial" w:eastAsia="Arial" w:hAnsi="Arial"/>
                <w:sz w:val="14"/>
                <w:szCs w:val="14"/>
                <w:b w:val="1"/>
                <w:bCs w:val="1"/>
                <w:i w:val="1"/>
                <w:iCs w:val="1"/>
                <w:color w:val="auto"/>
                <w:w w:val="88"/>
              </w:rPr>
              <w:t>As Reported</w:t>
            </w:r>
          </w:p>
        </w:tc>
        <w:tc>
          <w:tcPr>
            <w:tcW w:w="60" w:type="dxa"/>
            <w:vAlign w:val="bottom"/>
          </w:tcPr>
          <w:p>
            <w:pPr>
              <w:spacing w:after="0"/>
              <w:rPr>
                <w:sz w:val="14"/>
                <w:szCs w:val="14"/>
                <w:color w:val="auto"/>
              </w:rPr>
            </w:pPr>
          </w:p>
        </w:tc>
        <w:tc>
          <w:tcPr>
            <w:tcW w:w="940" w:type="dxa"/>
            <w:vAlign w:val="bottom"/>
            <w:gridSpan w:val="4"/>
          </w:tcPr>
          <w:p>
            <w:pPr>
              <w:jc w:val="center"/>
              <w:ind w:right="40"/>
              <w:spacing w:after="0"/>
              <w:rPr>
                <w:sz w:val="20"/>
                <w:szCs w:val="20"/>
                <w:color w:val="auto"/>
              </w:rPr>
            </w:pPr>
            <w:r>
              <w:rPr>
                <w:rFonts w:ascii="Arial" w:cs="Arial" w:eastAsia="Arial" w:hAnsi="Arial"/>
                <w:sz w:val="14"/>
                <w:szCs w:val="14"/>
                <w:b w:val="1"/>
                <w:bCs w:val="1"/>
                <w:i w:val="1"/>
                <w:iCs w:val="1"/>
                <w:color w:val="auto"/>
                <w:w w:val="85"/>
              </w:rPr>
              <w:t>As Adjusted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242,198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left="138"/>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ind w:right="320"/>
              <w:spacing w:after="0"/>
              <w:rPr>
                <w:sz w:val="20"/>
                <w:szCs w:val="20"/>
                <w:color w:val="auto"/>
              </w:rPr>
            </w:pPr>
            <w:r>
              <w:rPr>
                <w:rFonts w:ascii="Arial" w:cs="Arial" w:eastAsia="Arial" w:hAnsi="Arial"/>
                <w:sz w:val="18"/>
                <w:szCs w:val="18"/>
                <w:color w:val="auto"/>
              </w:rPr>
              <w:t>239,460</w:t>
            </w:r>
          </w:p>
        </w:tc>
        <w:tc>
          <w:tcPr>
            <w:tcW w:w="2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260,095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ind w:left="720"/>
              <w:spacing w:after="0"/>
              <w:rPr>
                <w:sz w:val="20"/>
                <w:szCs w:val="20"/>
                <w:color w:val="auto"/>
              </w:rPr>
            </w:pPr>
            <w:r>
              <w:rPr>
                <w:rFonts w:ascii="Arial" w:cs="Arial" w:eastAsia="Arial" w:hAnsi="Arial"/>
                <w:sz w:val="18"/>
                <w:szCs w:val="18"/>
                <w:color w:val="auto"/>
              </w:rPr>
              <w:t>Display Solutions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205,986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320"/>
              <w:spacing w:after="0"/>
              <w:rPr>
                <w:sz w:val="20"/>
                <w:szCs w:val="20"/>
                <w:color w:val="auto"/>
              </w:rPr>
            </w:pPr>
            <w:r>
              <w:rPr>
                <w:rFonts w:ascii="Arial" w:cs="Arial" w:eastAsia="Arial" w:hAnsi="Arial"/>
                <w:sz w:val="18"/>
                <w:szCs w:val="18"/>
                <w:color w:val="auto"/>
              </w:rPr>
              <w:t>155,868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135,233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Power Solutions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123,153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109,595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109,595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ind w:left="1080"/>
              <w:spacing w:after="0"/>
              <w:rPr>
                <w:sz w:val="20"/>
                <w:szCs w:val="20"/>
                <w:color w:val="auto"/>
              </w:rPr>
            </w:pPr>
            <w:r>
              <w:rPr>
                <w:rFonts w:ascii="Arial" w:cs="Arial" w:eastAsia="Arial" w:hAnsi="Arial"/>
                <w:sz w:val="18"/>
                <w:szCs w:val="18"/>
                <w:color w:val="auto"/>
              </w:rPr>
              <w:t>Total Standard Products Group</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329,139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left="138"/>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ind w:right="320"/>
              <w:spacing w:after="0"/>
              <w:rPr>
                <w:sz w:val="20"/>
                <w:szCs w:val="20"/>
                <w:color w:val="auto"/>
              </w:rPr>
            </w:pPr>
            <w:r>
              <w:rPr>
                <w:rFonts w:ascii="Arial" w:cs="Arial" w:eastAsia="Arial" w:hAnsi="Arial"/>
                <w:sz w:val="18"/>
                <w:szCs w:val="18"/>
                <w:color w:val="auto"/>
              </w:rPr>
              <w:t>265,463</w:t>
            </w:r>
          </w:p>
        </w:tc>
        <w:tc>
          <w:tcPr>
            <w:tcW w:w="2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244,828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0" w:type="dxa"/>
            <w:vAlign w:val="bottom"/>
          </w:tcPr>
          <w:p>
            <w:pPr>
              <w:ind w:left="1080"/>
              <w:spacing w:after="0"/>
              <w:rPr>
                <w:sz w:val="20"/>
                <w:szCs w:val="20"/>
                <w:color w:val="auto"/>
              </w:rPr>
            </w:pPr>
            <w:r>
              <w:rPr>
                <w:rFonts w:ascii="Arial" w:cs="Arial" w:eastAsia="Arial" w:hAnsi="Arial"/>
                <w:sz w:val="18"/>
                <w:szCs w:val="18"/>
                <w:color w:val="auto"/>
              </w:rPr>
              <w:t>Total net sales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571,504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2"/>
          </w:tcPr>
          <w:p>
            <w:pPr>
              <w:jc w:val="center"/>
              <w:ind w:left="138"/>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ind w:right="320"/>
              <w:spacing w:after="0"/>
              <w:rPr>
                <w:sz w:val="20"/>
                <w:szCs w:val="20"/>
                <w:color w:val="auto"/>
              </w:rPr>
            </w:pPr>
            <w:r>
              <w:rPr>
                <w:rFonts w:ascii="Arial" w:cs="Arial" w:eastAsia="Arial" w:hAnsi="Arial"/>
                <w:sz w:val="18"/>
                <w:szCs w:val="18"/>
                <w:color w:val="auto"/>
              </w:rPr>
              <w:t>505,092</w:t>
            </w:r>
          </w:p>
        </w:tc>
        <w:tc>
          <w:tcPr>
            <w:tcW w:w="200" w:type="dxa"/>
            <w:vAlign w:val="bottom"/>
          </w:tcPr>
          <w:p>
            <w:pPr>
              <w:spacing w:after="0"/>
              <w:rPr>
                <w:sz w:val="20"/>
                <w:szCs w:val="20"/>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505,092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7"/>
            <w:vMerge w:val="restart"/>
          </w:tcPr>
          <w:p>
            <w:pPr>
              <w:jc w:val="right"/>
              <w:ind w:right="420"/>
              <w:spacing w:after="0"/>
              <w:rPr>
                <w:sz w:val="20"/>
                <w:szCs w:val="20"/>
                <w:color w:val="auto"/>
              </w:rPr>
            </w:pPr>
            <w:r>
              <w:rPr>
                <w:rFonts w:ascii="Arial" w:cs="Arial" w:eastAsia="Arial" w:hAnsi="Arial"/>
                <w:sz w:val="14"/>
                <w:szCs w:val="14"/>
                <w:b w:val="1"/>
                <w:bCs w:val="1"/>
                <w:color w:val="auto"/>
                <w:w w:val="94"/>
              </w:rPr>
              <w:t>September 30, 2018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7"/>
          </w:tcPr>
          <w:p>
            <w:pPr>
              <w:jc w:val="center"/>
              <w:ind w:right="300"/>
              <w:spacing w:after="0" w:line="123" w:lineRule="exact"/>
              <w:rPr>
                <w:sz w:val="20"/>
                <w:szCs w:val="20"/>
                <w:color w:val="auto"/>
              </w:rPr>
            </w:pPr>
            <w:r>
              <w:rPr>
                <w:rFonts w:ascii="Arial" w:cs="Arial" w:eastAsia="Arial" w:hAnsi="Arial"/>
                <w:sz w:val="14"/>
                <w:szCs w:val="14"/>
                <w:b w:val="1"/>
                <w:bCs w:val="1"/>
                <w:color w:val="auto"/>
                <w:w w:val="91"/>
              </w:rPr>
              <w:t>September 30, 2017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4"/>
          </w:tcPr>
          <w:p>
            <w:pPr>
              <w:jc w:val="center"/>
              <w:ind w:right="13"/>
              <w:spacing w:after="0" w:line="123" w:lineRule="exact"/>
              <w:rPr>
                <w:sz w:val="20"/>
                <w:szCs w:val="20"/>
                <w:color w:val="auto"/>
              </w:rPr>
            </w:pPr>
            <w:r>
              <w:rPr>
                <w:rFonts w:ascii="Arial" w:cs="Arial" w:eastAsia="Arial" w:hAnsi="Arial"/>
                <w:sz w:val="14"/>
                <w:szCs w:val="14"/>
                <w:b w:val="1"/>
                <w:bCs w:val="1"/>
                <w:color w:val="auto"/>
                <w:w w:val="91"/>
              </w:rPr>
              <w:t>September 30, 2017</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6"/>
          </w:tcPr>
          <w:p>
            <w:pPr>
              <w:jc w:val="center"/>
              <w:ind w:right="520"/>
              <w:spacing w:after="0"/>
              <w:rPr>
                <w:sz w:val="20"/>
                <w:szCs w:val="20"/>
                <w:color w:val="auto"/>
              </w:rPr>
            </w:pPr>
            <w:r>
              <w:rPr>
                <w:rFonts w:ascii="Arial" w:cs="Arial" w:eastAsia="Arial" w:hAnsi="Arial"/>
                <w:sz w:val="14"/>
                <w:szCs w:val="14"/>
                <w:b w:val="1"/>
                <w:bCs w:val="1"/>
                <w:i w:val="1"/>
                <w:iCs w:val="1"/>
                <w:color w:val="auto"/>
                <w:w w:val="86"/>
              </w:rPr>
              <w:t>As Reported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5"/>
              </w:rPr>
              <w:t>As Adjusted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120"/>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3"/>
            <w:vMerge w:val="restart"/>
          </w:tcPr>
          <w:p>
            <w:pPr>
              <w:jc w:val="center"/>
              <w:ind w:right="14"/>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Net Sales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Foundry Services Group</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20,443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24.4%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24,374</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30.3%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26,344</w:t>
            </w: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25,880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23,910</w:t>
            </w: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All other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50,310</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50,310</w:t>
            </w:r>
          </w:p>
        </w:tc>
        <w:tc>
          <w:tcPr>
            <w:tcW w:w="1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7"/>
            <w:vMerge w:val="restart"/>
          </w:tcPr>
          <w:p>
            <w:pPr>
              <w:jc w:val="right"/>
              <w:ind w:right="420"/>
              <w:spacing w:after="0"/>
              <w:rPr>
                <w:sz w:val="20"/>
                <w:szCs w:val="20"/>
                <w:color w:val="auto"/>
              </w:rPr>
            </w:pPr>
            <w:r>
              <w:rPr>
                <w:rFonts w:ascii="Arial" w:cs="Arial" w:eastAsia="Arial" w:hAnsi="Arial"/>
                <w:sz w:val="14"/>
                <w:szCs w:val="14"/>
                <w:b w:val="1"/>
                <w:bCs w:val="1"/>
                <w:color w:val="auto"/>
                <w:w w:val="94"/>
              </w:rPr>
              <w:t>September 30, 2018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7"/>
          </w:tcPr>
          <w:p>
            <w:pPr>
              <w:jc w:val="center"/>
              <w:ind w:right="300"/>
              <w:spacing w:after="0" w:line="123" w:lineRule="exact"/>
              <w:rPr>
                <w:sz w:val="20"/>
                <w:szCs w:val="20"/>
                <w:color w:val="auto"/>
              </w:rPr>
            </w:pPr>
            <w:r>
              <w:rPr>
                <w:rFonts w:ascii="Arial" w:cs="Arial" w:eastAsia="Arial" w:hAnsi="Arial"/>
                <w:sz w:val="14"/>
                <w:szCs w:val="14"/>
                <w:b w:val="1"/>
                <w:bCs w:val="1"/>
                <w:color w:val="auto"/>
                <w:w w:val="91"/>
              </w:rPr>
              <w:t>September 30, 2017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4"/>
          </w:tcPr>
          <w:p>
            <w:pPr>
              <w:jc w:val="center"/>
              <w:ind w:right="13"/>
              <w:spacing w:after="0" w:line="123" w:lineRule="exact"/>
              <w:rPr>
                <w:sz w:val="20"/>
                <w:szCs w:val="20"/>
                <w:color w:val="auto"/>
              </w:rPr>
            </w:pPr>
            <w:r>
              <w:rPr>
                <w:rFonts w:ascii="Arial" w:cs="Arial" w:eastAsia="Arial" w:hAnsi="Arial"/>
                <w:sz w:val="14"/>
                <w:szCs w:val="14"/>
                <w:b w:val="1"/>
                <w:bCs w:val="1"/>
                <w:color w:val="auto"/>
                <w:w w:val="91"/>
              </w:rPr>
              <w:t>September 30, 2017</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6"/>
          </w:tcPr>
          <w:p>
            <w:pPr>
              <w:jc w:val="center"/>
              <w:ind w:right="520"/>
              <w:spacing w:after="0"/>
              <w:rPr>
                <w:sz w:val="20"/>
                <w:szCs w:val="20"/>
                <w:color w:val="auto"/>
              </w:rPr>
            </w:pPr>
            <w:r>
              <w:rPr>
                <w:rFonts w:ascii="Arial" w:cs="Arial" w:eastAsia="Arial" w:hAnsi="Arial"/>
                <w:sz w:val="14"/>
                <w:szCs w:val="14"/>
                <w:b w:val="1"/>
                <w:bCs w:val="1"/>
                <w:i w:val="1"/>
                <w:iCs w:val="1"/>
                <w:color w:val="auto"/>
                <w:w w:val="86"/>
              </w:rPr>
              <w:t>As Reported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5"/>
              </w:rPr>
              <w:t>As Adjusted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120"/>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3"/>
            <w:vMerge w:val="restart"/>
          </w:tcPr>
          <w:p>
            <w:pPr>
              <w:jc w:val="center"/>
              <w:ind w:right="14"/>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Net Sales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Foundry Services Group</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63,292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26.1%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69,894</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29.2%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74,326</w:t>
            </w: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68,479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64,047</w:t>
            </w: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340"/>
              <w:spacing w:after="0"/>
              <w:rPr>
                <w:sz w:val="20"/>
                <w:szCs w:val="20"/>
                <w:color w:val="auto"/>
              </w:rPr>
            </w:pPr>
            <w:r>
              <w:rPr>
                <w:rFonts w:ascii="Arial" w:cs="Arial" w:eastAsia="Arial" w:hAnsi="Arial"/>
                <w:sz w:val="18"/>
                <w:szCs w:val="18"/>
                <w:color w:val="auto"/>
              </w:rPr>
              <w:t>All other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169</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154,184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$138,542</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$138,542</w:t>
            </w:r>
          </w:p>
        </w:tc>
        <w:tc>
          <w:tcPr>
            <w:tcW w:w="1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Third Quarter 2018 and Recent Company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MagnaChip:</w:t>
      </w:r>
    </w:p>
    <w:p>
      <w:pPr>
        <w:spacing w:after="0" w:line="131" w:lineRule="exact"/>
        <w:rPr>
          <w:sz w:val="20"/>
          <w:szCs w:val="20"/>
          <w:color w:val="auto"/>
        </w:rPr>
      </w:pPr>
    </w:p>
    <w:p>
      <w:pPr>
        <w:ind w:left="860" w:right="440" w:hanging="316"/>
        <w:spacing w:after="0" w:line="286"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Offered planar-type Hall-effect sensors for foundry customers. The Hall-effect sensor has been adopted by the market for an increasing number of applications, such as smartphone cameras for the closed-loop auto focus feature and for the auto iris function. </w:t>
      </w:r>
      <w:r>
        <w:rPr>
          <w:rFonts w:ascii="Arial" w:cs="Arial" w:eastAsia="Arial" w:hAnsi="Arial"/>
          <w:sz w:val="17"/>
          <w:szCs w:val="17"/>
          <w:u w:val="single" w:color="auto"/>
          <w:color w:val="auto"/>
        </w:rPr>
        <w:t>http://www.magnachip.com/aboutus/aboutus_sub12_view.html?tname=ez_Press_Room_e&amp;seq=218&amp;page=1</w:t>
      </w:r>
    </w:p>
    <w:p>
      <w:pPr>
        <w:sectPr>
          <w:pgSz w:w="11900" w:h="16838" w:orient="portrait"/>
          <w:cols w:equalWidth="0" w:num="1">
            <w:col w:w="11040"/>
          </w:cols>
          <w:pgMar w:left="440" w:top="265" w:right="419" w:bottom="1440" w:gutter="0" w:footer="0" w:header="0"/>
        </w:sectPr>
      </w:pPr>
    </w:p>
    <w:bookmarkStart w:id="6" w:name="page7"/>
    <w:bookmarkEnd w:id="6"/>
    <w:p>
      <w:pPr>
        <w:ind w:left="860" w:right="340" w:hanging="316"/>
        <w:spacing w:after="0" w:line="259"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Hosted its annual Foundry Technology Symposium in Hsinchu, Taiwan on September 18</w:t>
      </w:r>
      <w:r>
        <w:rPr>
          <w:rFonts w:ascii="Arial" w:cs="Arial" w:eastAsia="Arial" w:hAnsi="Arial"/>
          <w:sz w:val="15"/>
          <w:szCs w:val="15"/>
          <w:color w:val="auto"/>
        </w:rPr>
        <w:t>th</w:t>
      </w:r>
      <w:r>
        <w:rPr>
          <w:rFonts w:ascii="Arial" w:cs="Arial" w:eastAsia="Arial" w:hAnsi="Arial"/>
          <w:sz w:val="18"/>
          <w:szCs w:val="18"/>
          <w:color w:val="auto"/>
        </w:rPr>
        <w:t xml:space="preserve">, 2018. The Foundry Technology Symposium showcased MagnaChip’s latest technology offerings and provide a wide-ranging overview of MagnaChip’s manufacturing capabilities, specialty technologies, target applications and end-markets. </w:t>
      </w:r>
      <w:r>
        <w:rPr>
          <w:rFonts w:ascii="Arial" w:cs="Arial" w:eastAsia="Arial" w:hAnsi="Arial"/>
          <w:sz w:val="18"/>
          <w:szCs w:val="18"/>
          <w:u w:val="single" w:color="auto"/>
          <w:color w:val="auto"/>
        </w:rPr>
        <w:t>http://www.magnachip.com/aboutus/aboutus_sub12_view.html?tname=ez_Press_Room_e&amp;seq=218&amp;page=1</w:t>
      </w:r>
    </w:p>
    <w:p>
      <w:pPr>
        <w:spacing w:after="0" w:line="92" w:lineRule="exact"/>
        <w:rPr>
          <w:rFonts w:ascii="Arial" w:cs="Arial" w:eastAsia="Arial" w:hAnsi="Arial"/>
          <w:sz w:val="18"/>
          <w:szCs w:val="18"/>
          <w:color w:val="auto"/>
        </w:rPr>
      </w:pPr>
    </w:p>
    <w:p>
      <w:pPr>
        <w:ind w:left="860" w:right="280" w:hanging="316"/>
        <w:spacing w:after="0" w:line="259"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Announced it has begun the mass production of foundry products for ABOV Semiconductor (“ABOV”) using MagnaChip’s 0.13-micron eFlash process. ABOV has previously used MagnaChip’s 0.18-micron eFlash process for volume production of various MCU (Microcontroller Units) products, and has begun migration to 0.13-micron eFlash process for its major products. </w:t>
      </w:r>
      <w:r>
        <w:rPr>
          <w:rFonts w:ascii="Arial" w:cs="Arial" w:eastAsia="Arial" w:hAnsi="Arial"/>
          <w:sz w:val="18"/>
          <w:szCs w:val="18"/>
          <w:u w:val="single" w:color="auto"/>
          <w:color w:val="auto"/>
        </w:rPr>
        <w:t>http://www.magnachip.com/aboutus/aboutus_sub12_view.html?tname=ez_Press_Room_e&amp;seq=219&amp;page=1</w:t>
      </w:r>
    </w:p>
    <w:p>
      <w:pPr>
        <w:spacing w:after="0" w:line="92" w:lineRule="exact"/>
        <w:rPr>
          <w:rFonts w:ascii="Arial" w:cs="Arial" w:eastAsia="Arial" w:hAnsi="Arial"/>
          <w:sz w:val="18"/>
          <w:szCs w:val="18"/>
          <w:color w:val="auto"/>
        </w:rPr>
      </w:pPr>
    </w:p>
    <w:p>
      <w:pPr>
        <w:ind w:left="860" w:right="160" w:hanging="316"/>
        <w:spacing w:after="0" w:line="279"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Announced it now offers a multi-channel Mini LED Driver for the rapidly growing digital signage market, leveraging the company’s more than 10 years of experience with BLU LED drivers in the television set market. MagnaChip’s new Mini LED Driver for digital signage is able to drive 36-channel LEDs concurrently, featuring high density, reduced energy consumption and more efficient product designs. </w:t>
      </w:r>
      <w:r>
        <w:rPr>
          <w:rFonts w:ascii="Arial" w:cs="Arial" w:eastAsia="Arial" w:hAnsi="Arial"/>
          <w:sz w:val="17"/>
          <w:szCs w:val="17"/>
          <w:u w:val="single" w:color="auto"/>
          <w:color w:val="auto"/>
        </w:rPr>
        <w:t>http://www.magnachip.com/aboutus/aboutus_sub12_view.html?tname=ez_Press_Room_e&amp;seq=220&amp;page=1</w:t>
      </w:r>
    </w:p>
    <w:p>
      <w:pPr>
        <w:spacing w:after="0" w:line="76" w:lineRule="exact"/>
        <w:rPr>
          <w:rFonts w:ascii="Arial" w:cs="Arial" w:eastAsia="Arial" w:hAnsi="Arial"/>
          <w:sz w:val="17"/>
          <w:szCs w:val="17"/>
          <w:color w:val="auto"/>
        </w:rPr>
      </w:pPr>
    </w:p>
    <w:p>
      <w:pPr>
        <w:ind w:left="860" w:right="100" w:hanging="316"/>
        <w:spacing w:after="0" w:line="259"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Announced it will hold a Foundry Technology Symposium at the Shangri-La Shenzhen, China, on November 27, 2018. After holding a successful Foundry Technology symposium in Shenzhen, China, in 2015, this second technology symposium is part of MagnaChip’s global foundry targeted geographic strategy to increase MagnaChip’s brand awareness in China. </w:t>
      </w:r>
      <w:r>
        <w:rPr>
          <w:rFonts w:ascii="Arial" w:cs="Arial" w:eastAsia="Arial" w:hAnsi="Arial"/>
          <w:sz w:val="18"/>
          <w:szCs w:val="18"/>
          <w:u w:val="single" w:color="auto"/>
          <w:color w:val="auto"/>
        </w:rPr>
        <w:t>http://www.magnachip.com/aboutus/aboutus_sub12_view.html?tname=ez_Press_Room_e&amp;seq=221&amp;page=1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2018 Business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2018, MagnaChip anticipates:</w:t>
      </w:r>
    </w:p>
    <w:p>
      <w:pPr>
        <w:spacing w:after="0" w:line="131" w:lineRule="exact"/>
        <w:rPr>
          <w:sz w:val="20"/>
          <w:szCs w:val="20"/>
          <w:color w:val="auto"/>
        </w:rPr>
      </w:pPr>
    </w:p>
    <w:p>
      <w:pPr>
        <w:ind w:left="860" w:hanging="316"/>
        <w:spacing w:after="0" w:line="274"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Revenue in this seasonally soft quarter to be in the range of $174 million to $184 million, down sequentially about 13.1% at the mid-point of the projected range. The guidance for the fourth quarter compares with revenue of $206 million in the third quarter of 2018, and</w:t>
      </w:r>
    </w:p>
    <w:p>
      <w:pPr>
        <w:ind w:left="860" w:right="660"/>
        <w:spacing w:after="0" w:line="261" w:lineRule="auto"/>
        <w:rPr>
          <w:rFonts w:ascii="Arial" w:cs="Arial" w:eastAsia="Arial" w:hAnsi="Arial"/>
          <w:sz w:val="17"/>
          <w:szCs w:val="17"/>
          <w:color w:val="auto"/>
        </w:rPr>
      </w:pPr>
      <w:r>
        <w:rPr>
          <w:rFonts w:ascii="Arial" w:cs="Arial" w:eastAsia="Arial" w:hAnsi="Arial"/>
          <w:sz w:val="18"/>
          <w:szCs w:val="18"/>
          <w:color w:val="auto"/>
        </w:rPr>
        <w:t>$174.6 million in the fourth quarter of 2017. The revenue guidance reflects an inventory correction from certain foundry customers, consistent with current macro trends.</w:t>
      </w:r>
    </w:p>
    <w:p>
      <w:pPr>
        <w:spacing w:after="0" w:line="89" w:lineRule="exact"/>
        <w:rPr>
          <w:rFonts w:ascii="Arial" w:cs="Arial" w:eastAsia="Arial" w:hAnsi="Arial"/>
          <w:sz w:val="17"/>
          <w:szCs w:val="17"/>
          <w:color w:val="auto"/>
        </w:rPr>
      </w:pPr>
    </w:p>
    <w:p>
      <w:pPr>
        <w:ind w:left="860" w:right="140" w:hanging="316"/>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margin to be in the range of 25% to 27%. This compares to 27.1% in the third quarter of 2018, and 28.3% in the fourth quarter of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Conference Call</w:t>
      </w:r>
    </w:p>
    <w:p>
      <w:pPr>
        <w:spacing w:after="0" w:line="11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 xml:space="preserve">The conference call will be webcast live today at 5 p.m. EDT and also will be available by dialing toll-free at </w:t>
      </w:r>
      <w:r>
        <w:rPr>
          <w:rFonts w:ascii="Arial" w:cs="Arial" w:eastAsia="Arial" w:hAnsi="Arial"/>
          <w:sz w:val="18"/>
          <w:szCs w:val="18"/>
          <w:b w:val="1"/>
          <w:bCs w:val="1"/>
          <w:color w:val="auto"/>
        </w:rPr>
        <w:t>1-844 536-5472</w:t>
      </w:r>
      <w:r>
        <w:rPr>
          <w:rFonts w:ascii="Arial" w:cs="Arial" w:eastAsia="Arial" w:hAnsi="Arial"/>
          <w:sz w:val="18"/>
          <w:szCs w:val="18"/>
          <w:color w:val="auto"/>
        </w:rPr>
        <w:t xml:space="preserve">. International call-in participants can dial toll-free at </w:t>
      </w:r>
      <w:r>
        <w:rPr>
          <w:rFonts w:ascii="Arial" w:cs="Arial" w:eastAsia="Arial" w:hAnsi="Arial"/>
          <w:sz w:val="18"/>
          <w:szCs w:val="18"/>
          <w:b w:val="1"/>
          <w:bCs w:val="1"/>
          <w:u w:val="single" w:color="auto"/>
          <w:color w:val="auto"/>
        </w:rPr>
        <w:t>1-614-999-9318</w:t>
      </w:r>
      <w:r>
        <w:rPr>
          <w:rFonts w:ascii="Arial" w:cs="Arial" w:eastAsia="Arial" w:hAnsi="Arial"/>
          <w:sz w:val="18"/>
          <w:szCs w:val="18"/>
          <w:color w:val="auto"/>
        </w:rPr>
        <w:t xml:space="preserve">. The conference ID number is </w:t>
      </w:r>
      <w:r>
        <w:rPr>
          <w:rFonts w:ascii="Arial" w:cs="Arial" w:eastAsia="Arial" w:hAnsi="Arial"/>
          <w:sz w:val="18"/>
          <w:szCs w:val="18"/>
          <w:b w:val="1"/>
          <w:bCs w:val="1"/>
          <w:color w:val="auto"/>
        </w:rPr>
        <w:t>2362749</w:t>
      </w:r>
      <w:r>
        <w:rPr>
          <w:rFonts w:ascii="Arial" w:cs="Arial" w:eastAsia="Arial" w:hAnsi="Arial"/>
          <w:sz w:val="18"/>
          <w:szCs w:val="18"/>
          <w:color w:val="auto"/>
        </w:rPr>
        <w:t>. Participants are encouraged to initiate their calls at least 10 minutes in advance of the 5 p.m. EDT start time to ensure a timely connection. The webcast and earnings release will be accessible at www.magnachip.com.</w:t>
      </w:r>
    </w:p>
    <w:p>
      <w:pPr>
        <w:spacing w:after="0" w:line="7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A replay of the conference call will be available the same day and will run for 72 hours. The replay dial-in numbers are </w:t>
      </w:r>
      <w:r>
        <w:rPr>
          <w:rFonts w:ascii="Arial" w:cs="Arial" w:eastAsia="Arial" w:hAnsi="Arial"/>
          <w:sz w:val="18"/>
          <w:szCs w:val="18"/>
          <w:b w:val="1"/>
          <w:bCs w:val="1"/>
          <w:color w:val="auto"/>
        </w:rPr>
        <w:t>1-404-537-3406</w:t>
      </w:r>
      <w:r>
        <w:rPr>
          <w:rFonts w:ascii="Arial" w:cs="Arial" w:eastAsia="Arial" w:hAnsi="Arial"/>
          <w:sz w:val="18"/>
          <w:szCs w:val="18"/>
          <w:color w:val="auto"/>
        </w:rPr>
        <w:t xml:space="preserve"> or toll-free at </w:t>
      </w:r>
      <w:r>
        <w:rPr>
          <w:rFonts w:ascii="Arial" w:cs="Arial" w:eastAsia="Arial" w:hAnsi="Arial"/>
          <w:sz w:val="18"/>
          <w:szCs w:val="18"/>
          <w:b w:val="1"/>
          <w:bCs w:val="1"/>
          <w:color w:val="auto"/>
        </w:rPr>
        <w:t>1-855-859-2056</w:t>
      </w:r>
      <w:r>
        <w:rPr>
          <w:rFonts w:ascii="Arial" w:cs="Arial" w:eastAsia="Arial" w:hAnsi="Arial"/>
          <w:sz w:val="18"/>
          <w:szCs w:val="18"/>
          <w:color w:val="auto"/>
        </w:rPr>
        <w:t>. The access code is</w:t>
      </w:r>
      <w:r>
        <w:rPr>
          <w:rFonts w:ascii="Arial" w:cs="Arial" w:eastAsia="Arial" w:hAnsi="Arial"/>
          <w:sz w:val="18"/>
          <w:szCs w:val="18"/>
          <w:b w:val="1"/>
          <w:bCs w:val="1"/>
          <w:color w:val="auto"/>
        </w:rPr>
        <w:t xml:space="preserve"> 2362749</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over 30 years of operating history, owns a portfolio of more than 3,000 registered patents and pending applications, and has extensive engineering, design and manufacturing process expertise. For more information, please visit </w:t>
      </w:r>
      <w:r>
        <w:rPr>
          <w:rFonts w:ascii="Arial" w:cs="Arial" w:eastAsia="Arial" w:hAnsi="Arial"/>
          <w:sz w:val="16"/>
          <w:szCs w:val="16"/>
          <w:u w:val="single" w:color="auto"/>
          <w:color w:val="auto"/>
        </w:rPr>
        <w:t>www.magnachip.com</w:t>
      </w:r>
      <w:r>
        <w:rPr>
          <w:rFonts w:ascii="Arial" w:cs="Arial" w:eastAsia="Arial" w:hAnsi="Arial"/>
          <w:sz w:val="16"/>
          <w:szCs w:val="16"/>
          <w:color w:val="auto"/>
        </w:rPr>
        <w:t>. Information on or accessible through, MagnaChip’s website is not a part of, and is not incorporated into, this release.</w:t>
      </w:r>
    </w:p>
    <w:p>
      <w:pPr>
        <w:sectPr>
          <w:pgSz w:w="11900" w:h="16838" w:orient="portrait"/>
          <w:cols w:equalWidth="0" w:num="1">
            <w:col w:w="11020"/>
          </w:cols>
          <w:pgMar w:left="440"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for 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our future operating and financial performance, including fourth quarter 2018 revenue and gross profit expectations.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general economic conditions,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and other risks detailed from time to time in MagnaChip’s filings with the SEC, including our Form</w:t>
      </w:r>
    </w:p>
    <w:p>
      <w:pPr>
        <w:spacing w:after="0" w:line="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10-K filed on February 22, 2018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5660" w:type="dxa"/>
            <w:vAlign w:val="bottom"/>
            <w:gridSpan w:val="2"/>
          </w:tcPr>
          <w:p>
            <w:pPr>
              <w:ind w:left="3300"/>
              <w:spacing w:after="0"/>
              <w:rPr>
                <w:sz w:val="20"/>
                <w:szCs w:val="20"/>
                <w:color w:val="auto"/>
              </w:rPr>
            </w:pPr>
            <w:r>
              <w:rPr>
                <w:rFonts w:ascii="Arial" w:cs="Arial" w:eastAsia="Arial" w:hAnsi="Arial"/>
                <w:sz w:val="18"/>
                <w:szCs w:val="18"/>
                <w:b w:val="1"/>
                <w:bCs w:val="1"/>
                <w:color w:val="auto"/>
              </w:rPr>
              <w:t>In Korea:</w:t>
            </w:r>
          </w:p>
        </w:tc>
      </w:tr>
      <w:tr>
        <w:trPr>
          <w:trHeight w:val="220"/>
        </w:trPr>
        <w:tc>
          <w:tcPr>
            <w:tcW w:w="2560" w:type="dxa"/>
            <w:vAlign w:val="bottom"/>
          </w:tcPr>
          <w:p>
            <w:pPr>
              <w:spacing w:after="0"/>
              <w:rPr>
                <w:sz w:val="20"/>
                <w:szCs w:val="20"/>
                <w:color w:val="auto"/>
              </w:rPr>
            </w:pPr>
            <w:r>
              <w:rPr>
                <w:rFonts w:ascii="Arial" w:cs="Arial" w:eastAsia="Arial" w:hAnsi="Arial"/>
                <w:sz w:val="18"/>
                <w:szCs w:val="18"/>
                <w:b w:val="1"/>
                <w:bCs w:val="1"/>
                <w:color w:val="auto"/>
              </w:rPr>
              <w:t>In the United States:</w:t>
            </w:r>
          </w:p>
        </w:tc>
        <w:tc>
          <w:tcPr>
            <w:tcW w:w="5660" w:type="dxa"/>
            <w:vAlign w:val="bottom"/>
            <w:gridSpan w:val="2"/>
          </w:tcPr>
          <w:p>
            <w:pPr>
              <w:ind w:left="3300"/>
              <w:spacing w:after="0"/>
              <w:rPr>
                <w:sz w:val="20"/>
                <w:szCs w:val="20"/>
                <w:color w:val="auto"/>
              </w:rPr>
            </w:pPr>
            <w:r>
              <w:rPr>
                <w:rFonts w:ascii="Arial" w:cs="Arial" w:eastAsia="Arial" w:hAnsi="Arial"/>
                <w:sz w:val="18"/>
                <w:szCs w:val="18"/>
                <w:color w:val="auto"/>
              </w:rPr>
              <w:t>Chankeun Park</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Bruce Entin</w:t>
            </w:r>
          </w:p>
        </w:tc>
        <w:tc>
          <w:tcPr>
            <w:tcW w:w="5660" w:type="dxa"/>
            <w:vAlign w:val="bottom"/>
            <w:gridSpan w:val="2"/>
          </w:tcPr>
          <w:p>
            <w:pPr>
              <w:ind w:left="3300"/>
              <w:spacing w:after="0"/>
              <w:rPr>
                <w:sz w:val="20"/>
                <w:szCs w:val="20"/>
                <w:color w:val="auto"/>
              </w:rPr>
            </w:pPr>
            <w:r>
              <w:rPr>
                <w:rFonts w:ascii="Arial" w:cs="Arial" w:eastAsia="Arial" w:hAnsi="Arial"/>
                <w:sz w:val="18"/>
                <w:szCs w:val="18"/>
                <w:color w:val="auto"/>
              </w:rPr>
              <w:t>Director, Public Relations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Investor Relations</w:t>
            </w:r>
          </w:p>
        </w:tc>
        <w:tc>
          <w:tcPr>
            <w:tcW w:w="5660" w:type="dxa"/>
            <w:vAlign w:val="bottom"/>
            <w:gridSpan w:val="2"/>
          </w:tcPr>
          <w:p>
            <w:pPr>
              <w:ind w:left="3300"/>
              <w:spacing w:after="0"/>
              <w:rPr>
                <w:sz w:val="20"/>
                <w:szCs w:val="20"/>
                <w:color w:val="auto"/>
              </w:rPr>
            </w:pPr>
            <w:r>
              <w:rPr>
                <w:rFonts w:ascii="Arial" w:cs="Arial" w:eastAsia="Arial" w:hAnsi="Arial"/>
                <w:sz w:val="18"/>
                <w:szCs w:val="18"/>
                <w:color w:val="auto"/>
              </w:rPr>
              <w:t>Tel. +82-2-6903-5223</w:t>
            </w:r>
          </w:p>
        </w:tc>
      </w:tr>
      <w:tr>
        <w:trPr>
          <w:trHeight w:val="190"/>
        </w:trPr>
        <w:tc>
          <w:tcPr>
            <w:tcW w:w="2560" w:type="dxa"/>
            <w:vAlign w:val="bottom"/>
          </w:tcPr>
          <w:p>
            <w:pPr>
              <w:spacing w:after="0" w:line="190" w:lineRule="exact"/>
              <w:rPr>
                <w:sz w:val="20"/>
                <w:szCs w:val="20"/>
                <w:color w:val="auto"/>
              </w:rPr>
            </w:pPr>
            <w:r>
              <w:rPr>
                <w:rFonts w:ascii="Arial" w:cs="Arial" w:eastAsia="Arial" w:hAnsi="Arial"/>
                <w:sz w:val="18"/>
                <w:szCs w:val="18"/>
                <w:color w:val="auto"/>
              </w:rPr>
              <w:t>Tel. +1-408-625-1262</w:t>
            </w:r>
          </w:p>
        </w:tc>
        <w:tc>
          <w:tcPr>
            <w:tcW w:w="5660" w:type="dxa"/>
            <w:vAlign w:val="bottom"/>
            <w:gridSpan w:val="2"/>
          </w:tcPr>
          <w:p>
            <w:pPr>
              <w:ind w:left="3300"/>
              <w:spacing w:after="0" w:line="190" w:lineRule="exact"/>
              <w:rPr>
                <w:sz w:val="20"/>
                <w:szCs w:val="20"/>
                <w:color w:val="auto"/>
              </w:rPr>
            </w:pPr>
            <w:r>
              <w:rPr>
                <w:rFonts w:ascii="Arial" w:cs="Arial" w:eastAsia="Arial" w:hAnsi="Arial"/>
                <w:sz w:val="18"/>
                <w:szCs w:val="18"/>
                <w:color w:val="auto"/>
                <w:w w:val="88"/>
              </w:rPr>
              <w:t>chankeun.park@magnachip.com</w:t>
            </w:r>
          </w:p>
        </w:tc>
      </w:tr>
      <w:tr>
        <w:trPr>
          <w:trHeight w:val="196"/>
        </w:trPr>
        <w:tc>
          <w:tcPr>
            <w:tcW w:w="2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9"/>
              </w:rPr>
              <w:t>Investor.relations@magnachip.com</w:t>
            </w:r>
          </w:p>
        </w:tc>
        <w:tc>
          <w:tcPr>
            <w:tcW w:w="3300" w:type="dxa"/>
            <w:vAlign w:val="bottom"/>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r>
    </w:tbl>
    <w:p>
      <w:pPr>
        <w:sectPr>
          <w:pgSz w:w="11900" w:h="16838" w:orient="portrait"/>
          <w:cols w:equalWidth="0" w:num="1">
            <w:col w:w="11000"/>
          </w:cols>
          <w:pgMar w:left="440" w:top="270" w:right="459" w:bottom="1440" w:gutter="0" w:footer="0" w:header="0"/>
        </w:sectPr>
      </w:pPr>
    </w:p>
    <w:bookmarkStart w:id="8" w:name="page9"/>
    <w:bookmarkEnd w:id="8"/>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June 30,</w:t>
            </w:r>
          </w:p>
        </w:tc>
        <w:tc>
          <w:tcPr>
            <w:tcW w:w="220" w:type="dxa"/>
            <w:vAlign w:val="bottom"/>
          </w:tcPr>
          <w:p>
            <w:pPr>
              <w:spacing w:after="0"/>
              <w:rPr>
                <w:sz w:val="10"/>
                <w:szCs w:val="10"/>
                <w:color w:val="auto"/>
              </w:rPr>
            </w:pP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150,251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145,831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Gross profit %</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18,566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18,935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17,266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(5,489)</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gain (loss), net</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(27,449)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(19,984)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expenses</w:t>
            </w:r>
          </w:p>
        </w:tc>
        <w:tc>
          <w:tcPr>
            <w:tcW w:w="1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(21,505)</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common share—</w:t>
            </w: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(0.62)</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0.41</w:t>
            </w: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(0.62)</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34,573,377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34,420,654</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34,103,029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46,021,610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34,420,654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45,542,418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6"/>
              </w:rPr>
              <w:t>June 30,</w:t>
            </w:r>
          </w:p>
        </w:tc>
        <w:tc>
          <w:tcPr>
            <w:tcW w:w="200" w:type="dxa"/>
            <w:vAlign w:val="bottom"/>
          </w:tcPr>
          <w:p>
            <w:pPr>
              <w:spacing w:after="0"/>
              <w:rPr>
                <w:sz w:val="10"/>
                <w:szCs w:val="10"/>
                <w:color w:val="auto"/>
              </w:rPr>
            </w:pPr>
          </w:p>
        </w:tc>
        <w:tc>
          <w:tcPr>
            <w:tcW w:w="9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2018</w:t>
            </w: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Adjustments: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Income tax expenses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EBITDA</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31,798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(6,912)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Foreign currency loss (gain), net</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(6,001)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27,449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loss, net</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Restatement related expenses, net</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Adjusted EBITDA</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27,871</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23,509</w:t>
            </w:r>
          </w:p>
        </w:tc>
        <w:tc>
          <w:tcPr>
            <w:tcW w:w="3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24,702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80" w:type="dxa"/>
            <w:vAlign w:val="bottom"/>
            <w:gridSpan w:val="2"/>
            <w:shd w:val="clear" w:color="auto" w:fill="CCEEFF"/>
          </w:tcPr>
          <w:p>
            <w:pPr>
              <w:ind w:left="19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Adjustments: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Foreign currency loss (gain), net</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(6,001)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27,449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loss, net</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Restatement related expenses, net</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Adjusted Net Income</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13,295</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8,917</w:t>
            </w:r>
          </w:p>
        </w:tc>
        <w:tc>
          <w:tcPr>
            <w:tcW w:w="3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common share: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 Basic</w:t>
            </w:r>
          </w:p>
        </w:tc>
        <w:tc>
          <w:tcPr>
            <w:tcW w:w="1980" w:type="dxa"/>
            <w:vAlign w:val="bottom"/>
            <w:gridSpan w:val="2"/>
          </w:tcPr>
          <w:p>
            <w:pPr>
              <w:ind w:left="190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0.26</w:t>
            </w:r>
          </w:p>
        </w:tc>
        <w:tc>
          <w:tcPr>
            <w:tcW w:w="3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1980" w:type="dxa"/>
            <w:vAlign w:val="bottom"/>
            <w:gridSpan w:val="2"/>
            <w:shd w:val="clear" w:color="auto" w:fill="CCEEFF"/>
          </w:tcPr>
          <w:p>
            <w:pPr>
              <w:ind w:left="19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34,573,377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34,420,654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34,103,029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46,021,610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45,735,521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45,542,418</w:t>
            </w:r>
          </w:p>
        </w:tc>
        <w:tc>
          <w:tcPr>
            <w:tcW w:w="6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We present Adjusted EBITDA and Adjusted Net Income as supplemental measures of our performance. We define Adjusted EBITDA for the periods indicated as EBITDA (as defined below), adjusted to exclude (i) equity-based compensation expense, (ii) foreign currency loss (gain), net,</w:t>
      </w:r>
    </w:p>
    <w:p>
      <w:pPr>
        <w:ind w:right="280" w:firstLine="4"/>
        <w:spacing w:after="0" w:line="281"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derivative valuation loss, net, (iv) restatement related expenses (gain) and (v) other. EBITDA for the periods indicated is defined as net income (loss) before interest expense, net, income tax expenses and depreciation and amortization. We prepare Adjusted Net Income by adjusting net income</w:t>
      </w:r>
    </w:p>
    <w:p>
      <w:pPr>
        <w:spacing w:after="0" w:line="1" w:lineRule="exact"/>
        <w:rPr>
          <w:rFonts w:ascii="Arial" w:cs="Arial" w:eastAsia="Arial" w:hAnsi="Arial"/>
          <w:sz w:val="16"/>
          <w:szCs w:val="16"/>
          <w:color w:val="auto"/>
        </w:rPr>
      </w:pPr>
    </w:p>
    <w:p>
      <w:pPr>
        <w:jc w:val="both"/>
        <w:ind w:right="240"/>
        <w:spacing w:after="0" w:line="281" w:lineRule="auto"/>
        <w:rPr>
          <w:rFonts w:ascii="Arial" w:cs="Arial" w:eastAsia="Arial" w:hAnsi="Arial"/>
          <w:sz w:val="16"/>
          <w:szCs w:val="16"/>
          <w:color w:val="auto"/>
        </w:rPr>
      </w:pPr>
      <w:r>
        <w:rPr>
          <w:rFonts w:ascii="Arial" w:cs="Arial" w:eastAsia="Arial" w:hAnsi="Arial"/>
          <w:sz w:val="16"/>
          <w:szCs w:val="16"/>
          <w:color w:val="auto"/>
        </w:rPr>
        <w:t>(loss)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net income, adjusted to exclude</w:t>
      </w:r>
    </w:p>
    <w:p>
      <w:pPr>
        <w:spacing w:after="0" w:line="2" w:lineRule="exact"/>
        <w:rPr>
          <w:rFonts w:ascii="Arial" w:cs="Arial" w:eastAsia="Arial" w:hAnsi="Arial"/>
          <w:sz w:val="16"/>
          <w:szCs w:val="16"/>
          <w:color w:val="auto"/>
        </w:rPr>
      </w:pPr>
    </w:p>
    <w:p>
      <w:pPr>
        <w:ind w:right="160" w:firstLine="4"/>
        <w:spacing w:after="0" w:line="261"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equity-based compensation expense, (ii) foreign currency loss (gain), net, (iii) derivative valuation loss, net, (iv) restatement related expenses (gain) and (v) other.</w:t>
      </w:r>
    </w:p>
    <w:p>
      <w:pPr>
        <w:sectPr>
          <w:pgSz w:w="11900" w:h="16838" w:orient="portrait"/>
          <w:cols w:equalWidth="0" w:num="1">
            <w:col w:w="11040"/>
          </w:cols>
          <w:pgMar w:left="440" w:top="270" w:right="419" w:bottom="1440" w:gutter="0" w:footer="0" w:header="0"/>
        </w:sectPr>
      </w:pPr>
    </w:p>
    <w:bookmarkStart w:id="10" w:name="page11"/>
    <w:bookmarkEnd w:id="10"/>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gridSpan w:val="5"/>
          </w:tcPr>
          <w:p>
            <w:pPr>
              <w:jc w:val="right"/>
              <w:ind w:right="171"/>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2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except share data)</w:t>
            </w: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133,482</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103,221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accounts receivable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71,532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73,073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Hedge collateral</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330,260</w:t>
            </w:r>
          </w:p>
        </w:tc>
        <w:tc>
          <w:tcPr>
            <w:tcW w:w="120" w:type="dxa"/>
            <w:vAlign w:val="bottom"/>
            <w:shd w:val="clear" w:color="auto" w:fill="CCEEFF"/>
          </w:tcPr>
          <w:p>
            <w:pPr>
              <w:spacing w:after="0"/>
              <w:rPr>
                <w:sz w:val="18"/>
                <w:szCs w:val="18"/>
                <w:color w:val="auto"/>
              </w:rPr>
            </w:pPr>
          </w:p>
        </w:tc>
      </w:tr>
      <w:tr>
        <w:trPr>
          <w:trHeight w:val="223"/>
        </w:trPr>
        <w:tc>
          <w:tcPr>
            <w:tcW w:w="83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200,393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205,903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17,744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12,791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558,789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Other accounts payable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160,110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138,142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148,148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148,905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630,158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598,426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32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stock, $0.01 par value, 150,000,000 shares authorized, 42,994,105 shares issued and 34,600,464</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outstanding at September 30, 2018 and 42,563,808 shares issued and 34,189,599 outstanding at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December 31, 2017</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(33,925)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(40,889)</w:t>
            </w: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Treasury stock, 8,393,641shares at September 30, 2018 and 8,374,209 shares at December 31, 2017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(102,518)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(102,319)</w:t>
            </w: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(22,700)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(33,114)</w:t>
            </w: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(39,637)</w:t>
            </w:r>
          </w:p>
        </w:tc>
      </w:tr>
      <w:tr>
        <w:trPr>
          <w:trHeight w:val="224"/>
        </w:trPr>
        <w:tc>
          <w:tcPr>
            <w:tcW w:w="20" w:type="dxa"/>
            <w:vAlign w:val="bottom"/>
          </w:tcPr>
          <w:p>
            <w:pPr>
              <w:spacing w:after="0"/>
              <w:rPr>
                <w:sz w:val="19"/>
                <w:szCs w:val="19"/>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612,706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558,789</w:t>
            </w:r>
          </w:p>
        </w:tc>
        <w:tc>
          <w:tcPr>
            <w:tcW w:w="120" w:type="dxa"/>
            <w:vAlign w:val="bottom"/>
          </w:tcPr>
          <w:p>
            <w:pPr>
              <w:spacing w:after="0"/>
              <w:rPr>
                <w:sz w:val="19"/>
                <w:szCs w:val="19"/>
                <w:color w:val="auto"/>
              </w:rPr>
            </w:pPr>
          </w:p>
        </w:tc>
      </w:tr>
    </w:tbl>
    <w:p>
      <w:pPr>
        <w:sectPr>
          <w:pgSz w:w="11900" w:h="16838" w:orient="portrait"/>
          <w:cols w:equalWidth="0" w:num="1">
            <w:col w:w="11040"/>
          </w:cols>
          <w:pgMar w:left="440" w:top="270" w:right="4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2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3"/>
              </w:rPr>
              <w:t>Three Months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center"/>
              <w:ind w:left="411"/>
              <w:spacing w:after="0"/>
              <w:rPr>
                <w:sz w:val="20"/>
                <w:szCs w:val="20"/>
                <w:color w:val="auto"/>
              </w:rPr>
            </w:pPr>
            <w:r>
              <w:rPr>
                <w:rFonts w:ascii="Arial" w:cs="Arial" w:eastAsia="Arial" w:hAnsi="Arial"/>
                <w:sz w:val="14"/>
                <w:szCs w:val="14"/>
                <w:b w:val="1"/>
                <w:bCs w:val="1"/>
                <w:color w:val="auto"/>
                <w:w w:val="95"/>
              </w:rPr>
              <w:t>Nine Months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3"/>
              </w:rPr>
              <w:t>Ended</w:t>
            </w: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52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420" w:type="dxa"/>
            <w:vAlign w:val="bottom"/>
            <w:gridSpan w:val="3"/>
          </w:tcPr>
          <w:p>
            <w:pPr>
              <w:ind w:left="5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2018</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17,222</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(1,520)</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41,283</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Adjustments to reconcile net income (loss) to net cash provided by (used in) operating</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7,913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23,883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severance benefits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original issue discount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foreign currency, net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Restructuring gain and other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(19,587)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(14,282)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(20,241)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accounts receivable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(13,499)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(30,296)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Other accounts payable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(8,811)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(8,378)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severance benefits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operating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settlement of hedge collateral</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Payment of hedge collateral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(3,475)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(10,965)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 of plant, property and equipment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Purchase of plant, property and equipment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(7,443)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(18,875)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for property related to water treatment facility arrangement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Payment for intellectual property registration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Collection of guarantee deposits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Payment of guarantee deposits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(21,257)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Proceeds from issuance of senior notes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86,250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Proceeds from property related to water treatment facility arrangement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5,124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72,338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700"/>
              <w:spacing w:after="0"/>
              <w:rPr>
                <w:sz w:val="20"/>
                <w:szCs w:val="20"/>
                <w:color w:val="auto"/>
              </w:rPr>
            </w:pPr>
            <w:r>
              <w:rPr>
                <w:rFonts w:ascii="Arial" w:cs="Arial" w:eastAsia="Arial" w:hAnsi="Arial"/>
                <w:sz w:val="18"/>
                <w:szCs w:val="18"/>
                <w:color w:val="auto"/>
              </w:rPr>
              <w:t>Net increase in cash, cash equivalents and restricted cash</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26,819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Beginning of the period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131,682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128,575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101,606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the period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128,425</w:t>
            </w:r>
          </w:p>
        </w:tc>
        <w:tc>
          <w:tcPr>
            <w:tcW w:w="60" w:type="dxa"/>
            <w:vAlign w:val="bottom"/>
            <w:shd w:val="clear" w:color="auto" w:fill="CCEEFF"/>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Roman"/>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2019-12-28T18:55:56Z</dcterms:created>
  <dcterms:modified xsi:type="dcterms:W3CDTF">2019-12-28T18:55:56Z</dcterms:modified>
</cp:coreProperties>
</file>