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022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Brigade Leveraged Capital Structures Fund</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Ltd.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40"/>
        <w:spacing w:after="0" w:line="301" w:lineRule="auto"/>
        <w:rPr>
          <w:sz w:val="20"/>
          <w:szCs w:val="20"/>
          <w:color w:val="auto"/>
        </w:rPr>
      </w:pPr>
      <w:r>
        <w:rPr>
          <w:rFonts w:ascii="Arial" w:cs="Arial" w:eastAsia="Arial" w:hAnsi="Arial"/>
          <w:sz w:val="18"/>
          <w:szCs w:val="18"/>
          <w:color w:val="0000FF"/>
        </w:rPr>
        <w:t>INTERTRUST CORP SERVICES (CAYMAN) LTD 190 ELGIN AVENUE, GEORGE TOWN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0"/>
          <w:szCs w:val="20"/>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MAGNACHIP SEMICONDUCTOR Corp</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0000FF"/>
        </w:rPr>
        <w:t xml:space="preserve">MX </w:t>
      </w:r>
      <w:r>
        <w:rPr>
          <w:rFonts w:ascii="Arial" w:cs="Arial" w:eastAsia="Arial" w:hAnsi="Arial"/>
          <w:sz w:val="21"/>
          <w:szCs w:val="21"/>
          <w:color w:val="000000"/>
        </w:rPr>
        <w:t>]</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01/24/2018</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864" w:lineRule="exact"/>
        <w:rPr>
          <w:sz w:val="20"/>
          <w:szCs w:val="20"/>
          <w:color w:val="auto"/>
        </w:rPr>
      </w:pPr>
    </w:p>
    <w:p>
      <w:pPr>
        <w:sectPr>
          <w:pgSz w:w="11900" w:h="16838" w:orient="portrait"/>
          <w:cols w:equalWidth="0" w:num="3">
            <w:col w:w="3880" w:space="200"/>
            <w:col w:w="3820" w:space="157"/>
            <w:col w:w="3363"/>
          </w:cols>
          <w:pgMar w:left="240" w:top="226" w:right="239" w:bottom="1440" w:gutter="0" w:footer="0" w:header="0"/>
          <w:type w:val="continuous"/>
        </w:sectPr>
      </w:pPr>
    </w:p>
    <w:p>
      <w:pPr>
        <w:spacing w:after="0" w:line="25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60" w:type="dxa"/>
            <w:vAlign w:val="bottom"/>
          </w:tcPr>
          <w:p>
            <w:pPr>
              <w:ind w:left="40"/>
              <w:spacing w:after="0"/>
              <w:rPr>
                <w:sz w:val="20"/>
                <w:szCs w:val="20"/>
                <w:color w:val="auto"/>
              </w:rPr>
            </w:pPr>
            <w:r>
              <w:rPr>
                <w:rFonts w:ascii="Arial" w:cs="Arial" w:eastAsia="Arial" w:hAnsi="Arial"/>
                <w:sz w:val="18"/>
                <w:szCs w:val="18"/>
                <w:color w:val="0000FF"/>
              </w:rPr>
              <w:t>GRAND</w:t>
            </w:r>
          </w:p>
        </w:tc>
        <w:tc>
          <w:tcPr>
            <w:tcW w:w="1000" w:type="dxa"/>
            <w:vAlign w:val="bottom"/>
            <w:vMerge w:val="restart"/>
          </w:tcPr>
          <w:p>
            <w:pPr>
              <w:ind w:left="260"/>
              <w:spacing w:after="0"/>
              <w:rPr>
                <w:sz w:val="20"/>
                <w:szCs w:val="20"/>
                <w:color w:val="auto"/>
              </w:rPr>
            </w:pPr>
            <w:r>
              <w:rPr>
                <w:rFonts w:ascii="Arial" w:cs="Arial" w:eastAsia="Arial" w:hAnsi="Arial"/>
                <w:sz w:val="18"/>
                <w:szCs w:val="18"/>
                <w:color w:val="0000FF"/>
              </w:rPr>
              <w:t>E9</w:t>
            </w:r>
          </w:p>
        </w:tc>
        <w:tc>
          <w:tcPr>
            <w:tcW w:w="1280" w:type="dxa"/>
            <w:vAlign w:val="bottom"/>
            <w:vMerge w:val="restart"/>
          </w:tcPr>
          <w:p>
            <w:pPr>
              <w:ind w:left="520"/>
              <w:spacing w:after="0"/>
              <w:rPr>
                <w:sz w:val="20"/>
                <w:szCs w:val="20"/>
                <w:color w:val="auto"/>
              </w:rPr>
            </w:pPr>
            <w:r>
              <w:rPr>
                <w:rFonts w:ascii="Arial" w:cs="Arial" w:eastAsia="Arial" w:hAnsi="Arial"/>
                <w:sz w:val="18"/>
                <w:szCs w:val="18"/>
                <w:color w:val="0000FF"/>
                <w:w w:val="92"/>
              </w:rPr>
              <w:t>KY1-9005</w:t>
            </w:r>
          </w:p>
        </w:tc>
        <w:tc>
          <w:tcPr>
            <w:tcW w:w="0" w:type="dxa"/>
            <w:vAlign w:val="bottom"/>
          </w:tcPr>
          <w:p>
            <w:pPr>
              <w:spacing w:after="0"/>
              <w:rPr>
                <w:sz w:val="1"/>
                <w:szCs w:val="1"/>
                <w:color w:val="auto"/>
              </w:rPr>
            </w:pPr>
          </w:p>
        </w:tc>
      </w:tr>
      <w:tr>
        <w:trPr>
          <w:trHeight w:val="114"/>
        </w:trPr>
        <w:tc>
          <w:tcPr>
            <w:tcW w:w="1060" w:type="dxa"/>
            <w:vAlign w:val="bottom"/>
            <w:vMerge w:val="restart"/>
          </w:tcPr>
          <w:p>
            <w:pPr>
              <w:ind w:left="40"/>
              <w:spacing w:after="0"/>
              <w:rPr>
                <w:sz w:val="20"/>
                <w:szCs w:val="20"/>
                <w:color w:val="auto"/>
              </w:rPr>
            </w:pPr>
            <w:r>
              <w:rPr>
                <w:rFonts w:ascii="Arial" w:cs="Arial" w:eastAsia="Arial" w:hAnsi="Arial"/>
                <w:sz w:val="18"/>
                <w:szCs w:val="18"/>
                <w:color w:val="0000FF"/>
              </w:rPr>
              <w:t>CAYMAN</w:t>
            </w:r>
          </w:p>
        </w:tc>
        <w:tc>
          <w:tcPr>
            <w:tcW w:w="10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200" w:lineRule="exact"/>
        <w:rPr>
          <w:sz w:val="20"/>
          <w:szCs w:val="20"/>
          <w:color w:val="auto"/>
        </w:rPr>
      </w:pPr>
    </w:p>
    <w:p>
      <w:pPr>
        <w:sectPr>
          <w:pgSz w:w="11900" w:h="16838" w:orient="portrait"/>
          <w:cols w:equalWidth="0" w:num="2">
            <w:col w:w="3420" w:space="660"/>
            <w:col w:w="7340"/>
          </w:cols>
          <w:pgMar w:left="240" w:top="226" w:right="239" w:bottom="1440" w:gutter="0" w:footer="0" w:header="0"/>
          <w:type w:val="continuous"/>
        </w:sectPr>
      </w:pPr>
    </w:p>
    <w:p>
      <w:pPr>
        <w:spacing w:after="0" w:line="85"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4"/>
              </w:rPr>
              <w:t>Common Stock, par value $.01 per share</w:t>
            </w:r>
          </w:p>
        </w:tc>
        <w:tc>
          <w:tcPr>
            <w:tcW w:w="128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0000FF"/>
              </w:rPr>
              <w:t>01/24/2018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6"/>
              </w:rPr>
              <w:t>149,000</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12.925</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2,981,000</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960" w:type="dxa"/>
            <w:vAlign w:val="bottom"/>
            <w:gridSpan w:val="10"/>
          </w:tcPr>
          <w:p>
            <w:pPr>
              <w:jc w:val="center"/>
              <w:ind w:left="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The reported securities are directly owned by Brigade Leveraged Capital Structures Fund Ltd.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520"/>
        <w:spacing w:after="0" w:line="239" w:lineRule="auto"/>
        <w:rPr>
          <w:sz w:val="20"/>
          <w:szCs w:val="20"/>
          <w:color w:val="auto"/>
        </w:rPr>
      </w:pPr>
      <w:r>
        <w:rPr>
          <w:rFonts w:ascii="Arial" w:cs="Arial" w:eastAsia="Arial" w:hAnsi="Arial"/>
          <w:sz w:val="14"/>
          <w:szCs w:val="14"/>
          <w:color w:val="008000"/>
        </w:rPr>
        <w:t>Due to administrative error by our outside counsel, the original Form 4, filed on January 26, 2018, was filed on behalf of an incorrect entity, Brigade Leveraged Capital Structures Offshore Ltd. Brigade Leveraged Capital Structures Fund Ltd. was the intended Reporting Person and is filing this Form 4 to correct the error.</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Brigade Leveraged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00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ind w:left="6860"/>
        <w:spacing w:after="0" w:line="217" w:lineRule="auto"/>
        <w:tabs>
          <w:tab w:leader="none" w:pos="9140" w:val="left"/>
        </w:tabs>
        <w:rPr>
          <w:sz w:val="20"/>
          <w:szCs w:val="20"/>
          <w:color w:val="auto"/>
        </w:rPr>
      </w:pPr>
      <w:r>
        <w:rPr>
          <w:rFonts w:ascii="Arial" w:cs="Arial" w:eastAsia="Arial" w:hAnsi="Arial"/>
          <w:sz w:val="18"/>
          <w:szCs w:val="18"/>
          <w:color w:val="0000FF"/>
        </w:rPr>
        <w:t>Structures Fund Ltd., By: /s/</w:t>
      </w:r>
      <w:r>
        <w:rPr>
          <w:sz w:val="20"/>
          <w:szCs w:val="20"/>
          <w:color w:val="auto"/>
        </w:rPr>
        <w:tab/>
      </w:r>
      <w:r>
        <w:rPr>
          <w:rFonts w:ascii="Arial" w:cs="Arial" w:eastAsia="Arial" w:hAnsi="Arial"/>
          <w:sz w:val="23"/>
          <w:szCs w:val="23"/>
          <w:color w:val="0000FF"/>
          <w:vertAlign w:val="subscript"/>
        </w:rPr>
        <w:t>01/31/2018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269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Donald E. Morgan,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25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2552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71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421307" TargetMode="External"/><Relationship Id="rId13"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2019-12-04T02:17:05Z</dcterms:created>
  <dcterms:modified xsi:type="dcterms:W3CDTF">2019-12-04T02:17:05Z</dcterms:modified>
</cp:coreProperties>
</file>