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23,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620" w:type="dxa"/>
            <w:vAlign w:val="bottom"/>
          </w:tcPr>
          <w:p>
            <w:pPr>
              <w:jc w:val="center"/>
              <w:ind w:right="1961"/>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620" w:type="dxa"/>
            <w:vAlign w:val="bottom"/>
          </w:tcPr>
          <w:p>
            <w:pPr>
              <w:jc w:val="center"/>
              <w:ind w:right="194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620" w:type="dxa"/>
            <w:vAlign w:val="bottom"/>
          </w:tcPr>
          <w:p>
            <w:pPr>
              <w:jc w:val="center"/>
              <w:ind w:right="1941"/>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391"/>
        </w:trPr>
        <w:tc>
          <w:tcPr>
            <w:tcW w:w="3620" w:type="dxa"/>
            <w:vAlign w:val="bottom"/>
          </w:tcPr>
          <w:p>
            <w:pPr>
              <w:jc w:val="center"/>
              <w:ind w:right="121"/>
              <w:spacing w:after="0"/>
              <w:rPr>
                <w:sz w:val="20"/>
                <w:szCs w:val="20"/>
                <w:color w:val="auto"/>
              </w:rPr>
            </w:pPr>
            <w:r>
              <w:rPr>
                <w:rFonts w:ascii="Arial" w:cs="Arial" w:eastAsia="Arial" w:hAnsi="Arial"/>
                <w:sz w:val="18"/>
                <w:szCs w:val="18"/>
                <w:b w:val="1"/>
                <w:bCs w:val="1"/>
                <w:color w:val="auto"/>
                <w:w w:val="88"/>
              </w:rPr>
              <w:t>c/o MagnaChip Semiconductor S.A.,</w:t>
            </w:r>
          </w:p>
        </w:tc>
        <w:tc>
          <w:tcPr>
            <w:tcW w:w="26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3620" w:type="dxa"/>
            <w:vAlign w:val="bottom"/>
          </w:tcPr>
          <w:p>
            <w:pPr>
              <w:jc w:val="center"/>
              <w:ind w:right="121"/>
              <w:spacing w:after="0"/>
              <w:rPr>
                <w:sz w:val="20"/>
                <w:szCs w:val="20"/>
                <w:color w:val="auto"/>
              </w:rPr>
            </w:pPr>
            <w:r>
              <w:rPr>
                <w:rFonts w:ascii="Arial" w:cs="Arial" w:eastAsia="Arial" w:hAnsi="Arial"/>
                <w:sz w:val="18"/>
                <w:szCs w:val="18"/>
                <w:b w:val="1"/>
                <w:bCs w:val="1"/>
                <w:color w:val="auto"/>
                <w:w w:val="90"/>
              </w:rPr>
              <w:t>74, rue de Merl, B.P. 709, L-2017</w:t>
            </w:r>
          </w:p>
        </w:tc>
        <w:tc>
          <w:tcPr>
            <w:tcW w:w="260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1"/>
        </w:trPr>
        <w:tc>
          <w:tcPr>
            <w:tcW w:w="3620" w:type="dxa"/>
            <w:vAlign w:val="bottom"/>
          </w:tcPr>
          <w:p>
            <w:pPr>
              <w:jc w:val="center"/>
              <w:ind w:right="1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620" w:type="dxa"/>
            <w:vAlign w:val="bottom"/>
          </w:tcPr>
          <w:p>
            <w:pPr>
              <w:jc w:val="center"/>
              <w:ind w:right="1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22"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MagnaChip Semiconductor LLC and its consolidated subsidiaries for the quarter ended September 28, 2008, as presented in a press release dated October 23,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942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0" w:type="dxa"/>
            <w:vAlign w:val="bottom"/>
          </w:tcPr>
          <w:p>
            <w:pPr>
              <w:jc w:val="right"/>
              <w:ind w:right="132"/>
              <w:spacing w:after="0" w:line="201" w:lineRule="exact"/>
              <w:rPr>
                <w:sz w:val="20"/>
                <w:szCs w:val="20"/>
                <w:color w:val="auto"/>
              </w:rPr>
            </w:pPr>
            <w:r>
              <w:rPr>
                <w:rFonts w:ascii="Arial" w:cs="Arial" w:eastAsia="Arial" w:hAnsi="Arial"/>
                <w:sz w:val="18"/>
                <w:szCs w:val="18"/>
                <w:color w:val="auto"/>
              </w:rPr>
              <w:t>99.1</w:t>
            </w:r>
          </w:p>
        </w:tc>
        <w:tc>
          <w:tcPr>
            <w:tcW w:w="660" w:type="dxa"/>
            <w:vAlign w:val="bottom"/>
            <w:vMerge w:val="continue"/>
          </w:tcPr>
          <w:p>
            <w:pPr>
              <w:spacing w:after="0"/>
              <w:rPr>
                <w:sz w:val="17"/>
                <w:szCs w:val="17"/>
                <w:color w:val="auto"/>
              </w:rPr>
            </w:pPr>
          </w:p>
        </w:tc>
        <w:tc>
          <w:tcPr>
            <w:tcW w:w="8760" w:type="dxa"/>
            <w:vAlign w:val="bottom"/>
            <w:gridSpan w:val="2"/>
          </w:tcPr>
          <w:p>
            <w:pPr>
              <w:spacing w:after="0" w:line="201" w:lineRule="exact"/>
              <w:rPr>
                <w:sz w:val="20"/>
                <w:szCs w:val="20"/>
                <w:color w:val="auto"/>
              </w:rPr>
            </w:pPr>
            <w:r>
              <w:rPr>
                <w:rFonts w:ascii="Arial" w:cs="Arial" w:eastAsia="Arial" w:hAnsi="Arial"/>
                <w:sz w:val="18"/>
                <w:szCs w:val="18"/>
                <w:color w:val="auto"/>
                <w:w w:val="87"/>
              </w:rPr>
              <w:t>Press release for MagnaChip Semiconductor LLC dated October 23, 2008, announcing the results for the third quarter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20" w:type="dxa"/>
            <w:vAlign w:val="bottom"/>
            <w:gridSpan w:val="3"/>
          </w:tcPr>
          <w:p>
            <w:pPr>
              <w:ind w:left="660"/>
              <w:spacing w:after="0"/>
              <w:rPr>
                <w:sz w:val="20"/>
                <w:szCs w:val="20"/>
                <w:color w:val="auto"/>
              </w:rPr>
            </w:pPr>
            <w:r>
              <w:rPr>
                <w:rFonts w:ascii="Arial" w:cs="Arial" w:eastAsia="Arial" w:hAnsi="Arial"/>
                <w:sz w:val="18"/>
                <w:szCs w:val="18"/>
                <w:color w:val="auto"/>
              </w:rPr>
              <w:t>September 28, 2008.</w:t>
            </w:r>
          </w:p>
        </w:tc>
        <w:tc>
          <w:tcPr>
            <w:tcW w:w="0" w:type="dxa"/>
            <w:vAlign w:val="bottom"/>
          </w:tcPr>
          <w:p>
            <w:pPr>
              <w:spacing w:after="0"/>
              <w:rPr>
                <w:sz w:val="1"/>
                <w:szCs w:val="1"/>
                <w:color w:val="auto"/>
              </w:rPr>
            </w:pPr>
          </w:p>
        </w:tc>
      </w:tr>
    </w:tbl>
    <w:p>
      <w:pPr>
        <w:sectPr>
          <w:pgSz w:w="11900" w:h="16838" w:orient="portrait"/>
          <w:cols w:equalWidth="0" w:num="1">
            <w:col w:w="11040"/>
          </w:cols>
          <w:pgMar w:left="240" w:top="274" w:right="6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 w:leader="none" w:pos="6280" w:val="left"/>
        </w:tabs>
        <w:rPr>
          <w:sz w:val="20"/>
          <w:szCs w:val="20"/>
          <w:color w:val="auto"/>
        </w:rPr>
      </w:pPr>
      <w:r>
        <w:rPr>
          <w:rFonts w:ascii="Arial" w:cs="Arial" w:eastAsia="Arial" w:hAnsi="Arial"/>
          <w:sz w:val="18"/>
          <w:szCs w:val="18"/>
          <w:color w:val="auto"/>
        </w:rPr>
        <w:t>Dated: October 23, 2008</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0" w:type="dxa"/>
            <w:vAlign w:val="bottom"/>
          </w:tcPr>
          <w:p>
            <w:pPr>
              <w:jc w:val="right"/>
              <w:ind w:right="112"/>
              <w:spacing w:after="0" w:line="201" w:lineRule="exact"/>
              <w:rPr>
                <w:sz w:val="20"/>
                <w:szCs w:val="20"/>
                <w:color w:val="auto"/>
              </w:rPr>
            </w:pPr>
            <w:r>
              <w:rPr>
                <w:rFonts w:ascii="Arial" w:cs="Arial" w:eastAsia="Arial" w:hAnsi="Arial"/>
                <w:sz w:val="18"/>
                <w:szCs w:val="18"/>
                <w:color w:val="auto"/>
              </w:rPr>
              <w:t>99.1</w:t>
            </w:r>
          </w:p>
        </w:tc>
        <w:tc>
          <w:tcPr>
            <w:tcW w:w="760" w:type="dxa"/>
            <w:vAlign w:val="bottom"/>
            <w:vMerge w:val="continue"/>
          </w:tcPr>
          <w:p>
            <w:pPr>
              <w:spacing w:after="0"/>
              <w:rPr>
                <w:sz w:val="17"/>
                <w:szCs w:val="17"/>
                <w:color w:val="auto"/>
              </w:rPr>
            </w:pPr>
          </w:p>
        </w:tc>
        <w:tc>
          <w:tcPr>
            <w:tcW w:w="9820" w:type="dxa"/>
            <w:vAlign w:val="bottom"/>
            <w:gridSpan w:val="2"/>
          </w:tcPr>
          <w:p>
            <w:pPr>
              <w:spacing w:after="0" w:line="201" w:lineRule="exact"/>
              <w:rPr>
                <w:sz w:val="20"/>
                <w:szCs w:val="20"/>
                <w:color w:val="auto"/>
              </w:rPr>
            </w:pPr>
            <w:r>
              <w:rPr>
                <w:rFonts w:ascii="Arial" w:cs="Arial" w:eastAsia="Arial" w:hAnsi="Arial"/>
                <w:sz w:val="18"/>
                <w:szCs w:val="18"/>
                <w:color w:val="auto"/>
                <w:w w:val="87"/>
              </w:rPr>
              <w:t>Press release for MagnaChip Semiconductor LLC dated October 23, 2008, announcing the results for the third quarter ended September 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2008.</w:t>
            </w:r>
          </w:p>
        </w:tc>
        <w:tc>
          <w:tcPr>
            <w:tcW w:w="9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00"/>
          </w:cols>
          <w:pgMar w:left="240" w:top="274" w:right="35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246380</wp:posOffset>
            </wp:positionV>
            <wp:extent cx="232410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MagnaChip Semiconductor Reports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Third Quarter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Seoul, South Korea, October 23, 2008 </w:t>
      </w:r>
      <w:r>
        <w:rPr>
          <w:rFonts w:ascii="Arial" w:cs="Arial" w:eastAsia="Arial" w:hAnsi="Arial"/>
          <w:sz w:val="16"/>
          <w:szCs w:val="16"/>
          <w:color w:val="auto"/>
        </w:rPr>
        <w:t>– MagnaChip Semiconductor today announced results for the third quarter ended September 28,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September 28, 2008 was $176 million, compared to $200 million in the third quarter of 2007.</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Sang Park, Chairman and CEO of MagnaChip Semiconductor, commented, “Due to the current economic environment and tightened credit supply, Q3 demand from customers was much weaker than expected. Q3 revenue came in at $176.0 million, a decrease of 9.6% as compared to the second quarter of 2008 and a decrease of 12.0% as compared to the third quarter of 2007. Looking ahead, we expect current market conditions and weak customer demand to continue in the short term. Despite the challenging economic environment, we see opportunities for growth through new product ramp-ups and new customers going into 2009.”</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Subsequent to the quarter end, we announced the closing of our Imaging Solutions business segment, subject to our continuing support for existing customers. In connection with this action, we recorded impairment charges of $26.3 million at the end of the quarter, in accordance with FAS 144. We expect to record approximately $15.2 million in restructuring charges in the fourth quarter, in accordance with FAS 146. Of a total of approximately $41.5 million in restructuring and impairment charges, $27.6 million relates to non-cash charges and approximately $13.9 million relates to cash expenditures, which are expected to be paid over the next 18 months.</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Gross margin was $40.5 million or 23.0% of revenue for the quarter ended September 28, 2008, compared to $31.3 million or 15.6 % of revenue for the third quarter of 2007.</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Operating expenses were $79.7 million in the current quarter. This included $26.3 million in impairment charges for the closing of our Imaging Solutions business segment. Excluding impairment charges, operating expenses for the third quarter of 2008 were $53.4 million or 30.4% of revenue, compared to $57.0 million or 28.5% of revenue for the third quarter of 2007.</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loss was $39.2 million during the third quarter. Excluding the impairment charges, the operating loss for the third quarter of 2008 was $12.9 million compared to $25.7 million in the prior year’s third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third quarter of 2008 was $15.6 million compared to $15.3 million in the third quarter of 2007.</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loss for the three months ended September 28, 2008 was $139.8 million. Excluding impairment charges, the loss was $113.5 million, compared to a net loss of $38.8 million in the prior year’s third quarter. The net loss results were negatively impacted by a foreign currency loss of $81.6 million in the third quarter of 2008, compared to a foreign currency gain of $4.9 million in the third quarter of 2007. A substantial portion of this net foreign currency loss resulted from a non-cash translation loss recorded for intercompany borrowings at our Korea subsidiary that are denominated in U.S. dollars.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Robert Krakauer, President and CFO of MagnaChip Semiconductor, said, “In spite of the tough environment, we recorded a gross margin of over 23.0%. As a result of the closing of our Imaging Solutions business segment, the Company expects cost savings, including reductions in research and development and capital expenditures, of approximately $50.0 million in the Company’s fiscal year 2009 as compared to 2008. To further improve on our margin and cash flow, we have started cost management initiatives to improve our cost structure a further $20 million over the coming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Investor Conference Call / Webcast Details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MagnaChip will report full results for the third quarter 2008 on Thursday, October 23, 2008 at 6:30 p.m. in New York (7:30 a.m., Friday, October 24, 2008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+1-201-689-8560. A replay of the call will be available in two hours after the call through midnight on Thursday, October 30, 2008 in New York (1 p.m. on Friday, October 31, 2008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+1-201-612-7415. The account number to access the replay is 3055 and the conference ID number is 298925,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Headquartered in Seoul, South Korea, MagnaChip Semiconductor is a leading, Asia-based designer and manufacturer of analog and mixed-signal semiconductor products for high volume consumer applications, such as mobile phones, digital televisions, flat panel displays, notebook computers, mobile multimedia devices and digital cameras. The Company has a broad range of analog and mixed-signal semiconductor technology, supported by its 29-year operating history, large portfolio of registered and pending patents and extensive engineering and manufacturing process expertise. For more information, visit www.magnachip.com.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Certain statements contained in this press release contain forward-looking statements regarding MagnaChip Semiconductor’s operations, economic performance and financial condition, including, but not limited to, expected future costs savings. Although MagnaChip Semiconductor believes that the expectations reflected in these statements are reasonable, no assurance can be given that such expectations will prove to have been correct as a result of many factors, including those described in our annual report on Form 10-K for the year ended December 31, 2007 and our other filings with the Securities and Exchange Commission.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0" w:type="dxa"/>
            <w:vAlign w:val="bottom"/>
          </w:tcPr>
          <w:p>
            <w:pPr>
              <w:ind w:left="1580"/>
              <w:spacing w:after="0"/>
              <w:rPr>
                <w:sz w:val="20"/>
                <w:szCs w:val="20"/>
                <w:color w:val="auto"/>
              </w:rPr>
            </w:pPr>
            <w:r>
              <w:rPr>
                <w:rFonts w:ascii="Arial" w:cs="Arial" w:eastAsia="Arial" w:hAnsi="Arial"/>
                <w:sz w:val="18"/>
                <w:szCs w:val="18"/>
                <w:color w:val="auto"/>
              </w:rPr>
              <w:t># # #</w:t>
            </w:r>
          </w:p>
        </w:tc>
      </w:tr>
      <w:tr>
        <w:trPr>
          <w:trHeight w:val="38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CONTACT:</w:t>
            </w:r>
          </w:p>
        </w:tc>
        <w:tc>
          <w:tcPr>
            <w:tcW w:w="4400" w:type="dxa"/>
            <w:vAlign w:val="bottom"/>
          </w:tcPr>
          <w:p>
            <w:pPr>
              <w:spacing w:after="0"/>
              <w:rPr>
                <w:sz w:val="24"/>
                <w:szCs w:val="24"/>
                <w:color w:val="auto"/>
              </w:rPr>
            </w:pPr>
          </w:p>
        </w:tc>
      </w:tr>
      <w:tr>
        <w:trPr>
          <w:trHeight w:val="444"/>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 Korea:</w:t>
            </w:r>
          </w:p>
        </w:tc>
        <w:tc>
          <w:tcPr>
            <w:tcW w:w="3080" w:type="dxa"/>
            <w:vAlign w:val="bottom"/>
          </w:tcPr>
          <w:p>
            <w:pPr>
              <w:spacing w:after="0"/>
              <w:rPr>
                <w:sz w:val="24"/>
                <w:szCs w:val="24"/>
                <w:color w:val="auto"/>
              </w:rPr>
            </w:pPr>
          </w:p>
        </w:tc>
        <w:tc>
          <w:tcPr>
            <w:tcW w:w="4400" w:type="dxa"/>
            <w:vAlign w:val="bottom"/>
          </w:tcPr>
          <w:p>
            <w:pPr>
              <w:ind w:left="2000"/>
              <w:spacing w:after="0"/>
              <w:rPr>
                <w:sz w:val="20"/>
                <w:szCs w:val="20"/>
                <w:color w:val="auto"/>
              </w:rPr>
            </w:pPr>
            <w:r>
              <w:rPr>
                <w:rFonts w:ascii="Arial" w:cs="Arial" w:eastAsia="Arial" w:hAnsi="Arial"/>
                <w:sz w:val="18"/>
                <w:szCs w:val="18"/>
                <w:b w:val="1"/>
                <w:bCs w:val="1"/>
                <w:color w:val="auto"/>
              </w:rPr>
              <w:t>In the U.S.: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Bohye Jeon, PR Manager</w:t>
            </w:r>
          </w:p>
        </w:tc>
        <w:tc>
          <w:tcPr>
            <w:tcW w:w="4400" w:type="dxa"/>
            <w:vAlign w:val="bottom"/>
          </w:tcPr>
          <w:p>
            <w:pPr>
              <w:ind w:left="2000"/>
              <w:spacing w:after="0"/>
              <w:rPr>
                <w:sz w:val="20"/>
                <w:szCs w:val="20"/>
                <w:color w:val="auto"/>
              </w:rPr>
            </w:pPr>
            <w:r>
              <w:rPr>
                <w:rFonts w:ascii="Arial" w:cs="Arial" w:eastAsia="Arial" w:hAnsi="Arial"/>
                <w:sz w:val="18"/>
                <w:szCs w:val="18"/>
                <w:color w:val="auto"/>
                <w:w w:val="88"/>
              </w:rPr>
              <w:t>Joseph Villalta at The Ruth Group</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Tel: 82-2-6903-3316</w:t>
            </w:r>
          </w:p>
        </w:tc>
        <w:tc>
          <w:tcPr>
            <w:tcW w:w="4400" w:type="dxa"/>
            <w:vAlign w:val="bottom"/>
          </w:tcPr>
          <w:p>
            <w:pPr>
              <w:ind w:left="2000"/>
              <w:spacing w:after="0"/>
              <w:rPr>
                <w:sz w:val="20"/>
                <w:szCs w:val="20"/>
                <w:color w:val="auto"/>
              </w:rPr>
            </w:pPr>
            <w:r>
              <w:rPr>
                <w:rFonts w:ascii="Arial" w:cs="Arial" w:eastAsia="Arial" w:hAnsi="Arial"/>
                <w:sz w:val="18"/>
                <w:szCs w:val="18"/>
                <w:color w:val="auto"/>
              </w:rPr>
              <w:t>Tel:+646-536-7003</w:t>
            </w: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bohye.jeon_mpr@magnachip.com</w:t>
            </w:r>
          </w:p>
        </w:tc>
        <w:tc>
          <w:tcPr>
            <w:tcW w:w="4400" w:type="dxa"/>
            <w:vAlign w:val="bottom"/>
          </w:tcPr>
          <w:p>
            <w:pPr>
              <w:ind w:left="2000"/>
              <w:spacing w:after="0"/>
              <w:rPr>
                <w:sz w:val="20"/>
                <w:szCs w:val="20"/>
                <w:color w:val="auto"/>
              </w:rPr>
            </w:pPr>
            <w:r>
              <w:rPr>
                <w:rFonts w:ascii="Arial" w:cs="Arial" w:eastAsia="Arial" w:hAnsi="Arial"/>
                <w:sz w:val="18"/>
                <w:szCs w:val="18"/>
                <w:color w:val="auto"/>
              </w:rPr>
              <w:t>jvillalta@theruthgroup.com</w:t>
            </w:r>
          </w:p>
        </w:tc>
      </w:tr>
      <w:tr>
        <w:trPr>
          <w:trHeight w:val="378"/>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400" w:type="dxa"/>
            <w:vAlign w:val="bottom"/>
          </w:tcPr>
          <w:p>
            <w:pPr>
              <w:ind w:left="1520"/>
              <w:spacing w:after="0"/>
              <w:rPr>
                <w:sz w:val="20"/>
                <w:szCs w:val="20"/>
                <w:color w:val="auto"/>
              </w:rPr>
            </w:pPr>
            <w:r>
              <w:rPr>
                <w:rFonts w:ascii="Arial" w:cs="Arial" w:eastAsia="Arial" w:hAnsi="Arial"/>
                <w:sz w:val="18"/>
                <w:szCs w:val="18"/>
                <w:color w:val="auto"/>
              </w:rPr>
              <w:t>Page 2</w:t>
            </w:r>
          </w:p>
        </w:tc>
      </w:tr>
    </w:tbl>
    <w:p>
      <w:pPr>
        <w:sectPr>
          <w:pgSz w:w="11900" w:h="16838" w:orient="portrait"/>
          <w:cols w:equalWidth="0" w:num="1">
            <w:col w:w="11320"/>
          </w:cols>
          <w:pgMar w:left="240" w:top="27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85"/>
              </w:rPr>
              <w:t>Three months ended</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176,012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135,505</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168,702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40,507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32,199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(39,203)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(25,738)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(15,631)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(81,640)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(136,474)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(36,219)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(139,791)</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(38,766)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Net loss attributable to common units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(143,097)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(2.71)</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52,832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Key Ratios &amp;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 as a % of Revenue</w:t>
            </w: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 &amp; Amortization Expense</w:t>
            </w:r>
          </w:p>
        </w:tc>
        <w:tc>
          <w:tcPr>
            <w:tcW w:w="1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20,870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23,870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140,441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248,098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204,196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547,155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125,419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1,073,087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(665,042)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547,155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920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r>
      <w:tr>
        <w:trPr>
          <w:trHeight w:val="161"/>
        </w:trPr>
        <w:tc>
          <w:tcPr>
            <w:tcW w:w="9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(267,281)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(151,072)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138,787</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(Gain) loss on foreign currency translation,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155,929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(9,623)</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Changes in accounts and other receivable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(41,181)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(46,699)</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inventories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(34,528)</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Changes in accounts and other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51,687</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accrued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8,014</w:t>
            </w:r>
          </w:p>
        </w:tc>
        <w:tc>
          <w:tcPr>
            <w:tcW w:w="60" w:type="dxa"/>
            <w:vAlign w:val="bottom"/>
          </w:tcPr>
          <w:p>
            <w:pPr>
              <w:spacing w:after="0"/>
              <w:rPr>
                <w:sz w:val="18"/>
                <w:szCs w:val="18"/>
                <w:color w:val="auto"/>
              </w:rPr>
            </w:pPr>
          </w:p>
        </w:tc>
      </w:tr>
      <w:tr>
        <w:trPr>
          <w:trHeight w:val="27"/>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(13,225)</w:t>
            </w:r>
          </w:p>
        </w:tc>
      </w:tr>
      <w:tr>
        <w:trPr>
          <w:trHeight w:val="222"/>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(64,922)</w:t>
            </w: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9"/>
                <w:szCs w:val="19"/>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(64,436)</w:t>
            </w:r>
          </w:p>
        </w:tc>
      </w:tr>
      <w:tr>
        <w:trPr>
          <w:trHeight w:val="222"/>
        </w:trPr>
        <w:tc>
          <w:tcPr>
            <w:tcW w:w="92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 of unit options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Repurchase of common units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short-term borrowings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w:t>
            </w:r>
          </w:p>
        </w:tc>
        <w:tc>
          <w:tcPr>
            <w:tcW w:w="60" w:type="dxa"/>
            <w:vAlign w:val="bottom"/>
            <w:shd w:val="clear" w:color="auto" w:fill="CCEEFF"/>
          </w:tcPr>
          <w:p>
            <w:pPr>
              <w:spacing w:after="0"/>
              <w:rPr>
                <w:sz w:val="18"/>
                <w:szCs w:val="18"/>
                <w:color w:val="auto"/>
              </w:rPr>
            </w:pP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Repayment of short-term borrowings</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(165,000)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50,508</w:t>
            </w:r>
          </w:p>
        </w:tc>
        <w:tc>
          <w:tcPr>
            <w:tcW w:w="60" w:type="dxa"/>
            <w:vAlign w:val="bottom"/>
            <w:shd w:val="clear" w:color="auto" w:fill="CCEEFF"/>
          </w:tcPr>
          <w:p>
            <w:pPr>
              <w:spacing w:after="0"/>
              <w:rPr>
                <w:sz w:val="18"/>
                <w:szCs w:val="18"/>
                <w:color w:val="auto"/>
              </w:rPr>
            </w:pPr>
          </w:p>
        </w:tc>
      </w:tr>
      <w:tr>
        <w:trPr>
          <w:trHeight w:val="222"/>
        </w:trPr>
        <w:tc>
          <w:tcPr>
            <w:tcW w:w="9200" w:type="dxa"/>
            <w:vAlign w:val="bottom"/>
          </w:tcPr>
          <w:p>
            <w:pPr>
              <w:ind w:left="88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8"/>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w:t>
            </w:r>
          </w:p>
        </w:tc>
      </w:tr>
      <w:tr>
        <w:trPr>
          <w:trHeight w:val="221"/>
        </w:trPr>
        <w:tc>
          <w:tcPr>
            <w:tcW w:w="92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End of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23,870</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61,934</w:t>
            </w:r>
          </w:p>
        </w:tc>
        <w:tc>
          <w:tcPr>
            <w:tcW w:w="6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2019-12-11T16:04:54Z</dcterms:created>
  <dcterms:modified xsi:type="dcterms:W3CDTF">2019-12-11T16:04:54Z</dcterms:modified>
</cp:coreProperties>
</file>