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LASRY MARC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331" w:lineRule="auto"/>
        <w:rPr>
          <w:sz w:val="20"/>
          <w:szCs w:val="20"/>
          <w:color w:val="auto"/>
        </w:rPr>
      </w:pPr>
      <w:r>
        <w:rPr>
          <w:rFonts w:ascii="Arial" w:cs="Arial" w:eastAsia="Arial" w:hAnsi="Arial"/>
          <w:sz w:val="18"/>
          <w:szCs w:val="18"/>
          <w:color w:val="0000FF"/>
        </w:rPr>
        <w:t>C/O AVENUE CAPITAL MANAGEMENT II, L.P. 399 PARK AVENUE, 6TH FLOOR</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line="27" w:lineRule="exact"/>
              <w:rPr>
                <w:sz w:val="20"/>
                <w:szCs w:val="20"/>
                <w:color w:val="auto"/>
              </w:rPr>
            </w:pPr>
            <w:r>
              <w:rPr>
                <w:rFonts w:ascii="Arial" w:cs="Arial" w:eastAsia="Arial" w:hAnsi="Arial"/>
                <w:sz w:val="3"/>
                <w:szCs w:val="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380" w:type="dxa"/>
            <w:vAlign w:val="bottom"/>
          </w:tcPr>
          <w:p>
            <w:pPr>
              <w:spacing w:after="0"/>
              <w:rPr>
                <w:sz w:val="11"/>
                <w:szCs w:val="11"/>
                <w:color w:val="auto"/>
              </w:rPr>
            </w:pPr>
          </w:p>
        </w:tc>
        <w:tc>
          <w:tcPr>
            <w:tcW w:w="12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08/15/2017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220" w:type="dxa"/>
            <w:vAlign w:val="bottom"/>
            <w:tcBorders>
              <w:bottom w:val="single" w:sz="8" w:color="2C2C2C"/>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300" w:type="dxa"/>
            <w:vAlign w:val="bottom"/>
            <w:gridSpan w:val="5"/>
          </w:tcPr>
          <w:p>
            <w:pPr>
              <w:ind w:left="300"/>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260" w:type="dxa"/>
            <w:vAlign w:val="bottom"/>
            <w:gridSpan w:val="2"/>
          </w:tcPr>
          <w:p>
            <w:pPr>
              <w:jc w:val="center"/>
              <w:ind w:left="229"/>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60" w:type="dxa"/>
            <w:vAlign w:val="bottom"/>
            <w:gridSpan w:val="2"/>
          </w:tcPr>
          <w:p>
            <w:pPr>
              <w:jc w:val="center"/>
              <w:ind w:left="189"/>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960" w:type="dxa"/>
            <w:vAlign w:val="bottom"/>
            <w:gridSpan w:val="5"/>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1260" w:type="dxa"/>
            <w:vAlign w:val="bottom"/>
            <w:gridSpan w:val="2"/>
          </w:tcPr>
          <w:p>
            <w:pPr>
              <w:jc w:val="center"/>
              <w:ind w:left="269"/>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00" w:type="dxa"/>
            <w:vAlign w:val="bottom"/>
            <w:gridSpan w:val="5"/>
          </w:tcPr>
          <w:p>
            <w:pPr>
              <w:ind w:left="3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gridSpan w:val="2"/>
            <w:vMerge w:val="restart"/>
          </w:tcPr>
          <w:p>
            <w:pPr>
              <w:jc w:val="right"/>
              <w:ind w:right="459"/>
              <w:spacing w:after="0"/>
              <w:rPr>
                <w:sz w:val="20"/>
                <w:szCs w:val="20"/>
                <w:color w:val="auto"/>
              </w:rPr>
            </w:pPr>
            <w:r>
              <w:rPr>
                <w:rFonts w:ascii="Arial" w:cs="Arial" w:eastAsia="Arial" w:hAnsi="Arial"/>
                <w:sz w:val="18"/>
                <w:szCs w:val="18"/>
                <w:color w:val="0000FF"/>
              </w:rPr>
              <w:t>08/15/2017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7"/>
              </w:rPr>
              <w:t>1,234,715</w:t>
            </w:r>
          </w:p>
        </w:tc>
        <w:tc>
          <w:tcPr>
            <w:tcW w:w="48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10.98</w:t>
            </w:r>
          </w:p>
        </w:tc>
        <w:tc>
          <w:tcPr>
            <w:tcW w:w="60" w:type="dxa"/>
            <w:vAlign w:val="bottom"/>
          </w:tcPr>
          <w:p>
            <w:pPr>
              <w:spacing w:after="0"/>
              <w:rPr>
                <w:sz w:val="22"/>
                <w:szCs w:val="22"/>
                <w:color w:val="auto"/>
              </w:rPr>
            </w:pPr>
          </w:p>
        </w:tc>
        <w:tc>
          <w:tcPr>
            <w:tcW w:w="78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jc w:val="center"/>
              <w:ind w:left="569"/>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tcBorders>
              <w:top w:val="single" w:sz="8" w:color="2C2C2C"/>
            </w:tcBorders>
            <w:gridSpan w:val="2"/>
            <w:vMerge w:val="restart"/>
          </w:tcPr>
          <w:p>
            <w:pPr>
              <w:jc w:val="right"/>
              <w:ind w:right="459"/>
              <w:spacing w:after="0"/>
              <w:rPr>
                <w:sz w:val="20"/>
                <w:szCs w:val="20"/>
                <w:color w:val="auto"/>
              </w:rPr>
            </w:pPr>
            <w:r>
              <w:rPr>
                <w:rFonts w:ascii="Arial" w:cs="Arial" w:eastAsia="Arial" w:hAnsi="Arial"/>
                <w:sz w:val="18"/>
                <w:szCs w:val="18"/>
                <w:color w:val="0000FF"/>
              </w:rPr>
              <w:t>08/15/2017</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9"/>
              </w:rPr>
              <w:t>812,190</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60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10.98</w:t>
            </w: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w:t>
            </w:r>
          </w:p>
        </w:tc>
        <w:tc>
          <w:tcPr>
            <w:tcW w:w="940" w:type="dxa"/>
            <w:vAlign w:val="bottom"/>
            <w:tcBorders>
              <w:top w:val="single" w:sz="8" w:color="2C2C2C"/>
            </w:tcBorders>
            <w:vMerge w:val="restart"/>
          </w:tcPr>
          <w:p>
            <w:pPr>
              <w:jc w:val="center"/>
              <w:ind w:left="569"/>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5"/>
                <w:vertAlign w:val="subscript"/>
              </w:rPr>
              <w:t>Footnotes</w:t>
            </w:r>
            <w:r>
              <w:rPr>
                <w:rFonts w:ascii="Arial" w:cs="Arial" w:eastAsia="Arial" w:hAnsi="Arial"/>
                <w:sz w:val="11"/>
                <w:szCs w:val="11"/>
                <w:color w:val="008000"/>
                <w:w w:val="85"/>
              </w:rPr>
              <w:t>(1)(2)(4)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tcBorders>
              <w:top w:val="single" w:sz="8" w:color="2C2C2C"/>
            </w:tcBorders>
            <w:gridSpan w:val="2"/>
            <w:vMerge w:val="restart"/>
          </w:tcPr>
          <w:p>
            <w:pPr>
              <w:jc w:val="right"/>
              <w:ind w:right="459"/>
              <w:spacing w:after="0"/>
              <w:rPr>
                <w:sz w:val="20"/>
                <w:szCs w:val="20"/>
                <w:color w:val="auto"/>
              </w:rPr>
            </w:pPr>
            <w:r>
              <w:rPr>
                <w:rFonts w:ascii="Arial" w:cs="Arial" w:eastAsia="Arial" w:hAnsi="Arial"/>
                <w:sz w:val="18"/>
                <w:szCs w:val="18"/>
                <w:color w:val="0000FF"/>
              </w:rPr>
              <w:t>08/15/2017</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9"/>
              </w:rPr>
              <w:t>119,747</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60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10.98</w:t>
            </w: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w:t>
            </w:r>
          </w:p>
        </w:tc>
        <w:tc>
          <w:tcPr>
            <w:tcW w:w="940" w:type="dxa"/>
            <w:vAlign w:val="bottom"/>
            <w:tcBorders>
              <w:top w:val="single" w:sz="8" w:color="2C2C2C"/>
            </w:tcBorders>
            <w:vMerge w:val="restart"/>
          </w:tcPr>
          <w:p>
            <w:pPr>
              <w:jc w:val="center"/>
              <w:ind w:left="569"/>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tcBorders>
              <w:top w:val="single" w:sz="8" w:color="2C2C2C"/>
            </w:tcBorders>
            <w:gridSpan w:val="2"/>
            <w:vMerge w:val="restart"/>
          </w:tcPr>
          <w:p>
            <w:pPr>
              <w:jc w:val="right"/>
              <w:ind w:right="459"/>
              <w:spacing w:after="0"/>
              <w:rPr>
                <w:sz w:val="20"/>
                <w:szCs w:val="20"/>
                <w:color w:val="auto"/>
              </w:rPr>
            </w:pPr>
            <w:r>
              <w:rPr>
                <w:rFonts w:ascii="Arial" w:cs="Arial" w:eastAsia="Arial" w:hAnsi="Arial"/>
                <w:sz w:val="18"/>
                <w:szCs w:val="18"/>
                <w:color w:val="0000FF"/>
              </w:rPr>
              <w:t>08/15/2017</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9"/>
              </w:rPr>
              <w:t>722,264</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60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10.98</w:t>
            </w: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w:t>
            </w:r>
          </w:p>
        </w:tc>
        <w:tc>
          <w:tcPr>
            <w:tcW w:w="940" w:type="dxa"/>
            <w:vAlign w:val="bottom"/>
            <w:tcBorders>
              <w:top w:val="single" w:sz="8" w:color="2C2C2C"/>
            </w:tcBorders>
            <w:vMerge w:val="restart"/>
          </w:tcPr>
          <w:p>
            <w:pPr>
              <w:jc w:val="center"/>
              <w:ind w:left="569"/>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tcBorders>
              <w:top w:val="single" w:sz="8" w:color="2C2C2C"/>
            </w:tcBorders>
            <w:gridSpan w:val="2"/>
            <w:vMerge w:val="restart"/>
          </w:tcPr>
          <w:p>
            <w:pPr>
              <w:jc w:val="right"/>
              <w:ind w:right="459"/>
              <w:spacing w:after="0"/>
              <w:rPr>
                <w:sz w:val="20"/>
                <w:szCs w:val="20"/>
                <w:color w:val="auto"/>
              </w:rPr>
            </w:pPr>
            <w:r>
              <w:rPr>
                <w:rFonts w:ascii="Arial" w:cs="Arial" w:eastAsia="Arial" w:hAnsi="Arial"/>
                <w:sz w:val="18"/>
                <w:szCs w:val="18"/>
                <w:color w:val="0000FF"/>
              </w:rPr>
              <w:t>08/15/2017</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0"/>
              </w:rPr>
              <w:t>84,924</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60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10.98</w:t>
            </w: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w:t>
            </w:r>
          </w:p>
        </w:tc>
        <w:tc>
          <w:tcPr>
            <w:tcW w:w="940" w:type="dxa"/>
            <w:vAlign w:val="bottom"/>
            <w:tcBorders>
              <w:top w:val="single" w:sz="8" w:color="2C2C2C"/>
            </w:tcBorders>
            <w:vMerge w:val="restart"/>
          </w:tcPr>
          <w:p>
            <w:pPr>
              <w:jc w:val="center"/>
              <w:ind w:left="569"/>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tcBorders>
              <w:top w:val="single" w:sz="8" w:color="2C2C2C"/>
            </w:tcBorders>
            <w:gridSpan w:val="2"/>
            <w:vMerge w:val="restart"/>
          </w:tcPr>
          <w:p>
            <w:pPr>
              <w:jc w:val="right"/>
              <w:ind w:right="459"/>
              <w:spacing w:after="0"/>
              <w:rPr>
                <w:sz w:val="20"/>
                <w:szCs w:val="20"/>
                <w:color w:val="auto"/>
              </w:rPr>
            </w:pPr>
            <w:r>
              <w:rPr>
                <w:rFonts w:ascii="Arial" w:cs="Arial" w:eastAsia="Arial" w:hAnsi="Arial"/>
                <w:sz w:val="18"/>
                <w:szCs w:val="18"/>
                <w:color w:val="0000FF"/>
              </w:rPr>
              <w:t>08/15/2017</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9"/>
              </w:rPr>
              <w:t>496,023</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60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10.98</w:t>
            </w: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w:t>
            </w:r>
          </w:p>
        </w:tc>
        <w:tc>
          <w:tcPr>
            <w:tcW w:w="940" w:type="dxa"/>
            <w:vAlign w:val="bottom"/>
            <w:tcBorders>
              <w:top w:val="single" w:sz="8" w:color="2C2C2C"/>
            </w:tcBorders>
            <w:vMerge w:val="restart"/>
          </w:tcPr>
          <w:p>
            <w:pPr>
              <w:jc w:val="center"/>
              <w:ind w:left="569"/>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720" w:type="dxa"/>
            <w:vAlign w:val="bottom"/>
            <w:tcBorders>
              <w:top w:val="single" w:sz="8" w:color="2C2C2C"/>
            </w:tcBorders>
            <w:gridSpan w:val="2"/>
            <w:vMerge w:val="restart"/>
          </w:tcPr>
          <w:p>
            <w:pPr>
              <w:jc w:val="right"/>
              <w:ind w:right="459"/>
              <w:spacing w:after="0"/>
              <w:rPr>
                <w:sz w:val="20"/>
                <w:szCs w:val="20"/>
                <w:color w:val="auto"/>
              </w:rPr>
            </w:pPr>
            <w:r>
              <w:rPr>
                <w:rFonts w:ascii="Arial" w:cs="Arial" w:eastAsia="Arial" w:hAnsi="Arial"/>
                <w:sz w:val="18"/>
                <w:szCs w:val="18"/>
                <w:color w:val="0000FF"/>
              </w:rPr>
              <w:t>08/15/2017</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9"/>
              </w:rPr>
              <w:t>619,115</w:t>
            </w:r>
          </w:p>
        </w:tc>
        <w:tc>
          <w:tcPr>
            <w:tcW w:w="480" w:type="dxa"/>
            <w:vAlign w:val="bottom"/>
            <w:tcBorders>
              <w:top w:val="single" w:sz="8" w:color="2C2C2C"/>
            </w:tcBorders>
            <w:vMerge w:val="restart"/>
          </w:tcPr>
          <w:p>
            <w:pPr>
              <w:ind w:left="120"/>
              <w:spacing w:after="0"/>
              <w:rPr>
                <w:sz w:val="20"/>
                <w:szCs w:val="20"/>
                <w:color w:val="auto"/>
              </w:rPr>
            </w:pPr>
            <w:r>
              <w:rPr>
                <w:rFonts w:ascii="Arial" w:cs="Arial" w:eastAsia="Arial" w:hAnsi="Arial"/>
                <w:sz w:val="18"/>
                <w:szCs w:val="18"/>
                <w:color w:val="0000FF"/>
              </w:rPr>
              <w:t>D</w:t>
            </w:r>
          </w:p>
        </w:tc>
        <w:tc>
          <w:tcPr>
            <w:tcW w:w="60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10.98</w:t>
            </w:r>
          </w:p>
        </w:tc>
        <w:tc>
          <w:tcPr>
            <w:tcW w:w="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gridSpan w:val="2"/>
            <w:vMerge w:val="restart"/>
          </w:tcPr>
          <w:p>
            <w:pPr>
              <w:jc w:val="right"/>
              <w:ind w:right="159"/>
              <w:spacing w:after="0"/>
              <w:rPr>
                <w:sz w:val="20"/>
                <w:szCs w:val="20"/>
                <w:color w:val="auto"/>
              </w:rPr>
            </w:pPr>
            <w:r>
              <w:rPr>
                <w:rFonts w:ascii="Arial" w:cs="Arial" w:eastAsia="Arial" w:hAnsi="Arial"/>
                <w:sz w:val="18"/>
                <w:szCs w:val="18"/>
                <w:color w:val="0000FF"/>
              </w:rPr>
              <w:t>0</w:t>
            </w:r>
          </w:p>
        </w:tc>
        <w:tc>
          <w:tcPr>
            <w:tcW w:w="940" w:type="dxa"/>
            <w:vAlign w:val="bottom"/>
            <w:tcBorders>
              <w:top w:val="single" w:sz="8" w:color="2C2C2C"/>
            </w:tcBorders>
            <w:vMerge w:val="restart"/>
          </w:tcPr>
          <w:p>
            <w:pPr>
              <w:jc w:val="center"/>
              <w:ind w:left="569"/>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4"/>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2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jc w:val="right"/>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0" w:type="dxa"/>
            <w:vAlign w:val="bottom"/>
            <w:gridSpan w:val="13"/>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Conversion</w:t>
            </w:r>
          </w:p>
        </w:tc>
        <w:tc>
          <w:tcPr>
            <w:tcW w:w="12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LASRY MARC</w:t>
              </w:r>
            </w:hyperlink>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0000FF"/>
                <w:w w:val="97"/>
              </w:rPr>
              <w:t>C/O AVENUE CAPITAL MANAGEMENT II,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w w:val="94"/>
              </w:rPr>
              <w:t>399 PARK AVENUE, 6TH FLOOR</w:t>
            </w: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20" w:type="dxa"/>
            <w:vAlign w:val="bottom"/>
          </w:tcPr>
          <w:p>
            <w:pPr>
              <w:ind w:left="6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Avenue International Master,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16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166350"/>
                    </a:xfrm>
                    <a:prstGeom prst="rect">
                      <a:avLst/>
                    </a:prstGeom>
                    <a:noFill/>
                  </pic:spPr>
                </pic:pic>
              </a:graphicData>
            </a:graphic>
          </wp:anchor>
        </w:drawing>
      </w: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AVENUE INTERNATIONAL,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Avenue International Master GenPar,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Avenue Partners,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Avenue Capital Management II,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w w:val="99"/>
              </w:rPr>
              <w:t>399 PARK AVENUE, 6TH FLOOR</w:t>
            </w:r>
          </w:p>
        </w:tc>
        <w:tc>
          <w:tcPr>
            <w:tcW w:w="16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Avenue Capital Management II GenPar,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tcPr>
          <w:p>
            <w:pPr>
              <w:ind w:left="260"/>
              <w:spacing w:after="0"/>
              <w:rPr>
                <w:sz w:val="20"/>
                <w:szCs w:val="20"/>
                <w:color w:val="auto"/>
              </w:rPr>
            </w:pPr>
            <w:r>
              <w:rPr>
                <w:rFonts w:ascii="Arial" w:cs="Arial" w:eastAsia="Arial" w:hAnsi="Arial"/>
                <w:sz w:val="14"/>
                <w:szCs w:val="14"/>
                <w:color w:val="auto"/>
              </w:rPr>
              <w:t>(First)</w:t>
            </w:r>
          </w:p>
        </w:tc>
        <w:tc>
          <w:tcPr>
            <w:tcW w:w="160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w w:val="99"/>
              </w:rPr>
              <w:t>399 PARK AVENUE, 6TH FLOOR</w:t>
            </w:r>
          </w:p>
        </w:tc>
        <w:tc>
          <w:tcPr>
            <w:tcW w:w="16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firstLine="9"/>
        <w:spacing w:after="0" w:line="31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Avenue Global Opportunities GenPar, LLC ("Global GenPar"), Avenue International, Ltd. ("International Ltd."), Avenue International Master GenPar, Ltd. ("Avenue International GenPar"), Avenue Partners, LLC ("Avenue Partners"), Avenue Capital Partners IV, LLC ("Avenue Capital IV"), GL Partners IV, LLC ("GL IV"), Avenue Capital</w:t>
      </w:r>
    </w:p>
    <w:p>
      <w:pPr>
        <w:sectPr>
          <w:pgSz w:w="11900" w:h="16928" w:orient="portrait"/>
          <w:cols w:equalWidth="0" w:num="1">
            <w:col w:w="11140"/>
          </w:cols>
          <w:pgMar w:left="260" w:top="314" w:right="499" w:bottom="0" w:gutter="0" w:footer="0" w:header="0"/>
        </w:sectPr>
      </w:pPr>
    </w:p>
    <w:bookmarkStart w:id="2" w:name="page3"/>
    <w:bookmarkEnd w:id="2"/>
    <w:p>
      <w:pPr>
        <w:ind w:right="80"/>
        <w:spacing w:after="0" w:line="233" w:lineRule="auto"/>
        <w:rPr>
          <w:sz w:val="20"/>
          <w:szCs w:val="20"/>
          <w:color w:val="auto"/>
        </w:rPr>
      </w:pPr>
      <w:r>
        <w:rPr>
          <w:rFonts w:ascii="Arial" w:cs="Arial" w:eastAsia="Arial" w:hAnsi="Arial"/>
          <w:sz w:val="14"/>
          <w:szCs w:val="14"/>
          <w:color w:val="008000"/>
        </w:rPr>
        <w:t>Partners V, LLC ("Avenue Capital V"), GL Partners V, LLC ("GL V"), Avenue PPF Opportunities Fund GenPar, LLC ("Avenue PPF Opportunities GenPar"), Avenue Capital Management II, L.P. ("Avenue Capital Management II"), Avenue Capital Management II GenPar, LLC ("GenPar") or Marc Lasry ("Lasry") (the "Controlling Persons") is or was for the purposes of Section 16 of the Securities Exchange Act of 1934, as amended,</w:t>
      </w:r>
    </w:p>
    <w:p>
      <w:pPr>
        <w:spacing w:after="0" w:line="31" w:lineRule="exact"/>
        <w:rPr>
          <w:sz w:val="20"/>
          <w:szCs w:val="20"/>
          <w:color w:val="auto"/>
        </w:rPr>
      </w:pPr>
    </w:p>
    <w:p>
      <w:pPr>
        <w:jc w:val="both"/>
        <w:ind w:right="320"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(Continued from footnote 1) or otherwise the beneficial owner of any of the shares of common stock, par value $0.01 per share (the "Common Stock") directly held by Avenue International Master, L.P. ("Avenue International"), Avenue Investments, L.P. ("Avenue Investments"), Avenue-CDP Global Opportunities Fund, L.P. ("Avenue-CDP"), Avenue Special Situations Fund IV, L.P. ("Avenue Spec IV"), Avenue Special Situations Fund V, L.P. ("Avenue Spec V"), Avenue PPF Opportunities Fund, L.P. ("Avenue PPF Opportunities") and Avenue EnTrust Customized Portfolio SPC ("Avenue EnTrust SPC"). Pursuant to Rule 16a-1, the Controlling Persons disclaim beneficial ownership except to the extent of their pecuniary interest therein.</w:t>
      </w:r>
    </w:p>
    <w:p>
      <w:pPr>
        <w:spacing w:after="0" w:line="8" w:lineRule="exact"/>
        <w:rPr>
          <w:rFonts w:ascii="Arial" w:cs="Arial" w:eastAsia="Arial" w:hAnsi="Arial"/>
          <w:sz w:val="12"/>
          <w:szCs w:val="12"/>
          <w:color w:val="008000"/>
        </w:rPr>
      </w:pPr>
    </w:p>
    <w:p>
      <w:pPr>
        <w:ind w:right="20" w:firstLine="9"/>
        <w:spacing w:after="0" w:line="228"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shares of Common Stock were held directly by Avenue International. International Ltd. is the sole limited partner of Avenue International, Avenue International GenPar serves as the general partner of Avenue International and Avenue Partners is the sole shareholder of Avenue International GenPar. Avenue Capital Management II is an investment adviser to Avenue International. GenPar is the general partner of Avenue Capital Management II. Lasry is the managing member of Avenue Partners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32" w:lineRule="exact"/>
        <w:rPr>
          <w:rFonts w:ascii="Arial" w:cs="Arial" w:eastAsia="Arial" w:hAnsi="Arial"/>
          <w:sz w:val="14"/>
          <w:szCs w:val="14"/>
          <w:color w:val="008000"/>
        </w:rPr>
      </w:pPr>
    </w:p>
    <w:p>
      <w:pPr>
        <w:ind w:firstLine="9"/>
        <w:spacing w:after="0" w:line="228"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shares of Common Stock were held directly by Avenue PPF Opportunities. Avenue PPF Opportunities Fund GenPar, LLC, a Delaware limited liability company ("Avenue PPF Opportunities GenPar") is the general partner of Avenue PPF Opportunities. Avenue Capital Management II is an investment adviser to Avenue PPF Opportunities. Genpar is the general partner of Avenue Capital Management II. Lasry is the managing member of Avenue PPF Opportunities GenPar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interest in such amount.</w:t>
      </w:r>
    </w:p>
    <w:p>
      <w:pPr>
        <w:spacing w:after="0" w:line="32" w:lineRule="exact"/>
        <w:rPr>
          <w:rFonts w:ascii="Arial" w:cs="Arial" w:eastAsia="Arial" w:hAnsi="Arial"/>
          <w:sz w:val="14"/>
          <w:szCs w:val="14"/>
          <w:color w:val="008000"/>
        </w:rPr>
      </w:pPr>
    </w:p>
    <w:p>
      <w:pPr>
        <w:ind w:right="60" w:firstLine="9"/>
        <w:spacing w:after="0" w:line="230"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shares of Common Stock were held directly by Avenue EnTrust SPC. Avenue Capital Management II is an investment adviser to Avenue EnTrust SPC. Genpar is the general partner of Avenue Capital Management II. Lasry is the director of Avenue EnTrust SPC and the managing member of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31" w:lineRule="exact"/>
        <w:rPr>
          <w:rFonts w:ascii="Arial" w:cs="Arial" w:eastAsia="Arial" w:hAnsi="Arial"/>
          <w:sz w:val="14"/>
          <w:szCs w:val="14"/>
          <w:color w:val="008000"/>
        </w:rPr>
      </w:pPr>
    </w:p>
    <w:p>
      <w:pPr>
        <w:ind w:right="80" w:firstLine="9"/>
        <w:spacing w:after="0" w:line="230"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shares of Common Stock were held directly by Avenue Investments. Avenue Partners is the general partner of Avenue Investments. Avenue Capital Management II is an investment adviser to Avenue Investments. GenPar is the general partner of Avenue Capital Management II. Lasry is the managing member of Avenue Partners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31" w:lineRule="exact"/>
        <w:rPr>
          <w:rFonts w:ascii="Arial" w:cs="Arial" w:eastAsia="Arial" w:hAnsi="Arial"/>
          <w:sz w:val="14"/>
          <w:szCs w:val="14"/>
          <w:color w:val="008000"/>
        </w:rPr>
      </w:pPr>
    </w:p>
    <w:p>
      <w:pPr>
        <w:jc w:val="both"/>
        <w:ind w:right="100" w:firstLine="9"/>
        <w:spacing w:after="0" w:line="28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of Common Stock were held directly by Avenue-CDP. Global GenPar serves as the general partner of Avenue-CDP. Lasry is the managing member of Global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2" w:lineRule="exact"/>
        <w:rPr>
          <w:rFonts w:ascii="Arial" w:cs="Arial" w:eastAsia="Arial" w:hAnsi="Arial"/>
          <w:sz w:val="12"/>
          <w:szCs w:val="12"/>
          <w:color w:val="008000"/>
        </w:rPr>
      </w:pPr>
    </w:p>
    <w:p>
      <w:pPr>
        <w:ind w:right="40"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of Common Stock were held directly by Avenue Spec IV. Avenue Capital IV serves as the general partner of Avenue Spec IV, and GL IV is the managing member of Avenue Capital IV. Avenue Capital Management II is an investment adviser to Avenue Spec IV. Genpar is the general partner of Avenue Capital Management II. Lasry is the managing member of GL IV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8" w:lineRule="exact"/>
        <w:rPr>
          <w:rFonts w:ascii="Arial" w:cs="Arial" w:eastAsia="Arial" w:hAnsi="Arial"/>
          <w:sz w:val="12"/>
          <w:szCs w:val="12"/>
          <w:color w:val="008000"/>
        </w:rPr>
      </w:pPr>
    </w:p>
    <w:p>
      <w:pPr>
        <w:ind w:right="40"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of Common Stock were held directly by Avenue Spec V. Avenue Capital V serves as the general partner of Avenue Spec V, and GL V is the managing member of Avenue Capital V. Avenue Capital Management II is an investment adviser to Avenue Spec V. Genpar is the general partner of Avenue Capital Management II. Lasry is the managing member of GL V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008000"/>
        </w:rPr>
        <w:t>For purposes of Section 16 of the Securities Exchange Act of 1934, as amended, the reporting persons are deemed directors by deputization by virtue of their representation on the Board of Directors of the Issuer.</w:t>
      </w:r>
    </w:p>
    <w:p>
      <w:pPr>
        <w:sectPr>
          <w:pgSz w:w="11900" w:h="16838" w:orient="portrait"/>
          <w:cols w:equalWidth="0" w:num="1">
            <w:col w:w="11340"/>
          </w:cols>
          <w:pgMar w:left="280" w:top="129" w:right="27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6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Avenue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Master GenPar,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6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1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1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47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947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3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GenPar, Ltd.,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4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3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Partners,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81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7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 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63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II GenPar,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7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 GenPar, LLC,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96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4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08/17/2017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08/17/2017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40" w:space="80"/>
            <w:col w:w="2220"/>
          </w:cols>
          <w:pgMar w:left="280" w:top="129"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12" Type="http://schemas.openxmlformats.org/officeDocument/2006/relationships/hyperlink" Target="http://www.sec.gov/cgi-bin/browse-edgar?action=getcompany&amp;CIK=000125992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50166" TargetMode="External"/><Relationship Id="rId16" Type="http://schemas.openxmlformats.org/officeDocument/2006/relationships/hyperlink" Target="http://www.sec.gov/cgi-bin/browse-edgar?action=getcompany&amp;CIK=0001180908" TargetMode="External"/><Relationship Id="rId17" Type="http://schemas.openxmlformats.org/officeDocument/2006/relationships/hyperlink" Target="http://www.sec.gov/cgi-bin/browse-edgar?action=getcompany&amp;CIK=0001495478" TargetMode="External"/><Relationship Id="rId18" Type="http://schemas.openxmlformats.org/officeDocument/2006/relationships/hyperlink" Target="http://www.sec.gov/cgi-bin/browse-edgar?action=getcompany&amp;CIK=0001495476" TargetMode="External"/><Relationship Id="rId19" Type="http://schemas.openxmlformats.org/officeDocument/2006/relationships/hyperlink" Target="http://www.sec.gov/cgi-bin/browse-edgar?action=getcompany&amp;CIK=0001317338" TargetMode="External"/><Relationship Id="rId20" Type="http://schemas.openxmlformats.org/officeDocument/2006/relationships/hyperlink" Target="http://www.sec.gov/cgi-bin/browse-edgar?action=getcompany&amp;CIK=00013898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2019-12-23T15:52:55Z</dcterms:created>
  <dcterms:modified xsi:type="dcterms:W3CDTF">2019-12-23T15:52:55Z</dcterms:modified>
</cp:coreProperties>
</file>