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227330</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259080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236220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236220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tbl>
      <w:tblPr>
        <w:tblLayout w:type="fixed"/>
        <w:tblInd w:w="760" w:type="dxa"/>
        <w:tblCellMar>
          <w:top w:w="0" w:type="dxa"/>
          <w:left w:w="0" w:type="dxa"/>
          <w:bottom w:w="0" w:type="dxa"/>
          <w:right w:w="0" w:type="dxa"/>
        </w:tblCellMar>
      </w:tblPr>
      <w:tr>
        <w:trPr>
          <w:trHeight w:val="214"/>
        </w:trPr>
        <w:tc>
          <w:tcPr>
            <w:tcW w:w="3620" w:type="dxa"/>
            <w:vAlign w:val="bottom"/>
          </w:tcPr>
          <w:p>
            <w:pPr>
              <w:jc w:val="center"/>
              <w:ind w:right="182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001-34791</w:t>
            </w:r>
          </w:p>
        </w:tc>
        <w:tc>
          <w:tcPr>
            <w:tcW w:w="2280" w:type="dxa"/>
            <w:vAlign w:val="bottom"/>
          </w:tcPr>
          <w:p>
            <w:pPr>
              <w:jc w:val="center"/>
              <w:ind w:left="1041"/>
              <w:spacing w:after="0"/>
              <w:rPr>
                <w:sz w:val="20"/>
                <w:szCs w:val="20"/>
                <w:color w:val="auto"/>
              </w:rPr>
            </w:pPr>
            <w:r>
              <w:rPr>
                <w:rFonts w:ascii="Times New Roman" w:cs="Times New Roman" w:eastAsia="Times New Roman" w:hAnsi="Times New Roman"/>
                <w:sz w:val="18"/>
                <w:szCs w:val="18"/>
                <w:b w:val="1"/>
                <w:bCs w:val="1"/>
                <w:color w:val="auto"/>
              </w:rPr>
              <w:t>83-0406195</w:t>
            </w:r>
          </w:p>
        </w:tc>
        <w:tc>
          <w:tcPr>
            <w:tcW w:w="0" w:type="dxa"/>
            <w:vAlign w:val="bottom"/>
          </w:tcPr>
          <w:p>
            <w:pPr>
              <w:spacing w:after="0"/>
              <w:rPr>
                <w:sz w:val="1"/>
                <w:szCs w:val="1"/>
                <w:color w:val="auto"/>
              </w:rPr>
            </w:pPr>
          </w:p>
        </w:tc>
      </w:tr>
      <w:tr>
        <w:trPr>
          <w:trHeight w:val="148"/>
        </w:trPr>
        <w:tc>
          <w:tcPr>
            <w:tcW w:w="3620" w:type="dxa"/>
            <w:vAlign w:val="bottom"/>
          </w:tcPr>
          <w:p>
            <w:pPr>
              <w:jc w:val="center"/>
              <w:ind w:right="182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0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280" w:type="dxa"/>
            <w:vAlign w:val="bottom"/>
          </w:tcPr>
          <w:p>
            <w:pPr>
              <w:jc w:val="center"/>
              <w:ind w:left="10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620" w:type="dxa"/>
            <w:vAlign w:val="bottom"/>
          </w:tcPr>
          <w:p>
            <w:pPr>
              <w:jc w:val="center"/>
              <w:ind w:right="1825"/>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280" w:type="dxa"/>
            <w:vAlign w:val="bottom"/>
          </w:tcPr>
          <w:p>
            <w:pPr>
              <w:jc w:val="center"/>
              <w:ind w:left="104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04"/>
        </w:trPr>
        <w:tc>
          <w:tcPr>
            <w:tcW w:w="3620" w:type="dxa"/>
            <w:vAlign w:val="bottom"/>
          </w:tcPr>
          <w:p>
            <w:pPr>
              <w:jc w:val="center"/>
              <w:ind w:left="1225"/>
              <w:spacing w:after="0"/>
              <w:rPr>
                <w:sz w:val="20"/>
                <w:szCs w:val="20"/>
                <w:color w:val="auto"/>
              </w:rPr>
            </w:pPr>
            <w:r>
              <w:rPr>
                <w:rFonts w:ascii="Times New Roman" w:cs="Times New Roman" w:eastAsia="Times New Roman" w:hAnsi="Times New Roman"/>
                <w:sz w:val="14"/>
                <w:szCs w:val="14"/>
                <w:b w:val="1"/>
                <w:bCs w:val="1"/>
                <w:color w:val="auto"/>
              </w:rPr>
              <w:t>c/o Magnachip Semiconductor, Ltd.</w:t>
            </w:r>
          </w:p>
        </w:tc>
        <w:tc>
          <w:tcPr>
            <w:tcW w:w="20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640" w:type="dxa"/>
            <w:vAlign w:val="bottom"/>
            <w:gridSpan w:val="2"/>
          </w:tcPr>
          <w:p>
            <w:pPr>
              <w:jc w:val="center"/>
              <w:ind w:right="602"/>
              <w:spacing w:after="0" w:line="149" w:lineRule="exact"/>
              <w:rPr>
                <w:sz w:val="20"/>
                <w:szCs w:val="20"/>
                <w:color w:val="auto"/>
              </w:rPr>
            </w:pPr>
            <w:r>
              <w:rPr>
                <w:rFonts w:ascii="Times New Roman" w:cs="Times New Roman" w:eastAsia="Times New Roman" w:hAnsi="Times New Roman"/>
                <w:sz w:val="14"/>
                <w:szCs w:val="14"/>
                <w:b w:val="1"/>
                <w:bCs w:val="1"/>
                <w:color w:val="auto"/>
              </w:rPr>
              <w:t>15F, 76 Jikji-daero 436beon-gil, Heungdeok-gu</w:t>
            </w: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640" w:type="dxa"/>
            <w:vAlign w:val="bottom"/>
            <w:gridSpan w:val="2"/>
          </w:tcPr>
          <w:p>
            <w:pPr>
              <w:jc w:val="center"/>
              <w:ind w:right="602"/>
              <w:spacing w:after="0"/>
              <w:rPr>
                <w:sz w:val="20"/>
                <w:szCs w:val="20"/>
                <w:color w:val="auto"/>
              </w:rPr>
            </w:pPr>
            <w:r>
              <w:rPr>
                <w:rFonts w:ascii="Times New Roman" w:cs="Times New Roman" w:eastAsia="Times New Roman" w:hAnsi="Times New Roman"/>
                <w:sz w:val="14"/>
                <w:szCs w:val="14"/>
                <w:b w:val="1"/>
                <w:bCs w:val="1"/>
                <w:color w:val="auto"/>
              </w:rPr>
              <w:t>Cheongju-si, Chungcheongbuk-do, 28581, Republic of Korea</w:t>
            </w:r>
          </w:p>
        </w:tc>
        <w:tc>
          <w:tcPr>
            <w:tcW w:w="2280" w:type="dxa"/>
            <w:vAlign w:val="bottom"/>
            <w:vMerge w:val="restart"/>
          </w:tcPr>
          <w:p>
            <w:pPr>
              <w:jc w:val="center"/>
              <w:ind w:left="1041"/>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0" w:type="dxa"/>
            <w:vAlign w:val="bottom"/>
          </w:tcPr>
          <w:p>
            <w:pPr>
              <w:spacing w:after="0"/>
              <w:rPr>
                <w:sz w:val="1"/>
                <w:szCs w:val="1"/>
                <w:color w:val="auto"/>
              </w:rPr>
            </w:pPr>
          </w:p>
        </w:tc>
      </w:tr>
      <w:tr>
        <w:trPr>
          <w:trHeight w:val="93"/>
        </w:trPr>
        <w:tc>
          <w:tcPr>
            <w:tcW w:w="36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5640" w:type="dxa"/>
            <w:vAlign w:val="bottom"/>
            <w:gridSpan w:val="2"/>
          </w:tcPr>
          <w:p>
            <w:pPr>
              <w:jc w:val="center"/>
              <w:ind w:right="62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80" w:type="dxa"/>
            <w:vAlign w:val="bottom"/>
          </w:tcPr>
          <w:p>
            <w:pPr>
              <w:jc w:val="center"/>
              <w:ind w:left="10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1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+82 (2) 6903-3000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251460</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220" w:type="dxa"/>
        <w:tblCellMar>
          <w:top w:w="0" w:type="dxa"/>
          <w:left w:w="0" w:type="dxa"/>
          <w:bottom w:w="0" w:type="dxa"/>
          <w:right w:w="0" w:type="dxa"/>
        </w:tblCellMar>
      </w:tblPr>
      <w:tr>
        <w:trPr>
          <w:trHeight w:val="175"/>
        </w:trPr>
        <w:tc>
          <w:tcPr>
            <w:tcW w:w="3760" w:type="dxa"/>
            <w:vAlign w:val="bottom"/>
            <w:gridSpan w:val="3"/>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120" w:type="dxa"/>
            <w:vAlign w:val="bottom"/>
            <w:gridSpan w:val="3"/>
          </w:tcPr>
          <w:p>
            <w:pPr>
              <w:ind w:left="520"/>
              <w:spacing w:after="0"/>
              <w:rPr>
                <w:sz w:val="20"/>
                <w:szCs w:val="20"/>
                <w:color w:val="auto"/>
              </w:rPr>
            </w:pPr>
            <w:r>
              <w:rPr>
                <w:rFonts w:ascii="Times New Roman" w:cs="Times New Roman" w:eastAsia="Times New Roman" w:hAnsi="Times New Roman"/>
                <w:sz w:val="13"/>
                <w:szCs w:val="13"/>
                <w:b w:val="1"/>
                <w:bCs w:val="1"/>
                <w:color w:val="auto"/>
              </w:rPr>
              <w:t>Trading Symbol</w:t>
            </w:r>
          </w:p>
        </w:tc>
        <w:tc>
          <w:tcPr>
            <w:tcW w:w="3160" w:type="dxa"/>
            <w:vAlign w:val="bottom"/>
            <w:gridSpan w:val="3"/>
          </w:tcPr>
          <w:p>
            <w:pPr>
              <w:ind w:left="66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0"/>
        </w:trPr>
        <w:tc>
          <w:tcPr>
            <w:tcW w:w="1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37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540" w:type="dxa"/>
            <w:vAlign w:val="bottom"/>
          </w:tcPr>
          <w:p>
            <w:pPr>
              <w:spacing w:after="0"/>
              <w:rPr>
                <w:sz w:val="24"/>
                <w:szCs w:val="24"/>
                <w:color w:val="auto"/>
              </w:rPr>
            </w:pPr>
          </w:p>
        </w:tc>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MX</w:t>
            </w:r>
          </w:p>
        </w:tc>
        <w:tc>
          <w:tcPr>
            <w:tcW w:w="680" w:type="dxa"/>
            <w:vAlign w:val="bottom"/>
          </w:tcPr>
          <w:p>
            <w:pPr>
              <w:spacing w:after="0"/>
              <w:rPr>
                <w:sz w:val="24"/>
                <w:szCs w:val="24"/>
                <w:color w:val="auto"/>
              </w:rPr>
            </w:pPr>
          </w:p>
        </w:tc>
        <w:tc>
          <w:tcPr>
            <w:tcW w:w="24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New York Stock Exchange</w:t>
            </w:r>
          </w:p>
        </w:tc>
      </w:tr>
    </w:tbl>
    <w:p>
      <w:pPr>
        <w:spacing w:after="0" w:line="9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8" w:lineRule="exact"/>
        <w:rPr>
          <w:sz w:val="24"/>
          <w:szCs w:val="24"/>
          <w:color w:val="auto"/>
        </w:rPr>
      </w:pPr>
    </w:p>
    <w:p>
      <w:pPr>
        <w:ind w:right="3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655955</wp:posOffset>
            </wp:positionV>
            <wp:extent cx="703770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40"/>
          </w:cols>
          <w:pgMar w:left="1080" w:top="916" w:right="1179" w:bottom="1440" w:gutter="0" w:footer="0" w:header="0"/>
        </w:sectPr>
      </w:pPr>
    </w:p>
    <w:bookmarkStart w:id="1" w:name="page2"/>
    <w:bookmarkEnd w:id="1"/>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Attached hereto as Exhibit 99.1 and incorporated by reference herein is financial information for Magnachip Semiconductor Corporation and its consolidated subsidiaries for the third quarter ended September 30, 2026, as presented in a press release dated November 4, 2026.</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28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as part of this report:</w:t>
      </w:r>
    </w:p>
    <w:p>
      <w:pPr>
        <w:spacing w:after="0" w:line="24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640" w:type="dxa"/>
            <w:vAlign w:val="bottom"/>
          </w:tcPr>
          <w:p>
            <w:pPr>
              <w:jc w:val="center"/>
              <w:ind w:right="210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80" w:type="dxa"/>
            <w:vAlign w:val="bottom"/>
            <w:vMerge w:val="restart"/>
          </w:tcPr>
          <w:p>
            <w:pPr>
              <w:ind w:left="2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2640" w:type="dxa"/>
            <w:vAlign w:val="bottom"/>
          </w:tcPr>
          <w:p>
            <w:pPr>
              <w:jc w:val="center"/>
              <w:ind w:right="2108"/>
              <w:spacing w:after="0"/>
              <w:rPr>
                <w:sz w:val="20"/>
                <w:szCs w:val="20"/>
                <w:color w:val="auto"/>
              </w:rPr>
            </w:pPr>
            <w:r>
              <w:rPr>
                <w:rFonts w:ascii="Times New Roman" w:cs="Times New Roman" w:eastAsia="Times New Roman" w:hAnsi="Times New Roman"/>
                <w:sz w:val="14"/>
                <w:szCs w:val="14"/>
                <w:b w:val="1"/>
                <w:bCs w:val="1"/>
                <w:color w:val="auto"/>
              </w:rPr>
              <w:t>No.</w:t>
            </w:r>
          </w:p>
        </w:tc>
        <w:tc>
          <w:tcPr>
            <w:tcW w:w="2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42" w:lineRule="exact"/>
        <w:rPr>
          <w:sz w:val="20"/>
          <w:szCs w:val="20"/>
          <w:color w:val="auto"/>
        </w:rPr>
      </w:pPr>
    </w:p>
    <w:p>
      <w:pPr>
        <w:ind w:left="920" w:right="260" w:hanging="790"/>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for Magnachip Semiconductor Corporation dated November 4, 2026, announcing the results for the third quarter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-185420</wp:posOffset>
            </wp:positionV>
            <wp:extent cx="5438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3814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-48260</wp:posOffset>
            </wp:positionV>
            <wp:extent cx="15989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98930" cy="8255"/>
                    </a:xfrm>
                    <a:prstGeom prst="rect">
                      <a:avLst/>
                    </a:prstGeom>
                    <a:noFill/>
                  </pic:spPr>
                </pic:pic>
              </a:graphicData>
            </a:graphic>
          </wp:anchor>
        </w:drawing>
      </w:r>
    </w:p>
    <w:p>
      <w:pPr>
        <w:spacing w:after="0" w:line="74" w:lineRule="exact"/>
        <w:rPr>
          <w:sz w:val="20"/>
          <w:szCs w:val="20"/>
          <w:color w:val="auto"/>
        </w:rPr>
      </w:pPr>
    </w:p>
    <w:p>
      <w:pPr>
        <w:ind w:left="140"/>
        <w:spacing w:after="0"/>
        <w:tabs>
          <w:tab w:leader="none" w:pos="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827405</wp:posOffset>
            </wp:positionV>
            <wp:extent cx="70377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765" w:right="111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MAGNACHIP SEMICONDUCTOR CORPORATION</w:t>
      </w:r>
    </w:p>
    <w:p>
      <w:pPr>
        <w:spacing w:after="0" w:line="225" w:lineRule="exact"/>
        <w:rPr>
          <w:sz w:val="20"/>
          <w:szCs w:val="20"/>
          <w:color w:val="auto"/>
        </w:rPr>
      </w:pPr>
    </w:p>
    <w:p>
      <w:pPr>
        <w:spacing w:after="0"/>
        <w:tabs>
          <w:tab w:leader="none" w:pos="4720" w:val="left"/>
          <w:tab w:leader="none" w:pos="5140" w:val="left"/>
        </w:tabs>
        <w:rPr>
          <w:sz w:val="20"/>
          <w:szCs w:val="20"/>
          <w:color w:val="auto"/>
        </w:rPr>
      </w:pPr>
      <w:r>
        <w:rPr>
          <w:rFonts w:ascii="Times New Roman" w:cs="Times New Roman" w:eastAsia="Times New Roman" w:hAnsi="Times New Roman"/>
          <w:sz w:val="18"/>
          <w:szCs w:val="18"/>
          <w:color w:val="auto"/>
        </w:rPr>
        <w:t>Dated: November 4, 2026</w:t>
      </w:r>
      <w:r>
        <w:rPr>
          <w:sz w:val="20"/>
          <w:szCs w:val="20"/>
          <w:color w:val="auto"/>
        </w:rPr>
        <w:tab/>
      </w:r>
      <w:r>
        <w:rPr>
          <w:rFonts w:ascii="Times New Roman" w:cs="Times New Roman" w:eastAsia="Times New Roman" w:hAnsi="Times New Roman"/>
          <w:sz w:val="18"/>
          <w:szCs w:val="18"/>
          <w:color w:val="auto"/>
        </w:rPr>
        <w:t>By:</w:t>
        <w:tab/>
        <w:t>/s/ Shinyoung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3277235</wp:posOffset>
            </wp:positionH>
            <wp:positionV relativeFrom="paragraph">
              <wp:posOffset>26035</wp:posOffset>
            </wp:positionV>
            <wp:extent cx="28975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Shinyoung Park</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824865</wp:posOffset>
            </wp:positionV>
            <wp:extent cx="70377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520"/>
          </w:cols>
          <w:pgMar w:left="1080" w:top="765" w:right="1299" w:bottom="1440" w:gutter="0" w:footer="0" w:header="0"/>
        </w:sectPr>
      </w:pPr>
    </w:p>
    <w:bookmarkStart w:id="3" w:name="page4"/>
    <w:bookmarkEnd w:id="3"/>
    <w:p>
      <w:pPr>
        <w:ind w:left="898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593725</wp:posOffset>
            </wp:positionH>
            <wp:positionV relativeFrom="page">
              <wp:posOffset>406400</wp:posOffset>
            </wp:positionV>
            <wp:extent cx="2202815"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202815" cy="445770"/>
                    </a:xfrm>
                    <a:prstGeom prst="rect">
                      <a:avLst/>
                    </a:prstGeom>
                    <a:noFill/>
                  </pic:spPr>
                </pic:pic>
              </a:graphicData>
            </a:graphic>
          </wp:anchor>
        </w:drawing>
        <w:t>Exhibit 99.1</w:t>
      </w:r>
    </w:p>
    <w:p>
      <w:pPr>
        <w:sectPr>
          <w:pgSz w:w="11900" w:h="16838" w:orient="portrait"/>
          <w:cols w:equalWidth="0" w:num="1">
            <w:col w:w="10000"/>
          </w:cols>
          <w:pgMar w:left="940" w:top="1314"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Magnachip Reports Results for Third Quarter 2026</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Q3 Results Summary</w:t>
      </w:r>
    </w:p>
    <w:p>
      <w:pPr>
        <w:spacing w:after="0" w:line="31" w:lineRule="exact"/>
        <w:rPr>
          <w:sz w:val="20"/>
          <w:szCs w:val="20"/>
          <w:color w:val="auto"/>
        </w:rPr>
      </w:pPr>
    </w:p>
    <w:p>
      <w:pPr>
        <w:ind w:left="640" w:hanging="315"/>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from continuing operations (which includes Power Analog Solutions (“PAS”) and Power IC (“PIC”) businesses) was $44.0 million, within the guidance range of $41.5 million to $45.5 million.</w:t>
      </w:r>
    </w:p>
    <w:p>
      <w:pPr>
        <w:ind w:left="640" w:hanging="315"/>
        <w:spacing w:after="0" w:line="26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margin from continuing operations of 14.0% was below the guidance range of 17.0% to 19.0%, primarily due to unfavorable foreign exchange movements.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Highlights</w:t>
      </w:r>
    </w:p>
    <w:p>
      <w:pPr>
        <w:spacing w:after="0" w:line="31" w:lineRule="exact"/>
        <w:rPr>
          <w:sz w:val="20"/>
          <w:szCs w:val="20"/>
          <w:color w:val="auto"/>
        </w:rPr>
      </w:pPr>
    </w:p>
    <w:p>
      <w:pPr>
        <w:ind w:left="640" w:hanging="315"/>
        <w:spacing w:after="0" w:line="250"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a $5 million strategic equity investment by Navitas Semiconductor, further strengthening the companies' partnership to develop differentiated next-generation power semiconductor solutions.</w:t>
      </w:r>
    </w:p>
    <w:p>
      <w:pPr>
        <w:ind w:left="640" w:hanging="315"/>
        <w:spacing w:after="0" w:line="250"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15 new sixth-generation E6 Super-Junction MOSFETs targeting TVs, notebook adapters, PC power supplies and other consumer and industrial power applications.</w:t>
      </w:r>
    </w:p>
    <w:p>
      <w:pPr>
        <w:ind w:left="640" w:hanging="315"/>
        <w:spacing w:after="0" w:line="260"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execution of its new-generation power semiconductor roadmap, expanding its portfolio of products to strengthen competitiveness, increase profitability, and address new market opportunities.</w:t>
      </w: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SEOUL, South Korea, Nov. 4, 2026 </w:t>
      </w:r>
      <w:r>
        <w:rPr>
          <w:rFonts w:ascii="Times New Roman" w:cs="Times New Roman" w:eastAsia="Times New Roman" w:hAnsi="Times New Roman"/>
          <w:sz w:val="18"/>
          <w:szCs w:val="18"/>
          <w:color w:val="auto"/>
        </w:rPr>
        <w:t>– Magnachip Semiconductor Corporation (NYSE: MX) (“Magnachip” or the “Company”)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financial results for the third quarter 2026.</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headwinds to our near-term financial performance remain, I am encouraged by the progress we are making in transforming Magnachip,” said Chae Lee, Chief Executive Officer of Magnachip. “We have significantly accelerated new-generation product development, established a clear roadmap for differentiated solutions, and strengthened our strategic partnership with Navitas Semiconductor. Our objective is to move beyond competing primarily on price to delivering innovative power semiconductor solutions that address increasingly complex customer requirements. Although this transformation will take time, I believe we are building the foundation for stronger competitive positioning, sustainable growth and improved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1935480</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00"/>
          </w:cols>
          <w:pgMar w:left="940" w:top="1314" w:right="9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5626100</wp:posOffset>
            </wp:positionH>
            <wp:positionV relativeFrom="page">
              <wp:posOffset>406400</wp:posOffset>
            </wp:positionV>
            <wp:extent cx="132842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28420" cy="265430"/>
                    </a:xfrm>
                    <a:prstGeom prst="rect">
                      <a:avLst/>
                    </a:prstGeom>
                    <a:noFill/>
                  </pic:spPr>
                </pic:pic>
              </a:graphicData>
            </a:graphic>
          </wp:anchor>
        </w:drawing>
        <w:t>Q3 2026 Financial Highlights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2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In thousands of U.S. dollars, except per-share data</w:t>
            </w:r>
          </w:p>
        </w:tc>
      </w:tr>
      <w:tr>
        <w:trPr>
          <w:trHeight w:val="117"/>
        </w:trPr>
        <w:tc>
          <w:tcPr>
            <w:tcW w:w="424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100"/>
              <w:spacing w:after="0" w:line="117" w:lineRule="exact"/>
              <w:rPr>
                <w:sz w:val="20"/>
                <w:szCs w:val="20"/>
                <w:color w:val="auto"/>
              </w:rPr>
            </w:pPr>
            <w:r>
              <w:rPr>
                <w:rFonts w:ascii="Times New Roman" w:cs="Times New Roman" w:eastAsia="Times New Roman" w:hAnsi="Times New Roman"/>
                <w:sz w:val="13"/>
                <w:szCs w:val="13"/>
                <w:b w:val="1"/>
                <w:bCs w:val="1"/>
                <w:color w:val="auto"/>
              </w:rPr>
              <w:t>GAAP</w:t>
            </w:r>
          </w:p>
        </w:tc>
        <w:tc>
          <w:tcPr>
            <w:tcW w:w="10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1"/>
        </w:trPr>
        <w:tc>
          <w:tcPr>
            <w:tcW w:w="4240" w:type="dxa"/>
            <w:vAlign w:val="bottom"/>
          </w:tcPr>
          <w:p>
            <w:pPr>
              <w:spacing w:after="0"/>
              <w:rPr>
                <w:sz w:val="17"/>
                <w:szCs w:val="17"/>
                <w:color w:val="auto"/>
              </w:rPr>
            </w:pPr>
          </w:p>
        </w:tc>
        <w:tc>
          <w:tcPr>
            <w:tcW w:w="10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b w:val="1"/>
                <w:bCs w:val="1"/>
                <w:color w:val="auto"/>
              </w:rPr>
              <w:t>Q3 2026</w:t>
            </w:r>
          </w:p>
        </w:tc>
        <w:tc>
          <w:tcPr>
            <w:tcW w:w="120" w:type="dxa"/>
            <w:vAlign w:val="bottom"/>
          </w:tcPr>
          <w:p>
            <w:pPr>
              <w:spacing w:after="0"/>
              <w:rPr>
                <w:sz w:val="17"/>
                <w:szCs w:val="17"/>
                <w:color w:val="auto"/>
              </w:rPr>
            </w:pPr>
          </w:p>
        </w:tc>
        <w:tc>
          <w:tcPr>
            <w:tcW w:w="1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Q2 2026</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3"/>
                <w:szCs w:val="13"/>
                <w:b w:val="1"/>
                <w:bCs w:val="1"/>
                <w:color w:val="auto"/>
                <w:w w:val="99"/>
              </w:rPr>
              <w:t>Q/Q change</w:t>
            </w:r>
            <w:r>
              <w:rPr>
                <w:rFonts w:ascii="Times New Roman" w:cs="Times New Roman" w:eastAsia="Times New Roman" w:hAnsi="Times New Roman"/>
                <w:sz w:val="18"/>
                <w:szCs w:val="18"/>
                <w:b w:val="1"/>
                <w:bCs w:val="1"/>
                <w:color w:val="auto"/>
                <w:w w:val="99"/>
                <w:vertAlign w:val="superscript"/>
              </w:rPr>
              <w:t>(1)</w:t>
            </w:r>
          </w:p>
        </w:tc>
        <w:tc>
          <w:tcPr>
            <w:tcW w:w="100" w:type="dxa"/>
            <w:vAlign w:val="bottom"/>
          </w:tcPr>
          <w:p>
            <w:pPr>
              <w:spacing w:after="0"/>
              <w:rPr>
                <w:sz w:val="17"/>
                <w:szCs w:val="17"/>
                <w:color w:val="auto"/>
              </w:rPr>
            </w:pPr>
          </w:p>
        </w:tc>
        <w:tc>
          <w:tcPr>
            <w:tcW w:w="1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Q3 2025</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61"/>
              <w:spacing w:after="0" w:line="201" w:lineRule="exact"/>
              <w:rPr>
                <w:sz w:val="20"/>
                <w:szCs w:val="20"/>
                <w:color w:val="auto"/>
              </w:rPr>
            </w:pPr>
            <w:r>
              <w:rPr>
                <w:rFonts w:ascii="Times New Roman" w:cs="Times New Roman" w:eastAsia="Times New Roman" w:hAnsi="Times New Roman"/>
                <w:sz w:val="13"/>
                <w:szCs w:val="13"/>
                <w:b w:val="1"/>
                <w:bCs w:val="1"/>
                <w:color w:val="auto"/>
              </w:rPr>
              <w:t>Y/Y change</w:t>
            </w:r>
            <w:r>
              <w:rPr>
                <w:rFonts w:ascii="Times New Roman" w:cs="Times New Roman" w:eastAsia="Times New Roman" w:hAnsi="Times New Roman"/>
                <w:sz w:val="18"/>
                <w:szCs w:val="18"/>
                <w:b w:val="1"/>
                <w:bCs w:val="1"/>
                <w:color w:val="auto"/>
                <w:vertAlign w:val="superscript"/>
              </w:rPr>
              <w:t>(1)</w:t>
            </w:r>
          </w:p>
        </w:tc>
        <w:tc>
          <w:tcPr>
            <w:tcW w:w="20" w:type="dxa"/>
            <w:vAlign w:val="bottom"/>
          </w:tcPr>
          <w:p>
            <w:pPr>
              <w:spacing w:after="0"/>
              <w:rPr>
                <w:sz w:val="17"/>
                <w:szCs w:val="17"/>
                <w:color w:val="auto"/>
              </w:rPr>
            </w:pPr>
          </w:p>
        </w:tc>
      </w:tr>
      <w:tr>
        <w:trPr>
          <w:trHeight w:val="19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43,978</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44,704</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45,946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 w:type="dxa"/>
            <w:vAlign w:val="bottom"/>
          </w:tcPr>
          <w:p>
            <w:pPr>
              <w:spacing w:after="0"/>
              <w:rPr>
                <w:sz w:val="17"/>
                <w:szCs w:val="17"/>
                <w:color w:val="auto"/>
              </w:rPr>
            </w:pPr>
          </w:p>
        </w:tc>
      </w:tr>
      <w:tr>
        <w:trPr>
          <w:trHeight w:val="203"/>
        </w:trPr>
        <w:tc>
          <w:tcPr>
            <w:tcW w:w="4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Power Analog Solutions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39,636</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40,574</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41,548</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 w:type="dxa"/>
            <w:vAlign w:val="bottom"/>
          </w:tcPr>
          <w:p>
            <w:pPr>
              <w:spacing w:after="0"/>
              <w:rPr>
                <w:sz w:val="17"/>
                <w:szCs w:val="17"/>
                <w:color w:val="auto"/>
              </w:rPr>
            </w:pPr>
          </w:p>
        </w:tc>
      </w:tr>
      <w:tr>
        <w:trPr>
          <w:trHeight w:val="203"/>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Power IC</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4,342</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4,130</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4,398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7"/>
                <w:szCs w:val="17"/>
                <w:color w:val="auto"/>
              </w:rPr>
            </w:pPr>
          </w:p>
        </w:tc>
      </w:tr>
      <w:tr>
        <w:trPr>
          <w:trHeight w:val="203"/>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Gross Profit Margin</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14.0%</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19.3%</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−5.3 pp</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18.6%</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pp</w:t>
            </w:r>
          </w:p>
        </w:tc>
        <w:tc>
          <w:tcPr>
            <w:tcW w:w="20" w:type="dxa"/>
            <w:vAlign w:val="bottom"/>
          </w:tcPr>
          <w:p>
            <w:pPr>
              <w:spacing w:after="0"/>
              <w:rPr>
                <w:sz w:val="17"/>
                <w:szCs w:val="17"/>
                <w:color w:val="auto"/>
              </w:rPr>
            </w:pPr>
          </w:p>
        </w:tc>
      </w:tr>
      <w:tr>
        <w:trPr>
          <w:trHeight w:val="203"/>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Power Analog Solutions</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10.7%</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17.2%</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−6.5 pp</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pp</w:t>
            </w:r>
          </w:p>
        </w:tc>
        <w:tc>
          <w:tcPr>
            <w:tcW w:w="20" w:type="dxa"/>
            <w:vAlign w:val="bottom"/>
          </w:tcPr>
          <w:p>
            <w:pPr>
              <w:spacing w:after="0"/>
              <w:rPr>
                <w:sz w:val="17"/>
                <w:szCs w:val="17"/>
                <w:color w:val="auto"/>
              </w:rPr>
            </w:pPr>
          </w:p>
        </w:tc>
      </w:tr>
      <w:tr>
        <w:trPr>
          <w:trHeight w:val="203"/>
        </w:trPr>
        <w:tc>
          <w:tcPr>
            <w:tcW w:w="4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Power IC</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45.0%</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40.9%</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 pp</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43.2%</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pp</w:t>
            </w:r>
          </w:p>
        </w:tc>
        <w:tc>
          <w:tcPr>
            <w:tcW w:w="20" w:type="dxa"/>
            <w:vAlign w:val="bottom"/>
          </w:tcPr>
          <w:p>
            <w:pPr>
              <w:spacing w:after="0"/>
              <w:rPr>
                <w:sz w:val="17"/>
                <w:szCs w:val="17"/>
                <w:color w:val="auto"/>
              </w:rPr>
            </w:pPr>
          </w:p>
        </w:tc>
      </w:tr>
      <w:tr>
        <w:trPr>
          <w:trHeight w:val="20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(12,880)</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(9,976)</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−29.1%</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(11,538)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0" w:type="dxa"/>
            <w:vAlign w:val="bottom"/>
          </w:tcPr>
          <w:p>
            <w:pPr>
              <w:spacing w:after="0"/>
              <w:rPr>
                <w:sz w:val="17"/>
                <w:szCs w:val="17"/>
                <w:color w:val="auto"/>
              </w:rPr>
            </w:pPr>
          </w:p>
        </w:tc>
      </w:tr>
      <w:tr>
        <w:trPr>
          <w:trHeight w:val="203"/>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from Continuing Operations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(13,286)</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(7,601)</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−74.8%</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(10,609)</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20" w:type="dxa"/>
            <w:vAlign w:val="bottom"/>
          </w:tcPr>
          <w:p>
            <w:pPr>
              <w:spacing w:after="0"/>
              <w:rPr>
                <w:sz w:val="17"/>
                <w:szCs w:val="17"/>
                <w:color w:val="auto"/>
              </w:rPr>
            </w:pPr>
          </w:p>
        </w:tc>
      </w:tr>
      <w:tr>
        <w:trPr>
          <w:trHeight w:val="20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Basic Loss per Common Share</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(0.36)</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(0.21)</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−71.4%</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(0.29)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20" w:type="dxa"/>
            <w:vAlign w:val="bottom"/>
          </w:tcPr>
          <w:p>
            <w:pPr>
              <w:spacing w:after="0"/>
              <w:rPr>
                <w:sz w:val="17"/>
                <w:szCs w:val="17"/>
                <w:color w:val="auto"/>
              </w:rPr>
            </w:pPr>
          </w:p>
        </w:tc>
      </w:tr>
      <w:tr>
        <w:trPr>
          <w:trHeight w:val="212"/>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Diluted Loss per Common Share</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(0.36)</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(0.21)</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−71.4%</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(0.29)</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20" w:type="dxa"/>
            <w:vAlign w:val="bottom"/>
          </w:tcPr>
          <w:p>
            <w:pPr>
              <w:spacing w:after="0"/>
              <w:rPr>
                <w:sz w:val="18"/>
                <w:szCs w:val="18"/>
                <w:color w:val="auto"/>
              </w:rPr>
            </w:pPr>
          </w:p>
        </w:tc>
      </w:tr>
      <w:tr>
        <w:trPr>
          <w:trHeight w:val="262"/>
        </w:trPr>
        <w:tc>
          <w:tcPr>
            <w:tcW w:w="4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2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In thousands of U.S. dollars, except per-share data</w:t>
            </w:r>
          </w:p>
        </w:tc>
      </w:tr>
      <w:tr>
        <w:trPr>
          <w:trHeight w:val="176"/>
        </w:trPr>
        <w:tc>
          <w:tcPr>
            <w:tcW w:w="4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3"/>
                <w:szCs w:val="13"/>
                <w:b w:val="1"/>
                <w:bCs w:val="1"/>
                <w:color w:val="auto"/>
                <w:w w:val="99"/>
              </w:rPr>
              <w:t>Non-GAAP</w:t>
            </w:r>
            <w:r>
              <w:rPr>
                <w:rFonts w:ascii="Times New Roman" w:cs="Times New Roman" w:eastAsia="Times New Roman" w:hAnsi="Times New Roman"/>
                <w:sz w:val="18"/>
                <w:szCs w:val="18"/>
                <w:b w:val="1"/>
                <w:bCs w:val="1"/>
                <w:color w:val="auto"/>
                <w:w w:val="99"/>
                <w:vertAlign w:val="superscript"/>
              </w:rPr>
              <w:t>(2)</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1"/>
        </w:trPr>
        <w:tc>
          <w:tcPr>
            <w:tcW w:w="4240" w:type="dxa"/>
            <w:vAlign w:val="bottom"/>
          </w:tcPr>
          <w:p>
            <w:pPr>
              <w:spacing w:after="0"/>
              <w:rPr>
                <w:sz w:val="17"/>
                <w:szCs w:val="17"/>
                <w:color w:val="auto"/>
              </w:rPr>
            </w:pPr>
          </w:p>
        </w:tc>
        <w:tc>
          <w:tcPr>
            <w:tcW w:w="10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b w:val="1"/>
                <w:bCs w:val="1"/>
                <w:color w:val="auto"/>
              </w:rPr>
              <w:t>Q3 2026</w:t>
            </w:r>
          </w:p>
        </w:tc>
        <w:tc>
          <w:tcPr>
            <w:tcW w:w="120" w:type="dxa"/>
            <w:vAlign w:val="bottom"/>
          </w:tcPr>
          <w:p>
            <w:pPr>
              <w:spacing w:after="0"/>
              <w:rPr>
                <w:sz w:val="17"/>
                <w:szCs w:val="17"/>
                <w:color w:val="auto"/>
              </w:rPr>
            </w:pPr>
          </w:p>
        </w:tc>
        <w:tc>
          <w:tcPr>
            <w:tcW w:w="1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Q2 2026</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3"/>
                <w:szCs w:val="13"/>
                <w:b w:val="1"/>
                <w:bCs w:val="1"/>
                <w:color w:val="auto"/>
                <w:w w:val="99"/>
              </w:rPr>
              <w:t>Q/Q change</w:t>
            </w:r>
            <w:r>
              <w:rPr>
                <w:rFonts w:ascii="Times New Roman" w:cs="Times New Roman" w:eastAsia="Times New Roman" w:hAnsi="Times New Roman"/>
                <w:sz w:val="18"/>
                <w:szCs w:val="18"/>
                <w:b w:val="1"/>
                <w:bCs w:val="1"/>
                <w:color w:val="auto"/>
                <w:w w:val="99"/>
                <w:vertAlign w:val="superscript"/>
              </w:rPr>
              <w:t>(1)</w:t>
            </w:r>
          </w:p>
        </w:tc>
        <w:tc>
          <w:tcPr>
            <w:tcW w:w="100" w:type="dxa"/>
            <w:vAlign w:val="bottom"/>
          </w:tcPr>
          <w:p>
            <w:pPr>
              <w:spacing w:after="0"/>
              <w:rPr>
                <w:sz w:val="17"/>
                <w:szCs w:val="17"/>
                <w:color w:val="auto"/>
              </w:rPr>
            </w:pPr>
          </w:p>
        </w:tc>
        <w:tc>
          <w:tcPr>
            <w:tcW w:w="1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Q3 2025</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61"/>
              <w:spacing w:after="0" w:line="201" w:lineRule="exact"/>
              <w:rPr>
                <w:sz w:val="20"/>
                <w:szCs w:val="20"/>
                <w:color w:val="auto"/>
              </w:rPr>
            </w:pPr>
            <w:r>
              <w:rPr>
                <w:rFonts w:ascii="Times New Roman" w:cs="Times New Roman" w:eastAsia="Times New Roman" w:hAnsi="Times New Roman"/>
                <w:sz w:val="13"/>
                <w:szCs w:val="13"/>
                <w:b w:val="1"/>
                <w:bCs w:val="1"/>
                <w:color w:val="auto"/>
              </w:rPr>
              <w:t>Y/Y change</w:t>
            </w:r>
            <w:r>
              <w:rPr>
                <w:rFonts w:ascii="Times New Roman" w:cs="Times New Roman" w:eastAsia="Times New Roman" w:hAnsi="Times New Roman"/>
                <w:sz w:val="18"/>
                <w:szCs w:val="18"/>
                <w:b w:val="1"/>
                <w:bCs w:val="1"/>
                <w:color w:val="auto"/>
                <w:vertAlign w:val="superscript"/>
              </w:rPr>
              <w:t>(1)</w:t>
            </w:r>
          </w:p>
        </w:tc>
        <w:tc>
          <w:tcPr>
            <w:tcW w:w="20" w:type="dxa"/>
            <w:vAlign w:val="bottom"/>
          </w:tcPr>
          <w:p>
            <w:pPr>
              <w:spacing w:after="0"/>
              <w:rPr>
                <w:sz w:val="17"/>
                <w:szCs w:val="17"/>
                <w:color w:val="auto"/>
              </w:rPr>
            </w:pPr>
          </w:p>
        </w:tc>
      </w:tr>
      <w:tr>
        <w:trPr>
          <w:trHeight w:val="19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Operating Loss</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(8,593)</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(6,976)</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auto"/>
              </w:rPr>
              <w:t>23.2%</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(7,421)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auto"/>
              </w:rPr>
              <w:t>15.8%</w:t>
            </w:r>
          </w:p>
        </w:tc>
        <w:tc>
          <w:tcPr>
            <w:tcW w:w="20" w:type="dxa"/>
            <w:vAlign w:val="bottom"/>
          </w:tcPr>
          <w:p>
            <w:pPr>
              <w:spacing w:after="0"/>
              <w:rPr>
                <w:sz w:val="17"/>
                <w:szCs w:val="17"/>
                <w:color w:val="auto"/>
              </w:rPr>
            </w:pPr>
          </w:p>
        </w:tc>
      </w:tr>
      <w:tr>
        <w:trPr>
          <w:trHeight w:val="203"/>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(3,496)</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(4,219)</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+17.1%</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(3,964)</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0" w:type="dxa"/>
            <w:vAlign w:val="bottom"/>
          </w:tcPr>
          <w:p>
            <w:pPr>
              <w:spacing w:after="0"/>
              <w:rPr>
                <w:sz w:val="17"/>
                <w:szCs w:val="17"/>
                <w:color w:val="auto"/>
              </w:rPr>
            </w:pPr>
          </w:p>
        </w:tc>
      </w:tr>
      <w:tr>
        <w:trPr>
          <w:trHeight w:val="20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Loss</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(10,732)</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(4,901)</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−119.0%</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20" w:type="dxa"/>
            <w:vAlign w:val="bottom"/>
          </w:tcPr>
          <w:p>
            <w:pPr>
              <w:spacing w:after="0"/>
              <w:rPr>
                <w:sz w:val="17"/>
                <w:szCs w:val="17"/>
                <w:color w:val="auto"/>
              </w:rPr>
            </w:pPr>
          </w:p>
        </w:tc>
      </w:tr>
      <w:tr>
        <w:trPr>
          <w:trHeight w:val="212"/>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Loss per Common Share—Diluted</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(0.29)</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(0.13)</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−123.1%</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(0.01)</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-2345690</wp:posOffset>
            </wp:positionV>
            <wp:extent cx="36518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51885" cy="8890"/>
                    </a:xfrm>
                    <a:prstGeom prst="rect">
                      <a:avLst/>
                    </a:prstGeom>
                    <a:noFill/>
                  </pic:spPr>
                </pic:pic>
              </a:graphicData>
            </a:graphic>
          </wp:anchor>
        </w:drawing>
        <w:drawing>
          <wp:anchor simplePos="0" relativeHeight="251657728" behindDoc="1" locked="0" layoutInCell="0" allowOverlap="1">
            <wp:simplePos x="0" y="0"/>
            <wp:positionH relativeFrom="column">
              <wp:posOffset>3383280</wp:posOffset>
            </wp:positionH>
            <wp:positionV relativeFrom="paragraph">
              <wp:posOffset>-2237105</wp:posOffset>
            </wp:positionV>
            <wp:extent cx="6858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-2237105</wp:posOffset>
            </wp:positionV>
            <wp:extent cx="5969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11430"/>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-2237105</wp:posOffset>
            </wp:positionV>
            <wp:extent cx="60325"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1143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-2237105</wp:posOffset>
            </wp:positionV>
            <wp:extent cx="60325"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11430"/>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-751205</wp:posOffset>
            </wp:positionV>
            <wp:extent cx="36518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51885" cy="8890"/>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-640080</wp:posOffset>
            </wp:positionV>
            <wp:extent cx="36518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NM = Not Meaningful.</w:t>
      </w:r>
    </w:p>
    <w:p>
      <w:pPr>
        <w:spacing w:after="0" w:line="129" w:lineRule="exact"/>
        <w:rPr>
          <w:sz w:val="20"/>
          <w:szCs w:val="20"/>
          <w:color w:val="auto"/>
        </w:rPr>
      </w:pPr>
    </w:p>
    <w:p>
      <w:pPr>
        <w:ind w:left="320" w:hanging="319"/>
        <w:spacing w:after="0" w:line="269" w:lineRule="auto"/>
        <w:tabs>
          <w:tab w:leader="none" w:pos="3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financial metrics presented as negative amounts, negative percentage changes indicate a deterioration in financial performance, while positive percentage changes indicate an improvement.</w:t>
      </w:r>
    </w:p>
    <w:p>
      <w:pPr>
        <w:jc w:val="both"/>
        <w:ind w:left="320" w:hanging="319"/>
        <w:spacing w:after="0" w:line="270" w:lineRule="auto"/>
        <w:tabs>
          <w:tab w:leader="none" w:pos="3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believes that non-GAAP financial measures, when viewed in conjunction with GAAP results, can provide a meaningful understanding of the factors and trends affecting our business and operations and assist in evaluating our core operating performance. However, such non-GAAP financial measures have limitations and should not be considered as a substitute for net loss or as a better indicator of our operating performance than measures that are presented in accordance with GAAP. Reconciliations of non-GAAP financial measures to their most directly comparable GAAP measures are included in this press release.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Q4 2026 Financial Guidance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actual results may vary, Magnachip currently expects the following:</w:t>
      </w:r>
    </w:p>
    <w:p>
      <w:pPr>
        <w:spacing w:after="0" w:line="207" w:lineRule="exact"/>
        <w:rPr>
          <w:sz w:val="20"/>
          <w:szCs w:val="20"/>
          <w:color w:val="auto"/>
        </w:rPr>
      </w:pPr>
    </w:p>
    <w:p>
      <w:pPr>
        <w:jc w:val="both"/>
        <w:ind w:left="640" w:hanging="315"/>
        <w:spacing w:after="0" w:line="255"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from continuing operations (which includes Power Analog Solutions and Power IC businesses) to be in the range of $41.0 million to $45.0 million reflecting the typical seasonal softness in the fourth quarter. At the midpoint, this represents a decrease of 2.2% sequentially and an increase of 6.0% year-over-year, compared with $44.0 million in Q3 2026 and $40.6 million in Q4 2025.</w:t>
      </w:r>
    </w:p>
    <w:p>
      <w:pPr>
        <w:spacing w:after="0" w:line="2" w:lineRule="exact"/>
        <w:rPr>
          <w:rFonts w:ascii="Times New Roman" w:cs="Times New Roman" w:eastAsia="Times New Roman" w:hAnsi="Times New Roman"/>
          <w:sz w:val="18"/>
          <w:szCs w:val="18"/>
          <w:color w:val="auto"/>
        </w:rPr>
      </w:pPr>
    </w:p>
    <w:p>
      <w:pPr>
        <w:jc w:val="both"/>
        <w:ind w:left="640" w:hanging="315"/>
        <w:spacing w:after="0" w:line="255"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margin from continuing operations to be in the range of 10% to 12%, compared with 14.0% in Q3 2026 and 9.3% in Q4 2025. The sequential decline is primarily due to lower utilization resulting from a power shutdown in the fab due to a substation upgrade and appreciation of Korean Won.</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“Third quarter revenue was within our guidance range, although gross profit margin was below our expectations, primarily due to unfavorable foreign exchange movements,” said Shinyoung Park, Chief Financial Officer of Magnachip. “Looking at next quarter, despite headwinds on legacy products, foreign exchange volatility and the impact of the recently completed electrical substation upgrade, we remain focused on managing costs and maintaining the financial flexibility necessary to support our strategic transformation. With approximately $87 million in cash at quarter-end, we believe we are well-positioned to continue investing selectively in the technologies and products that will drive our long-term competitiveness.”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Q3 2026 Earnings Conference Call</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Magnachip will host a corresponding conference call at 2:00 p.m. PT / 5:00 p.m. ET on Wednesday, Nov. 4, 2026, to discuss its financial results. In advance of the conference call, all participants must use the following link to complete the online registration process. Upon registering, each participant will receive access details for this event including the dial-in numbers, a PIN number, and an e-mail with detailed instructions to join the conference call. A live and archived webcast of the conference call and a copy of the earnings release will be accessible from the ‘Investors’ section of the Company’s website at https://www.magnachip.com/.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700405</wp:posOffset>
            </wp:positionV>
            <wp:extent cx="70377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00"/>
          </w:cols>
          <w:pgMar w:left="940" w:top="1359" w:right="9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5626100</wp:posOffset>
            </wp:positionH>
            <wp:positionV relativeFrom="page">
              <wp:posOffset>405765</wp:posOffset>
            </wp:positionV>
            <wp:extent cx="132842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328420" cy="265430"/>
                    </a:xfrm>
                    <a:prstGeom prst="rect">
                      <a:avLst/>
                    </a:prstGeom>
                    <a:noFill/>
                  </pic:spPr>
                </pic:pic>
              </a:graphicData>
            </a:graphic>
          </wp:anchor>
        </w:drawing>
        <w:t>Online registration: https://register-conf.media-server.com/register/BIb7bc88dc0e614425b5ba968a42e2ba5c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Information in this press release regarding Magnachip’s forecasts, business outlook, expectations and beliefs are forward-looking statements within the meaning of the Private Securities Litigation Reform Act of 1995 that involve risks and uncertainties. These statements include expectations regarding our financial performance and business outlook, including fourth quarter 2026 revenue and gross profit margin, future growth and revenue opportunities, strategic relationships, product development and commercialization, and other future events. All forward-looking statements included in this release are based upon information available to Magnachip as of the date of this release. These statements are not guarantees of future performance and actual results could differ materially from our current expectations. Factors that could cause or contribute to such differences include, among others: changes in macroeconomic conditions, trade policies, geopolitical conditions and market conditions; manufacturing capacity constraints, supply chain disruptions and changes in customer demand; the impact of competitive products and pricing; our ability to establish, maintain and expand strategic relationships with customers and business partners, and to realize the anticipated benefits of those relationships; customer acceptance of our products and technologies; our ability to develop, introduce and ramp new products into volume production; changes in semiconductor industry supply and demand, including overcapacity and manufacturing utilization; financial stability in foreign markets and the impact of foreign exchange rates; unanticipated costs and expenses; changes in, or compliance with, applicable trade, export and other laws and regulations; public health issues; the effects of the electrical substation upgrade at our Gumi fabrication facility, including on fab utilization and yields; other business interruptions; and other risks described in Magnachip's filings with the SEC, including our Annual Report on Form 10-K filed on March 16, 2026 and our subsequent Quarterly Reports on Form 10-Q. Magnachip assumes no obligation and does not intend to update the forward-looking statements provided, whether as a result of new information, future events or otherwise.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Magnachip Semiconductor</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Magnachip is a designer and manufacturer of analog and mixed-signal power semiconductor platform solutions for various applications, including industrial, automotive, communication, consumer and computing. The Company provides a broad range of standard products to customers worldwide. Magnachip, with about 45 years of operating history, owns a substantial number of registered patents and pending applications, and has extensive engineering, design and manufacturing process expertise. For more information, please visit www.magnachip.com.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Bishop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Bishop IR,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(415) 891-9633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mike@bishopir.com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850265</wp:posOffset>
            </wp:positionV>
            <wp:extent cx="70377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00"/>
          </w:cols>
          <w:pgMar w:left="940" w:top="1377" w:right="9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5626100</wp:posOffset>
            </wp:positionH>
            <wp:positionV relativeFrom="page">
              <wp:posOffset>405765</wp:posOffset>
            </wp:positionV>
            <wp:extent cx="1328420"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28420" cy="265430"/>
                    </a:xfrm>
                    <a:prstGeom prst="rect">
                      <a:avLst/>
                    </a:prstGeom>
                    <a:noFill/>
                  </pic:spPr>
                </pic:pic>
              </a:graphicData>
            </a:graphic>
          </wp:anchor>
        </w:drawing>
        <w:t>MAGNACHIP SEMICONDUCTOR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U.S. dollars, except share data)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20" w:type="dxa"/>
            <w:vAlign w:val="bottom"/>
            <w:gridSpan w:val="5"/>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Three Months Ended</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08"/>
        </w:trPr>
        <w:tc>
          <w:tcPr>
            <w:tcW w:w="5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880" w:type="dxa"/>
            <w:vAlign w:val="bottom"/>
            <w:tcBorders>
              <w:top w:val="single" w:sz="8" w:color="auto"/>
            </w:tcBorders>
            <w:gridSpan w:val="2"/>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jc w:val="center"/>
              <w:ind w:right="340"/>
              <w:spacing w:after="0" w:line="109" w:lineRule="exact"/>
              <w:rPr>
                <w:sz w:val="20"/>
                <w:szCs w:val="20"/>
                <w:color w:val="auto"/>
              </w:rPr>
            </w:pPr>
            <w:r>
              <w:rPr>
                <w:rFonts w:ascii="Times New Roman" w:cs="Times New Roman" w:eastAsia="Times New Roman" w:hAnsi="Times New Roman"/>
                <w:sz w:val="12"/>
                <w:szCs w:val="12"/>
                <w:b w:val="1"/>
                <w:bCs w:val="1"/>
                <w:color w:val="auto"/>
              </w:rPr>
              <w:t>June 30,</w:t>
            </w:r>
          </w:p>
        </w:tc>
        <w:tc>
          <w:tcPr>
            <w:tcW w:w="960" w:type="dxa"/>
            <w:vAlign w:val="bottom"/>
            <w:tcBorders>
              <w:top w:val="single" w:sz="8" w:color="auto"/>
            </w:tcBorders>
            <w:gridSpan w:val="2"/>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100" w:type="dxa"/>
            <w:vAlign w:val="bottom"/>
          </w:tcPr>
          <w:p>
            <w:pPr>
              <w:spacing w:after="0"/>
              <w:rPr>
                <w:sz w:val="9"/>
                <w:szCs w:val="9"/>
                <w:color w:val="auto"/>
              </w:rPr>
            </w:pPr>
          </w:p>
        </w:tc>
        <w:tc>
          <w:tcPr>
            <w:tcW w:w="980" w:type="dxa"/>
            <w:vAlign w:val="bottom"/>
            <w:tcBorders>
              <w:top w:val="single" w:sz="8" w:color="auto"/>
            </w:tcBorders>
            <w:gridSpan w:val="2"/>
          </w:tcPr>
          <w:p>
            <w:pPr>
              <w:jc w:val="right"/>
              <w:ind w:right="104"/>
              <w:spacing w:after="0" w:line="109"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2"/>
          </w:tcPr>
          <w:p>
            <w:pPr>
              <w:jc w:val="right"/>
              <w:ind w:right="104"/>
              <w:spacing w:after="0" w:line="109"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520" w:type="dxa"/>
            <w:vAlign w:val="bottom"/>
          </w:tcPr>
          <w:p>
            <w:pPr>
              <w:spacing w:after="0"/>
              <w:rPr>
                <w:sz w:val="9"/>
                <w:szCs w:val="9"/>
                <w:color w:val="auto"/>
              </w:rPr>
            </w:pPr>
          </w:p>
        </w:tc>
      </w:tr>
      <w:tr>
        <w:trPr>
          <w:trHeight w:val="155"/>
        </w:trPr>
        <w:tc>
          <w:tcPr>
            <w:tcW w:w="5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85"/>
              <w:spacing w:after="0"/>
              <w:rPr>
                <w:sz w:val="20"/>
                <w:szCs w:val="20"/>
                <w:color w:val="auto"/>
              </w:rPr>
            </w:pPr>
            <w:r>
              <w:rPr>
                <w:rFonts w:ascii="Times New Roman" w:cs="Times New Roman" w:eastAsia="Times New Roman" w:hAnsi="Times New Roman"/>
                <w:sz w:val="13"/>
                <w:szCs w:val="13"/>
                <w:b w:val="1"/>
                <w:bCs w:val="1"/>
                <w:color w:val="auto"/>
                <w:w w:val="92"/>
              </w:rPr>
              <w:t>2026</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Pr>
          <w:p>
            <w:pPr>
              <w:spacing w:after="0"/>
              <w:rPr>
                <w:sz w:val="13"/>
                <w:szCs w:val="13"/>
                <w:color w:val="auto"/>
              </w:rPr>
            </w:pPr>
          </w:p>
        </w:tc>
      </w:tr>
      <w:tr>
        <w:trPr>
          <w:trHeight w:val="155"/>
        </w:trPr>
        <w:tc>
          <w:tcPr>
            <w:tcW w:w="520" w:type="dxa"/>
            <w:vAlign w:val="bottom"/>
          </w:tcPr>
          <w:p>
            <w:pPr>
              <w:spacing w:after="0"/>
              <w:rPr>
                <w:sz w:val="13"/>
                <w:szCs w:val="13"/>
                <w:color w:val="auto"/>
              </w:rPr>
            </w:pPr>
          </w:p>
        </w:tc>
        <w:tc>
          <w:tcPr>
            <w:tcW w:w="48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Net sales</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43,978</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85"/>
              <w:spacing w:after="0" w:line="156" w:lineRule="exact"/>
              <w:rPr>
                <w:sz w:val="20"/>
                <w:szCs w:val="20"/>
                <w:color w:val="auto"/>
              </w:rPr>
            </w:pPr>
            <w:r>
              <w:rPr>
                <w:rFonts w:ascii="Times New Roman" w:cs="Times New Roman" w:eastAsia="Times New Roman" w:hAnsi="Times New Roman"/>
                <w:sz w:val="15"/>
                <w:szCs w:val="15"/>
                <w:color w:val="auto"/>
              </w:rPr>
              <w:t>44,704</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45,946</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134,890</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138,290</w:t>
            </w:r>
          </w:p>
        </w:tc>
        <w:tc>
          <w:tcPr>
            <w:tcW w:w="520" w:type="dxa"/>
            <w:vAlign w:val="bottom"/>
          </w:tcPr>
          <w:p>
            <w:pPr>
              <w:spacing w:after="0"/>
              <w:rPr>
                <w:sz w:val="13"/>
                <w:szCs w:val="13"/>
                <w:color w:val="auto"/>
              </w:rPr>
            </w:pPr>
          </w:p>
        </w:tc>
      </w:tr>
      <w:tr>
        <w:trPr>
          <w:trHeight w:val="162"/>
        </w:trPr>
        <w:tc>
          <w:tcPr>
            <w:tcW w:w="520" w:type="dxa"/>
            <w:vAlign w:val="bottom"/>
          </w:tcPr>
          <w:p>
            <w:pPr>
              <w:spacing w:after="0"/>
              <w:rPr>
                <w:sz w:val="14"/>
                <w:szCs w:val="14"/>
                <w:color w:val="auto"/>
              </w:rPr>
            </w:pPr>
          </w:p>
        </w:tc>
        <w:tc>
          <w:tcPr>
            <w:tcW w:w="4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Cost of sales</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37,801</w:t>
            </w: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5"/>
              <w:spacing w:after="0" w:line="162" w:lineRule="exact"/>
              <w:rPr>
                <w:sz w:val="20"/>
                <w:szCs w:val="20"/>
                <w:color w:val="auto"/>
              </w:rPr>
            </w:pPr>
            <w:r>
              <w:rPr>
                <w:rFonts w:ascii="Times New Roman" w:cs="Times New Roman" w:eastAsia="Times New Roman" w:hAnsi="Times New Roman"/>
                <w:sz w:val="15"/>
                <w:szCs w:val="15"/>
                <w:color w:val="auto"/>
              </w:rPr>
              <w:t>36,056</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37,405</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112,871</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110,675</w:t>
            </w:r>
          </w:p>
        </w:tc>
        <w:tc>
          <w:tcPr>
            <w:tcW w:w="520" w:type="dxa"/>
            <w:vAlign w:val="bottom"/>
          </w:tcPr>
          <w:p>
            <w:pPr>
              <w:spacing w:after="0"/>
              <w:rPr>
                <w:sz w:val="14"/>
                <w:szCs w:val="14"/>
                <w:color w:val="auto"/>
              </w:rPr>
            </w:pPr>
          </w:p>
        </w:tc>
      </w:tr>
      <w:tr>
        <w:trPr>
          <w:trHeight w:val="155"/>
        </w:trPr>
        <w:tc>
          <w:tcPr>
            <w:tcW w:w="520" w:type="dxa"/>
            <w:vAlign w:val="bottom"/>
          </w:tcPr>
          <w:p>
            <w:pPr>
              <w:spacing w:after="0"/>
              <w:rPr>
                <w:sz w:val="13"/>
                <w:szCs w:val="13"/>
                <w:color w:val="auto"/>
              </w:rPr>
            </w:pPr>
          </w:p>
        </w:tc>
        <w:tc>
          <w:tcPr>
            <w:tcW w:w="480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Gross profit</w:t>
            </w:r>
          </w:p>
        </w:tc>
        <w:tc>
          <w:tcPr>
            <w:tcW w:w="10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6,177</w:t>
            </w:r>
          </w:p>
        </w:tc>
        <w:tc>
          <w:tcPr>
            <w:tcW w:w="8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ind w:right="85"/>
              <w:spacing w:after="0" w:line="156" w:lineRule="exact"/>
              <w:rPr>
                <w:sz w:val="20"/>
                <w:szCs w:val="20"/>
                <w:color w:val="auto"/>
              </w:rPr>
            </w:pPr>
            <w:r>
              <w:rPr>
                <w:rFonts w:ascii="Times New Roman" w:cs="Times New Roman" w:eastAsia="Times New Roman" w:hAnsi="Times New Roman"/>
                <w:sz w:val="15"/>
                <w:szCs w:val="15"/>
                <w:color w:val="auto"/>
              </w:rPr>
              <w:t>8,648</w:t>
            </w: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8,541</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22,019</w:t>
            </w:r>
          </w:p>
        </w:tc>
        <w:tc>
          <w:tcPr>
            <w:tcW w:w="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27,615</w:t>
            </w:r>
          </w:p>
        </w:tc>
        <w:tc>
          <w:tcPr>
            <w:tcW w:w="520" w:type="dxa"/>
            <w:vAlign w:val="bottom"/>
          </w:tcPr>
          <w:p>
            <w:pPr>
              <w:spacing w:after="0"/>
              <w:rPr>
                <w:sz w:val="13"/>
                <w:szCs w:val="13"/>
                <w:color w:val="auto"/>
              </w:rPr>
            </w:pPr>
          </w:p>
        </w:tc>
      </w:tr>
      <w:tr>
        <w:trPr>
          <w:trHeight w:val="156"/>
        </w:trPr>
        <w:tc>
          <w:tcPr>
            <w:tcW w:w="520" w:type="dxa"/>
            <w:vAlign w:val="bottom"/>
          </w:tcPr>
          <w:p>
            <w:pPr>
              <w:spacing w:after="0"/>
              <w:rPr>
                <w:sz w:val="13"/>
                <w:szCs w:val="13"/>
                <w:color w:val="auto"/>
              </w:rPr>
            </w:pPr>
          </w:p>
        </w:tc>
        <w:tc>
          <w:tcPr>
            <w:tcW w:w="480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Gross profit as a percentage of net sales</w:t>
            </w:r>
          </w:p>
        </w:tc>
        <w:tc>
          <w:tcPr>
            <w:tcW w:w="100" w:type="dxa"/>
            <w:vAlign w:val="bottom"/>
          </w:tcPr>
          <w:p>
            <w:pPr>
              <w:spacing w:after="0"/>
              <w:rPr>
                <w:sz w:val="13"/>
                <w:szCs w:val="13"/>
                <w:color w:val="auto"/>
              </w:rPr>
            </w:pPr>
          </w:p>
        </w:tc>
        <w:tc>
          <w:tcPr>
            <w:tcW w:w="8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14.0%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19.3%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18.6%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16.3%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20.0%</w:t>
            </w:r>
          </w:p>
        </w:tc>
        <w:tc>
          <w:tcPr>
            <w:tcW w:w="520" w:type="dxa"/>
            <w:vAlign w:val="bottom"/>
          </w:tcPr>
          <w:p>
            <w:pPr>
              <w:spacing w:after="0"/>
              <w:rPr>
                <w:sz w:val="13"/>
                <w:szCs w:val="13"/>
                <w:color w:val="auto"/>
              </w:rPr>
            </w:pPr>
          </w:p>
        </w:tc>
      </w:tr>
      <w:tr>
        <w:trPr>
          <w:trHeight w:val="162"/>
        </w:trPr>
        <w:tc>
          <w:tcPr>
            <w:tcW w:w="520" w:type="dxa"/>
            <w:vAlign w:val="bottom"/>
          </w:tcPr>
          <w:p>
            <w:pPr>
              <w:spacing w:after="0"/>
              <w:rPr>
                <w:sz w:val="14"/>
                <w:szCs w:val="14"/>
                <w:color w:val="auto"/>
              </w:rPr>
            </w:pPr>
          </w:p>
        </w:tc>
        <w:tc>
          <w:tcPr>
            <w:tcW w:w="48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Operating expenses:</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520" w:type="dxa"/>
            <w:vAlign w:val="bottom"/>
          </w:tcPr>
          <w:p>
            <w:pPr>
              <w:spacing w:after="0"/>
              <w:rPr>
                <w:sz w:val="14"/>
                <w:szCs w:val="14"/>
                <w:color w:val="auto"/>
              </w:rPr>
            </w:pPr>
          </w:p>
        </w:tc>
        <w:tc>
          <w:tcPr>
            <w:tcW w:w="480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100" w:type="dxa"/>
            <w:vAlign w:val="bottom"/>
          </w:tcPr>
          <w:p>
            <w:pPr>
              <w:spacing w:after="0"/>
              <w:rPr>
                <w:sz w:val="14"/>
                <w:szCs w:val="14"/>
                <w:color w:val="auto"/>
              </w:rPr>
            </w:pPr>
          </w:p>
        </w:tc>
        <w:tc>
          <w:tcPr>
            <w:tcW w:w="78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8,779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85"/>
              <w:spacing w:after="0" w:line="162" w:lineRule="exact"/>
              <w:rPr>
                <w:sz w:val="20"/>
                <w:szCs w:val="20"/>
                <w:color w:val="auto"/>
              </w:rPr>
            </w:pPr>
            <w:r>
              <w:rPr>
                <w:rFonts w:ascii="Times New Roman" w:cs="Times New Roman" w:eastAsia="Times New Roman" w:hAnsi="Times New Roman"/>
                <w:sz w:val="15"/>
                <w:szCs w:val="15"/>
                <w:color w:val="auto"/>
              </w:rPr>
              <w:t>8,747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8,312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25,192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26,491</w:t>
            </w:r>
          </w:p>
        </w:tc>
        <w:tc>
          <w:tcPr>
            <w:tcW w:w="520" w:type="dxa"/>
            <w:vAlign w:val="bottom"/>
          </w:tcPr>
          <w:p>
            <w:pPr>
              <w:spacing w:after="0"/>
              <w:rPr>
                <w:sz w:val="14"/>
                <w:szCs w:val="14"/>
                <w:color w:val="auto"/>
              </w:rPr>
            </w:pPr>
          </w:p>
        </w:tc>
      </w:tr>
      <w:tr>
        <w:trPr>
          <w:trHeight w:val="162"/>
        </w:trPr>
        <w:tc>
          <w:tcPr>
            <w:tcW w:w="520" w:type="dxa"/>
            <w:vAlign w:val="bottom"/>
          </w:tcPr>
          <w:p>
            <w:pPr>
              <w:spacing w:after="0"/>
              <w:rPr>
                <w:sz w:val="14"/>
                <w:szCs w:val="14"/>
                <w:color w:val="auto"/>
              </w:rPr>
            </w:pPr>
          </w:p>
        </w:tc>
        <w:tc>
          <w:tcPr>
            <w:tcW w:w="4800" w:type="dxa"/>
            <w:vAlign w:val="bottom"/>
            <w:shd w:val="clear" w:color="auto" w:fill="CFF0FC"/>
          </w:tcPr>
          <w:p>
            <w:pPr>
              <w:ind w:left="180"/>
              <w:spacing w:after="0" w:line="162" w:lineRule="exact"/>
              <w:rPr>
                <w:sz w:val="20"/>
                <w:szCs w:val="20"/>
                <w:color w:val="auto"/>
              </w:rPr>
            </w:pPr>
            <w:r>
              <w:rPr>
                <w:rFonts w:ascii="Times New Roman" w:cs="Times New Roman" w:eastAsia="Times New Roman" w:hAnsi="Times New Roman"/>
                <w:sz w:val="15"/>
                <w:szCs w:val="15"/>
                <w:color w:val="auto"/>
              </w:rPr>
              <w:t>Research and development expenses</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8,357</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5"/>
              <w:spacing w:after="0" w:line="162" w:lineRule="exact"/>
              <w:rPr>
                <w:sz w:val="20"/>
                <w:szCs w:val="20"/>
                <w:color w:val="auto"/>
              </w:rPr>
            </w:pPr>
            <w:r>
              <w:rPr>
                <w:rFonts w:ascii="Times New Roman" w:cs="Times New Roman" w:eastAsia="Times New Roman" w:hAnsi="Times New Roman"/>
                <w:sz w:val="15"/>
                <w:szCs w:val="15"/>
                <w:color w:val="auto"/>
              </w:rPr>
              <w:t>7,896</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7,773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22,951</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19,698</w:t>
            </w:r>
          </w:p>
        </w:tc>
        <w:tc>
          <w:tcPr>
            <w:tcW w:w="520" w:type="dxa"/>
            <w:vAlign w:val="bottom"/>
          </w:tcPr>
          <w:p>
            <w:pPr>
              <w:spacing w:after="0"/>
              <w:rPr>
                <w:sz w:val="14"/>
                <w:szCs w:val="14"/>
                <w:color w:val="auto"/>
              </w:rPr>
            </w:pPr>
          </w:p>
        </w:tc>
      </w:tr>
      <w:tr>
        <w:trPr>
          <w:trHeight w:val="162"/>
        </w:trPr>
        <w:tc>
          <w:tcPr>
            <w:tcW w:w="520" w:type="dxa"/>
            <w:vAlign w:val="bottom"/>
          </w:tcPr>
          <w:p>
            <w:pPr>
              <w:spacing w:after="0"/>
              <w:rPr>
                <w:sz w:val="14"/>
                <w:szCs w:val="14"/>
                <w:color w:val="auto"/>
              </w:rPr>
            </w:pPr>
          </w:p>
        </w:tc>
        <w:tc>
          <w:tcPr>
            <w:tcW w:w="480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Early termination and other charges</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1,921</w:t>
            </w: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5"/>
              <w:spacing w:after="0" w:line="162" w:lineRule="exact"/>
              <w:rPr>
                <w:sz w:val="20"/>
                <w:szCs w:val="20"/>
                <w:color w:val="auto"/>
              </w:rPr>
            </w:pPr>
            <w:r>
              <w:rPr>
                <w:rFonts w:ascii="Times New Roman" w:cs="Times New Roman" w:eastAsia="Times New Roman" w:hAnsi="Times New Roman"/>
                <w:sz w:val="15"/>
                <w:szCs w:val="15"/>
                <w:color w:val="auto"/>
              </w:rPr>
              <w:t>1,981</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3,994</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3,902</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4,840</w:t>
            </w:r>
          </w:p>
        </w:tc>
        <w:tc>
          <w:tcPr>
            <w:tcW w:w="520" w:type="dxa"/>
            <w:vAlign w:val="bottom"/>
          </w:tcPr>
          <w:p>
            <w:pPr>
              <w:spacing w:after="0"/>
              <w:rPr>
                <w:sz w:val="14"/>
                <w:szCs w:val="14"/>
                <w:color w:val="auto"/>
              </w:rPr>
            </w:pPr>
          </w:p>
        </w:tc>
      </w:tr>
      <w:tr>
        <w:trPr>
          <w:trHeight w:val="155"/>
        </w:trPr>
        <w:tc>
          <w:tcPr>
            <w:tcW w:w="520" w:type="dxa"/>
            <w:vAlign w:val="bottom"/>
          </w:tcPr>
          <w:p>
            <w:pPr>
              <w:spacing w:after="0"/>
              <w:rPr>
                <w:sz w:val="13"/>
                <w:szCs w:val="13"/>
                <w:color w:val="auto"/>
              </w:rPr>
            </w:pPr>
          </w:p>
        </w:tc>
        <w:tc>
          <w:tcPr>
            <w:tcW w:w="4800" w:type="dxa"/>
            <w:vAlign w:val="bottom"/>
            <w:tcBorders>
              <w:bottom w:val="single" w:sz="8" w:color="CFF0FC"/>
            </w:tcBorders>
            <w:shd w:val="clear" w:color="auto" w:fill="CFF0FC"/>
          </w:tcPr>
          <w:p>
            <w:pPr>
              <w:ind w:left="360"/>
              <w:spacing w:after="0" w:line="156" w:lineRule="exact"/>
              <w:rPr>
                <w:sz w:val="20"/>
                <w:szCs w:val="20"/>
                <w:color w:val="auto"/>
              </w:rPr>
            </w:pPr>
            <w:r>
              <w:rPr>
                <w:rFonts w:ascii="Times New Roman" w:cs="Times New Roman" w:eastAsia="Times New Roman" w:hAnsi="Times New Roman"/>
                <w:sz w:val="15"/>
                <w:szCs w:val="15"/>
                <w:color w:val="auto"/>
              </w:rPr>
              <w:t>Total operating expenses</w:t>
            </w:r>
          </w:p>
        </w:tc>
        <w:tc>
          <w:tcPr>
            <w:tcW w:w="10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19,057</w:t>
            </w:r>
          </w:p>
        </w:tc>
        <w:tc>
          <w:tcPr>
            <w:tcW w:w="8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ind w:right="85"/>
              <w:spacing w:after="0" w:line="156" w:lineRule="exact"/>
              <w:rPr>
                <w:sz w:val="20"/>
                <w:szCs w:val="20"/>
                <w:color w:val="auto"/>
              </w:rPr>
            </w:pPr>
            <w:r>
              <w:rPr>
                <w:rFonts w:ascii="Times New Roman" w:cs="Times New Roman" w:eastAsia="Times New Roman" w:hAnsi="Times New Roman"/>
                <w:sz w:val="15"/>
                <w:szCs w:val="15"/>
                <w:color w:val="auto"/>
              </w:rPr>
              <w:t>18,624</w:t>
            </w: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20,079</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52,045</w:t>
            </w:r>
          </w:p>
        </w:tc>
        <w:tc>
          <w:tcPr>
            <w:tcW w:w="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51,029</w:t>
            </w:r>
          </w:p>
        </w:tc>
        <w:tc>
          <w:tcPr>
            <w:tcW w:w="520" w:type="dxa"/>
            <w:vAlign w:val="bottom"/>
          </w:tcPr>
          <w:p>
            <w:pPr>
              <w:spacing w:after="0"/>
              <w:rPr>
                <w:sz w:val="13"/>
                <w:szCs w:val="13"/>
                <w:color w:val="auto"/>
              </w:rPr>
            </w:pPr>
          </w:p>
        </w:tc>
      </w:tr>
      <w:tr>
        <w:trPr>
          <w:trHeight w:val="156"/>
        </w:trPr>
        <w:tc>
          <w:tcPr>
            <w:tcW w:w="520" w:type="dxa"/>
            <w:vAlign w:val="bottom"/>
          </w:tcPr>
          <w:p>
            <w:pPr>
              <w:spacing w:after="0"/>
              <w:rPr>
                <w:sz w:val="13"/>
                <w:szCs w:val="13"/>
                <w:color w:val="auto"/>
              </w:rPr>
            </w:pPr>
          </w:p>
        </w:tc>
        <w:tc>
          <w:tcPr>
            <w:tcW w:w="480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Operating loss</w:t>
            </w:r>
          </w:p>
        </w:tc>
        <w:tc>
          <w:tcPr>
            <w:tcW w:w="10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(12,880)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25"/>
              <w:spacing w:after="0" w:line="156" w:lineRule="exact"/>
              <w:rPr>
                <w:sz w:val="20"/>
                <w:szCs w:val="20"/>
                <w:color w:val="auto"/>
              </w:rPr>
            </w:pPr>
            <w:r>
              <w:rPr>
                <w:rFonts w:ascii="Times New Roman" w:cs="Times New Roman" w:eastAsia="Times New Roman" w:hAnsi="Times New Roman"/>
                <w:sz w:val="15"/>
                <w:szCs w:val="15"/>
                <w:color w:val="auto"/>
              </w:rPr>
              <w:t>(9,976)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(11,538)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(30,026)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(23,414)</w:t>
            </w:r>
          </w:p>
        </w:tc>
        <w:tc>
          <w:tcPr>
            <w:tcW w:w="520" w:type="dxa"/>
            <w:vAlign w:val="bottom"/>
          </w:tcPr>
          <w:p>
            <w:pPr>
              <w:spacing w:after="0"/>
              <w:rPr>
                <w:sz w:val="13"/>
                <w:szCs w:val="13"/>
                <w:color w:val="auto"/>
              </w:rPr>
            </w:pPr>
          </w:p>
        </w:tc>
      </w:tr>
      <w:tr>
        <w:trPr>
          <w:trHeight w:val="162"/>
        </w:trPr>
        <w:tc>
          <w:tcPr>
            <w:tcW w:w="520" w:type="dxa"/>
            <w:vAlign w:val="bottom"/>
          </w:tcPr>
          <w:p>
            <w:pPr>
              <w:spacing w:after="0"/>
              <w:rPr>
                <w:sz w:val="14"/>
                <w:szCs w:val="14"/>
                <w:color w:val="auto"/>
              </w:rPr>
            </w:pPr>
          </w:p>
        </w:tc>
        <w:tc>
          <w:tcPr>
            <w:tcW w:w="4800" w:type="dxa"/>
            <w:vAlign w:val="bottom"/>
            <w:shd w:val="clear" w:color="auto" w:fill="CFF0FC"/>
          </w:tcPr>
          <w:p>
            <w:pPr>
              <w:ind w:left="180"/>
              <w:spacing w:after="0" w:line="162" w:lineRule="exact"/>
              <w:rPr>
                <w:sz w:val="20"/>
                <w:szCs w:val="20"/>
                <w:color w:val="auto"/>
              </w:rPr>
            </w:pPr>
            <w:r>
              <w:rPr>
                <w:rFonts w:ascii="Times New Roman" w:cs="Times New Roman" w:eastAsia="Times New Roman" w:hAnsi="Times New Roman"/>
                <w:sz w:val="15"/>
                <w:szCs w:val="15"/>
                <w:color w:val="auto"/>
              </w:rPr>
              <w:t>Interest income</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893</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5"/>
              <w:spacing w:after="0" w:line="162" w:lineRule="exact"/>
              <w:rPr>
                <w:sz w:val="20"/>
                <w:szCs w:val="20"/>
                <w:color w:val="auto"/>
              </w:rPr>
            </w:pPr>
            <w:r>
              <w:rPr>
                <w:rFonts w:ascii="Times New Roman" w:cs="Times New Roman" w:eastAsia="Times New Roman" w:hAnsi="Times New Roman"/>
                <w:sz w:val="15"/>
                <w:szCs w:val="15"/>
                <w:color w:val="auto"/>
              </w:rPr>
              <w:t>949</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1,255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2,905</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4,117</w:t>
            </w:r>
          </w:p>
        </w:tc>
        <w:tc>
          <w:tcPr>
            <w:tcW w:w="520" w:type="dxa"/>
            <w:vAlign w:val="bottom"/>
          </w:tcPr>
          <w:p>
            <w:pPr>
              <w:spacing w:after="0"/>
              <w:rPr>
                <w:sz w:val="14"/>
                <w:szCs w:val="14"/>
                <w:color w:val="auto"/>
              </w:rPr>
            </w:pPr>
          </w:p>
        </w:tc>
      </w:tr>
      <w:tr>
        <w:trPr>
          <w:trHeight w:val="162"/>
        </w:trPr>
        <w:tc>
          <w:tcPr>
            <w:tcW w:w="520" w:type="dxa"/>
            <w:vAlign w:val="bottom"/>
          </w:tcPr>
          <w:p>
            <w:pPr>
              <w:spacing w:after="0"/>
              <w:rPr>
                <w:sz w:val="14"/>
                <w:szCs w:val="14"/>
                <w:color w:val="auto"/>
              </w:rPr>
            </w:pPr>
          </w:p>
        </w:tc>
        <w:tc>
          <w:tcPr>
            <w:tcW w:w="480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Interest expense</w:t>
            </w:r>
          </w:p>
        </w:tc>
        <w:tc>
          <w:tcPr>
            <w:tcW w:w="10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(317)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(320)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(469)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(1,010)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(1,265)</w:t>
            </w:r>
          </w:p>
        </w:tc>
        <w:tc>
          <w:tcPr>
            <w:tcW w:w="520" w:type="dxa"/>
            <w:vAlign w:val="bottom"/>
          </w:tcPr>
          <w:p>
            <w:pPr>
              <w:spacing w:after="0"/>
              <w:rPr>
                <w:sz w:val="14"/>
                <w:szCs w:val="14"/>
                <w:color w:val="auto"/>
              </w:rPr>
            </w:pPr>
          </w:p>
        </w:tc>
      </w:tr>
      <w:tr>
        <w:trPr>
          <w:trHeight w:val="162"/>
        </w:trPr>
        <w:tc>
          <w:tcPr>
            <w:tcW w:w="520" w:type="dxa"/>
            <w:vAlign w:val="bottom"/>
          </w:tcPr>
          <w:p>
            <w:pPr>
              <w:spacing w:after="0"/>
              <w:rPr>
                <w:sz w:val="14"/>
                <w:szCs w:val="14"/>
                <w:color w:val="auto"/>
              </w:rPr>
            </w:pPr>
          </w:p>
        </w:tc>
        <w:tc>
          <w:tcPr>
            <w:tcW w:w="4800" w:type="dxa"/>
            <w:vAlign w:val="bottom"/>
            <w:shd w:val="clear" w:color="auto" w:fill="CFF0FC"/>
          </w:tcPr>
          <w:p>
            <w:pPr>
              <w:ind w:left="180"/>
              <w:spacing w:after="0" w:line="162" w:lineRule="exact"/>
              <w:rPr>
                <w:sz w:val="20"/>
                <w:szCs w:val="20"/>
                <w:color w:val="auto"/>
              </w:rPr>
            </w:pPr>
            <w:r>
              <w:rPr>
                <w:rFonts w:ascii="Times New Roman" w:cs="Times New Roman" w:eastAsia="Times New Roman" w:hAnsi="Times New Roman"/>
                <w:sz w:val="15"/>
                <w:szCs w:val="15"/>
                <w:color w:val="auto"/>
              </w:rPr>
              <w:t>Foreign currency gain (loss), net</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1,811</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(526)</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(4,280)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1,170</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6,112</w:t>
            </w:r>
          </w:p>
        </w:tc>
        <w:tc>
          <w:tcPr>
            <w:tcW w:w="520" w:type="dxa"/>
            <w:vAlign w:val="bottom"/>
          </w:tcPr>
          <w:p>
            <w:pPr>
              <w:spacing w:after="0"/>
              <w:rPr>
                <w:sz w:val="14"/>
                <w:szCs w:val="14"/>
                <w:color w:val="auto"/>
              </w:rPr>
            </w:pPr>
          </w:p>
        </w:tc>
      </w:tr>
      <w:tr>
        <w:trPr>
          <w:trHeight w:val="162"/>
        </w:trPr>
        <w:tc>
          <w:tcPr>
            <w:tcW w:w="520" w:type="dxa"/>
            <w:vAlign w:val="bottom"/>
          </w:tcPr>
          <w:p>
            <w:pPr>
              <w:spacing w:after="0"/>
              <w:rPr>
                <w:sz w:val="14"/>
                <w:szCs w:val="14"/>
                <w:color w:val="auto"/>
              </w:rPr>
            </w:pPr>
          </w:p>
        </w:tc>
        <w:tc>
          <w:tcPr>
            <w:tcW w:w="480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Other income, net</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2,078</w:t>
            </w: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5"/>
              <w:spacing w:after="0" w:line="162" w:lineRule="exact"/>
              <w:rPr>
                <w:sz w:val="20"/>
                <w:szCs w:val="20"/>
                <w:color w:val="auto"/>
              </w:rPr>
            </w:pPr>
            <w:r>
              <w:rPr>
                <w:rFonts w:ascii="Times New Roman" w:cs="Times New Roman" w:eastAsia="Times New Roman" w:hAnsi="Times New Roman"/>
                <w:sz w:val="15"/>
                <w:szCs w:val="15"/>
                <w:color w:val="auto"/>
              </w:rPr>
              <w:t>286</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253</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2,354</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284</w:t>
            </w:r>
          </w:p>
        </w:tc>
        <w:tc>
          <w:tcPr>
            <w:tcW w:w="520" w:type="dxa"/>
            <w:vAlign w:val="bottom"/>
          </w:tcPr>
          <w:p>
            <w:pPr>
              <w:spacing w:after="0"/>
              <w:rPr>
                <w:sz w:val="14"/>
                <w:szCs w:val="14"/>
                <w:color w:val="auto"/>
              </w:rPr>
            </w:pPr>
          </w:p>
        </w:tc>
      </w:tr>
      <w:tr>
        <w:trPr>
          <w:trHeight w:val="138"/>
        </w:trPr>
        <w:tc>
          <w:tcPr>
            <w:tcW w:w="520" w:type="dxa"/>
            <w:vAlign w:val="bottom"/>
          </w:tcPr>
          <w:p>
            <w:pPr>
              <w:spacing w:after="0"/>
              <w:rPr>
                <w:sz w:val="12"/>
                <w:szCs w:val="12"/>
                <w:color w:val="auto"/>
              </w:rPr>
            </w:pPr>
          </w:p>
        </w:tc>
        <w:tc>
          <w:tcPr>
            <w:tcW w:w="4800" w:type="dxa"/>
            <w:vAlign w:val="bottom"/>
            <w:shd w:val="clear" w:color="auto" w:fill="CFF0FC"/>
          </w:tcPr>
          <w:p>
            <w:pPr>
              <w:spacing w:after="0" w:line="138" w:lineRule="exact"/>
              <w:rPr>
                <w:sz w:val="20"/>
                <w:szCs w:val="20"/>
                <w:color w:val="auto"/>
              </w:rPr>
            </w:pPr>
            <w:r>
              <w:rPr>
                <w:rFonts w:ascii="Times New Roman" w:cs="Times New Roman" w:eastAsia="Times New Roman" w:hAnsi="Times New Roman"/>
                <w:sz w:val="15"/>
                <w:szCs w:val="15"/>
                <w:color w:val="auto"/>
              </w:rPr>
              <w:t>Loss from continuing operations before income tax expense</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520" w:type="dxa"/>
            <w:vAlign w:val="bottom"/>
          </w:tcPr>
          <w:p>
            <w:pPr>
              <w:spacing w:after="0"/>
              <w:rPr>
                <w:sz w:val="12"/>
                <w:szCs w:val="12"/>
                <w:color w:val="auto"/>
              </w:rPr>
            </w:pPr>
          </w:p>
        </w:tc>
      </w:tr>
      <w:tr>
        <w:trPr>
          <w:trHeight w:val="162"/>
        </w:trPr>
        <w:tc>
          <w:tcPr>
            <w:tcW w:w="520" w:type="dxa"/>
            <w:vAlign w:val="bottom"/>
          </w:tcPr>
          <w:p>
            <w:pPr>
              <w:spacing w:after="0"/>
              <w:rPr>
                <w:sz w:val="14"/>
                <w:szCs w:val="14"/>
                <w:color w:val="auto"/>
              </w:rPr>
            </w:pPr>
          </w:p>
        </w:tc>
        <w:tc>
          <w:tcPr>
            <w:tcW w:w="48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(benefit),</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9"/>
        </w:trPr>
        <w:tc>
          <w:tcPr>
            <w:tcW w:w="520" w:type="dxa"/>
            <w:vAlign w:val="bottom"/>
          </w:tcPr>
          <w:p>
            <w:pPr>
              <w:spacing w:after="0"/>
              <w:rPr>
                <w:sz w:val="15"/>
                <w:szCs w:val="15"/>
                <w:color w:val="auto"/>
              </w:rPr>
            </w:pPr>
          </w:p>
        </w:tc>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net</w:t>
            </w: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(8,415)</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(9,587)</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(14,779)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(24,607)</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(14,166)</w:t>
            </w:r>
          </w:p>
        </w:tc>
        <w:tc>
          <w:tcPr>
            <w:tcW w:w="520" w:type="dxa"/>
            <w:vAlign w:val="bottom"/>
          </w:tcPr>
          <w:p>
            <w:pPr>
              <w:spacing w:after="0"/>
              <w:rPr>
                <w:sz w:val="15"/>
                <w:szCs w:val="15"/>
                <w:color w:val="auto"/>
              </w:rPr>
            </w:pPr>
          </w:p>
        </w:tc>
      </w:tr>
      <w:tr>
        <w:trPr>
          <w:trHeight w:val="162"/>
        </w:trPr>
        <w:tc>
          <w:tcPr>
            <w:tcW w:w="520" w:type="dxa"/>
            <w:vAlign w:val="bottom"/>
          </w:tcPr>
          <w:p>
            <w:pPr>
              <w:spacing w:after="0"/>
              <w:rPr>
                <w:sz w:val="14"/>
                <w:szCs w:val="14"/>
                <w:color w:val="auto"/>
              </w:rPr>
            </w:pPr>
          </w:p>
        </w:tc>
        <w:tc>
          <w:tcPr>
            <w:tcW w:w="4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Income tax expense (benefit), net</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4,871</w:t>
            </w: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(1,986)</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(4,170)</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977</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(8,709)</w:t>
            </w:r>
          </w:p>
        </w:tc>
        <w:tc>
          <w:tcPr>
            <w:tcW w:w="520" w:type="dxa"/>
            <w:vAlign w:val="bottom"/>
          </w:tcPr>
          <w:p>
            <w:pPr>
              <w:spacing w:after="0"/>
              <w:rPr>
                <w:sz w:val="14"/>
                <w:szCs w:val="14"/>
                <w:color w:val="auto"/>
              </w:rPr>
            </w:pPr>
          </w:p>
        </w:tc>
      </w:tr>
      <w:tr>
        <w:trPr>
          <w:trHeight w:val="156"/>
        </w:trPr>
        <w:tc>
          <w:tcPr>
            <w:tcW w:w="520" w:type="dxa"/>
            <w:vAlign w:val="bottom"/>
          </w:tcPr>
          <w:p>
            <w:pPr>
              <w:spacing w:after="0"/>
              <w:rPr>
                <w:sz w:val="13"/>
                <w:szCs w:val="13"/>
                <w:color w:val="auto"/>
              </w:rPr>
            </w:pPr>
          </w:p>
        </w:tc>
        <w:tc>
          <w:tcPr>
            <w:tcW w:w="48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Loss from continuing operations</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(13,286)</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25"/>
              <w:spacing w:after="0" w:line="156" w:lineRule="exact"/>
              <w:rPr>
                <w:sz w:val="20"/>
                <w:szCs w:val="20"/>
                <w:color w:val="auto"/>
              </w:rPr>
            </w:pPr>
            <w:r>
              <w:rPr>
                <w:rFonts w:ascii="Times New Roman" w:cs="Times New Roman" w:eastAsia="Times New Roman" w:hAnsi="Times New Roman"/>
                <w:sz w:val="15"/>
                <w:szCs w:val="15"/>
                <w:color w:val="auto"/>
              </w:rPr>
              <w:t>(7,601)</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(10,609)</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(25,584)</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(5,457)</w:t>
            </w:r>
          </w:p>
        </w:tc>
        <w:tc>
          <w:tcPr>
            <w:tcW w:w="520" w:type="dxa"/>
            <w:vAlign w:val="bottom"/>
          </w:tcPr>
          <w:p>
            <w:pPr>
              <w:spacing w:after="0"/>
              <w:rPr>
                <w:sz w:val="13"/>
                <w:szCs w:val="13"/>
                <w:color w:val="auto"/>
              </w:rPr>
            </w:pPr>
          </w:p>
        </w:tc>
      </w:tr>
      <w:tr>
        <w:trPr>
          <w:trHeight w:val="162"/>
        </w:trPr>
        <w:tc>
          <w:tcPr>
            <w:tcW w:w="520" w:type="dxa"/>
            <w:vAlign w:val="bottom"/>
          </w:tcPr>
          <w:p>
            <w:pPr>
              <w:spacing w:after="0"/>
              <w:rPr>
                <w:sz w:val="14"/>
                <w:szCs w:val="14"/>
                <w:color w:val="auto"/>
              </w:rPr>
            </w:pPr>
          </w:p>
        </w:tc>
        <w:tc>
          <w:tcPr>
            <w:tcW w:w="4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Income (Loss) from discontinued operations, net of tax</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743</w:t>
            </w: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5"/>
              <w:spacing w:after="0" w:line="162" w:lineRule="exact"/>
              <w:rPr>
                <w:sz w:val="20"/>
                <w:szCs w:val="20"/>
                <w:color w:val="auto"/>
              </w:rPr>
            </w:pPr>
            <w:r>
              <w:rPr>
                <w:rFonts w:ascii="Times New Roman" w:cs="Times New Roman" w:eastAsia="Times New Roman" w:hAnsi="Times New Roman"/>
                <w:sz w:val="15"/>
                <w:szCs w:val="15"/>
                <w:color w:val="auto"/>
              </w:rPr>
              <w:t>2,786</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(2,481)</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3,579</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(16,188)</w:t>
            </w:r>
          </w:p>
        </w:tc>
        <w:tc>
          <w:tcPr>
            <w:tcW w:w="520" w:type="dxa"/>
            <w:vAlign w:val="bottom"/>
          </w:tcPr>
          <w:p>
            <w:pPr>
              <w:spacing w:after="0"/>
              <w:rPr>
                <w:sz w:val="14"/>
                <w:szCs w:val="14"/>
                <w:color w:val="auto"/>
              </w:rPr>
            </w:pPr>
          </w:p>
        </w:tc>
      </w:tr>
      <w:tr>
        <w:trPr>
          <w:trHeight w:val="196"/>
        </w:trPr>
        <w:tc>
          <w:tcPr>
            <w:tcW w:w="520" w:type="dxa"/>
            <w:vAlign w:val="bottom"/>
          </w:tcPr>
          <w:p>
            <w:pPr>
              <w:spacing w:after="0"/>
              <w:rPr>
                <w:sz w:val="17"/>
                <w:szCs w:val="17"/>
                <w:color w:val="auto"/>
              </w:rPr>
            </w:pPr>
          </w:p>
        </w:tc>
        <w:tc>
          <w:tcPr>
            <w:tcW w:w="48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Net loss</w:t>
            </w:r>
          </w:p>
        </w:tc>
        <w:tc>
          <w:tcPr>
            <w:tcW w:w="1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(12,543)</w:t>
            </w:r>
          </w:p>
        </w:tc>
        <w:tc>
          <w:tcPr>
            <w:tcW w:w="280" w:type="dxa"/>
            <w:vAlign w:val="bottom"/>
            <w:gridSpan w:val="3"/>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FF0FC"/>
          </w:tcPr>
          <w:p>
            <w:pPr>
              <w:jc w:val="right"/>
              <w:ind w:right="25"/>
              <w:spacing w:after="0" w:line="156" w:lineRule="exact"/>
              <w:rPr>
                <w:sz w:val="20"/>
                <w:szCs w:val="20"/>
                <w:color w:val="auto"/>
              </w:rPr>
            </w:pPr>
            <w:r>
              <w:rPr>
                <w:rFonts w:ascii="Times New Roman" w:cs="Times New Roman" w:eastAsia="Times New Roman" w:hAnsi="Times New Roman"/>
                <w:sz w:val="15"/>
                <w:szCs w:val="15"/>
                <w:color w:val="auto"/>
              </w:rPr>
              <w:t>(4,815)</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(13,090)</w:t>
            </w:r>
          </w:p>
        </w:tc>
        <w:tc>
          <w:tcPr>
            <w:tcW w:w="20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(22,005)</w:t>
            </w:r>
          </w:p>
        </w:tc>
        <w:tc>
          <w:tcPr>
            <w:tcW w:w="20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(21,645)</w:t>
            </w:r>
          </w:p>
        </w:tc>
        <w:tc>
          <w:tcPr>
            <w:tcW w:w="520" w:type="dxa"/>
            <w:vAlign w:val="bottom"/>
          </w:tcPr>
          <w:p>
            <w:pPr>
              <w:spacing w:after="0"/>
              <w:rPr>
                <w:sz w:val="17"/>
                <w:szCs w:val="17"/>
                <w:color w:val="auto"/>
              </w:rPr>
            </w:pPr>
          </w:p>
        </w:tc>
      </w:tr>
      <w:tr>
        <w:trPr>
          <w:trHeight w:val="143"/>
        </w:trPr>
        <w:tc>
          <w:tcPr>
            <w:tcW w:w="520" w:type="dxa"/>
            <w:vAlign w:val="bottom"/>
          </w:tcPr>
          <w:p>
            <w:pPr>
              <w:spacing w:after="0"/>
              <w:rPr>
                <w:sz w:val="12"/>
                <w:szCs w:val="12"/>
                <w:color w:val="auto"/>
              </w:rPr>
            </w:pPr>
          </w:p>
        </w:tc>
        <w:tc>
          <w:tcPr>
            <w:tcW w:w="4800" w:type="dxa"/>
            <w:vAlign w:val="bottom"/>
            <w:tcBorders>
              <w:top w:val="single" w:sz="8" w:color="CFF0FC"/>
            </w:tcBorders>
          </w:tcPr>
          <w:p>
            <w:pPr>
              <w:spacing w:after="0" w:line="143" w:lineRule="exact"/>
              <w:rPr>
                <w:sz w:val="20"/>
                <w:szCs w:val="20"/>
                <w:color w:val="auto"/>
              </w:rPr>
            </w:pPr>
            <w:r>
              <w:rPr>
                <w:rFonts w:ascii="Times New Roman" w:cs="Times New Roman" w:eastAsia="Times New Roman" w:hAnsi="Times New Roman"/>
                <w:sz w:val="15"/>
                <w:szCs w:val="15"/>
                <w:color w:val="auto"/>
              </w:rPr>
              <w:t>Basic earnings (loss) per common share—</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r>
      <w:tr>
        <w:trPr>
          <w:trHeight w:val="162"/>
        </w:trPr>
        <w:tc>
          <w:tcPr>
            <w:tcW w:w="520" w:type="dxa"/>
            <w:vAlign w:val="bottom"/>
          </w:tcPr>
          <w:p>
            <w:pPr>
              <w:spacing w:after="0"/>
              <w:rPr>
                <w:sz w:val="14"/>
                <w:szCs w:val="14"/>
                <w:color w:val="auto"/>
              </w:rPr>
            </w:pPr>
          </w:p>
        </w:tc>
        <w:tc>
          <w:tcPr>
            <w:tcW w:w="4800" w:type="dxa"/>
            <w:vAlign w:val="bottom"/>
            <w:shd w:val="clear" w:color="auto" w:fill="CFF0FC"/>
          </w:tcPr>
          <w:p>
            <w:pPr>
              <w:ind w:left="180"/>
              <w:spacing w:after="0" w:line="162" w:lineRule="exact"/>
              <w:rPr>
                <w:sz w:val="20"/>
                <w:szCs w:val="20"/>
                <w:color w:val="auto"/>
              </w:rPr>
            </w:pPr>
            <w:r>
              <w:rPr>
                <w:rFonts w:ascii="Times New Roman" w:cs="Times New Roman" w:eastAsia="Times New Roman" w:hAnsi="Times New Roman"/>
                <w:sz w:val="15"/>
                <w:szCs w:val="15"/>
                <w:color w:val="auto"/>
              </w:rPr>
              <w:t>Continuing operations</w:t>
            </w:r>
          </w:p>
        </w:tc>
        <w:tc>
          <w:tcPr>
            <w:tcW w:w="1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(0.36)</w:t>
            </w:r>
          </w:p>
        </w:tc>
        <w:tc>
          <w:tcPr>
            <w:tcW w:w="280" w:type="dxa"/>
            <w:vAlign w:val="bottom"/>
            <w:gridSpan w:val="3"/>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FF0FC"/>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(0.21)</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(0.29)</w:t>
            </w:r>
          </w:p>
        </w:tc>
        <w:tc>
          <w:tcPr>
            <w:tcW w:w="20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(0.70)</w:t>
            </w:r>
          </w:p>
        </w:tc>
        <w:tc>
          <w:tcPr>
            <w:tcW w:w="20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FF0FC"/>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(0.15)</w:t>
            </w:r>
          </w:p>
        </w:tc>
        <w:tc>
          <w:tcPr>
            <w:tcW w:w="520" w:type="dxa"/>
            <w:vAlign w:val="bottom"/>
          </w:tcPr>
          <w:p>
            <w:pPr>
              <w:spacing w:after="0"/>
              <w:rPr>
                <w:sz w:val="14"/>
                <w:szCs w:val="14"/>
                <w:color w:val="auto"/>
              </w:rPr>
            </w:pPr>
          </w:p>
        </w:tc>
      </w:tr>
      <w:tr>
        <w:trPr>
          <w:trHeight w:val="162"/>
        </w:trPr>
        <w:tc>
          <w:tcPr>
            <w:tcW w:w="520" w:type="dxa"/>
            <w:vAlign w:val="bottom"/>
          </w:tcPr>
          <w:p>
            <w:pPr>
              <w:spacing w:after="0"/>
              <w:rPr>
                <w:sz w:val="14"/>
                <w:szCs w:val="14"/>
                <w:color w:val="auto"/>
              </w:rPr>
            </w:pPr>
          </w:p>
        </w:tc>
        <w:tc>
          <w:tcPr>
            <w:tcW w:w="480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Discontinued operations</w:t>
            </w:r>
          </w:p>
        </w:tc>
        <w:tc>
          <w:tcPr>
            <w:tcW w:w="100" w:type="dxa"/>
            <w:vAlign w:val="bottom"/>
          </w:tcPr>
          <w:p>
            <w:pPr>
              <w:spacing w:after="0"/>
              <w:rPr>
                <w:sz w:val="14"/>
                <w:szCs w:val="14"/>
                <w:color w:val="auto"/>
              </w:rPr>
            </w:pPr>
          </w:p>
        </w:tc>
        <w:tc>
          <w:tcPr>
            <w:tcW w:w="78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0.02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85"/>
              <w:spacing w:after="0" w:line="162" w:lineRule="exact"/>
              <w:rPr>
                <w:sz w:val="20"/>
                <w:szCs w:val="20"/>
                <w:color w:val="auto"/>
              </w:rPr>
            </w:pPr>
            <w:r>
              <w:rPr>
                <w:rFonts w:ascii="Times New Roman" w:cs="Times New Roman" w:eastAsia="Times New Roman" w:hAnsi="Times New Roman"/>
                <w:sz w:val="15"/>
                <w:szCs w:val="15"/>
                <w:color w:val="auto"/>
              </w:rPr>
              <w:t>0.08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(0.07)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0.10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(0.45)</w:t>
            </w:r>
          </w:p>
        </w:tc>
        <w:tc>
          <w:tcPr>
            <w:tcW w:w="520" w:type="dxa"/>
            <w:vAlign w:val="bottom"/>
          </w:tcPr>
          <w:p>
            <w:pPr>
              <w:spacing w:after="0"/>
              <w:rPr>
                <w:sz w:val="14"/>
                <w:szCs w:val="14"/>
                <w:color w:val="auto"/>
              </w:rPr>
            </w:pPr>
          </w:p>
        </w:tc>
      </w:tr>
      <w:tr>
        <w:trPr>
          <w:trHeight w:val="162"/>
        </w:trPr>
        <w:tc>
          <w:tcPr>
            <w:tcW w:w="520" w:type="dxa"/>
            <w:vAlign w:val="bottom"/>
          </w:tcPr>
          <w:p>
            <w:pPr>
              <w:spacing w:after="0"/>
              <w:rPr>
                <w:sz w:val="14"/>
                <w:szCs w:val="14"/>
                <w:color w:val="auto"/>
              </w:rPr>
            </w:pPr>
          </w:p>
        </w:tc>
        <w:tc>
          <w:tcPr>
            <w:tcW w:w="4800" w:type="dxa"/>
            <w:vAlign w:val="bottom"/>
            <w:shd w:val="clear" w:color="auto" w:fill="CFF0FC"/>
          </w:tcPr>
          <w:p>
            <w:pPr>
              <w:ind w:left="180"/>
              <w:spacing w:after="0" w:line="162" w:lineRule="exact"/>
              <w:rPr>
                <w:sz w:val="20"/>
                <w:szCs w:val="20"/>
                <w:color w:val="auto"/>
              </w:rPr>
            </w:pPr>
            <w:r>
              <w:rPr>
                <w:rFonts w:ascii="Times New Roman" w:cs="Times New Roman" w:eastAsia="Times New Roman" w:hAnsi="Times New Roman"/>
                <w:sz w:val="15"/>
                <w:szCs w:val="15"/>
                <w:color w:val="auto"/>
              </w:rPr>
              <w:t>Total</w:t>
            </w:r>
          </w:p>
        </w:tc>
        <w:tc>
          <w:tcPr>
            <w:tcW w:w="1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(0.34)</w:t>
            </w:r>
          </w:p>
        </w:tc>
        <w:tc>
          <w:tcPr>
            <w:tcW w:w="280" w:type="dxa"/>
            <w:vAlign w:val="bottom"/>
            <w:gridSpan w:val="3"/>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FF0FC"/>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(0.13)</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(0.36)</w:t>
            </w:r>
          </w:p>
        </w:tc>
        <w:tc>
          <w:tcPr>
            <w:tcW w:w="20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(0.60)</w:t>
            </w:r>
          </w:p>
        </w:tc>
        <w:tc>
          <w:tcPr>
            <w:tcW w:w="20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FF0FC"/>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(0.60)</w:t>
            </w:r>
          </w:p>
        </w:tc>
        <w:tc>
          <w:tcPr>
            <w:tcW w:w="520" w:type="dxa"/>
            <w:vAlign w:val="bottom"/>
          </w:tcPr>
          <w:p>
            <w:pPr>
              <w:spacing w:after="0"/>
              <w:rPr>
                <w:sz w:val="14"/>
                <w:szCs w:val="14"/>
                <w:color w:val="auto"/>
              </w:rPr>
            </w:pPr>
          </w:p>
        </w:tc>
      </w:tr>
      <w:tr>
        <w:trPr>
          <w:trHeight w:val="162"/>
        </w:trPr>
        <w:tc>
          <w:tcPr>
            <w:tcW w:w="520" w:type="dxa"/>
            <w:vAlign w:val="bottom"/>
          </w:tcPr>
          <w:p>
            <w:pPr>
              <w:spacing w:after="0"/>
              <w:rPr>
                <w:sz w:val="14"/>
                <w:szCs w:val="14"/>
                <w:color w:val="auto"/>
              </w:rPr>
            </w:pPr>
          </w:p>
        </w:tc>
        <w:tc>
          <w:tcPr>
            <w:tcW w:w="4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Diluted earnings (loss) per common share—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520" w:type="dxa"/>
            <w:vAlign w:val="bottom"/>
          </w:tcPr>
          <w:p>
            <w:pPr>
              <w:spacing w:after="0"/>
              <w:rPr>
                <w:sz w:val="14"/>
                <w:szCs w:val="14"/>
                <w:color w:val="auto"/>
              </w:rPr>
            </w:pPr>
          </w:p>
        </w:tc>
        <w:tc>
          <w:tcPr>
            <w:tcW w:w="4800" w:type="dxa"/>
            <w:vAlign w:val="bottom"/>
            <w:shd w:val="clear" w:color="auto" w:fill="CFF0FC"/>
          </w:tcPr>
          <w:p>
            <w:pPr>
              <w:ind w:left="180"/>
              <w:spacing w:after="0" w:line="162" w:lineRule="exact"/>
              <w:rPr>
                <w:sz w:val="20"/>
                <w:szCs w:val="20"/>
                <w:color w:val="auto"/>
              </w:rPr>
            </w:pPr>
            <w:r>
              <w:rPr>
                <w:rFonts w:ascii="Times New Roman" w:cs="Times New Roman" w:eastAsia="Times New Roman" w:hAnsi="Times New Roman"/>
                <w:sz w:val="15"/>
                <w:szCs w:val="15"/>
                <w:color w:val="auto"/>
              </w:rPr>
              <w:t>Continuing operations</w:t>
            </w:r>
          </w:p>
        </w:tc>
        <w:tc>
          <w:tcPr>
            <w:tcW w:w="1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(0.36)</w:t>
            </w:r>
          </w:p>
        </w:tc>
        <w:tc>
          <w:tcPr>
            <w:tcW w:w="280" w:type="dxa"/>
            <w:vAlign w:val="bottom"/>
            <w:gridSpan w:val="3"/>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FF0FC"/>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(0.21)</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(0.29)</w:t>
            </w:r>
          </w:p>
        </w:tc>
        <w:tc>
          <w:tcPr>
            <w:tcW w:w="20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(0.70)</w:t>
            </w:r>
          </w:p>
        </w:tc>
        <w:tc>
          <w:tcPr>
            <w:tcW w:w="20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FF0FC"/>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(0.15)</w:t>
            </w:r>
          </w:p>
        </w:tc>
        <w:tc>
          <w:tcPr>
            <w:tcW w:w="520" w:type="dxa"/>
            <w:vAlign w:val="bottom"/>
          </w:tcPr>
          <w:p>
            <w:pPr>
              <w:spacing w:after="0"/>
              <w:rPr>
                <w:sz w:val="14"/>
                <w:szCs w:val="14"/>
                <w:color w:val="auto"/>
              </w:rPr>
            </w:pPr>
          </w:p>
        </w:tc>
      </w:tr>
      <w:tr>
        <w:trPr>
          <w:trHeight w:val="162"/>
        </w:trPr>
        <w:tc>
          <w:tcPr>
            <w:tcW w:w="520" w:type="dxa"/>
            <w:vAlign w:val="bottom"/>
          </w:tcPr>
          <w:p>
            <w:pPr>
              <w:spacing w:after="0"/>
              <w:rPr>
                <w:sz w:val="14"/>
                <w:szCs w:val="14"/>
                <w:color w:val="auto"/>
              </w:rPr>
            </w:pPr>
          </w:p>
        </w:tc>
        <w:tc>
          <w:tcPr>
            <w:tcW w:w="480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Discontinued operations</w:t>
            </w:r>
          </w:p>
        </w:tc>
        <w:tc>
          <w:tcPr>
            <w:tcW w:w="100" w:type="dxa"/>
            <w:vAlign w:val="bottom"/>
          </w:tcPr>
          <w:p>
            <w:pPr>
              <w:spacing w:after="0"/>
              <w:rPr>
                <w:sz w:val="14"/>
                <w:szCs w:val="14"/>
                <w:color w:val="auto"/>
              </w:rPr>
            </w:pPr>
          </w:p>
        </w:tc>
        <w:tc>
          <w:tcPr>
            <w:tcW w:w="78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0.02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85"/>
              <w:spacing w:after="0" w:line="162" w:lineRule="exact"/>
              <w:rPr>
                <w:sz w:val="20"/>
                <w:szCs w:val="20"/>
                <w:color w:val="auto"/>
              </w:rPr>
            </w:pPr>
            <w:r>
              <w:rPr>
                <w:rFonts w:ascii="Times New Roman" w:cs="Times New Roman" w:eastAsia="Times New Roman" w:hAnsi="Times New Roman"/>
                <w:sz w:val="15"/>
                <w:szCs w:val="15"/>
                <w:color w:val="auto"/>
              </w:rPr>
              <w:t>0.08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(0.07)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0.10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(0.45)</w:t>
            </w:r>
          </w:p>
        </w:tc>
        <w:tc>
          <w:tcPr>
            <w:tcW w:w="520" w:type="dxa"/>
            <w:vAlign w:val="bottom"/>
          </w:tcPr>
          <w:p>
            <w:pPr>
              <w:spacing w:after="0"/>
              <w:rPr>
                <w:sz w:val="14"/>
                <w:szCs w:val="14"/>
                <w:color w:val="auto"/>
              </w:rPr>
            </w:pPr>
          </w:p>
        </w:tc>
      </w:tr>
      <w:tr>
        <w:trPr>
          <w:trHeight w:val="162"/>
        </w:trPr>
        <w:tc>
          <w:tcPr>
            <w:tcW w:w="520" w:type="dxa"/>
            <w:vAlign w:val="bottom"/>
          </w:tcPr>
          <w:p>
            <w:pPr>
              <w:spacing w:after="0"/>
              <w:rPr>
                <w:sz w:val="14"/>
                <w:szCs w:val="14"/>
                <w:color w:val="auto"/>
              </w:rPr>
            </w:pPr>
          </w:p>
        </w:tc>
        <w:tc>
          <w:tcPr>
            <w:tcW w:w="4800" w:type="dxa"/>
            <w:vAlign w:val="bottom"/>
            <w:shd w:val="clear" w:color="auto" w:fill="CFF0FC"/>
          </w:tcPr>
          <w:p>
            <w:pPr>
              <w:ind w:left="180"/>
              <w:spacing w:after="0" w:line="162" w:lineRule="exact"/>
              <w:rPr>
                <w:sz w:val="20"/>
                <w:szCs w:val="20"/>
                <w:color w:val="auto"/>
              </w:rPr>
            </w:pPr>
            <w:r>
              <w:rPr>
                <w:rFonts w:ascii="Times New Roman" w:cs="Times New Roman" w:eastAsia="Times New Roman" w:hAnsi="Times New Roman"/>
                <w:sz w:val="15"/>
                <w:szCs w:val="15"/>
                <w:color w:val="auto"/>
              </w:rPr>
              <w:t>Total</w:t>
            </w:r>
          </w:p>
        </w:tc>
        <w:tc>
          <w:tcPr>
            <w:tcW w:w="1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(0.34)</w:t>
            </w:r>
          </w:p>
        </w:tc>
        <w:tc>
          <w:tcPr>
            <w:tcW w:w="280" w:type="dxa"/>
            <w:vAlign w:val="bottom"/>
            <w:gridSpan w:val="3"/>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FF0FC"/>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(0.13)</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(0.36)</w:t>
            </w:r>
          </w:p>
        </w:tc>
        <w:tc>
          <w:tcPr>
            <w:tcW w:w="20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(0.60)</w:t>
            </w:r>
          </w:p>
        </w:tc>
        <w:tc>
          <w:tcPr>
            <w:tcW w:w="20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FF0FC"/>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(0.60)</w:t>
            </w:r>
          </w:p>
        </w:tc>
        <w:tc>
          <w:tcPr>
            <w:tcW w:w="520" w:type="dxa"/>
            <w:vAlign w:val="bottom"/>
          </w:tcPr>
          <w:p>
            <w:pPr>
              <w:spacing w:after="0"/>
              <w:rPr>
                <w:sz w:val="14"/>
                <w:szCs w:val="14"/>
                <w:color w:val="auto"/>
              </w:rPr>
            </w:pPr>
          </w:p>
        </w:tc>
      </w:tr>
      <w:tr>
        <w:trPr>
          <w:trHeight w:val="162"/>
        </w:trPr>
        <w:tc>
          <w:tcPr>
            <w:tcW w:w="520" w:type="dxa"/>
            <w:vAlign w:val="bottom"/>
          </w:tcPr>
          <w:p>
            <w:pPr>
              <w:spacing w:after="0"/>
              <w:rPr>
                <w:sz w:val="14"/>
                <w:szCs w:val="14"/>
                <w:color w:val="auto"/>
              </w:rPr>
            </w:pPr>
          </w:p>
        </w:tc>
        <w:tc>
          <w:tcPr>
            <w:tcW w:w="4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Weighted average number of shares—</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520" w:type="dxa"/>
            <w:vAlign w:val="bottom"/>
          </w:tcPr>
          <w:p>
            <w:pPr>
              <w:spacing w:after="0"/>
              <w:rPr>
                <w:sz w:val="14"/>
                <w:szCs w:val="14"/>
                <w:color w:val="auto"/>
              </w:rPr>
            </w:pPr>
          </w:p>
        </w:tc>
        <w:tc>
          <w:tcPr>
            <w:tcW w:w="4800" w:type="dxa"/>
            <w:vAlign w:val="bottom"/>
            <w:shd w:val="clear" w:color="auto" w:fill="CFF0FC"/>
          </w:tcPr>
          <w:p>
            <w:pPr>
              <w:ind w:left="180"/>
              <w:spacing w:after="0" w:line="162" w:lineRule="exact"/>
              <w:rPr>
                <w:sz w:val="20"/>
                <w:szCs w:val="20"/>
                <w:color w:val="auto"/>
              </w:rPr>
            </w:pPr>
            <w:r>
              <w:rPr>
                <w:rFonts w:ascii="Times New Roman" w:cs="Times New Roman" w:eastAsia="Times New Roman" w:hAnsi="Times New Roman"/>
                <w:sz w:val="15"/>
                <w:szCs w:val="15"/>
                <w:color w:val="auto"/>
              </w:rPr>
              <w:t>Basic</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36,649,278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5"/>
              <w:spacing w:after="0" w:line="162" w:lineRule="exact"/>
              <w:rPr>
                <w:sz w:val="20"/>
                <w:szCs w:val="20"/>
                <w:color w:val="auto"/>
              </w:rPr>
            </w:pPr>
            <w:r>
              <w:rPr>
                <w:rFonts w:ascii="Times New Roman" w:cs="Times New Roman" w:eastAsia="Times New Roman" w:hAnsi="Times New Roman"/>
                <w:sz w:val="15"/>
                <w:szCs w:val="15"/>
                <w:color w:val="auto"/>
              </w:rPr>
              <w:t>36,454,812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35,934,406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36,504,776</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36,298,491</w:t>
            </w:r>
          </w:p>
        </w:tc>
        <w:tc>
          <w:tcPr>
            <w:tcW w:w="520" w:type="dxa"/>
            <w:vAlign w:val="bottom"/>
          </w:tcPr>
          <w:p>
            <w:pPr>
              <w:spacing w:after="0"/>
              <w:rPr>
                <w:sz w:val="14"/>
                <w:szCs w:val="14"/>
                <w:color w:val="auto"/>
              </w:rPr>
            </w:pPr>
          </w:p>
        </w:tc>
      </w:tr>
      <w:tr>
        <w:trPr>
          <w:trHeight w:val="198"/>
        </w:trPr>
        <w:tc>
          <w:tcPr>
            <w:tcW w:w="520" w:type="dxa"/>
            <w:vAlign w:val="bottom"/>
          </w:tcPr>
          <w:p>
            <w:pPr>
              <w:spacing w:after="0"/>
              <w:rPr>
                <w:sz w:val="17"/>
                <w:szCs w:val="17"/>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Diluted</w:t>
            </w:r>
          </w:p>
        </w:tc>
        <w:tc>
          <w:tcPr>
            <w:tcW w:w="10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36,649,278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36,454,812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35,934,406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36,504,776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36,298,491</w:t>
            </w:r>
          </w:p>
        </w:tc>
        <w:tc>
          <w:tcPr>
            <w:tcW w:w="520" w:type="dxa"/>
            <w:vAlign w:val="bottom"/>
          </w:tcPr>
          <w:p>
            <w:pPr>
              <w:spacing w:after="0"/>
              <w:rPr>
                <w:sz w:val="17"/>
                <w:szCs w:val="17"/>
                <w:color w:val="auto"/>
              </w:rPr>
            </w:pPr>
          </w:p>
        </w:tc>
      </w:tr>
      <w:tr>
        <w:trPr>
          <w:trHeight w:val="1321"/>
        </w:trPr>
        <w:tc>
          <w:tcPr>
            <w:tcW w:w="52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-3933825</wp:posOffset>
            </wp:positionV>
            <wp:extent cx="603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4656455</wp:posOffset>
            </wp:positionH>
            <wp:positionV relativeFrom="paragraph">
              <wp:posOffset>-3933825</wp:posOffset>
            </wp:positionV>
            <wp:extent cx="603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5325110</wp:posOffset>
            </wp:positionH>
            <wp:positionV relativeFrom="paragraph">
              <wp:posOffset>-3933825</wp:posOffset>
            </wp:positionV>
            <wp:extent cx="603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6002020</wp:posOffset>
            </wp:positionH>
            <wp:positionV relativeFrom="paragraph">
              <wp:posOffset>-3933825</wp:posOffset>
            </wp:positionV>
            <wp:extent cx="603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-3299460</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4656455</wp:posOffset>
            </wp:positionH>
            <wp:positionV relativeFrom="paragraph">
              <wp:posOffset>-3299460</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5325110</wp:posOffset>
            </wp:positionH>
            <wp:positionV relativeFrom="paragraph">
              <wp:posOffset>-3299460</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6002020</wp:posOffset>
            </wp:positionH>
            <wp:positionV relativeFrom="paragraph">
              <wp:posOffset>-3299460</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-2030730</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-2013585</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4656455</wp:posOffset>
            </wp:positionH>
            <wp:positionV relativeFrom="paragraph">
              <wp:posOffset>-2030730</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4656455</wp:posOffset>
            </wp:positionH>
            <wp:positionV relativeFrom="paragraph">
              <wp:posOffset>-2013585</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5325110</wp:posOffset>
            </wp:positionH>
            <wp:positionV relativeFrom="paragraph">
              <wp:posOffset>-2030730</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5325110</wp:posOffset>
            </wp:positionH>
            <wp:positionV relativeFrom="paragraph">
              <wp:posOffset>-2013585</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6002020</wp:posOffset>
            </wp:positionH>
            <wp:positionV relativeFrom="paragraph">
              <wp:posOffset>-2030730</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6002020</wp:posOffset>
            </wp:positionH>
            <wp:positionV relativeFrom="paragraph">
              <wp:posOffset>-2013585</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040"/>
          </w:cols>
          <w:pgMar w:left="420" w:top="1150"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5626100</wp:posOffset>
            </wp:positionH>
            <wp:positionV relativeFrom="page">
              <wp:posOffset>405765</wp:posOffset>
            </wp:positionV>
            <wp:extent cx="1328420" cy="265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328420" cy="265430"/>
                    </a:xfrm>
                    <a:prstGeom prst="rect">
                      <a:avLst/>
                    </a:prstGeom>
                    <a:noFill/>
                  </pic:spPr>
                </pic:pic>
              </a:graphicData>
            </a:graphic>
          </wp:anchor>
        </w:drawing>
        <w:t>MAGNACHIP SEMICONDUCTOR CORPORATION AND SUBSIDIARIES</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(In thousands of U.S. dollars, except share data)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96"/>
        </w:trPr>
        <w:tc>
          <w:tcPr>
            <w:tcW w:w="520" w:type="dxa"/>
            <w:vAlign w:val="bottom"/>
          </w:tcPr>
          <w:p>
            <w:pPr>
              <w:spacing w:after="0"/>
              <w:rPr>
                <w:sz w:val="17"/>
                <w:szCs w:val="17"/>
                <w:color w:val="auto"/>
              </w:rPr>
            </w:pPr>
          </w:p>
        </w:tc>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6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86,911</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103,756</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6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24,870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26,022</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6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Inventories, net</w:t>
            </w:r>
          </w:p>
        </w:tc>
        <w:tc>
          <w:tcPr>
            <w:tcW w:w="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40,444</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34,151</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6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receivables</w:t>
            </w:r>
          </w:p>
        </w:tc>
        <w:tc>
          <w:tcPr>
            <w:tcW w:w="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2,882</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6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4,723</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5,062</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6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Hedge collateral</w:t>
            </w:r>
          </w:p>
        </w:tc>
        <w:tc>
          <w:tcPr>
            <w:tcW w:w="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1,200</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69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7,500</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3,782</w:t>
            </w:r>
          </w:p>
        </w:tc>
        <w:tc>
          <w:tcPr>
            <w:tcW w:w="52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169,278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176,855</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103,381</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100,204</w:t>
            </w:r>
          </w:p>
        </w:tc>
        <w:tc>
          <w:tcPr>
            <w:tcW w:w="520" w:type="dxa"/>
            <w:vAlign w:val="bottom"/>
          </w:tcPr>
          <w:p>
            <w:pPr>
              <w:spacing w:after="0"/>
              <w:rPr>
                <w:sz w:val="17"/>
                <w:szCs w:val="17"/>
                <w:color w:val="auto"/>
              </w:rPr>
            </w:pPr>
          </w:p>
        </w:tc>
      </w:tr>
      <w:tr>
        <w:trPr>
          <w:trHeight w:val="202"/>
        </w:trPr>
        <w:tc>
          <w:tcPr>
            <w:tcW w:w="5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2,070</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460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454</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Long-term prepaid expenses</w:t>
            </w:r>
          </w:p>
        </w:tc>
        <w:tc>
          <w:tcPr>
            <w:tcW w:w="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584</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62,086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64,248</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6,644</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7,114</w:t>
            </w:r>
          </w:p>
        </w:tc>
        <w:tc>
          <w:tcPr>
            <w:tcW w:w="520" w:type="dxa"/>
            <w:vAlign w:val="bottom"/>
          </w:tcPr>
          <w:p>
            <w:pPr>
              <w:spacing w:after="0"/>
              <w:rPr>
                <w:sz w:val="17"/>
                <w:szCs w:val="17"/>
                <w:color w:val="auto"/>
              </w:rPr>
            </w:pPr>
          </w:p>
        </w:tc>
      </w:tr>
      <w:tr>
        <w:trPr>
          <w:trHeight w:val="236"/>
        </w:trPr>
        <w:tc>
          <w:tcPr>
            <w:tcW w:w="520" w:type="dxa"/>
            <w:vAlign w:val="bottom"/>
          </w:tcPr>
          <w:p>
            <w:pPr>
              <w:spacing w:after="0"/>
              <w:rPr>
                <w:sz w:val="20"/>
                <w:szCs w:val="20"/>
                <w:color w:val="auto"/>
              </w:rPr>
            </w:pPr>
          </w:p>
        </w:tc>
        <w:tc>
          <w:tcPr>
            <w:tcW w:w="6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343,790</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351,529</w:t>
            </w:r>
          </w:p>
        </w:tc>
        <w:tc>
          <w:tcPr>
            <w:tcW w:w="520" w:type="dxa"/>
            <w:vAlign w:val="bottom"/>
          </w:tcPr>
          <w:p>
            <w:pPr>
              <w:spacing w:after="0"/>
              <w:rPr>
                <w:sz w:val="20"/>
                <w:szCs w:val="20"/>
                <w:color w:val="auto"/>
              </w:rPr>
            </w:pPr>
          </w:p>
        </w:tc>
      </w:tr>
      <w:tr>
        <w:trPr>
          <w:trHeight w:val="183"/>
        </w:trPr>
        <w:tc>
          <w:tcPr>
            <w:tcW w:w="520" w:type="dxa"/>
            <w:vAlign w:val="bottom"/>
          </w:tcPr>
          <w:p>
            <w:pPr>
              <w:spacing w:after="0"/>
              <w:rPr>
                <w:sz w:val="15"/>
                <w:szCs w:val="15"/>
                <w:color w:val="auto"/>
              </w:rPr>
            </w:pPr>
          </w:p>
        </w:tc>
        <w:tc>
          <w:tcPr>
            <w:tcW w:w="6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r>
      <w:tr>
        <w:trPr>
          <w:trHeight w:val="203"/>
        </w:trPr>
        <w:tc>
          <w:tcPr>
            <w:tcW w:w="520" w:type="dxa"/>
            <w:vAlign w:val="bottom"/>
          </w:tcPr>
          <w:p>
            <w:pPr>
              <w:spacing w:after="0"/>
              <w:rPr>
                <w:sz w:val="17"/>
                <w:szCs w:val="17"/>
                <w:color w:val="auto"/>
              </w:rPr>
            </w:pPr>
          </w:p>
        </w:tc>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6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19,513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20,848</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6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 accounts payable</w:t>
            </w:r>
          </w:p>
        </w:tc>
        <w:tc>
          <w:tcPr>
            <w:tcW w:w="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4,402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11,444</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6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w:t>
            </w:r>
          </w:p>
        </w:tc>
        <w:tc>
          <w:tcPr>
            <w:tcW w:w="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7,066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6,929</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6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Accrued income taxes</w:t>
            </w:r>
          </w:p>
        </w:tc>
        <w:tc>
          <w:tcPr>
            <w:tcW w:w="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81</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6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1,427</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6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borrowings</w:t>
            </w:r>
          </w:p>
        </w:tc>
        <w:tc>
          <w:tcPr>
            <w:tcW w:w="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29,998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6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1,682</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2,681</w:t>
            </w:r>
          </w:p>
        </w:tc>
        <w:tc>
          <w:tcPr>
            <w:tcW w:w="52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69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63,884</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43,410</w:t>
            </w:r>
          </w:p>
        </w:tc>
        <w:tc>
          <w:tcPr>
            <w:tcW w:w="52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Long-term borrowings</w:t>
            </w:r>
          </w:p>
        </w:tc>
        <w:tc>
          <w:tcPr>
            <w:tcW w:w="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17,112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44,599</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severance benefits, net</w:t>
            </w:r>
          </w:p>
        </w:tc>
        <w:tc>
          <w:tcPr>
            <w:tcW w:w="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14,429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11,502</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690</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2,737</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3,078</w:t>
            </w:r>
          </w:p>
        </w:tc>
        <w:tc>
          <w:tcPr>
            <w:tcW w:w="52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98,374</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103,279</w:t>
            </w:r>
          </w:p>
        </w:tc>
        <w:tc>
          <w:tcPr>
            <w:tcW w:w="52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89"/>
        </w:trPr>
        <w:tc>
          <w:tcPr>
            <w:tcW w:w="520" w:type="dxa"/>
            <w:vAlign w:val="bottom"/>
          </w:tcPr>
          <w:p>
            <w:pPr>
              <w:spacing w:after="0"/>
              <w:rPr>
                <w:sz w:val="16"/>
                <w:szCs w:val="16"/>
                <w:color w:val="auto"/>
              </w:rPr>
            </w:pPr>
          </w:p>
        </w:tc>
        <w:tc>
          <w:tcPr>
            <w:tcW w:w="6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Common stock, $0.01 par value, 150,000,000 shares authorized, 59,849,913 shares issued and</w:t>
            </w:r>
          </w:p>
        </w:tc>
        <w:tc>
          <w:tcPr>
            <w:tcW w:w="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52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69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38,041,317 outstanding at September 30, 2026 and 58,027,696 shares issued and 36,219,100</w:t>
            </w:r>
          </w:p>
        </w:tc>
        <w:tc>
          <w:tcPr>
            <w:tcW w:w="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216"/>
        </w:trPr>
        <w:tc>
          <w:tcPr>
            <w:tcW w:w="520" w:type="dxa"/>
            <w:vAlign w:val="bottom"/>
          </w:tcPr>
          <w:p>
            <w:pPr>
              <w:spacing w:after="0"/>
              <w:rPr>
                <w:sz w:val="18"/>
                <w:szCs w:val="18"/>
                <w:color w:val="auto"/>
              </w:rPr>
            </w:pPr>
          </w:p>
        </w:tc>
        <w:tc>
          <w:tcPr>
            <w:tcW w:w="69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outstanding at December 31, 2025</w:t>
            </w:r>
          </w:p>
        </w:tc>
        <w:tc>
          <w:tcPr>
            <w:tcW w:w="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598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579</w:t>
            </w:r>
          </w:p>
        </w:tc>
        <w:tc>
          <w:tcPr>
            <w:tcW w:w="520" w:type="dxa"/>
            <w:vAlign w:val="bottom"/>
          </w:tcPr>
          <w:p>
            <w:pPr>
              <w:spacing w:after="0"/>
              <w:rPr>
                <w:sz w:val="18"/>
                <w:szCs w:val="18"/>
                <w:color w:val="auto"/>
              </w:rPr>
            </w:pPr>
          </w:p>
        </w:tc>
      </w:tr>
      <w:tr>
        <w:trPr>
          <w:trHeight w:val="203"/>
        </w:trPr>
        <w:tc>
          <w:tcPr>
            <w:tcW w:w="520" w:type="dxa"/>
            <w:vAlign w:val="bottom"/>
          </w:tcPr>
          <w:p>
            <w:pPr>
              <w:spacing w:after="0"/>
              <w:rPr>
                <w:sz w:val="17"/>
                <w:szCs w:val="17"/>
                <w:color w:val="auto"/>
              </w:rPr>
            </w:pPr>
          </w:p>
        </w:tc>
        <w:tc>
          <w:tcPr>
            <w:tcW w:w="6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290,472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281,537</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6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192,847</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214,852</w:t>
            </w:r>
          </w:p>
        </w:tc>
        <w:tc>
          <w:tcPr>
            <w:tcW w:w="520" w:type="dxa"/>
            <w:vAlign w:val="bottom"/>
          </w:tcPr>
          <w:p>
            <w:pPr>
              <w:spacing w:after="0"/>
              <w:rPr>
                <w:sz w:val="17"/>
                <w:szCs w:val="17"/>
                <w:color w:val="auto"/>
              </w:rPr>
            </w:pPr>
          </w:p>
        </w:tc>
      </w:tr>
      <w:tr>
        <w:trPr>
          <w:trHeight w:val="189"/>
        </w:trPr>
        <w:tc>
          <w:tcPr>
            <w:tcW w:w="520" w:type="dxa"/>
            <w:vAlign w:val="bottom"/>
          </w:tcPr>
          <w:p>
            <w:pPr>
              <w:spacing w:after="0"/>
              <w:rPr>
                <w:sz w:val="16"/>
                <w:szCs w:val="16"/>
                <w:color w:val="auto"/>
              </w:rPr>
            </w:pPr>
          </w:p>
        </w:tc>
        <w:tc>
          <w:tcPr>
            <w:tcW w:w="6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Treasury stock, 21,808,596 shares at September 30, 2026 and 21,808,596 shares at December 31,</w:t>
            </w: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13"/>
        </w:trPr>
        <w:tc>
          <w:tcPr>
            <w:tcW w:w="520" w:type="dxa"/>
            <w:vAlign w:val="bottom"/>
          </w:tcPr>
          <w:p>
            <w:pPr>
              <w:spacing w:after="0"/>
              <w:rPr>
                <w:sz w:val="18"/>
                <w:szCs w:val="18"/>
                <w:color w:val="auto"/>
              </w:rPr>
            </w:pPr>
          </w:p>
        </w:tc>
        <w:tc>
          <w:tcPr>
            <w:tcW w:w="69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2025, respectively</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(229,910)</w:t>
            </w:r>
          </w:p>
        </w:tc>
        <w:tc>
          <w:tcPr>
            <w:tcW w:w="520" w:type="dxa"/>
            <w:vAlign w:val="bottom"/>
          </w:tcPr>
          <w:p>
            <w:pPr>
              <w:spacing w:after="0"/>
              <w:rPr>
                <w:sz w:val="18"/>
                <w:szCs w:val="18"/>
                <w:color w:val="auto"/>
              </w:rPr>
            </w:pPr>
          </w:p>
        </w:tc>
      </w:tr>
      <w:tr>
        <w:trPr>
          <w:trHeight w:val="205"/>
        </w:trPr>
        <w:tc>
          <w:tcPr>
            <w:tcW w:w="520" w:type="dxa"/>
            <w:vAlign w:val="bottom"/>
          </w:tcPr>
          <w:p>
            <w:pPr>
              <w:spacing w:after="0"/>
              <w:rPr>
                <w:sz w:val="17"/>
                <w:szCs w:val="17"/>
                <w:color w:val="auto"/>
              </w:rPr>
            </w:pPr>
          </w:p>
        </w:tc>
        <w:tc>
          <w:tcPr>
            <w:tcW w:w="69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(8,591)</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(18,808)</w:t>
            </w:r>
          </w:p>
        </w:tc>
        <w:tc>
          <w:tcPr>
            <w:tcW w:w="52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245,416</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248,250</w:t>
            </w:r>
          </w:p>
        </w:tc>
        <w:tc>
          <w:tcPr>
            <w:tcW w:w="520" w:type="dxa"/>
            <w:vAlign w:val="bottom"/>
          </w:tcPr>
          <w:p>
            <w:pPr>
              <w:spacing w:after="0"/>
              <w:rPr>
                <w:sz w:val="17"/>
                <w:szCs w:val="17"/>
                <w:color w:val="auto"/>
              </w:rPr>
            </w:pPr>
          </w:p>
        </w:tc>
      </w:tr>
      <w:tr>
        <w:trPr>
          <w:trHeight w:val="236"/>
        </w:trPr>
        <w:tc>
          <w:tcPr>
            <w:tcW w:w="520" w:type="dxa"/>
            <w:vAlign w:val="bottom"/>
          </w:tcPr>
          <w:p>
            <w:pPr>
              <w:spacing w:after="0"/>
              <w:rPr>
                <w:sz w:val="20"/>
                <w:szCs w:val="20"/>
                <w:color w:val="auto"/>
              </w:rPr>
            </w:pPr>
          </w:p>
        </w:tc>
        <w:tc>
          <w:tcPr>
            <w:tcW w:w="6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343,790</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351,529</w:t>
            </w:r>
          </w:p>
        </w:tc>
        <w:tc>
          <w:tcPr>
            <w:tcW w:w="520" w:type="dxa"/>
            <w:vAlign w:val="bottom"/>
          </w:tcPr>
          <w:p>
            <w:pPr>
              <w:spacing w:after="0"/>
              <w:rPr>
                <w:sz w:val="20"/>
                <w:szCs w:val="20"/>
                <w:color w:val="auto"/>
              </w:rPr>
            </w:pPr>
          </w:p>
        </w:tc>
      </w:tr>
      <w:tr>
        <w:trPr>
          <w:trHeight w:val="1337"/>
        </w:trPr>
        <w:tc>
          <w:tcPr>
            <w:tcW w:w="520" w:type="dxa"/>
            <w:vAlign w:val="bottom"/>
            <w:tcBorders>
              <w:bottom w:val="single" w:sz="8" w:color="9A9A9A"/>
            </w:tcBorders>
          </w:tcPr>
          <w:p>
            <w:pPr>
              <w:spacing w:after="0"/>
              <w:rPr>
                <w:sz w:val="24"/>
                <w:szCs w:val="24"/>
                <w:color w:val="auto"/>
              </w:rPr>
            </w:pPr>
          </w:p>
        </w:tc>
        <w:tc>
          <w:tcPr>
            <w:tcW w:w="690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138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1380" w:type="dxa"/>
            <w:vAlign w:val="bottom"/>
            <w:tcBorders>
              <w:top w:val="single" w:sz="8" w:color="auto"/>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5641975</wp:posOffset>
            </wp:positionH>
            <wp:positionV relativeFrom="paragraph">
              <wp:posOffset>-5494020</wp:posOffset>
            </wp:positionV>
            <wp:extent cx="946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5641975</wp:posOffset>
            </wp:positionH>
            <wp:positionV relativeFrom="paragraph">
              <wp:posOffset>-4448175</wp:posOffset>
            </wp:positionV>
            <wp:extent cx="946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5641975</wp:posOffset>
            </wp:positionH>
            <wp:positionV relativeFrom="paragraph">
              <wp:posOffset>-4431030</wp:posOffset>
            </wp:positionV>
            <wp:extent cx="946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5641975</wp:posOffset>
            </wp:positionH>
            <wp:positionV relativeFrom="paragraph">
              <wp:posOffset>-3128010</wp:posOffset>
            </wp:positionV>
            <wp:extent cx="946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5641975</wp:posOffset>
            </wp:positionH>
            <wp:positionV relativeFrom="paragraph">
              <wp:posOffset>-2605405</wp:posOffset>
            </wp:positionV>
            <wp:extent cx="946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5641975</wp:posOffset>
            </wp:positionH>
            <wp:positionV relativeFrom="paragraph">
              <wp:posOffset>-1173480</wp:posOffset>
            </wp:positionV>
            <wp:extent cx="946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5641975</wp:posOffset>
            </wp:positionH>
            <wp:positionV relativeFrom="paragraph">
              <wp:posOffset>-899160</wp:posOffset>
            </wp:positionV>
            <wp:extent cx="946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5641975</wp:posOffset>
            </wp:positionH>
            <wp:positionV relativeFrom="paragraph">
              <wp:posOffset>-882015</wp:posOffset>
            </wp:positionV>
            <wp:extent cx="946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ectPr>
          <w:pgSz w:w="11900" w:h="16838" w:orient="portrait"/>
          <w:cols w:equalWidth="0" w:num="1">
            <w:col w:w="11040"/>
          </w:cols>
          <w:pgMar w:left="420" w:top="1150" w:right="4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5626100</wp:posOffset>
            </wp:positionH>
            <wp:positionV relativeFrom="page">
              <wp:posOffset>405765</wp:posOffset>
            </wp:positionV>
            <wp:extent cx="1328420" cy="265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328420" cy="265430"/>
                    </a:xfrm>
                    <a:prstGeom prst="rect">
                      <a:avLst/>
                    </a:prstGeom>
                    <a:noFill/>
                  </pic:spPr>
                </pic:pic>
              </a:graphicData>
            </a:graphic>
          </wp:anchor>
        </w:drawing>
        <w:t>MAGNACHIP SEMICONDUCTOR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U.S. dollars)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73"/>
        </w:trPr>
        <w:tc>
          <w:tcPr>
            <w:tcW w:w="5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18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r>
      <w:tr>
        <w:trPr>
          <w:trHeight w:val="117"/>
        </w:trPr>
        <w:tc>
          <w:tcPr>
            <w:tcW w:w="5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520" w:type="dxa"/>
            <w:vAlign w:val="bottom"/>
          </w:tcPr>
          <w:p>
            <w:pPr>
              <w:spacing w:after="0"/>
              <w:rPr>
                <w:sz w:val="10"/>
                <w:szCs w:val="10"/>
                <w:color w:val="auto"/>
              </w:rPr>
            </w:pPr>
          </w:p>
        </w:tc>
      </w:tr>
      <w:tr>
        <w:trPr>
          <w:trHeight w:val="173"/>
        </w:trPr>
        <w:tc>
          <w:tcPr>
            <w:tcW w:w="5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5"/>
                <w:szCs w:val="15"/>
                <w:color w:val="auto"/>
              </w:rPr>
            </w:pPr>
          </w:p>
        </w:tc>
      </w:tr>
      <w:tr>
        <w:trPr>
          <w:trHeight w:val="196"/>
        </w:trPr>
        <w:tc>
          <w:tcPr>
            <w:tcW w:w="520" w:type="dxa"/>
            <w:vAlign w:val="bottom"/>
          </w:tcPr>
          <w:p>
            <w:pPr>
              <w:spacing w:after="0"/>
              <w:rPr>
                <w:sz w:val="17"/>
                <w:szCs w:val="17"/>
                <w:color w:val="auto"/>
              </w:rPr>
            </w:pPr>
          </w:p>
        </w:tc>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(21,645)</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8,588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9,938</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Provision for severance benefits</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1,273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3,611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2,868</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foreign currency, net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(10,612)</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Provision (reversal) for inventory reserves</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845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1,919</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2,366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4,028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1,615</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Impairment charges</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12,424</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from disposal of investment securities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5,428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5,436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Others, net</w:t>
            </w:r>
          </w:p>
        </w:tc>
        <w:tc>
          <w:tcPr>
            <w:tcW w:w="12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220</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2,036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(7,610)</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(7,131)</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receivables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1,704</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5,325</w:t>
            </w:r>
          </w:p>
        </w:tc>
        <w:tc>
          <w:tcPr>
            <w:tcW w:w="520" w:type="dxa"/>
            <w:vAlign w:val="bottom"/>
          </w:tcPr>
          <w:p>
            <w:pPr>
              <w:spacing w:after="0"/>
              <w:rPr>
                <w:sz w:val="17"/>
                <w:szCs w:val="17"/>
                <w:color w:val="auto"/>
              </w:rPr>
            </w:pPr>
          </w:p>
        </w:tc>
      </w:tr>
      <w:tr>
        <w:trPr>
          <w:trHeight w:val="202"/>
        </w:trPr>
        <w:tc>
          <w:tcPr>
            <w:tcW w:w="520" w:type="dxa"/>
            <w:vAlign w:val="bottom"/>
          </w:tcPr>
          <w:p>
            <w:pPr>
              <w:spacing w:after="0"/>
              <w:rPr>
                <w:sz w:val="17"/>
                <w:szCs w:val="17"/>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(3,247)</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641</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accounts payable</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(6,803)</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Accrued expenses</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(1,464)</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1,925</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income taxes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433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593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2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Payment of severance benefits</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(10,669)</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Others, net</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3,446</w:t>
            </w:r>
          </w:p>
        </w:tc>
        <w:tc>
          <w:tcPr>
            <w:tcW w:w="52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(18,206)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(21,152)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(29,639)</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Proceeds from settlement of hedge collateral</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5,335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9,669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2,237</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 of hedge collateral</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Proceeds from disposal of property, plant and equipment</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554</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(19,739)</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Payment for intellectual property registration</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 of investment securities</w:t>
            </w:r>
          </w:p>
        </w:tc>
        <w:tc>
          <w:tcPr>
            <w:tcW w:w="12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2,157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2,157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Collection of guarantee deposits</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2,030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4,274</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 of guarantee deposits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Others, net</w:t>
            </w:r>
          </w:p>
        </w:tc>
        <w:tc>
          <w:tcPr>
            <w:tcW w:w="1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180</w:t>
            </w:r>
          </w:p>
        </w:tc>
        <w:tc>
          <w:tcPr>
            <w:tcW w:w="52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2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4,172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(13,031)</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long-term borrowings</w:t>
            </w:r>
          </w:p>
        </w:tc>
        <w:tc>
          <w:tcPr>
            <w:tcW w:w="12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10,611</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4,859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4,925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 of treasury stock</w:t>
            </w:r>
          </w:p>
        </w:tc>
        <w:tc>
          <w:tcPr>
            <w:tcW w:w="12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(4,340)</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Repayment of financing related to water treatment facility arrangement</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 of principal portion of finance lease liabilities</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52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4,713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4,295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5,809</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rates on cash and cash equivalents</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8,296</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2,728</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6,256</w:t>
            </w:r>
          </w:p>
        </w:tc>
        <w:tc>
          <w:tcPr>
            <w:tcW w:w="52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(16,845)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(30,605)</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of the period</w:t>
            </w:r>
          </w:p>
        </w:tc>
        <w:tc>
          <w:tcPr>
            <w:tcW w:w="1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87,936</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103,756</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138,610</w:t>
            </w:r>
          </w:p>
        </w:tc>
        <w:tc>
          <w:tcPr>
            <w:tcW w:w="52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End of the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86,911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86,911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108,005</w:t>
            </w:r>
          </w:p>
        </w:tc>
        <w:tc>
          <w:tcPr>
            <w:tcW w:w="52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37"/>
        </w:trPr>
        <w:tc>
          <w:tcPr>
            <w:tcW w:w="520" w:type="dxa"/>
            <w:vAlign w:val="bottom"/>
            <w:tcBorders>
              <w:bottom w:val="single" w:sz="8" w:color="9A9A9A"/>
            </w:tcBorders>
          </w:tcPr>
          <w:p>
            <w:pPr>
              <w:spacing w:after="0"/>
              <w:rPr>
                <w:sz w:val="24"/>
                <w:szCs w:val="24"/>
                <w:color w:val="auto"/>
              </w:rPr>
            </w:pPr>
          </w:p>
        </w:tc>
        <w:tc>
          <w:tcPr>
            <w:tcW w:w="5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4887595</wp:posOffset>
            </wp:positionH>
            <wp:positionV relativeFrom="paragraph">
              <wp:posOffset>-2605405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-2605405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4887595</wp:posOffset>
            </wp:positionH>
            <wp:positionV relativeFrom="paragraph">
              <wp:posOffset>-1036320</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-1036320</wp:posOffset>
            </wp:positionV>
            <wp:extent cx="76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1040"/>
          </w:cols>
          <w:pgMar w:left="420" w:top="1366" w:right="4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5626100</wp:posOffset>
            </wp:positionH>
            <wp:positionV relativeFrom="page">
              <wp:posOffset>405765</wp:posOffset>
            </wp:positionV>
            <wp:extent cx="1328420" cy="265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328420" cy="265430"/>
                    </a:xfrm>
                    <a:prstGeom prst="rect">
                      <a:avLst/>
                    </a:prstGeom>
                    <a:noFill/>
                  </pic:spPr>
                </pic:pic>
              </a:graphicData>
            </a:graphic>
          </wp:anchor>
        </w:drawing>
        <w:t>MAGNACHIP SEMICONDUCTOR CORPORATION AND SUBSIDIARIES</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RECONCILIATION OF OPERATING LOSS FROM CONTINUING OPERATIONS TO ADJUSTED OPERATING LOSS FROM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CONTINUING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U.S. dollars)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4580" w:type="dxa"/>
            <w:vAlign w:val="bottom"/>
          </w:tcPr>
          <w:p>
            <w:pPr>
              <w:spacing w:after="0"/>
              <w:rPr>
                <w:sz w:val="10"/>
                <w:szCs w:val="10"/>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0"/>
                <w:szCs w:val="10"/>
                <w:color w:val="auto"/>
              </w:rPr>
            </w:pPr>
          </w:p>
        </w:tc>
        <w:tc>
          <w:tcPr>
            <w:tcW w:w="900" w:type="dxa"/>
            <w:vAlign w:val="bottom"/>
          </w:tcPr>
          <w:p>
            <w:pPr>
              <w:jc w:val="right"/>
              <w:ind w:right="144"/>
              <w:spacing w:after="0" w:line="118"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ind w:right="144"/>
              <w:spacing w:after="0" w:line="118"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ind w:right="144"/>
              <w:spacing w:after="0" w:line="118"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384"/>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384"/>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384"/>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 continuing operations</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(12,880)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(9,976)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(11,538)</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(30,026)</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(23,414)</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Adjustments:</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2,366</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1,019</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4,028</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1,967</w:t>
            </w:r>
          </w:p>
        </w:tc>
        <w:tc>
          <w:tcPr>
            <w:tcW w:w="0" w:type="dxa"/>
            <w:vAlign w:val="bottom"/>
          </w:tcPr>
          <w:p>
            <w:pPr>
              <w:spacing w:after="0"/>
              <w:rPr>
                <w:sz w:val="1"/>
                <w:szCs w:val="1"/>
                <w:color w:val="auto"/>
              </w:rPr>
            </w:pPr>
          </w:p>
        </w:tc>
      </w:tr>
      <w:tr>
        <w:trPr>
          <w:trHeight w:val="203"/>
        </w:trPr>
        <w:tc>
          <w:tcPr>
            <w:tcW w:w="4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Early termination and other charges</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1,921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1,981</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rPr>
              <w:t>3,994</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rPr>
              <w:t>3,902</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rPr>
              <w:t>4,840</w:t>
            </w:r>
          </w:p>
        </w:tc>
        <w:tc>
          <w:tcPr>
            <w:tcW w:w="0" w:type="dxa"/>
            <w:vAlign w:val="bottom"/>
          </w:tcPr>
          <w:p>
            <w:pPr>
              <w:spacing w:after="0"/>
              <w:rPr>
                <w:sz w:val="1"/>
                <w:szCs w:val="1"/>
                <w:color w:val="auto"/>
              </w:rPr>
            </w:pPr>
          </w:p>
        </w:tc>
      </w:tr>
      <w:tr>
        <w:trPr>
          <w:trHeight w:val="236"/>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Adjusted Operating Loss– continuing operations</w:t>
            </w:r>
          </w:p>
        </w:tc>
        <w:tc>
          <w:tcPr>
            <w:tcW w:w="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(8,593)</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(6,976)</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(7,421)</w:t>
            </w: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(22,096)</w:t>
            </w: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4977765</wp:posOffset>
            </wp:positionH>
            <wp:positionV relativeFrom="paragraph">
              <wp:posOffset>-24765</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4977765</wp:posOffset>
            </wp:positionH>
            <wp:positionV relativeFrom="paragraph">
              <wp:posOffset>-7620</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5663565</wp:posOffset>
            </wp:positionH>
            <wp:positionV relativeFrom="paragraph">
              <wp:posOffset>-24765</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5663565</wp:posOffset>
            </wp:positionH>
            <wp:positionV relativeFrom="paragraph">
              <wp:posOffset>-7620</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9" w:lineRule="exact"/>
        <w:rPr>
          <w:sz w:val="20"/>
          <w:szCs w:val="20"/>
          <w:color w:val="auto"/>
        </w:rPr>
      </w:pPr>
    </w:p>
    <w:p>
      <w:pPr>
        <w:jc w:val="both"/>
        <w:ind w:right="80" w:firstLine="648"/>
        <w:spacing w:after="0" w:line="281" w:lineRule="auto"/>
        <w:rPr>
          <w:sz w:val="20"/>
          <w:szCs w:val="20"/>
          <w:color w:val="auto"/>
        </w:rPr>
      </w:pPr>
      <w:r>
        <w:rPr>
          <w:rFonts w:ascii="Times New Roman" w:cs="Times New Roman" w:eastAsia="Times New Roman" w:hAnsi="Times New Roman"/>
          <w:sz w:val="16"/>
          <w:szCs w:val="16"/>
          <w:color w:val="auto"/>
        </w:rPr>
        <w:t>We present Adjusted Operating Loss from continuing operations as a supplemental measure of our performance. We define Adjusted Operating Loss from continuing operations for the periods indicated as operating loss from continuing operations adjusted to exclude (i) Equity-based compensation expense and (ii) Early termination and other charges.</w:t>
      </w:r>
    </w:p>
    <w:p>
      <w:pPr>
        <w:spacing w:after="0" w:line="164" w:lineRule="exact"/>
        <w:rPr>
          <w:sz w:val="20"/>
          <w:szCs w:val="20"/>
          <w:color w:val="auto"/>
        </w:rPr>
      </w:pPr>
    </w:p>
    <w:p>
      <w:pPr>
        <w:jc w:val="both"/>
        <w:ind w:right="60" w:firstLine="648"/>
        <w:spacing w:after="0" w:line="275" w:lineRule="auto"/>
        <w:rPr>
          <w:sz w:val="20"/>
          <w:szCs w:val="20"/>
          <w:color w:val="auto"/>
        </w:rPr>
      </w:pPr>
      <w:r>
        <w:rPr>
          <w:rFonts w:ascii="Times New Roman" w:cs="Times New Roman" w:eastAsia="Times New Roman" w:hAnsi="Times New Roman"/>
          <w:sz w:val="16"/>
          <w:szCs w:val="16"/>
          <w:color w:val="auto"/>
        </w:rPr>
        <w:t>For the three months ended September 30, 2026, we recorded $1,921 thousand of other charges in our consolidated statement of operations, consisting of $601 thousand in tax-related charges and $1,320 thousand of costs associated with the electrical substation upgrade in our Gumi fabrication facility. For the nine months ended September 30, 2026, we recorded $3,902 thousand of other charges, which also included a $1,095 thousand customer goodwill payment related to a certain product, and $886 thousand of one-time employee incentives recorded in the first half of 2026.</w:t>
      </w:r>
    </w:p>
    <w:p>
      <w:pPr>
        <w:spacing w:after="0" w:line="169" w:lineRule="exact"/>
        <w:rPr>
          <w:sz w:val="20"/>
          <w:szCs w:val="20"/>
          <w:color w:val="auto"/>
        </w:rPr>
      </w:pPr>
    </w:p>
    <w:p>
      <w:pPr>
        <w:jc w:val="both"/>
        <w:ind w:right="60" w:firstLine="648"/>
        <w:spacing w:after="0" w:line="275" w:lineRule="auto"/>
        <w:rPr>
          <w:sz w:val="20"/>
          <w:szCs w:val="20"/>
          <w:color w:val="auto"/>
        </w:rPr>
      </w:pPr>
      <w:r>
        <w:rPr>
          <w:rFonts w:ascii="Times New Roman" w:cs="Times New Roman" w:eastAsia="Times New Roman" w:hAnsi="Times New Roman"/>
          <w:sz w:val="16"/>
          <w:szCs w:val="16"/>
          <w:color w:val="auto"/>
        </w:rPr>
        <w:t>For the three months ended September 30, 2025, we recorded $2,599 thousand of termination-related charges in connection with the voluntary resignation program and $1,395 thousand of certain executive separation benefits in our consolidated statement of operations. For the nine months ended September 30, 2025, we recorded $4,840 thousand of other charges, which also included $350 thousand of certain executive separation benefits and $496 thousand of one-time employee incentives recorded in the first half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695325</wp:posOffset>
            </wp:positionV>
            <wp:extent cx="703770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00"/>
          </w:cols>
          <w:pgMar w:left="940" w:top="1150" w:right="9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5626100</wp:posOffset>
            </wp:positionH>
            <wp:positionV relativeFrom="page">
              <wp:posOffset>406400</wp:posOffset>
            </wp:positionV>
            <wp:extent cx="1328420" cy="265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328420" cy="265430"/>
                    </a:xfrm>
                    <a:prstGeom prst="rect">
                      <a:avLst/>
                    </a:prstGeom>
                    <a:noFill/>
                  </pic:spPr>
                </pic:pic>
              </a:graphicData>
            </a:graphic>
          </wp:anchor>
        </w:drawing>
        <w:t>MAGNACHIP SEMICONDUCTOR CORPORATION AND SUBSIDIARIES</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RECONCILIATION OF LOSS FROM CONTINUING OPERATIONS TO ADJUSTED EBITDA FROM CONTINUING OPERATIONS AND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ADJUSTED LOSS FROM CONTINUING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U.S. dollars, except share data)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jc w:val="cente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4580" w:type="dxa"/>
            <w:vAlign w:val="bottom"/>
          </w:tcPr>
          <w:p>
            <w:pPr>
              <w:spacing w:after="0"/>
              <w:rPr>
                <w:sz w:val="10"/>
                <w:szCs w:val="10"/>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0"/>
                <w:szCs w:val="10"/>
                <w:color w:val="auto"/>
              </w:rPr>
            </w:pPr>
          </w:p>
        </w:tc>
        <w:tc>
          <w:tcPr>
            <w:tcW w:w="900" w:type="dxa"/>
            <w:vAlign w:val="bottom"/>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ind w:right="141"/>
              <w:spacing w:after="0" w:line="118"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381"/>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(13,286)</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(10,609)</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(25,584)</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(5,457)</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(4,117)</w:t>
            </w:r>
          </w:p>
        </w:tc>
        <w:tc>
          <w:tcPr>
            <w:tcW w:w="0" w:type="dxa"/>
            <w:vAlign w:val="bottom"/>
          </w:tcPr>
          <w:p>
            <w:pPr>
              <w:spacing w:after="0"/>
              <w:rPr>
                <w:sz w:val="1"/>
                <w:szCs w:val="1"/>
                <w:color w:val="auto"/>
              </w:rPr>
            </w:pPr>
          </w:p>
        </w:tc>
      </w:tr>
      <w:tr>
        <w:trPr>
          <w:trHeight w:val="203"/>
        </w:trPr>
        <w:tc>
          <w:tcPr>
            <w:tcW w:w="4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1,265</w:t>
            </w: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Income tax expense (benefit), net</w:t>
            </w: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4,871</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(4,170)</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(8,709)</w:t>
            </w:r>
          </w:p>
        </w:tc>
        <w:tc>
          <w:tcPr>
            <w:tcW w:w="0" w:type="dxa"/>
            <w:vAlign w:val="bottom"/>
          </w:tcPr>
          <w:p>
            <w:pPr>
              <w:spacing w:after="0"/>
              <w:rPr>
                <w:sz w:val="1"/>
                <w:szCs w:val="1"/>
                <w:color w:val="auto"/>
              </w:rPr>
            </w:pPr>
          </w:p>
        </w:tc>
      </w:tr>
      <w:tr>
        <w:trPr>
          <w:trHeight w:val="203"/>
        </w:trPr>
        <w:tc>
          <w:tcPr>
            <w:tcW w:w="4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2,943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2,750</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3,204</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8,570</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9,561</w:t>
            </w:r>
          </w:p>
        </w:tc>
        <w:tc>
          <w:tcPr>
            <w:tcW w:w="0" w:type="dxa"/>
            <w:vAlign w:val="bottom"/>
          </w:tcPr>
          <w:p>
            <w:pPr>
              <w:spacing w:after="0"/>
              <w:rPr>
                <w:sz w:val="1"/>
                <w:szCs w:val="1"/>
                <w:color w:val="auto"/>
              </w:rPr>
            </w:pPr>
          </w:p>
        </w:tc>
      </w:tr>
      <w:tr>
        <w:trPr>
          <w:trHeight w:val="19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EBITDA – continuing operations</w:t>
            </w: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(6,048)</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(7,466)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(12,361)</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(17,932)</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(7,457)</w:t>
            </w:r>
          </w:p>
        </w:tc>
        <w:tc>
          <w:tcPr>
            <w:tcW w:w="0" w:type="dxa"/>
            <w:vAlign w:val="bottom"/>
          </w:tcPr>
          <w:p>
            <w:pPr>
              <w:spacing w:after="0"/>
              <w:rPr>
                <w:sz w:val="1"/>
                <w:szCs w:val="1"/>
                <w:color w:val="auto"/>
              </w:rPr>
            </w:pPr>
          </w:p>
        </w:tc>
      </w:tr>
      <w:tr>
        <w:trPr>
          <w:trHeight w:val="203"/>
        </w:trPr>
        <w:tc>
          <w:tcPr>
            <w:tcW w:w="4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14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4,028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1,967</w:t>
            </w: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Foreign currency loss (gain), net</w:t>
            </w: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4,280</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(6,112)</w:t>
            </w:r>
          </w:p>
        </w:tc>
        <w:tc>
          <w:tcPr>
            <w:tcW w:w="0" w:type="dxa"/>
            <w:vAlign w:val="bottom"/>
          </w:tcPr>
          <w:p>
            <w:pPr>
              <w:spacing w:after="0"/>
              <w:rPr>
                <w:sz w:val="1"/>
                <w:szCs w:val="1"/>
                <w:color w:val="auto"/>
              </w:rPr>
            </w:pPr>
          </w:p>
        </w:tc>
      </w:tr>
      <w:tr>
        <w:trPr>
          <w:trHeight w:val="203"/>
        </w:trPr>
        <w:tc>
          <w:tcPr>
            <w:tcW w:w="4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Derivative valuation loss (gain), net</w:t>
            </w:r>
          </w:p>
        </w:tc>
        <w:tc>
          <w:tcPr>
            <w:tcW w:w="14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3"/>
        </w:trPr>
        <w:tc>
          <w:tcPr>
            <w:tcW w:w="45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Early termination and other charges</w:t>
            </w:r>
          </w:p>
        </w:tc>
        <w:tc>
          <w:tcPr>
            <w:tcW w:w="1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1,921</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1,981</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3,994</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3,902</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4,840</w:t>
            </w:r>
          </w:p>
        </w:tc>
        <w:tc>
          <w:tcPr>
            <w:tcW w:w="0" w:type="dxa"/>
            <w:vAlign w:val="bottom"/>
          </w:tcPr>
          <w:p>
            <w:pPr>
              <w:spacing w:after="0"/>
              <w:rPr>
                <w:sz w:val="1"/>
                <w:szCs w:val="1"/>
                <w:color w:val="auto"/>
              </w:rPr>
            </w:pPr>
          </w:p>
        </w:tc>
      </w:tr>
      <w:tr>
        <w:trPr>
          <w:trHeight w:val="196"/>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 – continuing operations</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(4,219)</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(13,286)</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(7,601)</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(10,609)</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(25,584)</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(5,457)</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2,366</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1,019</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4,028</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1,967</w:t>
            </w:r>
          </w:p>
        </w:tc>
        <w:tc>
          <w:tcPr>
            <w:tcW w:w="0" w:type="dxa"/>
            <w:vAlign w:val="bottom"/>
          </w:tcPr>
          <w:p>
            <w:pPr>
              <w:spacing w:after="0"/>
              <w:rPr>
                <w:sz w:val="1"/>
                <w:szCs w:val="1"/>
                <w:color w:val="auto"/>
              </w:rPr>
            </w:pPr>
          </w:p>
        </w:tc>
      </w:tr>
      <w:tr>
        <w:trPr>
          <w:trHeight w:val="203"/>
        </w:trPr>
        <w:tc>
          <w:tcPr>
            <w:tcW w:w="4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loss (gain), net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4,280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(6,112)</w:t>
            </w: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Derivative valuation loss (gain), net</w:t>
            </w: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3"/>
        </w:trPr>
        <w:tc>
          <w:tcPr>
            <w:tcW w:w="4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Early termination and other charges</w:t>
            </w:r>
          </w:p>
        </w:tc>
        <w:tc>
          <w:tcPr>
            <w:tcW w:w="14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1,981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3,994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3,902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4,840</w:t>
            </w:r>
          </w:p>
        </w:tc>
        <w:tc>
          <w:tcPr>
            <w:tcW w:w="0" w:type="dxa"/>
            <w:vAlign w:val="bottom"/>
          </w:tcPr>
          <w:p>
            <w:pPr>
              <w:spacing w:after="0"/>
              <w:rPr>
                <w:sz w:val="1"/>
                <w:szCs w:val="1"/>
                <w:color w:val="auto"/>
              </w:rPr>
            </w:pPr>
          </w:p>
        </w:tc>
      </w:tr>
      <w:tr>
        <w:trPr>
          <w:trHeight w:val="203"/>
        </w:trPr>
        <w:tc>
          <w:tcPr>
            <w:tcW w:w="45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Income tax effect on non-GAAP adjustments</w:t>
            </w:r>
          </w:p>
        </w:tc>
        <w:tc>
          <w:tcPr>
            <w:tcW w:w="1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1,822</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0" w:type="dxa"/>
            <w:vAlign w:val="bottom"/>
          </w:tcPr>
          <w:p>
            <w:pPr>
              <w:spacing w:after="0"/>
              <w:rPr>
                <w:sz w:val="1"/>
                <w:szCs w:val="1"/>
                <w:color w:val="auto"/>
              </w:rPr>
            </w:pPr>
          </w:p>
        </w:tc>
      </w:tr>
      <w:tr>
        <w:trPr>
          <w:trHeight w:val="196"/>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Adjusted Loss – continuing operations</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(10,732)</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(4,901)</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Adjusted Loss – continuing operations per common share—</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Basic</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 Diluted</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shares – basic</w:t>
            </w:r>
          </w:p>
        </w:tc>
        <w:tc>
          <w:tcPr>
            <w:tcW w:w="14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36,649,278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36,454,812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35,934,406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36,504,776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36,298,491</w:t>
            </w: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number of shares – diluted</w:t>
            </w: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36,649,278</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36,454,812</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35,934,406</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36,504,776</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36,298,491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-1868170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-1868170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4977765</wp:posOffset>
            </wp:positionH>
            <wp:positionV relativeFrom="paragraph">
              <wp:posOffset>-1868170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5663565</wp:posOffset>
            </wp:positionH>
            <wp:positionV relativeFrom="paragraph">
              <wp:posOffset>-1868170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-805180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-805180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4977765</wp:posOffset>
            </wp:positionH>
            <wp:positionV relativeFrom="paragraph">
              <wp:posOffset>-805180</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5663565</wp:posOffset>
            </wp:positionH>
            <wp:positionV relativeFrom="paragraph">
              <wp:posOffset>-805180</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jc w:val="both"/>
        <w:ind w:right="60" w:firstLine="648"/>
        <w:spacing w:after="0" w:line="272" w:lineRule="auto"/>
        <w:rPr>
          <w:sz w:val="20"/>
          <w:szCs w:val="20"/>
          <w:color w:val="auto"/>
        </w:rPr>
      </w:pPr>
      <w:r>
        <w:rPr>
          <w:rFonts w:ascii="Times New Roman" w:cs="Times New Roman" w:eastAsia="Times New Roman" w:hAnsi="Times New Roman"/>
          <w:sz w:val="16"/>
          <w:szCs w:val="16"/>
          <w:color w:val="auto"/>
        </w:rPr>
        <w:t>We present Adjusted EBITDA from continuing operations and Adjusted Loss from continuing operations as supplemental measures of our performance. We define Adjusted EBITDA from continuing operations for the periods indicated as EBITDA – continuing operations (as defined below), adjusted to exclude (i) Equity-based compensation expense, (ii) Foreign currency loss (gain), net, (iii) Derivative valuation loss (gain), net and (iv) Early termination and other charges. EBITDA – continuing operations for the periods indicated is defined as loss from continuing operations before interest income, interest expense, income tax expense (benefit), net and depreciation and amortization.</w:t>
      </w:r>
    </w:p>
    <w:p>
      <w:pPr>
        <w:spacing w:after="0" w:line="172" w:lineRule="exact"/>
        <w:rPr>
          <w:sz w:val="20"/>
          <w:szCs w:val="20"/>
          <w:color w:val="auto"/>
        </w:rPr>
      </w:pPr>
    </w:p>
    <w:p>
      <w:pPr>
        <w:jc w:val="both"/>
        <w:ind w:right="60" w:firstLine="700"/>
        <w:spacing w:after="0" w:line="271" w:lineRule="auto"/>
        <w:rPr>
          <w:sz w:val="20"/>
          <w:szCs w:val="20"/>
          <w:color w:val="auto"/>
        </w:rPr>
      </w:pPr>
      <w:r>
        <w:rPr>
          <w:rFonts w:ascii="Times New Roman" w:cs="Times New Roman" w:eastAsia="Times New Roman" w:hAnsi="Times New Roman"/>
          <w:sz w:val="16"/>
          <w:szCs w:val="16"/>
          <w:color w:val="auto"/>
        </w:rPr>
        <w:t>We prepare Adjusted Loss from continuing operations by adjusting loss from continuing operations to eliminate the impact of a number of non-cash expenses and other items that may be either one time or recurring that we do not consider to be indicative of our core ongoing operating performance. We believe that Adjusted Loss from continuing operations is particularly useful because it reflects the impact of our asset base and capital structure on our operating performance. We define Adjusted Loss from continuing operations for the periods as loss from continuing operations, adjusted to exclude (i) Equity-based compensation expense, (ii) Foreign currency loss (gain), net, (iii) Derivative valuation loss (gain), net, (iv) Early termination and other charges and (v) Income tax effect on non-GAAP adjustments.</w:t>
      </w:r>
    </w:p>
    <w:p>
      <w:pPr>
        <w:spacing w:after="0" w:line="171" w:lineRule="exact"/>
        <w:rPr>
          <w:sz w:val="20"/>
          <w:szCs w:val="20"/>
          <w:color w:val="auto"/>
        </w:rPr>
      </w:pPr>
    </w:p>
    <w:p>
      <w:pPr>
        <w:jc w:val="both"/>
        <w:ind w:right="60" w:firstLine="648"/>
        <w:spacing w:after="0" w:line="275" w:lineRule="auto"/>
        <w:rPr>
          <w:sz w:val="20"/>
          <w:szCs w:val="20"/>
          <w:color w:val="auto"/>
        </w:rPr>
      </w:pPr>
      <w:r>
        <w:rPr>
          <w:rFonts w:ascii="Times New Roman" w:cs="Times New Roman" w:eastAsia="Times New Roman" w:hAnsi="Times New Roman"/>
          <w:sz w:val="16"/>
          <w:szCs w:val="16"/>
          <w:color w:val="auto"/>
        </w:rPr>
        <w:t>For the three months ended September 30, 2026, we recorded $1,921 thousand of other charges in our consolidated statement of operations, consisting of $601 thousand in tax-related charges and $1,320 thousand of costs associated with the electrical substation upgrade in our Gumi fabrication facility. For the nine months ended September 30, 2026, we recorded $3,902 thousand of other charges, which also included a $1,095 thousand customer goodwill payment related to a certain product, and $886 thousand of one-time employee incentives recorded in the first half of 2026.</w:t>
      </w:r>
    </w:p>
    <w:p>
      <w:pPr>
        <w:spacing w:after="0" w:line="169" w:lineRule="exact"/>
        <w:rPr>
          <w:sz w:val="20"/>
          <w:szCs w:val="20"/>
          <w:color w:val="auto"/>
        </w:rPr>
      </w:pPr>
    </w:p>
    <w:p>
      <w:pPr>
        <w:jc w:val="both"/>
        <w:ind w:right="60" w:firstLine="648"/>
        <w:spacing w:after="0" w:line="275" w:lineRule="auto"/>
        <w:rPr>
          <w:sz w:val="20"/>
          <w:szCs w:val="20"/>
          <w:color w:val="auto"/>
        </w:rPr>
      </w:pPr>
      <w:r>
        <w:rPr>
          <w:rFonts w:ascii="Times New Roman" w:cs="Times New Roman" w:eastAsia="Times New Roman" w:hAnsi="Times New Roman"/>
          <w:sz w:val="16"/>
          <w:szCs w:val="16"/>
          <w:color w:val="auto"/>
        </w:rPr>
        <w:t>For the three months ended September 30, 2025, we recorded $2,599 thousand of termination-related charges in connection with the voluntary resignation program and $1,395 thousand of certain executive separation benefits in our consolidated statement of operations. For the nine months ended September 30, 2025, we recorded $4,840 thousand of other charges, which also included $350 thousand of certain executive separation benefits and $496 thousand of one-time employee incentives recorded in the first half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695325</wp:posOffset>
            </wp:positionV>
            <wp:extent cx="703770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00"/>
          </w:cols>
          <w:pgMar w:left="940" w:top="1150" w:right="95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2026-11-04T15:38:27Z</dcterms:created>
  <dcterms:modified xsi:type="dcterms:W3CDTF">2026-11-04T15:38:27Z</dcterms:modified>
</cp:coreProperties>
</file>