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Kim Young-Joon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40"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308"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02/18/2022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See Remarks</w:t>
      </w:r>
    </w:p>
    <w:p>
      <w:pPr>
        <w:spacing w:after="0" w:line="425" w:lineRule="exact"/>
        <w:rPr>
          <w:sz w:val="24"/>
          <w:szCs w:val="24"/>
          <w:color w:val="auto"/>
        </w:rPr>
      </w:pPr>
    </w:p>
    <w:p>
      <w:pPr>
        <w:sectPr>
          <w:pgSz w:w="11900" w:h="16838" w:orient="portrait"/>
          <w:cols w:equalWidth="0" w:num="3">
            <w:col w:w="3540" w:space="371"/>
            <w:col w:w="3649" w:space="175"/>
            <w:col w:w="3345"/>
          </w:cols>
          <w:pgMar w:left="460" w:top="225" w:right="359" w:bottom="1440"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SEOUL</w:t>
            </w:r>
          </w:p>
        </w:tc>
        <w:tc>
          <w:tcPr>
            <w:tcW w:w="1140" w:type="dxa"/>
            <w:vAlign w:val="bottom"/>
          </w:tcPr>
          <w:p>
            <w:pPr>
              <w:ind w:left="320"/>
              <w:spacing w:after="0"/>
              <w:rPr>
                <w:sz w:val="20"/>
                <w:szCs w:val="20"/>
                <w:color w:val="auto"/>
              </w:rPr>
            </w:pPr>
            <w:r>
              <w:rPr>
                <w:rFonts w:ascii="Arial" w:cs="Arial" w:eastAsia="Arial" w:hAnsi="Arial"/>
                <w:sz w:val="17"/>
                <w:szCs w:val="17"/>
                <w:color w:val="0000FF"/>
              </w:rPr>
              <w:t>M5</w:t>
            </w:r>
          </w:p>
        </w:tc>
        <w:tc>
          <w:tcPr>
            <w:tcW w:w="1600" w:type="dxa"/>
            <w:vAlign w:val="bottom"/>
          </w:tcPr>
          <w:p>
            <w:pPr>
              <w:ind w:left="400"/>
              <w:spacing w:after="0"/>
              <w:rPr>
                <w:sz w:val="20"/>
                <w:szCs w:val="20"/>
                <w:color w:val="auto"/>
              </w:rPr>
            </w:pPr>
            <w:r>
              <w:rPr>
                <w:rFonts w:ascii="Arial" w:cs="Arial" w:eastAsia="Arial" w:hAnsi="Arial"/>
                <w:sz w:val="17"/>
                <w:szCs w:val="17"/>
                <w:color w:val="0000FF"/>
              </w:rPr>
              <w:t>06168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5"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3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89"/>
              <w:spacing w:after="0"/>
              <w:rPr>
                <w:sz w:val="20"/>
                <w:szCs w:val="20"/>
                <w:color w:val="auto"/>
              </w:rPr>
            </w:pPr>
            <w:r>
              <w:rPr>
                <w:rFonts w:ascii="Arial" w:cs="Arial" w:eastAsia="Arial" w:hAnsi="Arial"/>
                <w:sz w:val="17"/>
                <w:szCs w:val="17"/>
                <w:color w:val="0000FF"/>
                <w:w w:val="91"/>
              </w:rPr>
              <w:t>02/18/2022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53,402</w:t>
            </w:r>
            <w:r>
              <w:rPr>
                <w:rFonts w:ascii="Arial" w:cs="Arial" w:eastAsia="Arial" w:hAnsi="Arial"/>
                <w:sz w:val="22"/>
                <w:szCs w:val="22"/>
                <w:color w:val="008000"/>
                <w:w w:val="88"/>
                <w:vertAlign w:val="superscript"/>
              </w:rPr>
              <w:t>(1)</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343,331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89"/>
              <w:spacing w:after="0"/>
              <w:rPr>
                <w:sz w:val="20"/>
                <w:szCs w:val="20"/>
                <w:color w:val="auto"/>
              </w:rPr>
            </w:pPr>
            <w:r>
              <w:rPr>
                <w:rFonts w:ascii="Arial" w:cs="Arial" w:eastAsia="Arial" w:hAnsi="Arial"/>
                <w:sz w:val="17"/>
                <w:szCs w:val="17"/>
                <w:color w:val="0000FF"/>
                <w:w w:val="91"/>
              </w:rPr>
              <w:t>02/18/2022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19,759</w:t>
            </w:r>
            <w:r>
              <w:rPr>
                <w:rFonts w:ascii="Arial" w:cs="Arial" w:eastAsia="Arial" w:hAnsi="Arial"/>
                <w:sz w:val="22"/>
                <w:szCs w:val="22"/>
                <w:color w:val="008000"/>
                <w:w w:val="88"/>
                <w:vertAlign w:val="superscript"/>
              </w:rPr>
              <w:t>(2)</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18.78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323,572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89"/>
              <w:spacing w:after="0"/>
              <w:rPr>
                <w:sz w:val="20"/>
                <w:szCs w:val="20"/>
                <w:color w:val="auto"/>
              </w:rPr>
            </w:pPr>
            <w:r>
              <w:rPr>
                <w:rFonts w:ascii="Arial" w:cs="Arial" w:eastAsia="Arial" w:hAnsi="Arial"/>
                <w:sz w:val="17"/>
                <w:szCs w:val="17"/>
                <w:color w:val="0000FF"/>
                <w:w w:val="91"/>
              </w:rPr>
              <w:t>02/18/2022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19,104</w:t>
            </w:r>
            <w:r>
              <w:rPr>
                <w:rFonts w:ascii="Arial" w:cs="Arial" w:eastAsia="Arial" w:hAnsi="Arial"/>
                <w:sz w:val="22"/>
                <w:szCs w:val="22"/>
                <w:color w:val="008000"/>
                <w:w w:val="88"/>
                <w:vertAlign w:val="superscript"/>
              </w:rPr>
              <w:t>(3)</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342,676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89"/>
              <w:spacing w:after="0"/>
              <w:rPr>
                <w:sz w:val="20"/>
                <w:szCs w:val="20"/>
                <w:color w:val="auto"/>
              </w:rPr>
            </w:pPr>
            <w:r>
              <w:rPr>
                <w:rFonts w:ascii="Arial" w:cs="Arial" w:eastAsia="Arial" w:hAnsi="Arial"/>
                <w:sz w:val="17"/>
                <w:szCs w:val="17"/>
                <w:color w:val="0000FF"/>
                <w:w w:val="91"/>
              </w:rPr>
              <w:t>02/18/2022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7,069</w:t>
            </w:r>
            <w:r>
              <w:rPr>
                <w:rFonts w:ascii="Arial" w:cs="Arial" w:eastAsia="Arial" w:hAnsi="Arial"/>
                <w:sz w:val="22"/>
                <w:szCs w:val="22"/>
                <w:color w:val="008000"/>
                <w:w w:val="85"/>
                <w:vertAlign w:val="superscript"/>
              </w:rPr>
              <w:t>(4)</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18.78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335,607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reflects shares of common stock issued in connection with the vesting of financial performance-based restricted stock units granted on February 19, 2021.</w:t>
      </w:r>
    </w:p>
    <w:p>
      <w:pPr>
        <w:spacing w:after="0" w:line="50" w:lineRule="exact"/>
        <w:rPr>
          <w:rFonts w:ascii="Arial" w:cs="Arial" w:eastAsia="Arial" w:hAnsi="Arial"/>
          <w:sz w:val="13"/>
          <w:szCs w:val="13"/>
          <w:color w:val="008000"/>
        </w:rPr>
      </w:pPr>
    </w:p>
    <w:p>
      <w:pPr>
        <w:ind w:left="40" w:right="34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represents the withholding by the Issuer of 19,759 shares of common stock to satisfy tax withholding obligations incurred by the Reporting Person upon the vesting of 53,402 shares of common stock issued in connection with the vesting of financial performance-based restricted stock units granted on February 19, 2021.</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reflects shares of common stock issued in connection with the vesting of TSR performance-based restricted stock units granted on October 22, 2019.</w:t>
      </w:r>
    </w:p>
    <w:p>
      <w:pPr>
        <w:spacing w:after="0" w:line="50" w:lineRule="exact"/>
        <w:rPr>
          <w:rFonts w:ascii="Arial" w:cs="Arial" w:eastAsia="Arial" w:hAnsi="Arial"/>
          <w:sz w:val="13"/>
          <w:szCs w:val="13"/>
          <w:color w:val="008000"/>
        </w:rPr>
      </w:pPr>
    </w:p>
    <w:p>
      <w:pPr>
        <w:ind w:left="40" w:right="42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represents the withholding by the Issuer of 7,069 shares of common stock to satisfy tax withholding obligations incurred by the Reporting Person upon the vesting of 19,104 shares of common stock issued in connection with the vesting of TSR performance-based restricted stock units granted on October 22, 2019.</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Director and Chief Executive Officer</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02/23/2022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6117"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2022-02-23T18:33:12Z</dcterms:created>
  <dcterms:modified xsi:type="dcterms:W3CDTF">2022-02-23T18:33:12Z</dcterms:modified>
</cp:coreProperties>
</file>