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Kim Young-Joon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340" w:lineRule="auto"/>
        <w:rPr>
          <w:sz w:val="20"/>
          <w:szCs w:val="20"/>
          <w:color w:val="auto"/>
        </w:rPr>
      </w:pPr>
      <w:r>
        <w:rPr>
          <w:rFonts w:ascii="Arial" w:cs="Arial" w:eastAsia="Arial" w:hAnsi="Arial"/>
          <w:sz w:val="17"/>
          <w:szCs w:val="17"/>
          <w:color w:val="0000FF"/>
        </w:rPr>
        <w:t>C/O MAGNACHIP SEMICONDUCTOR, LTD., 501, TEHERAN-RO, GANGNAM-GU</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ind w:left="9"/>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MAGNACHIP SEMICONDUCTOR Corp</w:t>
        </w:r>
      </w:hyperlink>
    </w:p>
    <w:p>
      <w:pPr>
        <w:spacing w:after="0" w:line="10" w:lineRule="exact"/>
        <w:rPr>
          <w:sz w:val="24"/>
          <w:szCs w:val="24"/>
          <w:color w:val="auto"/>
        </w:rPr>
      </w:pPr>
    </w:p>
    <w:p>
      <w:pPr>
        <w:ind w:left="129" w:hanging="129"/>
        <w:spacing w:after="0"/>
        <w:tabs>
          <w:tab w:leader="none" w:pos="129" w:val="left"/>
        </w:tabs>
        <w:numPr>
          <w:ilvl w:val="0"/>
          <w:numId w:val="1"/>
        </w:numPr>
        <w:rPr>
          <w:rFonts w:ascii="Arial" w:cs="Arial" w:eastAsia="Arial" w:hAnsi="Arial"/>
          <w:sz w:val="21"/>
          <w:szCs w:val="21"/>
          <w:color w:val="auto"/>
        </w:rPr>
      </w:pPr>
      <w:r>
        <w:rPr>
          <w:rFonts w:ascii="Arial" w:cs="Arial" w:eastAsia="Arial" w:hAnsi="Arial"/>
          <w:sz w:val="17"/>
          <w:szCs w:val="17"/>
          <w:color w:val="0000FF"/>
        </w:rPr>
        <w:t xml:space="preserve">MX </w:t>
      </w:r>
      <w:r>
        <w:rPr>
          <w:rFonts w:ascii="Arial" w:cs="Arial" w:eastAsia="Arial" w:hAnsi="Arial"/>
          <w:sz w:val="21"/>
          <w:szCs w:val="21"/>
          <w:color w:val="000000"/>
        </w:rPr>
        <w:t>]</w:t>
      </w:r>
    </w:p>
    <w:p>
      <w:pPr>
        <w:spacing w:after="0" w:line="308"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ind w:left="9"/>
        <w:spacing w:after="0"/>
        <w:rPr>
          <w:sz w:val="20"/>
          <w:szCs w:val="20"/>
          <w:color w:val="auto"/>
        </w:rPr>
      </w:pPr>
      <w:r>
        <w:rPr>
          <w:rFonts w:ascii="Arial" w:cs="Arial" w:eastAsia="Arial" w:hAnsi="Arial"/>
          <w:sz w:val="17"/>
          <w:szCs w:val="17"/>
          <w:color w:val="0000FF"/>
        </w:rPr>
        <w:t>12/31/2021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See Remarks</w:t>
      </w:r>
    </w:p>
    <w:p>
      <w:pPr>
        <w:spacing w:after="0" w:line="425" w:lineRule="exact"/>
        <w:rPr>
          <w:sz w:val="24"/>
          <w:szCs w:val="24"/>
          <w:color w:val="auto"/>
        </w:rPr>
      </w:pPr>
    </w:p>
    <w:p>
      <w:pPr>
        <w:sectPr>
          <w:pgSz w:w="11900" w:h="16838" w:orient="portrait"/>
          <w:cols w:equalWidth="0" w:num="3">
            <w:col w:w="3540" w:space="371"/>
            <w:col w:w="3649" w:space="175"/>
            <w:col w:w="3345"/>
          </w:cols>
          <w:pgMar w:left="460" w:top="225" w:right="359" w:bottom="1440" w:gutter="0" w:footer="0" w:header="0"/>
          <w:type w:val="continuous"/>
        </w:sectPr>
      </w:pPr>
    </w:p>
    <w:p>
      <w:pPr>
        <w:spacing w:after="0" w:line="21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SEOUL</w:t>
            </w:r>
          </w:p>
        </w:tc>
        <w:tc>
          <w:tcPr>
            <w:tcW w:w="1140" w:type="dxa"/>
            <w:vAlign w:val="bottom"/>
          </w:tcPr>
          <w:p>
            <w:pPr>
              <w:ind w:left="320"/>
              <w:spacing w:after="0"/>
              <w:rPr>
                <w:sz w:val="20"/>
                <w:szCs w:val="20"/>
                <w:color w:val="auto"/>
              </w:rPr>
            </w:pPr>
            <w:r>
              <w:rPr>
                <w:rFonts w:ascii="Arial" w:cs="Arial" w:eastAsia="Arial" w:hAnsi="Arial"/>
                <w:sz w:val="17"/>
                <w:szCs w:val="17"/>
                <w:color w:val="0000FF"/>
              </w:rPr>
              <w:t>M5</w:t>
            </w:r>
          </w:p>
        </w:tc>
        <w:tc>
          <w:tcPr>
            <w:tcW w:w="1600" w:type="dxa"/>
            <w:vAlign w:val="bottom"/>
          </w:tcPr>
          <w:p>
            <w:pPr>
              <w:ind w:left="400"/>
              <w:spacing w:after="0"/>
              <w:rPr>
                <w:sz w:val="20"/>
                <w:szCs w:val="20"/>
                <w:color w:val="auto"/>
              </w:rPr>
            </w:pPr>
            <w:r>
              <w:rPr>
                <w:rFonts w:ascii="Arial" w:cs="Arial" w:eastAsia="Arial" w:hAnsi="Arial"/>
                <w:sz w:val="17"/>
                <w:szCs w:val="17"/>
                <w:color w:val="0000FF"/>
              </w:rPr>
              <w:t>06168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5" w:lineRule="auto"/>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9"/>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12/31/2021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92"/>
              </w:rPr>
              <w:t>4,010</w:t>
            </w:r>
            <w:r>
              <w:rPr>
                <w:rFonts w:ascii="Arial" w:cs="Arial" w:eastAsia="Arial" w:hAnsi="Arial"/>
                <w:sz w:val="22"/>
                <w:szCs w:val="22"/>
                <w:color w:val="008000"/>
                <w:w w:val="92"/>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20.97</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Arial" w:cs="Arial" w:eastAsia="Arial" w:hAnsi="Arial"/>
                <w:sz w:val="17"/>
                <w:szCs w:val="17"/>
                <w:color w:val="0000FF"/>
                <w:w w:val="87"/>
              </w:rPr>
              <w:t>293,536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12/31/2021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92"/>
              </w:rPr>
              <w:t>3,607</w:t>
            </w:r>
            <w:r>
              <w:rPr>
                <w:rFonts w:ascii="Arial" w:cs="Arial" w:eastAsia="Arial" w:hAnsi="Arial"/>
                <w:sz w:val="22"/>
                <w:szCs w:val="22"/>
                <w:color w:val="008000"/>
                <w:w w:val="92"/>
                <w:vertAlign w:val="superscript"/>
              </w:rPr>
              <w:t>(2)</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20.97</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Arial" w:cs="Arial" w:eastAsia="Arial" w:hAnsi="Arial"/>
                <w:sz w:val="17"/>
                <w:szCs w:val="17"/>
                <w:color w:val="0000FF"/>
                <w:w w:val="87"/>
              </w:rPr>
              <w:t>289,929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00" w:firstLine="7"/>
        <w:spacing w:after="0" w:line="266"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transaction represents the withholding by the Issuer of 4,010 shares of common stock to satisfy tax withholding obligations incurred by the Reporting Person upon the vesting of 10,836 shares of common stock originally awarded to the Reporting Person on May 7, 2020.</w:t>
      </w:r>
    </w:p>
    <w:p>
      <w:pPr>
        <w:spacing w:after="0" w:line="15" w:lineRule="exact"/>
        <w:rPr>
          <w:rFonts w:ascii="Arial" w:cs="Arial" w:eastAsia="Arial" w:hAnsi="Arial"/>
          <w:sz w:val="13"/>
          <w:szCs w:val="13"/>
          <w:color w:val="008000"/>
        </w:rPr>
      </w:pPr>
    </w:p>
    <w:p>
      <w:pPr>
        <w:ind w:left="40" w:right="360" w:firstLine="7"/>
        <w:spacing w:after="0" w:line="266"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transaction represents the withholding by the Issuer of 3,607 shares of common stock to satisfy tax withholding obligations incurred by the Reporting Person upon the vesting of 9,748 shares of common stock originally awarded to the Reporting Person on February 19, 2021.</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Director and Chief Executive Officer</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Theodore Kim, Attorney-</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01/04/2022</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76117"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2022-01-04T15:28:36Z</dcterms:created>
  <dcterms:modified xsi:type="dcterms:W3CDTF">2022-01-04T15:28:36Z</dcterms:modified>
</cp:coreProperties>
</file>