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587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58787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Lee Woung Moo</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60" w:type="dxa"/>
            <w:vAlign w:val="bottom"/>
            <w:tcBorders>
              <w:top w:val="single" w:sz="8" w:color="0000EE"/>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11/03/2015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MAGNACHIP SEMICONDUCTOR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MX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7"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(Last)</w:t>
            </w:r>
          </w:p>
        </w:tc>
        <w:tc>
          <w:tcPr>
            <w:tcW w:w="900" w:type="dxa"/>
            <w:vAlign w:val="bottom"/>
          </w:tcPr>
          <w:p>
            <w:pPr>
              <w:ind w:left="16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w w:val="93"/>
              </w:rPr>
              <w:t>60 SOUTH MARKET STREET, SUITE 750</w:t>
            </w:r>
          </w:p>
        </w:tc>
      </w:tr>
      <w:tr>
        <w:trPr>
          <w:trHeight w:val="212"/>
        </w:trPr>
        <w:tc>
          <w:tcPr>
            <w:tcW w:w="2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0000FF"/>
              </w:rPr>
              <w:t>SAN JOSE</w:t>
            </w:r>
          </w:p>
        </w:tc>
        <w:tc>
          <w:tcPr>
            <w:tcW w:w="900" w:type="dxa"/>
            <w:vAlign w:val="bottom"/>
          </w:tcPr>
          <w:p>
            <w:pPr>
              <w:ind w:left="160"/>
              <w:spacing w:after="0"/>
              <w:rPr>
                <w:sz w:val="20"/>
                <w:szCs w:val="20"/>
                <w:color w:val="auto"/>
              </w:rPr>
            </w:pPr>
            <w:r>
              <w:rPr>
                <w:rFonts w:ascii="Arial" w:cs="Arial" w:eastAsia="Arial" w:hAnsi="Arial"/>
                <w:sz w:val="18"/>
                <w:szCs w:val="18"/>
                <w:color w:val="0000FF"/>
              </w:rPr>
              <w:t>CA</w:t>
            </w:r>
          </w:p>
        </w:tc>
        <w:tc>
          <w:tcPr>
            <w:tcW w:w="1380" w:type="dxa"/>
            <w:vAlign w:val="bottom"/>
          </w:tcPr>
          <w:p>
            <w:pPr>
              <w:ind w:left="340"/>
              <w:spacing w:after="0"/>
              <w:rPr>
                <w:sz w:val="20"/>
                <w:szCs w:val="20"/>
                <w:color w:val="auto"/>
              </w:rPr>
            </w:pPr>
            <w:r>
              <w:rPr>
                <w:rFonts w:ascii="Arial" w:cs="Arial" w:eastAsia="Arial" w:hAnsi="Arial"/>
                <w:sz w:val="18"/>
                <w:szCs w:val="18"/>
                <w:color w:val="0000FF"/>
              </w:rPr>
              <w:t>95113</w:t>
            </w:r>
          </w:p>
        </w:tc>
      </w:tr>
      <w:tr>
        <w:trPr>
          <w:trHeight w:val="158"/>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(City)</w:t>
            </w:r>
          </w:p>
        </w:tc>
        <w:tc>
          <w:tcPr>
            <w:tcW w:w="900" w:type="dxa"/>
            <w:vAlign w:val="bottom"/>
          </w:tcPr>
          <w:p>
            <w:pPr>
              <w:ind w:left="16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66"/>
        <w:spacing w:after="0"/>
        <w:rPr>
          <w:sz w:val="20"/>
          <w:szCs w:val="20"/>
          <w:color w:val="auto"/>
        </w:rPr>
      </w:pPr>
      <w:r>
        <w:rPr>
          <w:rFonts w:ascii="Arial" w:cs="Arial" w:eastAsia="Arial" w:hAnsi="Arial"/>
          <w:sz w:val="18"/>
          <w:szCs w:val="18"/>
          <w:color w:val="0000FF"/>
        </w:rPr>
        <w:t>See Remarks</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620"/>
              <w:spacing w:after="0"/>
              <w:rPr>
                <w:sz w:val="20"/>
                <w:szCs w:val="20"/>
                <w:color w:val="auto"/>
              </w:rPr>
            </w:pPr>
            <w:r>
              <w:rPr>
                <w:rFonts w:ascii="Arial" w:cs="Arial" w:eastAsia="Arial" w:hAnsi="Arial"/>
                <w:sz w:val="18"/>
                <w:szCs w:val="18"/>
                <w:color w:val="0000FF"/>
              </w:rPr>
              <w:t>22,950</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center"/>
              <w:ind w:left="613"/>
              <w:spacing w:after="0"/>
              <w:rPr>
                <w:sz w:val="20"/>
                <w:szCs w:val="20"/>
                <w:color w:val="auto"/>
              </w:rPr>
            </w:pPr>
            <w:r>
              <w:rPr>
                <w:rFonts w:ascii="Arial" w:cs="Arial" w:eastAsia="Arial" w:hAnsi="Arial"/>
                <w:sz w:val="11"/>
                <w:szCs w:val="11"/>
                <w:color w:val="008000"/>
                <w:w w:val="88"/>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5"/>
              </w:rPr>
              <w:t>11/01/2023</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50,000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19.56</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center"/>
              <w:ind w:left="613"/>
              <w:spacing w:after="0"/>
              <w:rPr>
                <w:sz w:val="20"/>
                <w:szCs w:val="20"/>
                <w:color w:val="auto"/>
              </w:rPr>
            </w:pPr>
            <w:r>
              <w:rPr>
                <w:rFonts w:ascii="Arial" w:cs="Arial" w:eastAsia="Arial" w:hAnsi="Arial"/>
                <w:sz w:val="11"/>
                <w:szCs w:val="11"/>
                <w:color w:val="008000"/>
                <w:w w:val="88"/>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06/09/2025</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21,970</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7.64</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center"/>
              <w:ind w:left="613"/>
              <w:spacing w:after="0"/>
              <w:rPr>
                <w:sz w:val="20"/>
                <w:szCs w:val="20"/>
                <w:color w:val="auto"/>
              </w:rPr>
            </w:pPr>
            <w:r>
              <w:rPr>
                <w:rFonts w:ascii="Arial" w:cs="Arial" w:eastAsia="Arial" w:hAnsi="Arial"/>
                <w:sz w:val="14"/>
                <w:szCs w:val="14"/>
                <w:color w:val="0000FF"/>
                <w:w w:val="85"/>
              </w:rPr>
              <w:t>06/09/2015</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06/09/2025</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21,970</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7.64</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18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stock option vested and became exercisable: as to 17,000 shares on 11/1/2014; as to an additional 4,500 shares on 2/1/2015; and as to an additional 4,000 shares on each of 5/1/2015, 8/1/2015 and 11/1/2015. The stock option vests and becomes exercisable, subject to continued service, as to the remaining shares as follows: an additional 4,500 shares will vest and become exerciable on 2/1/2016; and an additional 4,000 shares will vest and become exerciable on each of 5/1/2016, 8/1/2016 and 11/1/2016.</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stock option vests and becomes exercisable, subject to continued service: 33 1/3% on 6/9/2016; 33 1/3% on 6/9/2017; and 33 1/3% on 6/9/2018.</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Executive Vice President and General Manager, Standard Products Group Exhibit 24 - Power of Attorney</w:t>
      </w:r>
    </w:p>
    <w:p>
      <w:pPr>
        <w:ind w:left="6860"/>
        <w:spacing w:after="0" w:line="184" w:lineRule="auto"/>
        <w:rPr>
          <w:sz w:val="20"/>
          <w:szCs w:val="20"/>
          <w:color w:val="auto"/>
        </w:rPr>
      </w:pPr>
      <w:r>
        <w:rPr>
          <w:rFonts w:ascii="Arial" w:cs="Arial" w:eastAsia="Arial" w:hAnsi="Arial"/>
          <w:sz w:val="17"/>
          <w:szCs w:val="17"/>
          <w:color w:val="0000FF"/>
        </w:rPr>
        <w:t xml:space="preserve">/s/ Theodore Kim, Attorney-in- </w:t>
      </w:r>
      <w:r>
        <w:rPr>
          <w:rFonts w:ascii="Arial" w:cs="Arial" w:eastAsia="Arial" w:hAnsi="Arial"/>
          <w:sz w:val="34"/>
          <w:szCs w:val="34"/>
          <w:color w:val="0000FF"/>
          <w:vertAlign w:val="subscript"/>
        </w:rPr>
        <w:t>11/12/2015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995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995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659"/>
        <w:spacing w:after="0"/>
        <w:rPr>
          <w:sz w:val="20"/>
          <w:szCs w:val="20"/>
          <w:color w:val="auto"/>
        </w:rPr>
      </w:pPr>
      <w:r>
        <w:rPr>
          <w:rFonts w:ascii="Courier New" w:cs="Courier New" w:eastAsia="Courier New" w:hAnsi="Courier New"/>
          <w:sz w:val="18"/>
          <w:szCs w:val="18"/>
          <w:color w:val="auto"/>
        </w:rPr>
        <w:t>LIMITED POWER OF ATTORNEY</w:t>
      </w:r>
    </w:p>
    <w:p>
      <w:pPr>
        <w:jc w:val="center"/>
        <w:ind w:right="1659"/>
        <w:spacing w:after="0" w:line="238" w:lineRule="auto"/>
        <w:rPr>
          <w:sz w:val="20"/>
          <w:szCs w:val="20"/>
          <w:color w:val="auto"/>
        </w:rPr>
      </w:pPr>
      <w:r>
        <w:rPr>
          <w:rFonts w:ascii="Courier New" w:cs="Courier New" w:eastAsia="Courier New" w:hAnsi="Courier New"/>
          <w:sz w:val="18"/>
          <w:szCs w:val="18"/>
          <w:color w:val="auto"/>
        </w:rPr>
        <w:t>FOR SECTION 16(a) REPORTING</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KNOW ALL PERSONS BY THESE PRESENTS, that the undersigned hereby makes, constitutes and appoints Theodore S. Kim, Micheal J. Reagan and W. Stuart Ogg, and each of them, as the undersigned's true and lawful attorney-in-fact (the "Attorney-in-Fact"), with full power of substitution and resubstitution, each with the power to act alone for the undersigned and in the undersigned's name, place and stead, in any and all capacities to:</w:t>
      </w:r>
    </w:p>
    <w:p>
      <w:pPr>
        <w:spacing w:after="0" w:line="210" w:lineRule="exact"/>
        <w:rPr>
          <w:sz w:val="20"/>
          <w:szCs w:val="20"/>
          <w:color w:val="auto"/>
        </w:rPr>
      </w:pPr>
    </w:p>
    <w:p>
      <w:pPr>
        <w:ind w:right="1779" w:firstLine="851"/>
        <w:spacing w:after="0" w:line="237" w:lineRule="auto"/>
        <w:tabs>
          <w:tab w:leader="none" w:pos="115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Securities and Exchange Commission ("SEC") a Form ID, including amendments thereto, and any other documents necessary or appropriate to obtain codes and passwords enabling the undersigned to make electronic filings with the SEC of reports required or considered advisable under Section 16(a) of the Securities Exchange Act of 1934 (the "Exchange Act") or any rule or regulation of the SEC;</w:t>
      </w:r>
    </w:p>
    <w:p>
      <w:pPr>
        <w:spacing w:after="0" w:line="211" w:lineRule="exact"/>
        <w:rPr>
          <w:rFonts w:ascii="Courier New" w:cs="Courier New" w:eastAsia="Courier New" w:hAnsi="Courier New"/>
          <w:sz w:val="18"/>
          <w:szCs w:val="18"/>
          <w:color w:val="auto"/>
        </w:rPr>
      </w:pPr>
    </w:p>
    <w:p>
      <w:pPr>
        <w:ind w:right="1779" w:firstLine="851"/>
        <w:spacing w:after="0" w:line="272" w:lineRule="auto"/>
        <w:tabs>
          <w:tab w:leader="none" w:pos="1159"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execute and submit to the SEC, any national securities exchange or securities quotation system and MagnaChip Semiconductor Corporation (the "Company") any and all reports (including any amendment thereto) of the undersigned required or considered advisable under Section 16(a) of the Exchange Act and the rules and regulations thereunder, with respect to the equity securities of the Company, including Forms 3, 4 and 5; and</w:t>
      </w:r>
    </w:p>
    <w:p>
      <w:pPr>
        <w:spacing w:after="0" w:line="185" w:lineRule="exact"/>
        <w:rPr>
          <w:rFonts w:ascii="Courier New" w:cs="Courier New" w:eastAsia="Courier New" w:hAnsi="Courier New"/>
          <w:sz w:val="16"/>
          <w:szCs w:val="16"/>
          <w:color w:val="auto"/>
        </w:rPr>
      </w:pPr>
    </w:p>
    <w:p>
      <w:pPr>
        <w:ind w:right="1879" w:firstLine="851"/>
        <w:spacing w:after="0" w:line="273" w:lineRule="auto"/>
        <w:tabs>
          <w:tab w:leader="none" w:pos="1159"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7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07" w:lineRule="exact"/>
        <w:rPr>
          <w:sz w:val="20"/>
          <w:szCs w:val="20"/>
          <w:color w:val="auto"/>
        </w:rPr>
      </w:pPr>
    </w:p>
    <w:p>
      <w:pPr>
        <w:jc w:val="both"/>
        <w:ind w:right="1779" w:firstLine="851"/>
        <w:spacing w:after="0" w:line="236" w:lineRule="auto"/>
        <w:tabs>
          <w:tab w:leader="none" w:pos="1264"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the Attorney-in-Fact to act at his or her discretion on information provided to such Attorney-in-Fact without independent verification of such information;</w:t>
      </w:r>
    </w:p>
    <w:p>
      <w:pPr>
        <w:spacing w:after="0" w:line="208" w:lineRule="exact"/>
        <w:rPr>
          <w:rFonts w:ascii="Courier New" w:cs="Courier New" w:eastAsia="Courier New" w:hAnsi="Courier New"/>
          <w:sz w:val="18"/>
          <w:szCs w:val="18"/>
          <w:color w:val="auto"/>
        </w:rPr>
      </w:pPr>
    </w:p>
    <w:p>
      <w:pPr>
        <w:ind w:right="1779" w:firstLine="851"/>
        <w:spacing w:after="0" w:line="237" w:lineRule="auto"/>
        <w:tabs>
          <w:tab w:leader="none" w:pos="1264"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or executed by the Attorney-in-Fact on behalf of the undersigned pursuant to this Limited Power of Attorney will be in such form and will contain such information as the Attorney-in-Fact, in his or her discretion, deems necessary or desirable;</w:t>
      </w:r>
    </w:p>
    <w:p>
      <w:pPr>
        <w:spacing w:after="0" w:line="207" w:lineRule="exact"/>
        <w:rPr>
          <w:rFonts w:ascii="Courier New" w:cs="Courier New" w:eastAsia="Courier New" w:hAnsi="Courier New"/>
          <w:sz w:val="18"/>
          <w:szCs w:val="18"/>
          <w:color w:val="auto"/>
        </w:rPr>
      </w:pPr>
    </w:p>
    <w:p>
      <w:pPr>
        <w:ind w:right="1879" w:firstLine="851"/>
        <w:spacing w:after="0" w:line="273" w:lineRule="auto"/>
        <w:tabs>
          <w:tab w:leader="none" w:pos="1264"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the Attorney-in-Fact assumes any liability for the undersigned's responsibility to comply with the requirements of Section 16 of the Exchange Act, any liability of the undersigned for any failure to comply with such requirements, or any liability of the undersigned for disgorgement of profits under Section 16(b) of the Exchange Act; and</w:t>
      </w:r>
    </w:p>
    <w:p>
      <w:pPr>
        <w:spacing w:after="0" w:line="184" w:lineRule="exact"/>
        <w:rPr>
          <w:rFonts w:ascii="Courier New" w:cs="Courier New" w:eastAsia="Courier New" w:hAnsi="Courier New"/>
          <w:sz w:val="16"/>
          <w:szCs w:val="16"/>
          <w:color w:val="auto"/>
        </w:rPr>
      </w:pPr>
    </w:p>
    <w:p>
      <w:pPr>
        <w:ind w:right="1779" w:firstLine="851"/>
        <w:spacing w:after="0" w:line="237" w:lineRule="auto"/>
        <w:tabs>
          <w:tab w:leader="none" w:pos="1264"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Section 16 of the Exchange Act, including, without limitation, the reporting requirements under Section 16(a) of the Exchange Act.</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undersigned hereby grants to the Attorney-in-Fact full power and authority to do and perform each and every act and thing requisite, necessary or 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211"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4 or 5 with respect to the undersigned's holdings of and transactions in equity securities of the Company, unless earlier revoked by the undersigned in a signed writing delivered to the Attorney-in-Fact. This Limited Power of Attorney revokes all previous powers of attorney with respect to the subject matter of this Limited Power of Attorney.</w:t>
      </w:r>
    </w:p>
    <w:p>
      <w:pPr>
        <w:spacing w:after="0" w:line="211" w:lineRule="exact"/>
        <w:rPr>
          <w:sz w:val="20"/>
          <w:szCs w:val="20"/>
          <w:color w:val="auto"/>
        </w:rPr>
      </w:pPr>
    </w:p>
    <w:p>
      <w:pPr>
        <w:ind w:right="199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Limited Power of Attorney as of November 10, 2015.</w:t>
      </w:r>
    </w:p>
    <w:p>
      <w:pPr>
        <w:spacing w:after="0" w:line="200" w:lineRule="exact"/>
        <w:rPr>
          <w:sz w:val="20"/>
          <w:szCs w:val="20"/>
          <w:color w:val="auto"/>
        </w:rPr>
      </w:pPr>
    </w:p>
    <w:p>
      <w:pPr>
        <w:spacing w:after="0" w:line="205" w:lineRule="exact"/>
        <w:rPr>
          <w:sz w:val="20"/>
          <w:szCs w:val="20"/>
          <w:color w:val="auto"/>
        </w:rPr>
      </w:pPr>
    </w:p>
    <w:p>
      <w:pPr>
        <w:ind w:left="4220"/>
        <w:spacing w:after="0"/>
        <w:tabs>
          <w:tab w:leader="none" w:pos="5460" w:val="left"/>
        </w:tabs>
        <w:rPr>
          <w:sz w:val="20"/>
          <w:szCs w:val="20"/>
          <w:color w:val="auto"/>
        </w:rPr>
      </w:pPr>
      <w:r>
        <w:rPr>
          <w:rFonts w:ascii="Courier New" w:cs="Courier New" w:eastAsia="Courier New" w:hAnsi="Courier New"/>
          <w:sz w:val="18"/>
          <w:szCs w:val="18"/>
          <w:color w:val="auto"/>
        </w:rPr>
        <w:t>Signature:</w:t>
        <w:tab/>
        <w:t>/s/ Woung Moo Lee</w:t>
      </w:r>
    </w:p>
    <w:p>
      <w:pPr>
        <w:spacing w:after="0" w:line="4"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Print Name: Woung Moo Lee</w:t>
      </w:r>
    </w:p>
    <w:p>
      <w:pPr>
        <w:spacing w:after="0" w:line="207"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On November 10, 2015 before me, Jung Ho Gil, personally appeared Woung Moo Lee who proved to me on the basis of satisfactory evidence to be the person whose name is subscribed to the within instrument and acknowledged to me that he executed the same in his authorized capacity, and that by his signature on the</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instrument the person executed the instrument.</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 certify under PENALTY OF PERJURY under the laws of the Republic of Korea that the foregoing paragraph is true and correct.</w:t>
      </w:r>
    </w:p>
    <w:p>
      <w:pPr>
        <w:sectPr>
          <w:pgSz w:w="11900" w:h="16838" w:orient="portrait"/>
          <w:cols w:equalWidth="0" w:num="1">
            <w:col w:w="10219"/>
          </w:cols>
          <w:pgMar w:left="240" w:top="136" w:right="1440" w:bottom="1440" w:gutter="0" w:footer="0" w:header="0"/>
        </w:sectPr>
      </w:pP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6"/>
          <w:szCs w:val="16"/>
          <w:color w:val="auto"/>
        </w:rPr>
        <w:t>/s/ Jung Ho Gil</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Name of Notary Public</w:t>
      </w:r>
      <w:r>
        <w:rPr>
          <w:sz w:val="20"/>
          <w:szCs w:val="20"/>
          <w:color w:val="auto"/>
        </w:rPr>
        <w:tab/>
      </w:r>
      <w:r>
        <w:rPr>
          <w:rFonts w:ascii="Courier New" w:cs="Courier New" w:eastAsia="Courier New" w:hAnsi="Courier New"/>
          <w:sz w:val="16"/>
          <w:szCs w:val="16"/>
          <w:color w:val="auto"/>
        </w:rPr>
        <w:t>Jung Ho Gil</w:t>
      </w:r>
    </w:p>
    <w:p>
      <w:pPr>
        <w:spacing w:after="0" w:line="4"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(Notary Seal)</w:t>
      </w:r>
    </w:p>
    <w:sectPr>
      <w:pgSz w:w="11900" w:h="16838" w:orient="portrait"/>
      <w:cols w:equalWidth="0" w:num="2">
        <w:col w:w="3800" w:space="420"/>
        <w:col w:w="599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658198" TargetMode="External"/><Relationship Id="rId12"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2019-12-08T13:53:46Z</dcterms:created>
  <dcterms:modified xsi:type="dcterms:W3CDTF">2019-12-08T13:53:46Z</dcterms:modified>
</cp:coreProperties>
</file>