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200" w:right="4180" w:hanging="4192"/>
        <w:spacing w:after="0" w:line="502" w:lineRule="auto"/>
        <w:tabs>
          <w:tab w:leader="none" w:pos="461"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5"/>
          <w:szCs w:val="15"/>
          <w:b w:val="1"/>
          <w:bCs w:val="1"/>
          <w:color w:val="auto"/>
        </w:rPr>
        <w:t xml:space="preserve">Quarterly Report Pursuant to Section 13 or 15(d) of the Securities Exchange Act of 1934 </w:t>
      </w:r>
      <w:r>
        <w:rPr>
          <w:rFonts w:ascii="Arial" w:cs="Arial" w:eastAsia="Arial" w:hAnsi="Arial"/>
          <w:sz w:val="15"/>
          <w:szCs w:val="15"/>
          <w:color w:val="auto"/>
        </w:rPr>
        <w:t>For the quarterly period ended July 3, 2005</w:t>
      </w:r>
    </w:p>
    <w:p>
      <w:pPr>
        <w:ind w:left="5640"/>
        <w:spacing w:after="0"/>
        <w:rPr>
          <w:rFonts w:ascii="MS PGothic" w:cs="MS PGothic" w:eastAsia="MS PGothic" w:hAnsi="MS PGothic"/>
          <w:sz w:val="15"/>
          <w:szCs w:val="15"/>
          <w:color w:val="auto"/>
          <w:highlight w:val="black"/>
        </w:rPr>
      </w:pPr>
      <w:r>
        <w:rPr>
          <w:rFonts w:ascii="Arial" w:cs="Arial" w:eastAsia="Arial" w:hAnsi="Arial"/>
          <w:sz w:val="18"/>
          <w:szCs w:val="18"/>
          <w:color w:val="auto"/>
        </w:rPr>
        <w:t>or</w:t>
      </w:r>
    </w:p>
    <w:p>
      <w:pPr>
        <w:spacing w:after="0" w:line="1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4"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333-126019-09</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160" w:type="dxa"/>
        <w:tblCellMar>
          <w:top w:w="0" w:type="dxa"/>
          <w:left w:w="0" w:type="dxa"/>
          <w:bottom w:w="0" w:type="dxa"/>
          <w:right w:w="0" w:type="dxa"/>
        </w:tblCellMar>
      </w:tblPr>
      <w:tr>
        <w:trPr>
          <w:trHeight w:val="218"/>
        </w:trPr>
        <w:tc>
          <w:tcPr>
            <w:tcW w:w="4920" w:type="dxa"/>
            <w:vAlign w:val="bottom"/>
          </w:tcPr>
          <w:p>
            <w:pPr>
              <w:jc w:val="center"/>
              <w:ind w:right="1541"/>
              <w:spacing w:after="0"/>
              <w:rPr>
                <w:sz w:val="20"/>
                <w:szCs w:val="20"/>
                <w:color w:val="auto"/>
              </w:rPr>
            </w:pPr>
            <w:r>
              <w:rPr>
                <w:rFonts w:ascii="Arial" w:cs="Arial" w:eastAsia="Arial" w:hAnsi="Arial"/>
                <w:sz w:val="18"/>
                <w:szCs w:val="18"/>
                <w:b w:val="1"/>
                <w:bCs w:val="1"/>
                <w:color w:val="auto"/>
                <w:w w:val="88"/>
              </w:rPr>
              <w:t>Delaware</w:t>
            </w:r>
          </w:p>
        </w:tc>
        <w:tc>
          <w:tcPr>
            <w:tcW w:w="3700" w:type="dxa"/>
            <w:vAlign w:val="bottom"/>
          </w:tcPr>
          <w:p>
            <w:pPr>
              <w:jc w:val="center"/>
              <w:ind w:left="1542"/>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920" w:type="dxa"/>
            <w:vAlign w:val="bottom"/>
          </w:tcPr>
          <w:p>
            <w:pPr>
              <w:jc w:val="center"/>
              <w:ind w:right="1541"/>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700" w:type="dxa"/>
            <w:vAlign w:val="bottom"/>
          </w:tcPr>
          <w:p>
            <w:pPr>
              <w:jc w:val="center"/>
              <w:ind w:left="1542"/>
              <w:spacing w:after="0" w:line="149" w:lineRule="exact"/>
              <w:rPr>
                <w:sz w:val="20"/>
                <w:szCs w:val="20"/>
                <w:color w:val="auto"/>
              </w:rPr>
            </w:pPr>
            <w:r>
              <w:rPr>
                <w:rFonts w:ascii="Arial" w:cs="Arial" w:eastAsia="Arial" w:hAnsi="Arial"/>
                <w:sz w:val="14"/>
                <w:szCs w:val="14"/>
                <w:b w:val="1"/>
                <w:bCs w:val="1"/>
                <w:color w:val="auto"/>
                <w:w w:val="90"/>
              </w:rPr>
              <w:t>(I.R.S. Employer Identification No.)</w:t>
            </w:r>
          </w:p>
        </w:tc>
      </w:tr>
      <w:tr>
        <w:trPr>
          <w:trHeight w:val="174"/>
        </w:trPr>
        <w:tc>
          <w:tcPr>
            <w:tcW w:w="4920" w:type="dxa"/>
            <w:vAlign w:val="bottom"/>
          </w:tcPr>
          <w:p>
            <w:pPr>
              <w:jc w:val="center"/>
              <w:ind w:right="1541"/>
              <w:spacing w:after="0"/>
              <w:rPr>
                <w:sz w:val="20"/>
                <w:szCs w:val="20"/>
                <w:color w:val="auto"/>
              </w:rPr>
            </w:pPr>
            <w:r>
              <w:rPr>
                <w:rFonts w:ascii="Arial" w:cs="Arial" w:eastAsia="Arial" w:hAnsi="Arial"/>
                <w:sz w:val="14"/>
                <w:szCs w:val="14"/>
                <w:b w:val="1"/>
                <w:bCs w:val="1"/>
                <w:color w:val="auto"/>
                <w:w w:val="89"/>
              </w:rPr>
              <w:t>incorporation or organization)</w:t>
            </w:r>
          </w:p>
        </w:tc>
        <w:tc>
          <w:tcPr>
            <w:tcW w:w="3700" w:type="dxa"/>
            <w:vAlign w:val="bottom"/>
          </w:tcPr>
          <w:p>
            <w:pPr>
              <w:spacing w:after="0"/>
              <w:rPr>
                <w:sz w:val="15"/>
                <w:szCs w:val="15"/>
                <w:color w:val="auto"/>
              </w:rPr>
            </w:pPr>
          </w:p>
        </w:tc>
      </w:tr>
      <w:tr>
        <w:trPr>
          <w:trHeight w:val="405"/>
        </w:trPr>
        <w:tc>
          <w:tcPr>
            <w:tcW w:w="4920" w:type="dxa"/>
            <w:vAlign w:val="bottom"/>
          </w:tcPr>
          <w:p>
            <w:pPr>
              <w:jc w:val="center"/>
              <w:ind w:right="1541"/>
              <w:spacing w:after="0"/>
              <w:rPr>
                <w:sz w:val="20"/>
                <w:szCs w:val="20"/>
                <w:color w:val="auto"/>
              </w:rPr>
            </w:pPr>
            <w:r>
              <w:rPr>
                <w:rFonts w:ascii="Arial" w:cs="Arial" w:eastAsia="Arial" w:hAnsi="Arial"/>
                <w:sz w:val="18"/>
                <w:szCs w:val="18"/>
                <w:b w:val="1"/>
                <w:bCs w:val="1"/>
                <w:color w:val="auto"/>
                <w:w w:val="88"/>
              </w:rPr>
              <w:t>c/o MagnaChip Semiconductor S.A.</w:t>
            </w:r>
          </w:p>
        </w:tc>
        <w:tc>
          <w:tcPr>
            <w:tcW w:w="3700" w:type="dxa"/>
            <w:vAlign w:val="bottom"/>
          </w:tcPr>
          <w:p>
            <w:pPr>
              <w:spacing w:after="0"/>
              <w:rPr>
                <w:sz w:val="24"/>
                <w:szCs w:val="24"/>
                <w:color w:val="auto"/>
              </w:rPr>
            </w:pPr>
          </w:p>
        </w:tc>
      </w:tr>
      <w:tr>
        <w:trPr>
          <w:trHeight w:val="216"/>
        </w:trPr>
        <w:tc>
          <w:tcPr>
            <w:tcW w:w="4920" w:type="dxa"/>
            <w:vAlign w:val="bottom"/>
          </w:tcPr>
          <w:p>
            <w:pPr>
              <w:jc w:val="center"/>
              <w:ind w:right="1541"/>
              <w:spacing w:after="0"/>
              <w:rPr>
                <w:sz w:val="20"/>
                <w:szCs w:val="20"/>
                <w:color w:val="auto"/>
              </w:rPr>
            </w:pPr>
            <w:r>
              <w:rPr>
                <w:rFonts w:ascii="Arial" w:cs="Arial" w:eastAsia="Arial" w:hAnsi="Arial"/>
                <w:sz w:val="18"/>
                <w:szCs w:val="18"/>
                <w:b w:val="1"/>
                <w:bCs w:val="1"/>
                <w:color w:val="auto"/>
                <w:w w:val="89"/>
              </w:rPr>
              <w:t>10, rue de Vianden, L-2680</w:t>
            </w:r>
          </w:p>
        </w:tc>
        <w:tc>
          <w:tcPr>
            <w:tcW w:w="3700" w:type="dxa"/>
            <w:vAlign w:val="bottom"/>
          </w:tcPr>
          <w:p>
            <w:pPr>
              <w:spacing w:after="0"/>
              <w:rPr>
                <w:sz w:val="18"/>
                <w:szCs w:val="18"/>
                <w:color w:val="auto"/>
              </w:rPr>
            </w:pPr>
          </w:p>
        </w:tc>
      </w:tr>
      <w:tr>
        <w:trPr>
          <w:trHeight w:val="231"/>
        </w:trPr>
        <w:tc>
          <w:tcPr>
            <w:tcW w:w="4920" w:type="dxa"/>
            <w:vAlign w:val="bottom"/>
          </w:tcPr>
          <w:p>
            <w:pPr>
              <w:jc w:val="center"/>
              <w:ind w:right="154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3700" w:type="dxa"/>
            <w:vAlign w:val="bottom"/>
          </w:tcPr>
          <w:p>
            <w:pPr>
              <w:jc w:val="center"/>
              <w:ind w:left="1542"/>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920" w:type="dxa"/>
            <w:vAlign w:val="bottom"/>
          </w:tcPr>
          <w:p>
            <w:pPr>
              <w:jc w:val="center"/>
              <w:ind w:right="1541"/>
              <w:spacing w:after="0"/>
              <w:rPr>
                <w:sz w:val="20"/>
                <w:szCs w:val="20"/>
                <w:color w:val="auto"/>
              </w:rPr>
            </w:pPr>
            <w:r>
              <w:rPr>
                <w:rFonts w:ascii="Arial" w:cs="Arial" w:eastAsia="Arial" w:hAnsi="Arial"/>
                <w:sz w:val="14"/>
                <w:szCs w:val="14"/>
                <w:b w:val="1"/>
                <w:bCs w:val="1"/>
                <w:color w:val="auto"/>
                <w:w w:val="84"/>
              </w:rPr>
              <w:t>(Address of principal executive offices)</w:t>
            </w:r>
          </w:p>
        </w:tc>
        <w:tc>
          <w:tcPr>
            <w:tcW w:w="3700" w:type="dxa"/>
            <w:vAlign w:val="bottom"/>
          </w:tcPr>
          <w:p>
            <w:pPr>
              <w:jc w:val="center"/>
              <w:ind w:left="1542"/>
              <w:spacing w:after="0"/>
              <w:rPr>
                <w:sz w:val="20"/>
                <w:szCs w:val="20"/>
                <w:color w:val="auto"/>
              </w:rPr>
            </w:pPr>
            <w:r>
              <w:rPr>
                <w:rFonts w:ascii="Arial" w:cs="Arial" w:eastAsia="Arial" w:hAnsi="Arial"/>
                <w:sz w:val="14"/>
                <w:szCs w:val="14"/>
                <w:b w:val="1"/>
                <w:bCs w:val="1"/>
                <w:color w:val="auto"/>
                <w:w w:val="92"/>
              </w:rPr>
              <w:t>(Zip Code)</w:t>
            </w:r>
          </w:p>
        </w:tc>
      </w:tr>
    </w:tbl>
    <w:p>
      <w:pPr>
        <w:spacing w:after="0" w:line="1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(352) 45-62-62</w:t>
      </w:r>
    </w:p>
    <w:p>
      <w:pPr>
        <w:spacing w:after="0" w:line="158"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9000" w:type="dxa"/>
            <w:vAlign w:val="bottom"/>
          </w:tcPr>
          <w:p>
            <w:pPr>
              <w:ind w:left="460"/>
              <w:spacing w:after="0"/>
              <w:rPr>
                <w:sz w:val="20"/>
                <w:szCs w:val="20"/>
                <w:color w:val="auto"/>
              </w:rPr>
            </w:pPr>
            <w:r>
              <w:rPr>
                <w:rFonts w:ascii="Arial" w:cs="Arial" w:eastAsia="Arial" w:hAnsi="Arial"/>
                <w:sz w:val="18"/>
                <w:szCs w:val="18"/>
                <w:color w:val="auto"/>
                <w:w w:val="88"/>
              </w:rPr>
              <w:t>Indicate by check mark whether the registrant is an accelerated filer (as defined in Rule 12b-2 of the Exchange Act). Yes</w:t>
            </w:r>
          </w:p>
        </w:tc>
        <w:tc>
          <w:tcPr>
            <w:tcW w:w="2420" w:type="dxa"/>
            <w:vAlign w:val="bottom"/>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r>
      <w:tr>
        <w:trPr>
          <w:trHeight w:val="365"/>
        </w:trPr>
        <w:tc>
          <w:tcPr>
            <w:tcW w:w="9000" w:type="dxa"/>
            <w:vAlign w:val="bottom"/>
          </w:tcPr>
          <w:p>
            <w:pPr>
              <w:ind w:left="460"/>
              <w:spacing w:after="0" w:line="207" w:lineRule="exact"/>
              <w:rPr>
                <w:sz w:val="20"/>
                <w:szCs w:val="20"/>
                <w:color w:val="auto"/>
              </w:rPr>
            </w:pPr>
            <w:r>
              <w:rPr>
                <w:rFonts w:ascii="Arial" w:cs="Arial" w:eastAsia="Arial" w:hAnsi="Arial"/>
                <w:sz w:val="18"/>
                <w:szCs w:val="18"/>
                <w:color w:val="auto"/>
                <w:w w:val="88"/>
              </w:rPr>
              <w:t xml:space="preserve">Indicate by check mark whether the registrant is a shell company (as defined in Rule 12b-2 of the Exchange Act). Yes </w:t>
            </w:r>
            <w:r>
              <w:rPr>
                <w:rFonts w:ascii="MS PGothic" w:cs="MS PGothic" w:eastAsia="MS PGothic" w:hAnsi="MS PGothic"/>
                <w:sz w:val="18"/>
                <w:szCs w:val="18"/>
                <w:color w:val="auto"/>
                <w:w w:val="88"/>
              </w:rPr>
              <w:t>☐</w:t>
            </w:r>
          </w:p>
        </w:tc>
        <w:tc>
          <w:tcPr>
            <w:tcW w:w="24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r>
      <w:tr>
        <w:trPr>
          <w:trHeight w:val="345"/>
        </w:trPr>
        <w:tc>
          <w:tcPr>
            <w:tcW w:w="9000" w:type="dxa"/>
            <w:vAlign w:val="bottom"/>
          </w:tcPr>
          <w:p>
            <w:pPr>
              <w:ind w:left="460"/>
              <w:spacing w:after="0"/>
              <w:rPr>
                <w:sz w:val="20"/>
                <w:szCs w:val="20"/>
                <w:color w:val="auto"/>
              </w:rPr>
            </w:pPr>
            <w:r>
              <w:rPr>
                <w:rFonts w:ascii="Arial" w:cs="Arial" w:eastAsia="Arial" w:hAnsi="Arial"/>
                <w:sz w:val="18"/>
                <w:szCs w:val="18"/>
                <w:color w:val="auto"/>
              </w:rPr>
              <w:t>As of August 31, 2005, the registrant had 53,037,319.672 of the registrant’s common units outstanding.</w:t>
            </w:r>
          </w:p>
        </w:tc>
        <w:tc>
          <w:tcPr>
            <w:tcW w:w="2420" w:type="dxa"/>
            <w:vAlign w:val="bottom"/>
          </w:tcPr>
          <w:p>
            <w:pPr>
              <w:spacing w:after="0"/>
              <w:rPr>
                <w:sz w:val="24"/>
                <w:szCs w:val="24"/>
                <w:color w:val="auto"/>
              </w:rPr>
            </w:pPr>
          </w:p>
        </w:tc>
      </w:tr>
      <w:tr>
        <w:trPr>
          <w:trHeight w:val="282"/>
        </w:trPr>
        <w:tc>
          <w:tcPr>
            <w:tcW w:w="90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3"/>
              </w:rPr>
              <w:t>Page No.</w:t>
            </w:r>
          </w:p>
        </w:tc>
      </w:tr>
      <w:tr>
        <w:trPr>
          <w:trHeight w:val="95"/>
        </w:trPr>
        <w:tc>
          <w:tcPr>
            <w:tcW w:w="108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324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r>
      <w:tr>
        <w:trPr>
          <w:trHeight w:val="277"/>
        </w:trPr>
        <w:tc>
          <w:tcPr>
            <w:tcW w:w="2780" w:type="dxa"/>
            <w:vAlign w:val="bottom"/>
            <w:tcBorders>
              <w:bottom w:val="single" w:sz="8" w:color="0000EE"/>
            </w:tcBorders>
            <w:gridSpan w:val="4"/>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812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360" w:type="dxa"/>
            <w:vAlign w:val="bottom"/>
            <w:gridSpan w:val="2"/>
          </w:tcPr>
          <w:p>
            <w:pPr>
              <w:ind w:left="440"/>
              <w:spacing w:after="0"/>
              <w:rPr>
                <w:sz w:val="20"/>
                <w:szCs w:val="20"/>
                <w:color w:val="auto"/>
              </w:rPr>
            </w:pPr>
            <w:r>
              <w:rPr>
                <w:rFonts w:ascii="Arial" w:cs="Arial" w:eastAsia="Arial" w:hAnsi="Arial"/>
                <w:sz w:val="18"/>
                <w:szCs w:val="18"/>
                <w:color w:val="auto"/>
              </w:rPr>
              <w:t>Item 1.</w:t>
            </w:r>
          </w:p>
        </w:tc>
        <w:tc>
          <w:tcPr>
            <w:tcW w:w="23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Financial Statements (Unaudited)</w:t>
              </w:r>
            </w:hyperlink>
          </w:p>
        </w:tc>
        <w:tc>
          <w:tcPr>
            <w:tcW w:w="7180" w:type="dxa"/>
            <w:vAlign w:val="bottom"/>
            <w:gridSpan w:val="7"/>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Borders>
              <w:top w:val="single" w:sz="8" w:color="0000EE"/>
            </w:tcBorders>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59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19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0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6">
              <w:r>
                <w:rPr>
                  <w:rFonts w:ascii="Arial" w:cs="Arial" w:eastAsia="Arial" w:hAnsi="Arial"/>
                  <w:sz w:val="18"/>
                  <w:szCs w:val="18"/>
                  <w:color w:val="0000EE"/>
                  <w:w w:val="86"/>
                </w:rPr>
                <w:t>Notes to Condensed Consolidated Financial Statements</w:t>
              </w:r>
            </w:hyperlink>
          </w:p>
        </w:tc>
        <w:tc>
          <w:tcPr>
            <w:tcW w:w="564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136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1">
              <w:r>
                <w:rPr>
                  <w:rFonts w:ascii="Arial" w:cs="Arial" w:eastAsia="Arial" w:hAnsi="Arial"/>
                  <w:sz w:val="18"/>
                  <w:szCs w:val="18"/>
                  <w:color w:val="0000EE"/>
                  <w:w w:val="88"/>
                </w:rPr>
                <w:t>Management’s Discussion and Analysis of Financial Condition and Results of Operations</w:t>
              </w:r>
            </w:hyperlink>
          </w:p>
        </w:tc>
        <w:tc>
          <w:tcPr>
            <w:tcW w:w="3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136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42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Quantitative and Qualitative Disclosures About Market Risk</w:t>
              </w:r>
            </w:hyperlink>
          </w:p>
        </w:tc>
        <w:tc>
          <w:tcPr>
            <w:tcW w:w="528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04"/>
        </w:trPr>
        <w:tc>
          <w:tcPr>
            <w:tcW w:w="136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954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7820" w:type="dxa"/>
            <w:vAlign w:val="bottom"/>
            <w:gridSpan w:val="8"/>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343"/>
        </w:trPr>
        <w:tc>
          <w:tcPr>
            <w:tcW w:w="10900" w:type="dxa"/>
            <w:vAlign w:val="bottom"/>
            <w:gridSpan w:val="13"/>
          </w:tcPr>
          <w:p>
            <w:pPr>
              <w:spacing w:after="0"/>
              <w:rPr>
                <w:sz w:val="20"/>
                <w:szCs w:val="20"/>
                <w:color w:val="auto"/>
              </w:rPr>
            </w:pPr>
            <w:r>
              <w:rPr>
                <w:rFonts w:ascii="Arial" w:cs="Arial" w:eastAsia="Arial" w:hAnsi="Arial"/>
                <w:sz w:val="18"/>
                <w:szCs w:val="18"/>
                <w:color w:val="auto"/>
              </w:rPr>
              <w:t>PART II OTHER INFORMATION</w:t>
            </w:r>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86"/>
        </w:trPr>
        <w:tc>
          <w:tcPr>
            <w:tcW w:w="136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9540" w:type="dxa"/>
            <w:vAlign w:val="bottom"/>
            <w:gridSpan w:val="11"/>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04"/>
        </w:trPr>
        <w:tc>
          <w:tcPr>
            <w:tcW w:w="136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5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83"/>
        </w:trPr>
        <w:tc>
          <w:tcPr>
            <w:tcW w:w="108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80" w:type="dxa"/>
            <w:vAlign w:val="bottom"/>
            <w:gridSpan w:val="2"/>
          </w:tcPr>
          <w:p>
            <w:pPr>
              <w:ind w:left="6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5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6"/>
              </w:rPr>
              <w:t>Three months</w:t>
            </w:r>
          </w:p>
        </w:tc>
        <w:tc>
          <w:tcPr>
            <w:tcW w:w="100" w:type="dxa"/>
            <w:vAlign w:val="bottom"/>
          </w:tcPr>
          <w:p>
            <w:pPr>
              <w:spacing w:after="0"/>
              <w:rPr>
                <w:sz w:val="14"/>
                <w:szCs w:val="14"/>
                <w:color w:val="auto"/>
              </w:rPr>
            </w:pPr>
          </w:p>
        </w:tc>
        <w:tc>
          <w:tcPr>
            <w:tcW w:w="144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84"/>
              </w:rPr>
              <w:t>Six months</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54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ended July 3,</w:t>
            </w:r>
          </w:p>
        </w:tc>
        <w:tc>
          <w:tcPr>
            <w:tcW w:w="1540" w:type="dxa"/>
            <w:vAlign w:val="bottom"/>
            <w:gridSpan w:val="4"/>
          </w:tcPr>
          <w:p>
            <w:pPr>
              <w:jc w:val="center"/>
              <w:ind w:right="660"/>
              <w:spacing w:after="0" w:line="149" w:lineRule="exact"/>
              <w:rPr>
                <w:sz w:val="20"/>
                <w:szCs w:val="20"/>
                <w:color w:val="auto"/>
              </w:rPr>
            </w:pPr>
            <w:r>
              <w:rPr>
                <w:rFonts w:ascii="Arial" w:cs="Arial" w:eastAsia="Arial" w:hAnsi="Arial"/>
                <w:sz w:val="14"/>
                <w:szCs w:val="14"/>
                <w:b w:val="1"/>
                <w:bCs w:val="1"/>
                <w:color w:val="auto"/>
                <w:w w:val="85"/>
              </w:rPr>
              <w:t>ended July 3,</w:t>
            </w: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ended June 30,</w:t>
            </w:r>
          </w:p>
        </w:tc>
        <w:tc>
          <w:tcPr>
            <w:tcW w:w="2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ended June 30,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60" w:type="dxa"/>
            <w:vAlign w:val="bottom"/>
            <w:gridSpan w:val="2"/>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7"/>
          </w:tcPr>
          <w:p>
            <w:pPr>
              <w:jc w:val="right"/>
              <w:ind w:right="1240"/>
              <w:spacing w:after="0"/>
              <w:rPr>
                <w:sz w:val="20"/>
                <w:szCs w:val="20"/>
                <w:color w:val="auto"/>
              </w:rPr>
            </w:pPr>
            <w:r>
              <w:rPr>
                <w:rFonts w:ascii="Arial" w:cs="Arial" w:eastAsia="Arial" w:hAnsi="Arial"/>
                <w:sz w:val="14"/>
                <w:szCs w:val="14"/>
                <w:b w:val="1"/>
                <w:bCs w:val="1"/>
                <w:color w:val="auto"/>
              </w:rPr>
              <w:t>(Successor Company)</w:t>
            </w:r>
          </w:p>
        </w:tc>
        <w:tc>
          <w:tcPr>
            <w:tcW w:w="180" w:type="dxa"/>
            <w:vAlign w:val="bottom"/>
          </w:tcPr>
          <w:p>
            <w:pPr>
              <w:spacing w:after="0"/>
              <w:rPr>
                <w:sz w:val="21"/>
                <w:szCs w:val="21"/>
                <w:color w:val="auto"/>
              </w:rPr>
            </w:pPr>
          </w:p>
        </w:tc>
        <w:tc>
          <w:tcPr>
            <w:tcW w:w="22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59,851</w:t>
            </w:r>
          </w:p>
        </w:tc>
        <w:tc>
          <w:tcPr>
            <w:tcW w:w="64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122,502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236,023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449,413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240,523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236,023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449,413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300,374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175,619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363,057</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226,228</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60,404</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74,146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16,063</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27,488</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53,587</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24,282</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(8,322)</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(36,948)</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(13,991)</w:t>
            </w:r>
          </w:p>
        </w:tc>
        <w:tc>
          <w:tcPr>
            <w:tcW w:w="100" w:type="dxa"/>
            <w:vAlign w:val="bottom"/>
          </w:tcPr>
          <w:p>
            <w:pPr>
              <w:spacing w:after="0"/>
              <w:rPr>
                <w:sz w:val="18"/>
                <w:szCs w:val="18"/>
                <w:color w:val="auto"/>
              </w:rPr>
            </w:pP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(27,892)</w:t>
            </w:r>
          </w:p>
        </w:tc>
        <w:tc>
          <w:tcPr>
            <w:tcW w:w="180" w:type="dxa"/>
            <w:vAlign w:val="bottom"/>
          </w:tcPr>
          <w:p>
            <w:pPr>
              <w:spacing w:after="0"/>
              <w:rPr>
                <w:sz w:val="18"/>
                <w:szCs w:val="18"/>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(5,547)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(12,795)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9"/>
                <w:szCs w:val="19"/>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(26,786)</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(27,086)</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(3,344)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(35,108)</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(64,034)</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30,457</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 (benefits)</w:t>
            </w:r>
          </w:p>
        </w:tc>
        <w:tc>
          <w:tcPr>
            <w:tcW w:w="10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(1,624)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(33,484)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(64,762)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29,457</w:t>
            </w:r>
          </w:p>
        </w:tc>
        <w:tc>
          <w:tcPr>
            <w:tcW w:w="6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(35,962)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(69,635)</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unit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(0.68)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jc w:val="right"/>
              <w:ind w:right="600"/>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88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units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80" w:type="dxa"/>
            <w:vAlign w:val="bottom"/>
          </w:tcPr>
          <w:p>
            <w:pPr>
              <w:ind w:left="420"/>
              <w:spacing w:after="0"/>
              <w:rPr>
                <w:sz w:val="20"/>
                <w:szCs w:val="20"/>
                <w:color w:val="auto"/>
              </w:rPr>
            </w:pPr>
            <w:r>
              <w:rPr>
                <w:rFonts w:ascii="Arial" w:cs="Arial" w:eastAsia="Arial" w:hAnsi="Arial"/>
                <w:sz w:val="18"/>
                <w:szCs w:val="18"/>
                <w:color w:val="auto"/>
              </w:rPr>
              <w:t>- basic and diluted</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52,981,901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52,755,012</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-1394460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-1394460</wp:posOffset>
            </wp:positionV>
            <wp:extent cx="2159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-1394460</wp:posOffset>
            </wp:positionV>
            <wp:extent cx="3873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-1394460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-1394460</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-1394460</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-1394460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-1394460</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-1394460</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-1394460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-1394460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-1394460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-811530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-811530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-811530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-811530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-811530</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-811530</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3742055</wp:posOffset>
            </wp:positionH>
            <wp:positionV relativeFrom="paragraph">
              <wp:posOffset>-374015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-374015</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-374015</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-374015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-374015</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-374015</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July 3,</w:t>
            </w:r>
          </w:p>
        </w:tc>
        <w:tc>
          <w:tcPr>
            <w:tcW w:w="9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6,017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77,301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86,169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8,697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514,704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219,758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211,987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1,031,187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19,122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6,732</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51,889</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50,714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940,414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1,002,124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w w:val="91"/>
              </w:rPr>
              <w:t>Series A redeemable convertible preferred units; 60,000 units authorized; 50,091 units issued and 0 units outstanding at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640"/>
              <w:spacing w:after="0"/>
              <w:rPr>
                <w:sz w:val="20"/>
                <w:szCs w:val="20"/>
                <w:color w:val="auto"/>
              </w:rPr>
            </w:pPr>
            <w:r>
              <w:rPr>
                <w:rFonts w:ascii="Arial" w:cs="Arial" w:eastAsia="Arial" w:hAnsi="Arial"/>
                <w:sz w:val="18"/>
                <w:szCs w:val="18"/>
                <w:color w:val="auto"/>
              </w:rPr>
              <w:t>July 3, 2005 and December 31, 2004</w:t>
            </w:r>
          </w:p>
        </w:tc>
        <w:tc>
          <w:tcPr>
            <w:tcW w:w="120" w:type="dxa"/>
            <w:vAlign w:val="bottom"/>
          </w:tcPr>
          <w:p>
            <w:pPr>
              <w:spacing w:after="0"/>
              <w:rPr>
                <w:sz w:val="19"/>
                <w:szCs w:val="19"/>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Series B redeemable convertible preferred units; 550,000 units authorized; 450,693 units issued and 93,997 units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July 3, 2005 and December 31, 2004</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w w:val="90"/>
              </w:rPr>
              <w:t>Common units; 65,000,000 units authorized; 53,037,320 units and 52,533,003 units issued and outstanding at July 3, 2005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December 31, 2004, respectively</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53,037</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52,533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(88,901)</w:t>
            </w:r>
          </w:p>
        </w:tc>
        <w:tc>
          <w:tcPr>
            <w:tcW w:w="1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unitholders’ equity</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(10,634)</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1,031,187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1,154,530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-4788535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-4788535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-4788535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-4788535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-4788535</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-4788535</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2"/>
          </w:tcPr>
          <w:p>
            <w:pPr>
              <w:jc w:val="right"/>
              <w:ind w:right="1140"/>
              <w:spacing w:after="0"/>
              <w:rPr>
                <w:sz w:val="20"/>
                <w:szCs w:val="20"/>
                <w:color w:val="auto"/>
              </w:rPr>
            </w:pPr>
            <w:r>
              <w:rPr>
                <w:rFonts w:ascii="Arial" w:cs="Arial" w:eastAsia="Arial" w:hAnsi="Arial"/>
                <w:sz w:val="14"/>
                <w:szCs w:val="14"/>
                <w:b w:val="1"/>
                <w:bCs w:val="1"/>
                <w:color w:val="auto"/>
                <w:w w:val="84"/>
              </w:rPr>
              <w:t>Six months ended</w:t>
            </w:r>
          </w:p>
        </w:tc>
        <w:tc>
          <w:tcPr>
            <w:tcW w:w="120" w:type="dxa"/>
            <w:vAlign w:val="bottom"/>
          </w:tcPr>
          <w:p>
            <w:pPr>
              <w:spacing w:after="0"/>
              <w:rPr>
                <w:sz w:val="14"/>
                <w:szCs w:val="1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rPr>
              <w:t>July 3, 2005</w:t>
            </w:r>
          </w:p>
        </w:tc>
        <w:tc>
          <w:tcPr>
            <w:tcW w:w="120" w:type="dxa"/>
            <w:vAlign w:val="bottom"/>
          </w:tcPr>
          <w:p>
            <w:pPr>
              <w:spacing w:after="0"/>
              <w:rPr>
                <w:sz w:val="15"/>
                <w:szCs w:val="15"/>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June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260" w:type="dxa"/>
            <w:vAlign w:val="bottom"/>
            <w:tcBorders>
              <w:bottom w:val="single" w:sz="8" w:color="auto"/>
            </w:tcBorders>
            <w:gridSpan w:val="2"/>
          </w:tcPr>
          <w:p>
            <w:pPr>
              <w:spacing w:after="0"/>
              <w:rPr>
                <w:sz w:val="8"/>
                <w:szCs w:val="8"/>
                <w:color w:val="auto"/>
              </w:rPr>
            </w:pPr>
          </w:p>
        </w:tc>
        <w:tc>
          <w:tcPr>
            <w:tcW w:w="1020" w:type="dxa"/>
            <w:vAlign w:val="bottom"/>
          </w:tcPr>
          <w:p>
            <w:pPr>
              <w:spacing w:after="0"/>
              <w:rPr>
                <w:sz w:val="8"/>
                <w:szCs w:val="8"/>
                <w:color w:val="auto"/>
              </w:rPr>
            </w:pPr>
          </w:p>
        </w:tc>
        <w:tc>
          <w:tcPr>
            <w:tcW w:w="13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80" w:type="dxa"/>
            <w:vAlign w:val="bottom"/>
          </w:tcPr>
          <w:p>
            <w:pPr>
              <w:spacing w:after="0"/>
              <w:rPr>
                <w:sz w:val="21"/>
                <w:szCs w:val="21"/>
                <w:color w:val="auto"/>
              </w:rPr>
            </w:pPr>
          </w:p>
        </w:tc>
        <w:tc>
          <w:tcPr>
            <w:tcW w:w="2280" w:type="dxa"/>
            <w:vAlign w:val="bottom"/>
            <w:gridSpan w:val="3"/>
          </w:tcPr>
          <w:p>
            <w:pPr>
              <w:ind w:left="20"/>
              <w:spacing w:after="0"/>
              <w:rPr>
                <w:sz w:val="20"/>
                <w:szCs w:val="20"/>
                <w:color w:val="auto"/>
              </w:rPr>
            </w:pPr>
            <w:r>
              <w:rPr>
                <w:rFonts w:ascii="Arial" w:cs="Arial" w:eastAsia="Arial" w:hAnsi="Arial"/>
                <w:sz w:val="14"/>
                <w:szCs w:val="14"/>
                <w:b w:val="1"/>
                <w:bCs w:val="1"/>
                <w:color w:val="auto"/>
              </w:rPr>
              <w:t>(Successor Company)</w:t>
            </w: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w w:val="88"/>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(64,762)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37,489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106,784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168,259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8,126</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1,695</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(1,345)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(Gain) loss on disposal of property, plant and equipment, net</w:t>
            </w:r>
          </w:p>
        </w:tc>
        <w:tc>
          <w:tcPr>
            <w:tcW w:w="100" w:type="dxa"/>
            <w:vAlign w:val="bottom"/>
          </w:tcPr>
          <w:p>
            <w:pPr>
              <w:spacing w:after="0"/>
              <w:rPr>
                <w:sz w:val="18"/>
                <w:szCs w:val="18"/>
                <w:color w:val="auto"/>
              </w:rPr>
            </w:pP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charges on property, plant and equipment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Stock compensation</w:t>
            </w:r>
          </w:p>
        </w:tc>
        <w:tc>
          <w:tcPr>
            <w:tcW w:w="100" w:type="dxa"/>
            <w:vAlign w:val="bottom"/>
          </w:tcPr>
          <w:p>
            <w:pPr>
              <w:spacing w:after="0"/>
              <w:rPr>
                <w:sz w:val="18"/>
                <w:szCs w:val="18"/>
                <w:color w:val="auto"/>
              </w:rPr>
            </w:pPr>
          </w:p>
        </w:tc>
        <w:tc>
          <w:tcPr>
            <w:tcW w:w="2180" w:type="dxa"/>
            <w:vAlign w:val="bottom"/>
            <w:gridSpan w:val="2"/>
          </w:tcPr>
          <w:p>
            <w:pPr>
              <w:jc w:val="right"/>
              <w:ind w:righ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(995)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(17,502)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9,371</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3,464</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(75,382)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(4,948)</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(5,592)</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(6,864)</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420"/>
              <w:spacing w:after="0"/>
              <w:rPr>
                <w:sz w:val="20"/>
                <w:szCs w:val="20"/>
                <w:color w:val="auto"/>
              </w:rPr>
            </w:pPr>
            <w:r>
              <w:rPr>
                <w:rFonts w:ascii="Arial" w:cs="Arial" w:eastAsia="Arial" w:hAnsi="Arial"/>
                <w:sz w:val="18"/>
                <w:szCs w:val="18"/>
                <w:color w:val="auto"/>
              </w:rPr>
              <w:t>Others, net</w:t>
            </w:r>
          </w:p>
        </w:tc>
        <w:tc>
          <w:tcPr>
            <w:tcW w:w="100" w:type="dxa"/>
            <w:vAlign w:val="bottom"/>
          </w:tcPr>
          <w:p>
            <w:pPr>
              <w:spacing w:after="0"/>
              <w:rPr>
                <w:sz w:val="19"/>
                <w:szCs w:val="19"/>
                <w:color w:val="auto"/>
              </w:rPr>
            </w:pP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(6,230)</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Purchase of plant, property and equipment</w:t>
            </w:r>
          </w:p>
        </w:tc>
        <w:tc>
          <w:tcPr>
            <w:tcW w:w="100" w:type="dxa"/>
            <w:vAlign w:val="bottom"/>
          </w:tcPr>
          <w:p>
            <w:pPr>
              <w:spacing w:after="0"/>
              <w:rPr>
                <w:sz w:val="18"/>
                <w:szCs w:val="18"/>
                <w:color w:val="auto"/>
              </w:rPr>
            </w:pP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(18,299)</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Purchases of intangibles, net</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(1,172)</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Acquisition of business</w:t>
            </w:r>
          </w:p>
        </w:tc>
        <w:tc>
          <w:tcPr>
            <w:tcW w:w="100" w:type="dxa"/>
            <w:vAlign w:val="bottom"/>
          </w:tcPr>
          <w:p>
            <w:pPr>
              <w:spacing w:after="0"/>
              <w:rPr>
                <w:sz w:val="18"/>
                <w:szCs w:val="18"/>
                <w:color w:val="auto"/>
              </w:rPr>
            </w:pP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(16,451)</w:t>
            </w: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restricted cash</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7,065</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Others, net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1,802</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(27,055)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100" w:type="dxa"/>
            <w:vAlign w:val="bottom"/>
          </w:tcPr>
          <w:p>
            <w:pPr>
              <w:spacing w:after="0"/>
              <w:rPr>
                <w:sz w:val="18"/>
                <w:szCs w:val="18"/>
                <w:color w:val="auto"/>
              </w:rPr>
            </w:pP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(13,369)</w:t>
            </w:r>
          </w:p>
        </w:tc>
        <w:tc>
          <w:tcPr>
            <w:tcW w:w="12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Repayment of long-term borrowings</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Others, net</w:t>
            </w:r>
          </w:p>
        </w:tc>
        <w:tc>
          <w:tcPr>
            <w:tcW w:w="100" w:type="dxa"/>
            <w:vAlign w:val="bottom"/>
          </w:tcPr>
          <w:p>
            <w:pPr>
              <w:spacing w:after="0"/>
              <w:rPr>
                <w:sz w:val="19"/>
                <w:szCs w:val="19"/>
                <w:color w:val="auto"/>
              </w:rPr>
            </w:pPr>
          </w:p>
        </w:tc>
        <w:tc>
          <w:tcPr>
            <w:tcW w:w="2180" w:type="dxa"/>
            <w:vAlign w:val="bottom"/>
            <w:gridSpan w:val="2"/>
          </w:tcPr>
          <w:p>
            <w:pPr>
              <w:jc w:val="right"/>
              <w:ind w:right="96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(13,450)</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(180,926)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80" w:type="dxa"/>
            <w:vAlign w:val="bottom"/>
          </w:tcPr>
          <w:p>
            <w:pPr>
              <w:ind w:left="860"/>
              <w:spacing w:after="0"/>
              <w:rPr>
                <w:sz w:val="20"/>
                <w:szCs w:val="20"/>
                <w:color w:val="auto"/>
              </w:rPr>
            </w:pPr>
            <w:r>
              <w:rPr>
                <w:rFonts w:ascii="Arial" w:cs="Arial" w:eastAsia="Arial" w:hAnsi="Arial"/>
                <w:sz w:val="18"/>
                <w:szCs w:val="18"/>
                <w:color w:val="auto"/>
              </w:rPr>
              <w:t>Effect of exchange rates on cash and cash equivalents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decrease in cash and cash equivalents</w:t>
            </w:r>
          </w:p>
        </w:tc>
        <w:tc>
          <w:tcPr>
            <w:tcW w:w="1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(18,195)</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58,396</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from changes of consolidated subsidiaries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6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-29210</wp:posOffset>
            </wp:positionV>
            <wp:extent cx="2159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-29210</wp:posOffset>
            </wp:positionV>
            <wp:extent cx="3873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 xml:space="preserve">The accompanying unaudited interim consolidated financial statements of MagnaChip Semiconductor LLC and its subsidiaries (Successor company)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These financial statements should be read in conjunction with the consolidated financial statements and notes thereto for the three-month period ended December 31, 2004, and for the nine-month period ended September, 30, 2004, which are included in our S-4 Registration Statement that was filed on June 21, 2005 with the Securities and Exchange Commission. In the opinion of the Company’s management, the unaudited interim consolidated financial statements include all normal recurring adjustments necessary to present fairly the information required to be set forth therein. The results of operations for the three-month and six-month periods ended July 3, 2005 are not necessarily indicative of the results to be expected for a full year or for any other periods.</w:t>
      </w:r>
    </w:p>
    <w:p>
      <w:pPr>
        <w:spacing w:after="0" w:line="10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the periods as of and prior to September 30, 2004, the accompanying unaudited interim consolidated financial statements are presented on a carve-out basis reflecting the assets, liabilities, revenues, expenses and changes in owner’s equity and cash flows that were directly attributable to the non-memory business (the “Business”) of Hynix Semiconductor, Inc., which was purchased on October 6, 2004 (the “Acquisition”). The Company has used October 1, 2004, as the effective date of the Acquisition since the financial results from October 1, 2004 onwards accrue to its benefit.</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Inventories as of July 3, 2005 and December 31, 2004 consist of the following:</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660" w:type="dxa"/>
            <w:vAlign w:val="bottom"/>
            <w:gridSpan w:val="4"/>
          </w:tcPr>
          <w:p>
            <w:pPr>
              <w:ind w:left="3480"/>
              <w:spacing w:after="0"/>
              <w:rPr>
                <w:sz w:val="20"/>
                <w:szCs w:val="20"/>
                <w:color w:val="auto"/>
              </w:rPr>
            </w:pPr>
            <w:r>
              <w:rPr>
                <w:rFonts w:ascii="Arial" w:cs="Arial" w:eastAsia="Arial" w:hAnsi="Arial"/>
                <w:sz w:val="14"/>
                <w:szCs w:val="14"/>
                <w:b w:val="1"/>
                <w:bCs w:val="1"/>
                <w:color w:val="auto"/>
              </w:rPr>
              <w:t>July 3, 2005</w:t>
            </w:r>
          </w:p>
        </w:tc>
        <w:tc>
          <w:tcPr>
            <w:tcW w:w="1600" w:type="dxa"/>
            <w:vAlign w:val="bottom"/>
            <w:gridSpan w:val="5"/>
          </w:tcPr>
          <w:p>
            <w:pPr>
              <w:ind w:left="420"/>
              <w:spacing w:after="0"/>
              <w:rPr>
                <w:sz w:val="20"/>
                <w:szCs w:val="20"/>
                <w:color w:val="auto"/>
              </w:rPr>
            </w:pPr>
            <w:r>
              <w:rPr>
                <w:rFonts w:ascii="Arial" w:cs="Arial" w:eastAsia="Arial" w:hAnsi="Arial"/>
                <w:sz w:val="14"/>
                <w:szCs w:val="14"/>
                <w:b w:val="1"/>
                <w:bCs w:val="1"/>
                <w:color w:val="auto"/>
                <w:w w:val="91"/>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16,382</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64,255</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55,563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supplies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Materials in-transit</w:t>
            </w:r>
          </w:p>
        </w:tc>
        <w:tc>
          <w:tcPr>
            <w:tcW w:w="3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3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(11,320)</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0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0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3600" w:type="dxa"/>
            <w:vAlign w:val="bottom"/>
            <w:gridSpan w:val="2"/>
            <w:shd w:val="clear" w:color="auto" w:fill="CCEEFF"/>
          </w:tcPr>
          <w:p>
            <w:pPr>
              <w:ind w:left="348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77,301</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3480" w:type="dxa"/>
            <w:vAlign w:val="bottom"/>
            <w:vMerge w:val="restart"/>
          </w:tcPr>
          <w:p>
            <w:pPr>
              <w:jc w:val="right"/>
              <w:ind w:right="223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-325755</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-325755</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-325755</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-325755</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-325755</wp:posOffset>
            </wp:positionV>
            <wp:extent cx="2159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-325755</wp:posOffset>
            </wp:positionV>
            <wp:extent cx="387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Product Warranties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Accrued warranty liabilities as of July 3, 2005 and December 31, 2004 were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880" w:type="dxa"/>
            <w:vAlign w:val="bottom"/>
            <w:gridSpan w:val="5"/>
          </w:tcPr>
          <w:p>
            <w:pPr>
              <w:ind w:left="80"/>
              <w:spacing w:after="0"/>
              <w:rPr>
                <w:sz w:val="20"/>
                <w:szCs w:val="20"/>
                <w:color w:val="auto"/>
              </w:rPr>
            </w:pPr>
            <w:r>
              <w:rPr>
                <w:rFonts w:ascii="Arial" w:cs="Arial" w:eastAsia="Arial" w:hAnsi="Arial"/>
                <w:sz w:val="14"/>
                <w:szCs w:val="14"/>
                <w:b w:val="1"/>
                <w:bCs w:val="1"/>
                <w:color w:val="auto"/>
                <w:w w:val="99"/>
              </w:rPr>
              <w:t>July 3, 2005</w:t>
            </w:r>
          </w:p>
        </w:tc>
        <w:tc>
          <w:tcPr>
            <w:tcW w:w="2120" w:type="dxa"/>
            <w:vAlign w:val="bottom"/>
            <w:gridSpan w:val="6"/>
          </w:tcPr>
          <w:p>
            <w:pPr>
              <w:ind w:left="940"/>
              <w:spacing w:after="0"/>
              <w:rPr>
                <w:sz w:val="20"/>
                <w:szCs w:val="20"/>
                <w:color w:val="auto"/>
              </w:rPr>
            </w:pPr>
            <w:r>
              <w:rPr>
                <w:rFonts w:ascii="Arial" w:cs="Arial" w:eastAsia="Arial" w:hAnsi="Arial"/>
                <w:sz w:val="14"/>
                <w:szCs w:val="14"/>
                <w:b w:val="1"/>
                <w:bCs w:val="1"/>
                <w:color w:val="auto"/>
                <w:w w:val="90"/>
              </w:rPr>
              <w:t>December 31, 2004</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2005 and October 1, 2004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2,677</w:t>
            </w: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Accrued (reduced) warranty reserve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color w:val="auto"/>
              </w:rPr>
              <w:t>(977)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Costs incurred</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(1,518)</w:t>
            </w: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7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3, 2005 and December 31, 2004</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1,448</w:t>
            </w: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Long-term Borrowings</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8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60" w:type="dxa"/>
            <w:vAlign w:val="bottom"/>
            <w:gridSpan w:val="3"/>
          </w:tcPr>
          <w:p>
            <w:pPr>
              <w:spacing w:after="0"/>
              <w:rPr>
                <w:sz w:val="20"/>
                <w:szCs w:val="20"/>
                <w:color w:val="auto"/>
              </w:rPr>
            </w:pPr>
            <w:r>
              <w:rPr>
                <w:rFonts w:ascii="Arial" w:cs="Arial" w:eastAsia="Arial" w:hAnsi="Arial"/>
                <w:sz w:val="18"/>
                <w:szCs w:val="18"/>
                <w:color w:val="auto"/>
              </w:rPr>
              <w:t>Details of long-term borrowings as of July 3, 2005 and December 31, 2004 were as follows: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Annual interest rate</w:t>
            </w:r>
          </w:p>
        </w:tc>
        <w:tc>
          <w:tcPr>
            <w:tcW w:w="200" w:type="dxa"/>
            <w:vAlign w:val="bottom"/>
          </w:tcPr>
          <w:p>
            <w:pPr>
              <w:spacing w:after="0"/>
              <w:rPr>
                <w:sz w:val="24"/>
                <w:szCs w:val="24"/>
                <w:color w:val="auto"/>
              </w:rPr>
            </w:pPr>
          </w:p>
        </w:tc>
        <w:tc>
          <w:tcPr>
            <w:tcW w:w="8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80" w:type="dxa"/>
            <w:vAlign w:val="bottom"/>
          </w:tcPr>
          <w:p>
            <w:pPr>
              <w:spacing w:after="0"/>
              <w:rPr>
                <w:sz w:val="15"/>
                <w:szCs w:val="15"/>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rPr>
              <w:t>Maturity</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840" w:type="dxa"/>
            <w:vAlign w:val="bottom"/>
            <w:gridSpan w:val="2"/>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20" w:type="dxa"/>
            <w:vAlign w:val="bottom"/>
            <w:tcBorders>
              <w:bottom w:val="single" w:sz="8" w:color="auto"/>
            </w:tcBorders>
            <w:gridSpan w:val="3"/>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 month LIBOR +</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2011</w:t>
            </w:r>
          </w:p>
        </w:tc>
        <w:tc>
          <w:tcPr>
            <w:tcW w:w="100" w:type="dxa"/>
            <w:vAlign w:val="bottom"/>
            <w:shd w:val="clear" w:color="auto" w:fill="CCEEFF"/>
          </w:tcPr>
          <w:p>
            <w:pPr>
              <w:spacing w:after="0"/>
              <w:rPr>
                <w:sz w:val="19"/>
                <w:szCs w:val="19"/>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300,000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6.875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2"/>
              </w:rPr>
              <w:t>200,000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2014</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250,000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-1864360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-1864360</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-1864360</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-1864360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6271895</wp:posOffset>
            </wp:positionH>
            <wp:positionV relativeFrom="paragraph">
              <wp:posOffset>-1864360</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-1864360</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b w:val="1"/>
          <w:bCs w:val="1"/>
          <w:color w:val="auto"/>
        </w:rPr>
        <w:t xml:space="preserve">Interest Rate Swap: </w:t>
      </w:r>
      <w:r>
        <w:rPr>
          <w:rFonts w:ascii="Arial" w:cs="Arial" w:eastAsia="Arial" w:hAnsi="Arial"/>
          <w:sz w:val="18"/>
          <w:szCs w:val="18"/>
          <w:color w:val="auto"/>
        </w:rPr>
        <w:t>During the current quarter, the Company entered into an interest rate swap agreement (the “Swap”) that effectively converted,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June 27, 2005, the variable interest rate based on the 3-month London Inter-bank Offering Rate (“LIBOR”) plus 3.25% to fixed interest rate on the Company’s Floating Rate Second Priority Senior Secured Notes (the “Notes”). The Swap qualifies as a cash flow hedge under SFAS No. 133, </w:t>
      </w:r>
      <w:r>
        <w:rPr>
          <w:rFonts w:ascii="Arial" w:cs="Arial" w:eastAsia="Arial" w:hAnsi="Arial"/>
          <w:sz w:val="18"/>
          <w:szCs w:val="18"/>
          <w:i w:val="1"/>
          <w:iCs w:val="1"/>
          <w:color w:val="auto"/>
        </w:rPr>
        <w:t>Accounting for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 as amended. The Company is utilizing the “hypothetical derivative method” to measure effectiveness by comparing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in value of the actual derivative versus the change in fair value of the “hypothetical derivative”. Under this methodology, the actual swap was effective when compared to the hypothetical hedge.</w:t>
      </w:r>
    </w:p>
    <w:p>
      <w:pPr>
        <w:spacing w:after="0" w:line="132" w:lineRule="exact"/>
        <w:rPr>
          <w:sz w:val="20"/>
          <w:szCs w:val="20"/>
          <w:color w:val="auto"/>
        </w:rPr>
      </w:pPr>
    </w:p>
    <w:p>
      <w:pPr>
        <w:jc w:val="both"/>
        <w:ind w:right="460"/>
        <w:spacing w:after="0" w:line="306" w:lineRule="auto"/>
        <w:rPr>
          <w:sz w:val="20"/>
          <w:szCs w:val="20"/>
          <w:color w:val="auto"/>
        </w:rPr>
      </w:pPr>
      <w:r>
        <w:rPr>
          <w:rFonts w:ascii="Arial" w:cs="Arial" w:eastAsia="Arial" w:hAnsi="Arial"/>
          <w:sz w:val="16"/>
          <w:szCs w:val="16"/>
          <w:color w:val="auto"/>
        </w:rPr>
        <w:t>As of July 3, 2005, the Company recognized changes in the fair value of the Swap in the amount of $83 thousand under other comprehensive income in the accompanying consolidated financial statements. In addition, during the second quarter of 2005, the Company recognized additional accrued interest of $39 thousand in other expenses, representing the difference between the fixed rate and variable rate.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Severance Benefits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Changes in accrued severance benefits for the three and six-month periods ended July 3, 2005 (successor company) and for the three and six-month periods ended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June 30, 2004 (predecessor company)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87"/>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90" w:type="dxa"/>
            <w:vAlign w:val="bottom"/>
          </w:tcPr>
          <w:p>
            <w:pPr>
              <w:spacing w:after="0"/>
              <w:rPr>
                <w:sz w:val="15"/>
                <w:szCs w:val="15"/>
                <w:color w:val="auto"/>
              </w:rPr>
            </w:pPr>
          </w:p>
        </w:tc>
        <w:tc>
          <w:tcPr>
            <w:tcW w:w="187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1"/>
              </w:rPr>
              <w:t>July 3, 2005</w:t>
            </w:r>
          </w:p>
        </w:tc>
        <w:tc>
          <w:tcPr>
            <w:tcW w:w="140" w:type="dxa"/>
            <w:vAlign w:val="bottom"/>
          </w:tcPr>
          <w:p>
            <w:pPr>
              <w:spacing w:after="0"/>
              <w:rPr>
                <w:sz w:val="15"/>
                <w:szCs w:val="15"/>
                <w:color w:val="auto"/>
              </w:rPr>
            </w:pPr>
          </w:p>
        </w:tc>
        <w:tc>
          <w:tcPr>
            <w:tcW w:w="174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8"/>
              </w:rPr>
              <w:t>July 3, 2005</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90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w w:val="90"/>
              </w:rPr>
              <w:t>June 30, 2004</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June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01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80" w:type="dxa"/>
            <w:vAlign w:val="bottom"/>
            <w:gridSpan w:val="2"/>
          </w:tcPr>
          <w:p>
            <w:pPr>
              <w:spacing w:after="0"/>
              <w:rPr>
                <w:sz w:val="8"/>
                <w:szCs w:val="8"/>
                <w:color w:val="auto"/>
              </w:rPr>
            </w:pPr>
          </w:p>
        </w:tc>
        <w:tc>
          <w:tcPr>
            <w:tcW w:w="102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Pr>
          <w:p>
            <w:pPr>
              <w:spacing w:after="0"/>
              <w:rPr>
                <w:sz w:val="21"/>
                <w:szCs w:val="21"/>
                <w:color w:val="auto"/>
              </w:rPr>
            </w:pPr>
          </w:p>
        </w:tc>
        <w:tc>
          <w:tcPr>
            <w:tcW w:w="190" w:type="dxa"/>
            <w:vAlign w:val="bottom"/>
          </w:tcPr>
          <w:p>
            <w:pPr>
              <w:spacing w:after="0"/>
              <w:rPr>
                <w:sz w:val="21"/>
                <w:szCs w:val="21"/>
                <w:color w:val="auto"/>
              </w:rPr>
            </w:pPr>
          </w:p>
        </w:tc>
        <w:tc>
          <w:tcPr>
            <w:tcW w:w="2010" w:type="dxa"/>
            <w:vAlign w:val="bottom"/>
            <w:gridSpan w:val="3"/>
          </w:tcPr>
          <w:p>
            <w:pPr>
              <w:ind w:left="730"/>
              <w:spacing w:after="0"/>
              <w:rPr>
                <w:sz w:val="20"/>
                <w:szCs w:val="20"/>
                <w:color w:val="auto"/>
              </w:rPr>
            </w:pPr>
            <w:r>
              <w:rPr>
                <w:rFonts w:ascii="Arial" w:cs="Arial" w:eastAsia="Arial" w:hAnsi="Arial"/>
                <w:sz w:val="14"/>
                <w:szCs w:val="14"/>
                <w:b w:val="1"/>
                <w:bCs w:val="1"/>
                <w:color w:val="auto"/>
                <w:w w:val="85"/>
              </w:rPr>
              <w:t>(Successor Company)</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55,237</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52,925</w:t>
            </w:r>
          </w:p>
        </w:tc>
        <w:tc>
          <w:tcPr>
            <w:tcW w:w="8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46,443</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Provisions</w:t>
            </w:r>
          </w:p>
        </w:tc>
        <w:tc>
          <w:tcPr>
            <w:tcW w:w="190" w:type="dxa"/>
            <w:vAlign w:val="bottom"/>
          </w:tcPr>
          <w:p>
            <w:pPr>
              <w:spacing w:after="0"/>
              <w:rPr>
                <w:sz w:val="18"/>
                <w:szCs w:val="18"/>
                <w:color w:val="auto"/>
              </w:rPr>
            </w:pPr>
          </w:p>
        </w:tc>
        <w:tc>
          <w:tcPr>
            <w:tcW w:w="1010" w:type="dxa"/>
            <w:vAlign w:val="bottom"/>
          </w:tcPr>
          <w:p>
            <w:pPr>
              <w:jc w:val="right"/>
              <w:spacing w:after="0"/>
              <w:rPr>
                <w:sz w:val="20"/>
                <w:szCs w:val="20"/>
                <w:color w:val="auto"/>
              </w:rPr>
            </w:pPr>
            <w:r>
              <w:rPr>
                <w:rFonts w:ascii="Arial" w:cs="Arial" w:eastAsia="Arial" w:hAnsi="Arial"/>
                <w:sz w:val="18"/>
                <w:szCs w:val="18"/>
                <w:color w:val="auto"/>
              </w:rPr>
              <w:t>4,470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8,126</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5,064</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190" w:type="dxa"/>
            <w:vAlign w:val="bottom"/>
            <w:shd w:val="clear" w:color="auto" w:fill="CCEEFF"/>
          </w:tcPr>
          <w:p>
            <w:pPr>
              <w:spacing w:after="0"/>
              <w:rPr>
                <w:sz w:val="18"/>
                <w:szCs w:val="18"/>
                <w:color w:val="auto"/>
              </w:rPr>
            </w:pPr>
          </w:p>
        </w:tc>
        <w:tc>
          <w:tcPr>
            <w:tcW w:w="187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Severance payments</w:t>
            </w:r>
          </w:p>
        </w:tc>
        <w:tc>
          <w:tcPr>
            <w:tcW w:w="190" w:type="dxa"/>
            <w:vAlign w:val="bottom"/>
          </w:tcPr>
          <w:p>
            <w:pPr>
              <w:spacing w:after="0"/>
              <w:rPr>
                <w:sz w:val="18"/>
                <w:szCs w:val="18"/>
                <w:color w:val="auto"/>
              </w:rPr>
            </w:pPr>
          </w:p>
        </w:tc>
        <w:tc>
          <w:tcPr>
            <w:tcW w:w="1870" w:type="dxa"/>
            <w:vAlign w:val="bottom"/>
            <w:gridSpan w:val="2"/>
          </w:tcPr>
          <w:p>
            <w:pPr>
              <w:jc w:val="right"/>
              <w:ind w:right="800"/>
              <w:spacing w:after="0"/>
              <w:rPr>
                <w:sz w:val="20"/>
                <w:szCs w:val="20"/>
                <w:color w:val="auto"/>
              </w:rPr>
            </w:pPr>
            <w:r>
              <w:rPr>
                <w:rFonts w:ascii="Arial" w:cs="Arial" w:eastAsia="Arial" w:hAnsi="Arial"/>
                <w:sz w:val="18"/>
                <w:szCs w:val="18"/>
                <w:color w:val="auto"/>
              </w:rPr>
              <w:t>(4,707)</w:t>
            </w:r>
          </w:p>
        </w:tc>
        <w:tc>
          <w:tcPr>
            <w:tcW w:w="140" w:type="dxa"/>
            <w:vAlign w:val="bottom"/>
          </w:tcPr>
          <w:p>
            <w:pPr>
              <w:spacing w:after="0"/>
              <w:rPr>
                <w:sz w:val="18"/>
                <w:szCs w:val="18"/>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(7,463)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(367)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w:t>
            </w:r>
          </w:p>
        </w:tc>
        <w:tc>
          <w:tcPr>
            <w:tcW w:w="190" w:type="dxa"/>
            <w:vAlign w:val="bottom"/>
            <w:shd w:val="clear" w:color="auto" w:fill="CCEEFF"/>
          </w:tcPr>
          <w:p>
            <w:pPr>
              <w:spacing w:after="0"/>
              <w:rPr>
                <w:sz w:val="18"/>
                <w:szCs w:val="18"/>
                <w:color w:val="auto"/>
              </w:rPr>
            </w:pPr>
          </w:p>
        </w:tc>
        <w:tc>
          <w:tcPr>
            <w:tcW w:w="187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(1,130)</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(347)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101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90" w:type="dxa"/>
            <w:vAlign w:val="bottom"/>
            <w:shd w:val="clear" w:color="auto" w:fill="CCEEFF"/>
          </w:tcPr>
          <w:p>
            <w:pPr>
              <w:spacing w:after="0"/>
              <w:rPr>
                <w:sz w:val="18"/>
                <w:szCs w:val="18"/>
                <w:color w:val="auto"/>
              </w:rPr>
            </w:pP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53,870</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53,870</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50,793</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300" w:type="dxa"/>
            <w:vAlign w:val="bottom"/>
          </w:tcPr>
          <w:p>
            <w:pPr>
              <w:spacing w:after="0"/>
              <w:rPr>
                <w:sz w:val="9"/>
                <w:szCs w:val="9"/>
                <w:color w:val="auto"/>
              </w:rPr>
            </w:pPr>
          </w:p>
        </w:tc>
        <w:tc>
          <w:tcPr>
            <w:tcW w:w="190" w:type="dxa"/>
            <w:vAlign w:val="bottom"/>
            <w:tcBorders>
              <w:bottom w:val="single" w:sz="8" w:color="auto"/>
            </w:tcBorders>
          </w:tcPr>
          <w:p>
            <w:pPr>
              <w:spacing w:after="0"/>
              <w:rPr>
                <w:sz w:val="9"/>
                <w:szCs w:val="9"/>
                <w:color w:val="auto"/>
              </w:rPr>
            </w:pPr>
          </w:p>
        </w:tc>
        <w:tc>
          <w:tcPr>
            <w:tcW w:w="101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101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contributions to the National</w:t>
            </w:r>
          </w:p>
        </w:tc>
        <w:tc>
          <w:tcPr>
            <w:tcW w:w="190" w:type="dxa"/>
            <w:vAlign w:val="bottom"/>
            <w:shd w:val="clear" w:color="auto" w:fill="CCEEFF"/>
          </w:tcPr>
          <w:p>
            <w:pPr>
              <w:spacing w:after="0"/>
              <w:rPr>
                <w:sz w:val="18"/>
                <w:szCs w:val="18"/>
                <w:color w:val="auto"/>
              </w:rPr>
            </w:pPr>
          </w:p>
        </w:tc>
        <w:tc>
          <w:tcPr>
            <w:tcW w:w="101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Pension Fund group</w:t>
            </w:r>
          </w:p>
        </w:tc>
        <w:tc>
          <w:tcPr>
            <w:tcW w:w="190" w:type="dxa"/>
            <w:vAlign w:val="bottom"/>
            <w:shd w:val="clear" w:color="auto" w:fill="CCEEFF"/>
          </w:tcPr>
          <w:p>
            <w:pPr>
              <w:spacing w:after="0"/>
              <w:rPr>
                <w:sz w:val="19"/>
                <w:szCs w:val="19"/>
                <w:color w:val="auto"/>
              </w:rPr>
            </w:pPr>
          </w:p>
        </w:tc>
        <w:tc>
          <w:tcPr>
            <w:tcW w:w="187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(1,041)</w:t>
            </w:r>
          </w:p>
        </w:tc>
        <w:tc>
          <w:tcPr>
            <w:tcW w:w="140" w:type="dxa"/>
            <w:vAlign w:val="bottom"/>
            <w:shd w:val="clear" w:color="auto" w:fill="CCEEFF"/>
          </w:tcPr>
          <w:p>
            <w:pPr>
              <w:spacing w:after="0"/>
              <w:rPr>
                <w:sz w:val="19"/>
                <w:szCs w:val="19"/>
                <w:color w:val="auto"/>
              </w:rPr>
            </w:pPr>
          </w:p>
        </w:tc>
        <w:tc>
          <w:tcPr>
            <w:tcW w:w="174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(1,499)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00" w:type="dxa"/>
            <w:vAlign w:val="bottom"/>
          </w:tcPr>
          <w:p>
            <w:pPr>
              <w:ind w:left="420"/>
              <w:spacing w:after="0"/>
              <w:rPr>
                <w:sz w:val="20"/>
                <w:szCs w:val="20"/>
                <w:color w:val="auto"/>
              </w:rPr>
            </w:pPr>
            <w:r>
              <w:rPr>
                <w:rFonts w:ascii="Arial" w:cs="Arial" w:eastAsia="Arial" w:hAnsi="Arial"/>
                <w:sz w:val="18"/>
                <w:szCs w:val="18"/>
                <w:color w:val="auto"/>
              </w:rPr>
              <w:t>Severance insurance plan</w:t>
            </w:r>
          </w:p>
        </w:tc>
        <w:tc>
          <w:tcPr>
            <w:tcW w:w="190" w:type="dxa"/>
            <w:vAlign w:val="bottom"/>
          </w:tcPr>
          <w:p>
            <w:pPr>
              <w:spacing w:after="0"/>
              <w:rPr>
                <w:sz w:val="19"/>
                <w:szCs w:val="19"/>
                <w:color w:val="auto"/>
              </w:rPr>
            </w:pPr>
          </w:p>
        </w:tc>
        <w:tc>
          <w:tcPr>
            <w:tcW w:w="1870" w:type="dxa"/>
            <w:vAlign w:val="bottom"/>
            <w:gridSpan w:val="2"/>
          </w:tcPr>
          <w:p>
            <w:pPr>
              <w:jc w:val="right"/>
              <w:ind w:right="800"/>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9"/>
                <w:szCs w:val="19"/>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8"/>
                <w:szCs w:val="18"/>
                <w:color w:val="auto"/>
              </w:rPr>
              <w:t>(940)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gridSpan w:val="2"/>
          </w:tcPr>
          <w:p>
            <w:pPr>
              <w:jc w:val="right"/>
              <w:ind w:right="800"/>
              <w:spacing w:after="0"/>
              <w:rPr>
                <w:sz w:val="20"/>
                <w:szCs w:val="20"/>
                <w:color w:val="auto"/>
              </w:rPr>
            </w:pPr>
            <w:r>
              <w:rPr>
                <w:rFonts w:ascii="Arial" w:cs="Arial" w:eastAsia="Arial" w:hAnsi="Arial"/>
                <w:sz w:val="18"/>
                <w:szCs w:val="18"/>
                <w:color w:val="auto"/>
              </w:rPr>
              <w:t>(1,133)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Borders>
              <w:bottom w:val="single" w:sz="8" w:color="auto"/>
            </w:tcBorders>
          </w:tcPr>
          <w:p>
            <w:pPr>
              <w:spacing w:after="0"/>
              <w:rPr>
                <w:sz w:val="8"/>
                <w:szCs w:val="8"/>
                <w:color w:val="auto"/>
              </w:rPr>
            </w:pPr>
          </w:p>
        </w:tc>
        <w:tc>
          <w:tcPr>
            <w:tcW w:w="101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90" w:type="dxa"/>
            <w:vAlign w:val="bottom"/>
          </w:tcPr>
          <w:p>
            <w:pPr>
              <w:spacing w:after="0"/>
              <w:rPr>
                <w:sz w:val="8"/>
                <w:szCs w:val="8"/>
                <w:color w:val="auto"/>
              </w:rPr>
            </w:pPr>
          </w:p>
        </w:tc>
        <w:tc>
          <w:tcPr>
            <w:tcW w:w="101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9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1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51,889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51,889</w:t>
            </w:r>
          </w:p>
        </w:tc>
        <w:tc>
          <w:tcPr>
            <w:tcW w:w="8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8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90" w:type="dxa"/>
            <w:vAlign w:val="bottom"/>
            <w:tcBorders>
              <w:bottom w:val="single" w:sz="8" w:color="auto"/>
            </w:tcBorders>
          </w:tcPr>
          <w:p>
            <w:pPr>
              <w:spacing w:after="0"/>
              <w:rPr>
                <w:sz w:val="11"/>
                <w:szCs w:val="11"/>
                <w:color w:val="auto"/>
              </w:rPr>
            </w:pPr>
          </w:p>
        </w:tc>
        <w:tc>
          <w:tcPr>
            <w:tcW w:w="101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2747010</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2858770</wp:posOffset>
            </wp:positionH>
            <wp:positionV relativeFrom="paragraph">
              <wp:posOffset>-29210</wp:posOffset>
            </wp:positionV>
            <wp:extent cx="2159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3493135</wp:posOffset>
            </wp:positionH>
            <wp:positionV relativeFrom="paragraph">
              <wp:posOffset>-29210</wp:posOffset>
            </wp:positionV>
            <wp:extent cx="387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-29210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2159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-29210</wp:posOffset>
            </wp:positionV>
            <wp:extent cx="3873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2159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2159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severance benefits are funded approximately 3.68% and 5.18% as of July 3, 2005 and June 30, 2004, respectively through our national pension fund and severance insurance deposit plan which will be used exclusively for payment of severance benefits to eligible employees. Theses amounts have been deducted from the accrued severance benefit balance.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153"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4680" w:type="dxa"/>
            <w:vAlign w:val="bottom"/>
            <w:gridSpan w:val="3"/>
          </w:tcPr>
          <w:p>
            <w:pPr>
              <w:ind w:left="3600"/>
              <w:spacing w:after="0"/>
              <w:rPr>
                <w:sz w:val="20"/>
                <w:szCs w:val="20"/>
                <w:color w:val="auto"/>
              </w:rPr>
            </w:pPr>
            <w:r>
              <w:rPr>
                <w:rFonts w:ascii="Arial" w:cs="Arial" w:eastAsia="Arial" w:hAnsi="Arial"/>
                <w:sz w:val="14"/>
                <w:szCs w:val="14"/>
                <w:b w:val="1"/>
                <w:bCs w:val="1"/>
                <w:color w:val="auto"/>
                <w:w w:val="86"/>
              </w:rPr>
              <w:t>Retirement benefit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3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2005</w:t>
            </w:r>
          </w:p>
        </w:tc>
        <w:tc>
          <w:tcPr>
            <w:tcW w:w="3980" w:type="dxa"/>
            <w:vAlign w:val="bottom"/>
            <w:gridSpan w:val="2"/>
            <w:shd w:val="clear" w:color="auto" w:fill="CCEEFF"/>
          </w:tcPr>
          <w:p>
            <w:pPr>
              <w:ind w:left="35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2006</w:t>
            </w: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2008</w:t>
            </w:r>
          </w:p>
        </w:tc>
        <w:tc>
          <w:tcPr>
            <w:tcW w:w="3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2010 - 2014</w:t>
            </w:r>
          </w:p>
        </w:tc>
        <w:tc>
          <w:tcPr>
            <w:tcW w:w="3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1,202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above amounts were determined based on the employees’ current rate of salary and the number of service years that will be accumulated when they would meet their normal retirement date. These amounts do not include amounts that might be paid to employees who may terminate employment with the Company before their normal retirement age.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Series B Redeemable Convertible Preferred Units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Changes in series B redeemable convertible preferred units for the three and six-month periods ended July 3, 2005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720" w:type="dxa"/>
            <w:vAlign w:val="bottom"/>
            <w:gridSpan w:val="5"/>
          </w:tcPr>
          <w:p>
            <w:pPr>
              <w:jc w:val="right"/>
              <w:ind w:right="177"/>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760" w:type="dxa"/>
            <w:vAlign w:val="bottom"/>
            <w:gridSpan w:val="5"/>
          </w:tcPr>
          <w:p>
            <w:pPr>
              <w:ind w:left="3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720" w:type="dxa"/>
            <w:vAlign w:val="bottom"/>
          </w:tcPr>
          <w:p>
            <w:pPr>
              <w:spacing w:after="0"/>
              <w:rPr>
                <w:sz w:val="15"/>
                <w:szCs w:val="15"/>
                <w:color w:val="auto"/>
              </w:rPr>
            </w:pPr>
          </w:p>
        </w:tc>
        <w:tc>
          <w:tcPr>
            <w:tcW w:w="1720" w:type="dxa"/>
            <w:vAlign w:val="bottom"/>
            <w:gridSpan w:val="5"/>
          </w:tcPr>
          <w:p>
            <w:pPr>
              <w:jc w:val="right"/>
              <w:ind w:right="437"/>
              <w:spacing w:after="0"/>
              <w:rPr>
                <w:sz w:val="20"/>
                <w:szCs w:val="20"/>
                <w:color w:val="auto"/>
              </w:rPr>
            </w:pPr>
            <w:r>
              <w:rPr>
                <w:rFonts w:ascii="Arial" w:cs="Arial" w:eastAsia="Arial" w:hAnsi="Arial"/>
                <w:sz w:val="14"/>
                <w:szCs w:val="14"/>
                <w:b w:val="1"/>
                <w:bCs w:val="1"/>
                <w:color w:val="auto"/>
              </w:rPr>
              <w:t>July 3, 2005</w:t>
            </w:r>
          </w:p>
        </w:tc>
        <w:tc>
          <w:tcPr>
            <w:tcW w:w="220" w:type="dxa"/>
            <w:vAlign w:val="bottom"/>
          </w:tcPr>
          <w:p>
            <w:pPr>
              <w:spacing w:after="0"/>
              <w:rPr>
                <w:sz w:val="15"/>
                <w:szCs w:val="15"/>
                <w:color w:val="auto"/>
              </w:rPr>
            </w:pPr>
          </w:p>
        </w:tc>
        <w:tc>
          <w:tcPr>
            <w:tcW w:w="1760" w:type="dxa"/>
            <w:vAlign w:val="bottom"/>
            <w:gridSpan w:val="5"/>
          </w:tcPr>
          <w:p>
            <w:pPr>
              <w:ind w:left="520"/>
              <w:spacing w:after="0"/>
              <w:rPr>
                <w:sz w:val="20"/>
                <w:szCs w:val="20"/>
                <w:color w:val="auto"/>
              </w:rPr>
            </w:pPr>
            <w:r>
              <w:rPr>
                <w:rFonts w:ascii="Arial" w:cs="Arial" w:eastAsia="Arial" w:hAnsi="Arial"/>
                <w:sz w:val="14"/>
                <w:szCs w:val="14"/>
                <w:b w:val="1"/>
                <w:bCs w:val="1"/>
                <w:color w:val="auto"/>
              </w:rPr>
              <w:t>July 3,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Pr>
          <w:p>
            <w:pPr>
              <w:spacing w:after="0"/>
              <w:rPr>
                <w:sz w:val="22"/>
                <w:szCs w:val="22"/>
                <w:color w:val="auto"/>
              </w:rPr>
            </w:pPr>
          </w:p>
        </w:tc>
        <w:tc>
          <w:tcPr>
            <w:tcW w:w="640" w:type="dxa"/>
            <w:vAlign w:val="bottom"/>
            <w:gridSpan w:val="2"/>
          </w:tcPr>
          <w:p>
            <w:pPr>
              <w:ind w:left="16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117"/>
              <w:spacing w:after="0"/>
              <w:rPr>
                <w:sz w:val="20"/>
                <w:szCs w:val="20"/>
                <w:color w:val="auto"/>
              </w:rPr>
            </w:pPr>
            <w:r>
              <w:rPr>
                <w:rFonts w:ascii="Arial" w:cs="Arial" w:eastAsia="Arial" w:hAnsi="Arial"/>
                <w:sz w:val="14"/>
                <w:szCs w:val="14"/>
                <w:b w:val="1"/>
                <w:bCs w:val="1"/>
                <w:color w:val="auto"/>
                <w:w w:val="98"/>
              </w:rPr>
              <w:t>Amount</w:t>
            </w:r>
          </w:p>
        </w:tc>
        <w:tc>
          <w:tcPr>
            <w:tcW w:w="2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Units</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93,997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98,929</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7"/>
              </w:rPr>
              <w:t>93,997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Accrual of dividends</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2,478</w:t>
            </w:r>
          </w:p>
        </w:tc>
        <w:tc>
          <w:tcPr>
            <w:tcW w:w="220" w:type="dxa"/>
            <w:vAlign w:val="bottom"/>
          </w:tcPr>
          <w:p>
            <w:pPr>
              <w:spacing w:after="0"/>
              <w:rPr>
                <w:sz w:val="19"/>
                <w:szCs w:val="19"/>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4,873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6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7"/>
              </w:rPr>
              <w:t>93,997</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87"/>
              </w:rPr>
              <w:t>93,997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72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5448935</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5517515</wp:posOffset>
            </wp:positionH>
            <wp:positionV relativeFrom="paragraph">
              <wp:posOffset>-29210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-29210</wp:posOffset>
            </wp:positionV>
            <wp:extent cx="2159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Earnings per Unit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the computation of basic net loss per common unit for the three and six-month periods ended July 3, 2005.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94"/>
              </w:rPr>
              <w:t>July 3, 2005</w:t>
            </w:r>
          </w:p>
        </w:tc>
        <w:tc>
          <w:tcPr>
            <w:tcW w:w="14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July 3,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(33,484)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2,478</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(35,962)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0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52,981,901</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52,755,012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 basic</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0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(0.68)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-612140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-612140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-612140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-612140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-612140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-612140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-29210</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6555105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6614795</wp:posOffset>
            </wp:positionH>
            <wp:positionV relativeFrom="paragraph">
              <wp:posOffset>-29210</wp:posOffset>
            </wp:positionV>
            <wp:extent cx="2159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net loss per unit as they would have an anti-dilutive effect on the calculation:</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b w:val="1"/>
                <w:bCs w:val="1"/>
                <w:color w:val="auto"/>
                <w:w w:val="99"/>
              </w:rPr>
              <w:t>Three months</w:t>
            </w:r>
          </w:p>
        </w:tc>
        <w:tc>
          <w:tcPr>
            <w:tcW w:w="880" w:type="dxa"/>
            <w:vAlign w:val="bottom"/>
          </w:tcPr>
          <w:p>
            <w:pPr>
              <w:spacing w:after="0"/>
              <w:rPr>
                <w:sz w:val="14"/>
                <w:szCs w:val="14"/>
                <w:color w:val="auto"/>
              </w:rPr>
            </w:pPr>
          </w:p>
        </w:tc>
        <w:tc>
          <w:tcPr>
            <w:tcW w:w="1080" w:type="dxa"/>
            <w:vAlign w:val="bottom"/>
          </w:tcPr>
          <w:p>
            <w:pPr>
              <w:jc w:val="right"/>
              <w:ind w:right="152"/>
              <w:spacing w:after="0"/>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3320" w:type="dxa"/>
            <w:vAlign w:val="bottom"/>
            <w:gridSpan w:val="2"/>
          </w:tcPr>
          <w:p>
            <w:pPr>
              <w:jc w:val="right"/>
              <w:spacing w:after="0"/>
              <w:rPr>
                <w:sz w:val="20"/>
                <w:szCs w:val="20"/>
                <w:color w:val="auto"/>
              </w:rPr>
            </w:pPr>
            <w:r>
              <w:rPr>
                <w:rFonts w:ascii="Arial" w:cs="Arial" w:eastAsia="Arial" w:hAnsi="Arial"/>
                <w:sz w:val="14"/>
                <w:szCs w:val="14"/>
                <w:b w:val="1"/>
                <w:bCs w:val="1"/>
                <w:color w:val="auto"/>
              </w:rPr>
              <w:t>ended July 3, 2005</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ended July 3, 2005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Options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3,589,580</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3,589,580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In connection with the Acquisition, the Company issued a warrant to Hynix which enables Hynix to purchase 5,079,254 common units of the Company at an exercise price of $1.00 per unit. This warrant expires in October 6, 2006. Refer to Note 8. Unit-Based Compensation for details of option grants.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Unit-Based Compensation</w:t>
      </w:r>
    </w:p>
    <w:p>
      <w:pPr>
        <w:spacing w:after="0" w:line="8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In addition to 1,146,178 options to purchase the Company’s common units outstanding as of January 1, 2005, the Company granted on January 5, 2005, 478,000 and 1,444,500 options to purchase common units to management and employees, respectively, with exercise prices ranging from $1 to $3 per unit. 25% of the units will vest with a right to exercise by the option holder on September 30, 2005 and 6.25% of the units will vest with a right to exercise on the last day of each calendar quarter thereafter pursuant to the resolution approved by board of directors consistent with the Equity Incentive Plan.</w:t>
      </w:r>
    </w:p>
    <w:p>
      <w:pPr>
        <w:spacing w:after="0" w:line="9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Subsequent to the grants on January 5, 2005, the Company additionally granted 375,000 and 517,562 options to purchase common units to its management and employees, respectively, with exercise prices ranging from $1 to $3 per unit. Most of these options have a vesting term of 25% of the units on the first anniversary of the grant date and 6.25% of the units on the last day of each calendar quarter thereafter.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July 3, 2005, 371,660 of previously issued options to purchase common units were forfeited.</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The Company accounts for unit-based awards to employees using the intrinsic value method prescribed by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accordingly, no compensation cost was recorded for the six months ended July 3, 2005. The Company utilizes the Black-Scholes option valuation model to value options for pro forma presentation of income as if the fair value based accounting method in SFAS No. 123,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had been used to account for unit-based compensation and the Company’s adjusted net income (loss)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and is illustrated in the pro forma table below:</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Six months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4"/>
                <w:szCs w:val="14"/>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0"/>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2"/>
              </w:rPr>
              <w:t>ended</w:t>
            </w:r>
          </w:p>
        </w:tc>
        <w:tc>
          <w:tcPr>
            <w:tcW w:w="160" w:type="dxa"/>
            <w:vAlign w:val="bottom"/>
          </w:tcPr>
          <w:p>
            <w:pPr>
              <w:spacing w:after="0"/>
              <w:rPr>
                <w:sz w:val="12"/>
                <w:szCs w:val="12"/>
                <w:color w:val="auto"/>
              </w:rPr>
            </w:pPr>
          </w:p>
        </w:tc>
        <w:tc>
          <w:tcPr>
            <w:tcW w:w="124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ended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2"/>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480" w:type="dxa"/>
            <w:vAlign w:val="bottom"/>
          </w:tcPr>
          <w:p>
            <w:pPr>
              <w:spacing w:after="0"/>
              <w:rPr>
                <w:sz w:val="15"/>
                <w:szCs w:val="15"/>
                <w:color w:val="auto"/>
              </w:rPr>
            </w:pPr>
          </w:p>
        </w:tc>
        <w:tc>
          <w:tcPr>
            <w:tcW w:w="1400" w:type="dxa"/>
            <w:vAlign w:val="bottom"/>
            <w:gridSpan w:val="3"/>
          </w:tcPr>
          <w:p>
            <w:pPr>
              <w:ind w:left="60"/>
              <w:spacing w:after="0"/>
              <w:rPr>
                <w:sz w:val="20"/>
                <w:szCs w:val="20"/>
                <w:color w:val="auto"/>
              </w:rPr>
            </w:pPr>
            <w:r>
              <w:rPr>
                <w:rFonts w:ascii="Arial" w:cs="Arial" w:eastAsia="Arial" w:hAnsi="Arial"/>
                <w:sz w:val="14"/>
                <w:szCs w:val="14"/>
                <w:b w:val="1"/>
                <w:bCs w:val="1"/>
                <w:color w:val="auto"/>
              </w:rPr>
              <w:t>July 3, 2005</w:t>
            </w:r>
          </w:p>
        </w:tc>
        <w:tc>
          <w:tcPr>
            <w:tcW w:w="2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July 3, 2005</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2004</w:t>
            </w:r>
          </w:p>
        </w:tc>
        <w:tc>
          <w:tcPr>
            <w:tcW w:w="2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0"/>
              </w:rPr>
              <w:t>June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4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660" w:type="dxa"/>
            <w:vAlign w:val="bottom"/>
            <w:tcBorders>
              <w:bottom w:val="single" w:sz="8" w:color="auto"/>
            </w:tcBorders>
            <w:gridSpan w:val="2"/>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4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(Successor Company)</w:t>
            </w:r>
          </w:p>
        </w:tc>
        <w:tc>
          <w:tcPr>
            <w:tcW w:w="160" w:type="dxa"/>
            <w:vAlign w:val="bottom"/>
          </w:tcPr>
          <w:p>
            <w:pPr>
              <w:spacing w:after="0"/>
              <w:rPr>
                <w:sz w:val="21"/>
                <w:szCs w:val="21"/>
                <w:color w:val="auto"/>
              </w:rPr>
            </w:pPr>
          </w:p>
        </w:tc>
        <w:tc>
          <w:tcPr>
            <w:tcW w:w="21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9"/>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 for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(33,484)</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(64,762)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29,457</w:t>
            </w: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Add : Amortization of non-cash deferred unit compensation expense determined</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80" w:type="dxa"/>
            <w:vAlign w:val="bottom"/>
          </w:tcPr>
          <w:p>
            <w:pPr>
              <w:ind w:left="200"/>
              <w:spacing w:after="0"/>
              <w:rPr>
                <w:sz w:val="20"/>
                <w:szCs w:val="20"/>
                <w:color w:val="auto"/>
              </w:rPr>
            </w:pPr>
            <w:r>
              <w:rPr>
                <w:rFonts w:ascii="Arial" w:cs="Arial" w:eastAsia="Arial" w:hAnsi="Arial"/>
                <w:sz w:val="18"/>
                <w:szCs w:val="18"/>
                <w:color w:val="auto"/>
              </w:rPr>
              <w:t>under the intrinsic value method as reported in net income, net of tax</w:t>
            </w:r>
          </w:p>
        </w:tc>
        <w:tc>
          <w:tcPr>
            <w:tcW w:w="120" w:type="dxa"/>
            <w:vAlign w:val="bottom"/>
          </w:tcPr>
          <w:p>
            <w:pPr>
              <w:spacing w:after="0"/>
              <w:rPr>
                <w:sz w:val="19"/>
                <w:szCs w:val="19"/>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950</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w w:val="94"/>
              </w:rPr>
              <w:t>Deduct : Total unit-based employee compensation expense determined under the fair</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 method for all awards, net of tax</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w:t>
            </w: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4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(loss) for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(33,568)</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(64,980)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29,583</w:t>
            </w:r>
          </w:p>
        </w:tc>
        <w:tc>
          <w:tcPr>
            <w:tcW w:w="5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 forma loss per unit for the period</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(0.68)</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500" w:type="dxa"/>
            <w:vAlign w:val="bottom"/>
            <w:gridSpan w:val="2"/>
            <w:vMerge w:val="restart"/>
          </w:tcPr>
          <w:p>
            <w:pPr>
              <w:jc w:val="right"/>
              <w:ind w:right="65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65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4128135</wp:posOffset>
            </wp:positionH>
            <wp:positionV relativeFrom="paragraph">
              <wp:posOffset>-626110</wp:posOffset>
            </wp:positionV>
            <wp:extent cx="54419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419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-626110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-626110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-626110</wp:posOffset>
            </wp:positionV>
            <wp:extent cx="3873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-626110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-626110</wp:posOffset>
            </wp:positionV>
            <wp:extent cx="2159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6323330</wp:posOffset>
            </wp:positionH>
            <wp:positionV relativeFrom="paragraph">
              <wp:posOffset>-626110</wp:posOffset>
            </wp:positionV>
            <wp:extent cx="3873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-626110</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-626110</wp:posOffset>
            </wp:positionV>
            <wp:extent cx="2159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-626110</wp:posOffset>
            </wp:positionV>
            <wp:extent cx="3873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-325755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4187825</wp:posOffset>
            </wp:positionH>
            <wp:positionV relativeFrom="paragraph">
              <wp:posOffset>-325755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-325755</wp:posOffset>
            </wp:positionV>
            <wp:extent cx="3873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-325755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-325755</wp:posOffset>
            </wp:positionV>
            <wp:extent cx="2159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-325755</wp:posOffset>
            </wp:positionV>
            <wp:extent cx="3873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fair value of options granted during the three and six months ended July 3, 2005 (Successor Company) was $0.25, $0.22, respectively.</w:t>
      </w:r>
    </w:p>
    <w:p>
      <w:pPr>
        <w:spacing w:after="0" w:line="18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fair value of each option grant was estimated on the date of grant using the Black-Scholes option-pricing model based on the following set of assumptions (average-weight):</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w:t>
            </w:r>
          </w:p>
        </w:tc>
        <w:tc>
          <w:tcPr>
            <w:tcW w:w="42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2.1 Years</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volatility</w:t>
            </w:r>
          </w:p>
        </w:tc>
        <w:tc>
          <w:tcPr>
            <w:tcW w:w="420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2"/>
        </w:trPr>
        <w:tc>
          <w:tcPr>
            <w:tcW w:w="2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Expected dividends</w:t>
            </w:r>
          </w:p>
        </w:tc>
        <w:tc>
          <w:tcPr>
            <w:tcW w:w="4200" w:type="dxa"/>
            <w:vAlign w:val="bottom"/>
          </w:tcPr>
          <w:p>
            <w:pPr>
              <w:jc w:val="right"/>
              <w:ind w:right="152"/>
              <w:spacing w:after="0"/>
              <w:rPr>
                <w:sz w:val="20"/>
                <w:szCs w:val="20"/>
                <w:color w:val="auto"/>
              </w:rPr>
            </w:pPr>
            <w:r>
              <w:rPr>
                <w:rFonts w:ascii="Arial" w:cs="Arial" w:eastAsia="Arial" w:hAnsi="Arial"/>
                <w:sz w:val="18"/>
                <w:szCs w:val="18"/>
                <w:color w:val="auto"/>
              </w:rPr>
              <w:t>—</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Restructuring and Impairment Charges</w:t>
      </w:r>
    </w:p>
    <w:p>
      <w:pPr>
        <w:spacing w:after="0" w:line="83"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 xml:space="preserve">In the second quarter of 2005, the Company recorded restructuring and asset impairment charges totaling $8,720 thousand. During the quarter, the Company determined that recent strategic decisions to outsource some of the manufacturing processes would impact future cash flows of certain capital equipment used specifically for packaging and testing of one of the Company’s product lines. Therefore, the Company recognized an impairment charge of $7,996 thousand for long-lived assets under Statements of Financial Accounting Standards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In addition, the Company completed an early retirement program for certain qualified employees and recognized a one-time restructuring charge of $724 thousand.</w:t>
      </w:r>
    </w:p>
    <w:p>
      <w:pPr>
        <w:spacing w:after="0" w:line="96" w:lineRule="exact"/>
        <w:rPr>
          <w:sz w:val="20"/>
          <w:szCs w:val="20"/>
          <w:color w:val="auto"/>
        </w:rPr>
      </w:pPr>
    </w:p>
    <w:p>
      <w:pPr>
        <w:ind w:right="8620" w:firstLine="8"/>
        <w:spacing w:after="0" w:line="452" w:lineRule="auto"/>
        <w:tabs>
          <w:tab w:leader="none" w:pos="263"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Comprehensive Income </w:t>
      </w:r>
      <w:r>
        <w:rPr>
          <w:rFonts w:ascii="Arial" w:cs="Arial" w:eastAsia="Arial" w:hAnsi="Arial"/>
          <w:sz w:val="15"/>
          <w:szCs w:val="15"/>
          <w:color w:val="auto"/>
        </w:rPr>
        <w:t>Comprehensive income was as follows:</w:t>
      </w: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20" w:type="dxa"/>
            <w:vAlign w:val="bottom"/>
          </w:tcPr>
          <w:p>
            <w:pPr>
              <w:spacing w:after="0"/>
              <w:rPr>
                <w:sz w:val="12"/>
                <w:szCs w:val="12"/>
                <w:color w:val="auto"/>
              </w:rPr>
            </w:pPr>
          </w:p>
        </w:tc>
        <w:tc>
          <w:tcPr>
            <w:tcW w:w="12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4"/>
              </w:rPr>
              <w:t>Six months</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Three months</w:t>
            </w:r>
          </w:p>
        </w:tc>
        <w:tc>
          <w:tcPr>
            <w:tcW w:w="82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 w:type="dxa"/>
            <w:vAlign w:val="bottom"/>
          </w:tcPr>
          <w:p>
            <w:pPr>
              <w:spacing w:after="0"/>
              <w:rPr>
                <w:sz w:val="12"/>
                <w:szCs w:val="12"/>
                <w:color w:val="auto"/>
              </w:rPr>
            </w:pPr>
          </w:p>
        </w:tc>
        <w:tc>
          <w:tcPr>
            <w:tcW w:w="129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ended</w:t>
            </w:r>
          </w:p>
        </w:tc>
        <w:tc>
          <w:tcPr>
            <w:tcW w:w="20" w:type="dxa"/>
            <w:vAlign w:val="bottom"/>
          </w:tcPr>
          <w:p>
            <w:pPr>
              <w:spacing w:after="0"/>
              <w:rPr>
                <w:sz w:val="12"/>
                <w:szCs w:val="12"/>
                <w:color w:val="auto"/>
              </w:rPr>
            </w:pPr>
          </w:p>
        </w:tc>
        <w:tc>
          <w:tcPr>
            <w:tcW w:w="12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12"/>
                <w:szCs w:val="12"/>
                <w:color w:val="auto"/>
              </w:rPr>
            </w:pPr>
          </w:p>
        </w:tc>
        <w:tc>
          <w:tcPr>
            <w:tcW w:w="126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1"/>
              </w:rPr>
              <w:t>July 3, 2005</w:t>
            </w:r>
          </w:p>
        </w:tc>
        <w:tc>
          <w:tcPr>
            <w:tcW w:w="20" w:type="dxa"/>
            <w:vAlign w:val="bottom"/>
          </w:tcPr>
          <w:p>
            <w:pPr>
              <w:spacing w:after="0"/>
              <w:rPr>
                <w:sz w:val="15"/>
                <w:szCs w:val="15"/>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6"/>
              </w:rPr>
              <w:t>July 3, 2005</w:t>
            </w: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June 30, 2004</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June 30,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60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 w:type="dxa"/>
            <w:vAlign w:val="bottom"/>
          </w:tcPr>
          <w:p>
            <w:pPr>
              <w:spacing w:after="0"/>
              <w:rPr>
                <w:sz w:val="21"/>
                <w:szCs w:val="21"/>
                <w:color w:val="auto"/>
              </w:rPr>
            </w:pPr>
          </w:p>
        </w:tc>
        <w:tc>
          <w:tcPr>
            <w:tcW w:w="257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(Successor Company)</w:t>
            </w:r>
          </w:p>
        </w:tc>
        <w:tc>
          <w:tcPr>
            <w:tcW w:w="120" w:type="dxa"/>
            <w:vAlign w:val="bottom"/>
          </w:tcPr>
          <w:p>
            <w:pPr>
              <w:spacing w:after="0"/>
              <w:rPr>
                <w:sz w:val="21"/>
                <w:szCs w:val="21"/>
                <w:color w:val="auto"/>
              </w:rPr>
            </w:pPr>
          </w:p>
        </w:tc>
        <w:tc>
          <w:tcPr>
            <w:tcW w:w="2080" w:type="dxa"/>
            <w:vAlign w:val="bottom"/>
            <w:gridSpan w:val="5"/>
          </w:tcPr>
          <w:p>
            <w:pPr>
              <w:ind w:left="280"/>
              <w:spacing w:after="0"/>
              <w:rPr>
                <w:sz w:val="20"/>
                <w:szCs w:val="20"/>
                <w:color w:val="auto"/>
              </w:rPr>
            </w:pPr>
            <w:r>
              <w:rPr>
                <w:rFonts w:ascii="Arial" w:cs="Arial" w:eastAsia="Arial" w:hAnsi="Arial"/>
                <w:sz w:val="14"/>
                <w:szCs w:val="14"/>
                <w:b w:val="1"/>
                <w:bCs w:val="1"/>
                <w:color w:val="auto"/>
              </w:rPr>
              <w:t>(Predecessor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45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129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(33,484)</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7"/>
              </w:rPr>
              <w:t>$ (64,762)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29,457</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Foreign currency translation and others</w:t>
            </w:r>
          </w:p>
        </w:tc>
        <w:tc>
          <w:tcPr>
            <w:tcW w:w="2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 w:type="dxa"/>
            <w:vAlign w:val="bottom"/>
          </w:tcPr>
          <w:p>
            <w:pPr>
              <w:spacing w:after="0"/>
              <w:rPr>
                <w:sz w:val="19"/>
                <w:szCs w:val="19"/>
                <w:color w:val="auto"/>
              </w:rPr>
            </w:pPr>
          </w:p>
        </w:tc>
        <w:tc>
          <w:tcPr>
            <w:tcW w:w="1290" w:type="dxa"/>
            <w:vAlign w:val="bottom"/>
            <w:gridSpan w:val="2"/>
          </w:tcPr>
          <w:p>
            <w:pPr>
              <w:jc w:val="right"/>
              <w:ind w:right="520"/>
              <w:spacing w:after="0"/>
              <w:rPr>
                <w:sz w:val="20"/>
                <w:szCs w:val="20"/>
                <w:color w:val="auto"/>
              </w:rPr>
            </w:pPr>
            <w:r>
              <w:rPr>
                <w:rFonts w:ascii="Arial" w:cs="Arial" w:eastAsia="Arial" w:hAnsi="Arial"/>
                <w:sz w:val="18"/>
                <w:szCs w:val="18"/>
                <w:color w:val="auto"/>
              </w:rPr>
              <w:t>(2,232)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2,615</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71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0" w:type="dxa"/>
            <w:vAlign w:val="bottom"/>
          </w:tcPr>
          <w:p>
            <w:pPr>
              <w:spacing w:after="0"/>
              <w:rPr>
                <w:sz w:val="8"/>
                <w:szCs w:val="8"/>
                <w:color w:val="auto"/>
              </w:rPr>
            </w:pPr>
          </w:p>
        </w:tc>
        <w:tc>
          <w:tcPr>
            <w:tcW w:w="90" w:type="dxa"/>
            <w:vAlign w:val="bottom"/>
          </w:tcPr>
          <w:p>
            <w:pPr>
              <w:spacing w:after="0"/>
              <w:rPr>
                <w:sz w:val="8"/>
                <w:szCs w:val="8"/>
                <w:color w:val="auto"/>
              </w:rPr>
            </w:pPr>
          </w:p>
        </w:tc>
        <w:tc>
          <w:tcPr>
            <w:tcW w:w="71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45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w w:val="79"/>
              </w:rPr>
              <w:t>$</w:t>
            </w:r>
          </w:p>
        </w:tc>
        <w:tc>
          <w:tcPr>
            <w:tcW w:w="129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(35,716)</w:t>
            </w:r>
          </w:p>
        </w:tc>
        <w:tc>
          <w:tcPr>
            <w:tcW w:w="1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7"/>
              </w:rPr>
              <w:t>$ (62,147)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27,734</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340" w:type="dxa"/>
            <w:vAlign w:val="bottom"/>
            <w:vMerge w:val="restart"/>
          </w:tcPr>
          <w:p>
            <w:pPr>
              <w:jc w:val="right"/>
              <w:ind w:right="712"/>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auto"/>
            </w:tcBorders>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71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71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4170680</wp:posOffset>
            </wp:positionH>
            <wp:positionV relativeFrom="paragraph">
              <wp:posOffset>-325755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-325755</wp:posOffset>
            </wp:positionV>
            <wp:extent cx="2159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-325755</wp:posOffset>
            </wp:positionV>
            <wp:extent cx="3873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-325755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-325755</wp:posOffset>
            </wp:positionV>
            <wp:extent cx="2159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-325755</wp:posOffset>
            </wp:positionV>
            <wp:extent cx="3873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-325755</wp:posOffset>
            </wp:positionV>
            <wp:extent cx="139319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931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Condensed Consolidating Financial Statements</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MagnaChip Semiconductor LLC and all of its subsidiaries, except for Shanghai Ximei Corporation (China) and IC Media Japan Kabushiki Kaisha (Japan). The Senior Subordinated Notes are fully and unconditionally guaranteed by MagnaChip Semiconductor LLC and all of its subsidiaries, except for MagnaChip Semiconductor, Ltd. (Korea), Shanghai Ximei Corporation (China) and IC Media Japan Kabushiki Kaisha (Japan). Below are the condensed consolidating balance sheets as of July 3, 2005 and December 31, 2004 and the condensed consolidating statements of operations for the three and six months ended July 3, 2005 and statement of cash flows for the six months ended July 3, 2005 (Successor Company) of those entities that guarantee the Senior Subordinated Notes, those that do not, MagnaChip Semiconductor LLC, and the co-issuers.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MagnaChip</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Finance</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0"/>
              </w:rPr>
              <w:t>MagnaChip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MagnaChip</w:t>
            </w: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Semiconductor,</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14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2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20" w:type="dxa"/>
            <w:vAlign w:val="bottom"/>
          </w:tcPr>
          <w:p>
            <w:pPr>
              <w:spacing w:after="0"/>
              <w:rPr>
                <w:sz w:val="12"/>
                <w:szCs w:val="12"/>
                <w:color w:val="auto"/>
              </w:rPr>
            </w:pPr>
          </w:p>
        </w:tc>
        <w:tc>
          <w:tcPr>
            <w:tcW w:w="8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3"/>
              </w:rPr>
              <w:t>Ltd.(Korea)</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All other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S.A.</w:t>
            </w:r>
          </w:p>
        </w:tc>
        <w:tc>
          <w:tcPr>
            <w:tcW w:w="120" w:type="dxa"/>
            <w:vAlign w:val="bottom"/>
          </w:tcPr>
          <w:p>
            <w:pPr>
              <w:spacing w:after="0"/>
              <w:rPr>
                <w:sz w:val="12"/>
                <w:szCs w:val="12"/>
                <w:color w:val="auto"/>
              </w:rPr>
            </w:pPr>
          </w:p>
        </w:tc>
        <w:tc>
          <w:tcPr>
            <w:tcW w:w="8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87"/>
              </w:rPr>
              <w:t>(Non-</w:t>
            </w:r>
          </w:p>
        </w:tc>
        <w:tc>
          <w:tcPr>
            <w:tcW w:w="2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Subsidiaries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15"/>
                <w:szCs w:val="15"/>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(Co-Issuers)</w:t>
            </w:r>
          </w:p>
        </w:tc>
        <w:tc>
          <w:tcPr>
            <w:tcW w:w="120" w:type="dxa"/>
            <w:vAlign w:val="bottom"/>
          </w:tcPr>
          <w:p>
            <w:pPr>
              <w:spacing w:after="0"/>
              <w:rPr>
                <w:sz w:val="15"/>
                <w:szCs w:val="15"/>
                <w:color w:val="auto"/>
              </w:rPr>
            </w:pPr>
          </w:p>
        </w:tc>
        <w:tc>
          <w:tcPr>
            <w:tcW w:w="84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Guarantor)</w:t>
            </w:r>
          </w:p>
        </w:tc>
        <w:tc>
          <w:tcPr>
            <w:tcW w:w="22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(Guarantors)</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6"/>
              </w:rPr>
              <w:t>Eliminations</w:t>
            </w: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79"/>
              </w:rPr>
              <w:t>496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(47,722)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72,756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(38,114)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Short-term inter company loans</w:t>
            </w:r>
          </w:p>
        </w:tc>
        <w:tc>
          <w:tcPr>
            <w:tcW w:w="100" w:type="dxa"/>
            <w:vAlign w:val="bottom"/>
          </w:tcPr>
          <w:p>
            <w:pPr>
              <w:spacing w:after="0"/>
              <w:rPr>
                <w:sz w:val="18"/>
                <w:szCs w:val="18"/>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10,625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(24,625)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(19,997)</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89,131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(131,273)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513,294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514,704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191,829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27,929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(11,275)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(210,149)</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Long-term inter company loans</w:t>
            </w:r>
          </w:p>
        </w:tc>
        <w:tc>
          <w:tcPr>
            <w:tcW w:w="100" w:type="dxa"/>
            <w:vAlign w:val="bottom"/>
          </w:tcPr>
          <w:p>
            <w:pPr>
              <w:spacing w:after="0"/>
              <w:rPr>
                <w:sz w:val="18"/>
                <w:szCs w:val="18"/>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775,455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(1,396,455)</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(27,861)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811,334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911,731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(1,765,738)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1,031,187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4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71,197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49,640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(47,722)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49,617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(38,114)</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(16,774)</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9"/>
                <w:szCs w:val="19"/>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4,159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28,337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(25,872)</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(128,482)</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(1,398,430)</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860"/>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1040" w:type="dxa"/>
            <w:vAlign w:val="bottom"/>
            <w:gridSpan w:val="3"/>
          </w:tcPr>
          <w:p>
            <w:pPr>
              <w:ind w:lef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51,648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51,889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(27,861)</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753,477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907,127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(1,554,773)</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940,414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74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3039110</wp:posOffset>
            </wp:positionH>
            <wp:positionV relativeFrom="paragraph">
              <wp:posOffset>-2418715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-2418715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-2418715</wp:posOffset>
            </wp:positionV>
            <wp:extent cx="2159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3759200</wp:posOffset>
            </wp:positionH>
            <wp:positionV relativeFrom="paragraph">
              <wp:posOffset>-2418715</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3827780</wp:posOffset>
            </wp:positionH>
            <wp:positionV relativeFrom="paragraph">
              <wp:posOffset>-2418715</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-2418715</wp:posOffset>
            </wp:positionV>
            <wp:extent cx="3873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-2418715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-2418715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-2418715</wp:posOffset>
            </wp:positionV>
            <wp:extent cx="2159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-2418715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-2418715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-2418715</wp:posOffset>
            </wp:positionV>
            <wp:extent cx="2159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-2418715</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-2418715</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-2418715</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-2418715</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-2418715</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-2418715</wp:posOffset>
            </wp:positionV>
            <wp:extent cx="2159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 2005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Finance</w:t>
            </w: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1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MagnaChip</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MagnaChip</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MagnaChip</w:t>
            </w:r>
          </w:p>
        </w:tc>
        <w:tc>
          <w:tcPr>
            <w:tcW w:w="130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Semiconductor,</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28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Ltd.(Korea)</w:t>
            </w:r>
          </w:p>
        </w:tc>
        <w:tc>
          <w:tcPr>
            <w:tcW w:w="11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All other</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500"/>
              <w:spacing w:after="0" w:line="149" w:lineRule="exact"/>
              <w:rPr>
                <w:sz w:val="20"/>
                <w:szCs w:val="20"/>
                <w:color w:val="auto"/>
              </w:rPr>
            </w:pPr>
            <w:r>
              <w:rPr>
                <w:rFonts w:ascii="Arial" w:cs="Arial" w:eastAsia="Arial" w:hAnsi="Arial"/>
                <w:sz w:val="14"/>
                <w:szCs w:val="14"/>
                <w:b w:val="1"/>
                <w:bCs w:val="1"/>
                <w:color w:val="auto"/>
              </w:rPr>
              <w:t>LLC</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S.A.</w:t>
            </w:r>
          </w:p>
        </w:tc>
        <w:tc>
          <w:tcPr>
            <w:tcW w:w="10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(Non-</w:t>
            </w:r>
          </w:p>
        </w:tc>
        <w:tc>
          <w:tcPr>
            <w:tcW w:w="11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Subsidiaries</w:t>
            </w: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500"/>
              <w:spacing w:after="0"/>
              <w:rPr>
                <w:sz w:val="20"/>
                <w:szCs w:val="20"/>
                <w:color w:val="auto"/>
              </w:rPr>
            </w:pPr>
            <w:r>
              <w:rPr>
                <w:rFonts w:ascii="Arial" w:cs="Arial" w:eastAsia="Arial" w:hAnsi="Arial"/>
                <w:sz w:val="14"/>
                <w:szCs w:val="14"/>
                <w:b w:val="1"/>
                <w:bCs w:val="1"/>
                <w:color w:val="auto"/>
                <w:w w:val="90"/>
              </w:rPr>
              <w:t>(Parent)</w:t>
            </w: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(Co-Issuers)</w:t>
            </w:r>
          </w:p>
        </w:tc>
        <w:tc>
          <w:tcPr>
            <w:tcW w:w="100" w:type="dxa"/>
            <w:vAlign w:val="bottom"/>
          </w:tcPr>
          <w:p>
            <w:pPr>
              <w:spacing w:after="0"/>
              <w:rPr>
                <w:sz w:val="15"/>
                <w:szCs w:val="15"/>
                <w:color w:val="auto"/>
              </w:rPr>
            </w:pPr>
          </w:p>
        </w:tc>
        <w:tc>
          <w:tcPr>
            <w:tcW w:w="12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Guarantor)</w:t>
            </w:r>
          </w:p>
        </w:tc>
        <w:tc>
          <w:tcPr>
            <w:tcW w:w="11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9"/>
              </w:rPr>
              <w:t>(Guarantors)</w:t>
            </w: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Eliminations</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tcPr>
          <w:p>
            <w:pPr>
              <w:spacing w:after="0"/>
              <w:rPr>
                <w:sz w:val="18"/>
                <w:szCs w:val="18"/>
                <w:color w:val="auto"/>
              </w:rPr>
            </w:pPr>
          </w:p>
        </w:tc>
        <w:tc>
          <w:tcPr>
            <w:tcW w:w="118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units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53,037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102,985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38,845</w:t>
            </w:r>
          </w:p>
        </w:tc>
        <w:tc>
          <w:tcPr>
            <w:tcW w:w="40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58,564</w:t>
            </w:r>
          </w:p>
        </w:tc>
        <w:tc>
          <w:tcPr>
            <w:tcW w:w="38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(200,394)</w:t>
            </w:r>
          </w:p>
        </w:tc>
        <w:tc>
          <w:tcPr>
            <w:tcW w:w="800" w:type="dxa"/>
            <w:vAlign w:val="bottom"/>
          </w:tcPr>
          <w:p>
            <w:pPr>
              <w:jc w:val="right"/>
              <w:spacing w:after="0"/>
              <w:rPr>
                <w:sz w:val="20"/>
                <w:szCs w:val="20"/>
                <w:color w:val="auto"/>
              </w:rPr>
            </w:pPr>
            <w:r>
              <w:rPr>
                <w:rFonts w:ascii="Arial" w:cs="Arial" w:eastAsia="Arial" w:hAnsi="Arial"/>
                <w:sz w:val="18"/>
                <w:szCs w:val="18"/>
                <w:color w:val="auto"/>
              </w:rPr>
              <w:t>53,037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155,212</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60,872</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(217,110)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(88,901)</w:t>
            </w:r>
          </w:p>
        </w:tc>
        <w:tc>
          <w:tcPr>
            <w:tcW w:w="2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(69,374)</w:t>
            </w:r>
          </w:p>
        </w:tc>
        <w:tc>
          <w:tcPr>
            <w:tcW w:w="10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(68,384)</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(139,565)</w:t>
            </w:r>
          </w:p>
        </w:tc>
        <w:tc>
          <w:tcPr>
            <w:tcW w:w="860" w:type="dxa"/>
            <w:vAlign w:val="bottom"/>
          </w:tcPr>
          <w:p>
            <w:pPr>
              <w:jc w:val="right"/>
              <w:spacing w:after="0"/>
              <w:rPr>
                <w:sz w:val="20"/>
                <w:szCs w:val="20"/>
                <w:color w:val="auto"/>
              </w:rPr>
            </w:pPr>
            <w:r>
              <w:rPr>
                <w:rFonts w:ascii="Arial" w:cs="Arial" w:eastAsia="Arial" w:hAnsi="Arial"/>
                <w:sz w:val="18"/>
                <w:szCs w:val="18"/>
                <w:color w:val="auto"/>
              </w:rPr>
              <w:t>277,323</w:t>
            </w: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(88,901)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22,831</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24,733</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(70,784)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(10,634)</w:t>
            </w: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148,504</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4,604</w:t>
            </w: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(210,965)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8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convertible preferred units and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8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unitholders’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91,773</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811,334</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982,087</w:t>
            </w:r>
          </w:p>
        </w:tc>
        <w:tc>
          <w:tcPr>
            <w:tcW w:w="4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  911,731</w:t>
            </w:r>
          </w:p>
        </w:tc>
        <w:tc>
          <w:tcPr>
            <w:tcW w:w="3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$(1,765,738)</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$1,031,187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jc w:val="right"/>
              <w:ind w:right="581"/>
              <w:spacing w:after="0"/>
              <w:rPr>
                <w:sz w:val="20"/>
                <w:szCs w:val="20"/>
                <w:color w:val="auto"/>
              </w:rPr>
            </w:pPr>
            <w:r>
              <w:rPr>
                <w:rFonts w:ascii="Arial" w:cs="Arial" w:eastAsia="Arial" w:hAnsi="Arial"/>
                <w:sz w:val="18"/>
                <w:szCs w:val="18"/>
                <w:color w:val="auto"/>
                <w:w w:val="99"/>
              </w:rPr>
              <w:t>12</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2729865</wp:posOffset>
            </wp:positionH>
            <wp:positionV relativeFrom="paragraph">
              <wp:posOffset>-325755</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2798445</wp:posOffset>
            </wp:positionH>
            <wp:positionV relativeFrom="paragraph">
              <wp:posOffset>-325755</wp:posOffset>
            </wp:positionV>
            <wp:extent cx="215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3279140</wp:posOffset>
            </wp:positionH>
            <wp:positionV relativeFrom="paragraph">
              <wp:posOffset>-325755</wp:posOffset>
            </wp:positionV>
            <wp:extent cx="3873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-325755</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3604895</wp:posOffset>
            </wp:positionH>
            <wp:positionV relativeFrom="paragraph">
              <wp:posOffset>-325755</wp:posOffset>
            </wp:positionV>
            <wp:extent cx="2159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-325755</wp:posOffset>
            </wp:positionV>
            <wp:extent cx="3873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4342130</wp:posOffset>
            </wp:positionH>
            <wp:positionV relativeFrom="paragraph">
              <wp:posOffset>-325755</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4410710</wp:posOffset>
            </wp:positionH>
            <wp:positionV relativeFrom="paragraph">
              <wp:posOffset>-325755</wp:posOffset>
            </wp:positionV>
            <wp:extent cx="2159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-325755</wp:posOffset>
            </wp:positionV>
            <wp:extent cx="3873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-325755</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3873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-325755</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-325755</wp:posOffset>
            </wp:positionV>
            <wp:extent cx="2159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6443345</wp:posOffset>
            </wp:positionH>
            <wp:positionV relativeFrom="paragraph">
              <wp:posOffset>-325755</wp:posOffset>
            </wp:positionV>
            <wp:extent cx="3873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-325755</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-325755</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440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92"/>
              </w:rPr>
              <w:t>MagnaChip</w:t>
            </w: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0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Finance</w:t>
            </w: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6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Company &amp;</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MagnaChip</w:t>
            </w: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0"/>
              </w:rPr>
              <w:t>MagnaChip</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MagnaChip</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Semiconductor,</w:t>
            </w:r>
          </w:p>
        </w:tc>
        <w:tc>
          <w:tcPr>
            <w:tcW w:w="1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Ltd.(Korea)</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rPr>
              <w:t>LLC</w:t>
            </w: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w:t>
            </w: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Subsidiaries</w:t>
            </w:r>
          </w:p>
        </w:tc>
        <w:tc>
          <w:tcPr>
            <w:tcW w:w="12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74"/>
        </w:trPr>
        <w:tc>
          <w:tcPr>
            <w:tcW w:w="106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(Parent)</w:t>
            </w: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w w:val="85"/>
              </w:rPr>
              <w:t>(Co-Issuers)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1"/>
              </w:rPr>
              <w:t>Guarantor)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(Guarantors)</w:t>
            </w:r>
          </w:p>
        </w:tc>
        <w:tc>
          <w:tcPr>
            <w:tcW w:w="1200" w:type="dxa"/>
            <w:vAlign w:val="bottom"/>
          </w:tcPr>
          <w:p>
            <w:pPr>
              <w:ind w:left="200"/>
              <w:spacing w:after="0"/>
              <w:rPr>
                <w:sz w:val="20"/>
                <w:szCs w:val="20"/>
                <w:color w:val="auto"/>
              </w:rPr>
            </w:pPr>
            <w:r>
              <w:rPr>
                <w:rFonts w:ascii="Arial" w:cs="Arial" w:eastAsia="Arial" w:hAnsi="Arial"/>
                <w:sz w:val="14"/>
                <w:szCs w:val="14"/>
                <w:b w:val="1"/>
                <w:bCs w:val="1"/>
                <w:color w:val="auto"/>
              </w:rPr>
              <w:t>Eliminations</w:t>
            </w:r>
          </w:p>
        </w:tc>
        <w:tc>
          <w:tcPr>
            <w:tcW w:w="1020" w:type="dxa"/>
            <w:vAlign w:val="bottom"/>
          </w:tcPr>
          <w:p>
            <w:pPr>
              <w:ind w:left="260"/>
              <w:spacing w:after="0"/>
              <w:rPr>
                <w:sz w:val="20"/>
                <w:szCs w:val="20"/>
                <w:color w:val="auto"/>
              </w:rPr>
            </w:pPr>
            <w:r>
              <w:rPr>
                <w:rFonts w:ascii="Arial" w:cs="Arial" w:eastAsia="Arial" w:hAnsi="Arial"/>
                <w:sz w:val="14"/>
                <w:szCs w:val="14"/>
                <w:b w:val="1"/>
                <w:bCs w:val="1"/>
                <w:color w:val="auto"/>
                <w:w w:val="83"/>
              </w:rPr>
              <w:t>Consolidated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60325</wp:posOffset>
            </wp:positionV>
            <wp:extent cx="450215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16"/>
        </w:trPr>
        <w:tc>
          <w:tcPr>
            <w:tcW w:w="4340" w:type="dxa"/>
            <w:vAlign w:val="bottom"/>
            <w:gridSpan w:val="2"/>
          </w:tcPr>
          <w:p>
            <w:pPr>
              <w:ind w:left="4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2,386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Accounts receivable, net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Inventories, net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Other receivables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34,773</w:t>
            </w: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Short-term intercompany loans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22"/>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110"/>
        </w:trPr>
        <w:tc>
          <w:tcPr>
            <w:tcW w:w="4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340" w:type="dxa"/>
            <w:vAlign w:val="bottom"/>
            <w:gridSpan w:val="2"/>
          </w:tcPr>
          <w:p>
            <w:pPr>
              <w:ind w:left="1300"/>
              <w:spacing w:after="0"/>
              <w:rPr>
                <w:sz w:val="20"/>
                <w:szCs w:val="20"/>
                <w:color w:val="auto"/>
              </w:rPr>
            </w:pPr>
            <w:r>
              <w:rPr>
                <w:rFonts w:ascii="Arial" w:cs="Arial" w:eastAsia="Arial" w:hAnsi="Arial"/>
                <w:sz w:val="18"/>
                <w:szCs w:val="18"/>
                <w:color w:val="auto"/>
              </w:rPr>
              <w:t>Total current assets</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37,159</w:t>
            </w:r>
          </w:p>
        </w:tc>
        <w:tc>
          <w:tcPr>
            <w:tcW w:w="300" w:type="dxa"/>
            <w:vAlign w:val="bottom"/>
          </w:tcPr>
          <w:p>
            <w:pPr>
              <w:spacing w:after="0"/>
              <w:rPr>
                <w:sz w:val="24"/>
                <w:szCs w:val="24"/>
                <w:color w:val="auto"/>
              </w:rPr>
            </w:pPr>
          </w:p>
        </w:tc>
      </w:tr>
      <w:tr>
        <w:trPr>
          <w:trHeight w:val="110"/>
        </w:trPr>
        <w:tc>
          <w:tcPr>
            <w:tcW w:w="4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r>
      <w:tr>
        <w:trPr>
          <w:trHeight w:val="309"/>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Investments in subsidiaries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116,409</w:t>
            </w: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Long-term inter company loans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22"/>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110"/>
        </w:trPr>
        <w:tc>
          <w:tcPr>
            <w:tcW w:w="4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340" w:type="dxa"/>
            <w:vAlign w:val="bottom"/>
            <w:gridSpan w:val="2"/>
          </w:tcPr>
          <w:p>
            <w:pPr>
              <w:ind w:left="1740"/>
              <w:spacing w:after="0"/>
              <w:rPr>
                <w:sz w:val="20"/>
                <w:szCs w:val="20"/>
                <w:color w:val="auto"/>
              </w:rPr>
            </w:pPr>
            <w:r>
              <w:rPr>
                <w:rFonts w:ascii="Arial" w:cs="Arial" w:eastAsia="Arial" w:hAnsi="Arial"/>
                <w:sz w:val="18"/>
                <w:szCs w:val="18"/>
                <w:color w:val="auto"/>
              </w:rPr>
              <w:t>Total assets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153,568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34"/>
        </w:trPr>
        <w:tc>
          <w:tcPr>
            <w:tcW w:w="43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r>
      <w:tr>
        <w:trPr>
          <w:trHeight w:val="313"/>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6"/>
        </w:trPr>
        <w:tc>
          <w:tcPr>
            <w:tcW w:w="4340" w:type="dxa"/>
            <w:vAlign w:val="bottom"/>
            <w:gridSpan w:val="2"/>
          </w:tcPr>
          <w:p>
            <w:pPr>
              <w:ind w:left="4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Other accounts payable</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1,162</w:t>
            </w:r>
          </w:p>
        </w:tc>
        <w:tc>
          <w:tcPr>
            <w:tcW w:w="300" w:type="dxa"/>
            <w:vAlign w:val="bottom"/>
          </w:tcPr>
          <w:p>
            <w:pPr>
              <w:spacing w:after="0"/>
              <w:rPr>
                <w:sz w:val="18"/>
                <w:szCs w:val="18"/>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22"/>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110"/>
        </w:trPr>
        <w:tc>
          <w:tcPr>
            <w:tcW w:w="434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340" w:type="dxa"/>
            <w:vAlign w:val="bottom"/>
            <w:gridSpan w:val="2"/>
          </w:tcPr>
          <w:p>
            <w:pPr>
              <w:ind w:left="130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1,162</w:t>
            </w:r>
          </w:p>
        </w:tc>
        <w:tc>
          <w:tcPr>
            <w:tcW w:w="300" w:type="dxa"/>
            <w:vAlign w:val="bottom"/>
          </w:tcPr>
          <w:p>
            <w:pPr>
              <w:spacing w:after="0"/>
              <w:rPr>
                <w:sz w:val="24"/>
                <w:szCs w:val="24"/>
                <w:color w:val="auto"/>
              </w:rPr>
            </w:pPr>
          </w:p>
        </w:tc>
      </w:tr>
      <w:tr>
        <w:trPr>
          <w:trHeight w:val="110"/>
        </w:trPr>
        <w:tc>
          <w:tcPr>
            <w:tcW w:w="434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r>
      <w:tr>
        <w:trPr>
          <w:trHeight w:val="309"/>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Long-term borrowings</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r>
      <w:tr>
        <w:trPr>
          <w:trHeight w:val="216"/>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Accrued severance benefits, net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r>
      <w:tr>
        <w:trPr>
          <w:trHeight w:val="222"/>
        </w:trPr>
        <w:tc>
          <w:tcPr>
            <w:tcW w:w="4340" w:type="dxa"/>
            <w:vAlign w:val="bottom"/>
            <w:gridSpan w:val="2"/>
          </w:tcPr>
          <w:p>
            <w:pPr>
              <w:ind w:left="88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r>
      <w:tr>
        <w:trPr>
          <w:trHeight w:val="110"/>
        </w:trPr>
        <w:tc>
          <w:tcPr>
            <w:tcW w:w="4340" w:type="dxa"/>
            <w:vAlign w:val="bottom"/>
            <w:gridSpan w:val="2"/>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4340" w:type="dxa"/>
            <w:vAlign w:val="bottom"/>
            <w:gridSpan w:val="2"/>
          </w:tcPr>
          <w:p>
            <w:pPr>
              <w:ind w:left="1740"/>
              <w:spacing w:after="0"/>
              <w:rPr>
                <w:sz w:val="20"/>
                <w:szCs w:val="20"/>
                <w:color w:val="auto"/>
              </w:rPr>
            </w:pPr>
            <w:r>
              <w:rPr>
                <w:rFonts w:ascii="Arial" w:cs="Arial" w:eastAsia="Arial" w:hAnsi="Arial"/>
                <w:sz w:val="18"/>
                <w:szCs w:val="18"/>
                <w:color w:val="auto"/>
              </w:rPr>
              <w:t>Total liabilities</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1,162</w:t>
            </w:r>
          </w:p>
        </w:tc>
        <w:tc>
          <w:tcPr>
            <w:tcW w:w="300" w:type="dxa"/>
            <w:vAlign w:val="bottom"/>
          </w:tcPr>
          <w:p>
            <w:pPr>
              <w:spacing w:after="0"/>
              <w:rPr>
                <w:sz w:val="24"/>
                <w:szCs w:val="24"/>
                <w:color w:val="auto"/>
              </w:rPr>
            </w:pPr>
          </w:p>
        </w:tc>
      </w:tr>
      <w:tr>
        <w:trPr>
          <w:trHeight w:val="110"/>
        </w:trPr>
        <w:tc>
          <w:tcPr>
            <w:tcW w:w="43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-4819015</wp:posOffset>
            </wp:positionV>
            <wp:extent cx="72466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-4544695</wp:posOffset>
            </wp:positionV>
            <wp:extent cx="724662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-4270375</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-3995420</wp:posOffset>
            </wp:positionV>
            <wp:extent cx="72466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-3721100</wp:posOffset>
            </wp:positionV>
            <wp:extent cx="724662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-3438525</wp:posOffset>
            </wp:positionV>
            <wp:extent cx="724662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-3155315</wp:posOffset>
            </wp:positionV>
            <wp:extent cx="72466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-2880995</wp:posOffset>
            </wp:positionV>
            <wp:extent cx="72466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-2606675</wp:posOffset>
            </wp:positionV>
            <wp:extent cx="7246620" cy="1371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-2323465</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-2023110</wp:posOffset>
            </wp:positionV>
            <wp:extent cx="724662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-1748790</wp:posOffset>
            </wp:positionV>
            <wp:extent cx="7246620" cy="1371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-1474470</wp:posOffset>
            </wp:positionV>
            <wp:extent cx="72466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-1054100</wp:posOffset>
            </wp:positionV>
            <wp:extent cx="72466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-770890</wp:posOffset>
            </wp:positionV>
            <wp:extent cx="7246620" cy="1371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1371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2747010</wp:posOffset>
            </wp:positionH>
            <wp:positionV relativeFrom="paragraph">
              <wp:posOffset>-2119630</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-2119630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-2119630</wp:posOffset>
            </wp:positionV>
            <wp:extent cx="2159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3,201</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29,671</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23,138</w:t>
            </w:r>
          </w:p>
        </w:tc>
        <w:tc>
          <w:tcPr>
            <w:tcW w:w="2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58,396</w:t>
            </w:r>
          </w:p>
        </w:tc>
      </w:tr>
      <w:tr>
        <w:trPr>
          <w:trHeight w:val="216"/>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12,962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12,962</w:t>
            </w:r>
          </w:p>
        </w:tc>
      </w:tr>
      <w:tr>
        <w:trPr>
          <w:trHeight w:val="216"/>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99,125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42,724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(55,257)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86,592</w:t>
            </w:r>
          </w:p>
        </w:tc>
      </w:tr>
      <w:tr>
        <w:trPr>
          <w:trHeight w:val="216"/>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10,380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(1,549)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86,169</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1,544</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70,857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(36,317)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72,918</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10,625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(10,625)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5,909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(5,909)</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6,915</w:t>
            </w:r>
          </w:p>
        </w:tc>
      </w:tr>
      <w:tr>
        <w:trPr>
          <w:trHeight w:val="110"/>
        </w:trPr>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21,279</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295,149</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80,022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(109,657)</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323,952</w:t>
            </w:r>
          </w:p>
        </w:tc>
      </w:tr>
      <w:tr>
        <w:trPr>
          <w:trHeight w:val="110"/>
        </w:trPr>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09"/>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581,514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581,636</w:t>
            </w:r>
          </w:p>
        </w:tc>
      </w:tr>
      <w:tr>
        <w:trPr>
          <w:trHeight w:val="216"/>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211,981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211,987</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29,231</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205,358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(350,998)</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794,805</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619,991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(1,414,796)</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2"/>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21,869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15,026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36,955</w:t>
            </w:r>
          </w:p>
        </w:tc>
      </w:tr>
      <w:tr>
        <w:trPr>
          <w:trHeight w:val="110"/>
        </w:trPr>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16"/>
        </w:trPr>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867,184</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1,103,670</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905,559</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(1,875,451)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1,154,530</w:t>
            </w:r>
          </w:p>
        </w:tc>
      </w:tr>
      <w:tr>
        <w:trPr>
          <w:trHeight w:val="134"/>
        </w:trPr>
        <w:tc>
          <w:tcPr>
            <w:tcW w:w="7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2"/>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r>
      <w:tr>
        <w:trPr>
          <w:trHeight w:val="745"/>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64,688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56,732</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(55,257)</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66,163</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252</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118,572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(36,317)</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86,462</w:t>
            </w:r>
          </w:p>
        </w:tc>
      </w:tr>
      <w:tr>
        <w:trPr>
          <w:trHeight w:val="2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1,129</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29,950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6,243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(5,909)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31,413</w:t>
            </w:r>
          </w:p>
        </w:tc>
      </w:tr>
      <w:tr>
        <w:trPr>
          <w:trHeight w:val="222"/>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9,664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(8,650)</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10,641</w:t>
            </w:r>
          </w:p>
        </w:tc>
      </w:tr>
      <w:tr>
        <w:trPr>
          <w:trHeight w:val="110"/>
        </w:trPr>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16"/>
        </w:trPr>
        <w:tc>
          <w:tcPr>
            <w:tcW w:w="780" w:type="dxa"/>
            <w:vAlign w:val="bottom"/>
          </w:tcPr>
          <w:p>
            <w:pPr>
              <w:jc w:val="right"/>
              <w:ind w:right="112"/>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222,837</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75,432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(106,133)</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194,679</w:t>
            </w:r>
          </w:p>
        </w:tc>
      </w:tr>
      <w:tr>
        <w:trPr>
          <w:trHeight w:val="110"/>
        </w:trPr>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09"/>
        </w:trPr>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750,000</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619,991</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796,780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(1,416,771)</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16"/>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50,702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50,714</w:t>
            </w:r>
          </w:p>
        </w:tc>
      </w:tr>
      <w:tr>
        <w:trPr>
          <w:trHeight w:val="222"/>
        </w:trPr>
        <w:tc>
          <w:tcPr>
            <w:tcW w:w="7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6,731</w:t>
            </w:r>
          </w:p>
        </w:tc>
      </w:tr>
      <w:tr>
        <w:trPr>
          <w:trHeight w:val="110"/>
        </w:trPr>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80" w:type="dxa"/>
            <w:vAlign w:val="bottom"/>
            <w:gridSpan w:val="2"/>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r>
        <w:trPr>
          <w:trHeight w:val="316"/>
        </w:trPr>
        <w:tc>
          <w:tcPr>
            <w:tcW w:w="780" w:type="dxa"/>
            <w:vAlign w:val="bottom"/>
          </w:tcPr>
          <w:p>
            <w:pPr>
              <w:jc w:val="right"/>
              <w:ind w:right="112"/>
              <w:spacing w:after="0"/>
              <w:rPr>
                <w:sz w:val="20"/>
                <w:szCs w:val="20"/>
                <w:color w:val="auto"/>
              </w:rPr>
            </w:pPr>
            <w:r>
              <w:rPr>
                <w:rFonts w:ascii="Arial" w:cs="Arial" w:eastAsia="Arial" w:hAnsi="Arial"/>
                <w:sz w:val="18"/>
                <w:szCs w:val="18"/>
                <w:color w:val="auto"/>
                <w:w w:val="86"/>
              </w:rPr>
              <w:t>751,381</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898,313</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874,172</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(1,522,904)</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1,002,124</w:t>
            </w:r>
          </w:p>
        </w:tc>
      </w:tr>
      <w:tr>
        <w:trPr>
          <w:trHeight w:val="110"/>
        </w:trPr>
        <w:tc>
          <w:tcPr>
            <w:tcW w:w="7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-3515360</wp:posOffset>
            </wp:positionV>
            <wp:extent cx="64325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-3232150</wp:posOffset>
            </wp:positionV>
            <wp:extent cx="6432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-2400300</wp:posOffset>
            </wp:positionV>
            <wp:extent cx="64325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-281940</wp:posOffset>
            </wp:positionH>
            <wp:positionV relativeFrom="paragraph">
              <wp:posOffset>-2119630</wp:posOffset>
            </wp:positionV>
            <wp:extent cx="372618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726180" cy="2984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-1131570</wp:posOffset>
            </wp:positionV>
            <wp:extent cx="64325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-848360</wp:posOffset>
            </wp:positionV>
            <wp:extent cx="64325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-290830</wp:posOffset>
            </wp:positionV>
            <wp:extent cx="64325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43255" cy="8890"/>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-8255</wp:posOffset>
            </wp:positionV>
            <wp:extent cx="64325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360"/>
            <w:col w:w="5420"/>
          </w:cols>
          <w:pgMar w:left="240" w:top="459" w:right="2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459" w:right="23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MagnaChip</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6"/>
              </w:rPr>
              <w:t>Finance</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MagnaChip</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MagnaChip</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20" w:type="dxa"/>
            <w:vAlign w:val="bottom"/>
          </w:tcPr>
          <w:p>
            <w:pPr>
              <w:spacing w:after="0"/>
              <w:rPr>
                <w:sz w:val="12"/>
                <w:szCs w:val="12"/>
                <w:color w:val="auto"/>
              </w:rPr>
            </w:pPr>
          </w:p>
        </w:tc>
        <w:tc>
          <w:tcPr>
            <w:tcW w:w="120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Ltd.(Korea)</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All other</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S.A.</w:t>
            </w: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(Non-</w:t>
            </w:r>
          </w:p>
        </w:tc>
        <w:tc>
          <w:tcPr>
            <w:tcW w:w="10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Subsidiaries</w:t>
            </w: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(Parent)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5"/>
              </w:rPr>
              <w:t>(Co-Issuers)</w:t>
            </w:r>
          </w:p>
        </w:tc>
        <w:tc>
          <w:tcPr>
            <w:tcW w:w="11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Guarantor)</w:t>
            </w:r>
          </w:p>
        </w:tc>
        <w:tc>
          <w:tcPr>
            <w:tcW w:w="100" w:type="dxa"/>
            <w:vAlign w:val="bottom"/>
          </w:tcPr>
          <w:p>
            <w:pPr>
              <w:spacing w:after="0"/>
              <w:rPr>
                <w:sz w:val="15"/>
                <w:szCs w:val="15"/>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(Guarantors)</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Eliminations</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Common units</w:t>
            </w:r>
          </w:p>
        </w:tc>
        <w:tc>
          <w:tcPr>
            <w:tcW w:w="900" w:type="dxa"/>
            <w:vAlign w:val="bottom"/>
          </w:tcPr>
          <w:p>
            <w:pPr>
              <w:jc w:val="right"/>
              <w:spacing w:after="0"/>
              <w:rPr>
                <w:sz w:val="20"/>
                <w:szCs w:val="20"/>
                <w:color w:val="auto"/>
              </w:rPr>
            </w:pPr>
            <w:r>
              <w:rPr>
                <w:rFonts w:ascii="Arial" w:cs="Arial" w:eastAsia="Arial" w:hAnsi="Arial"/>
                <w:sz w:val="18"/>
                <w:szCs w:val="18"/>
                <w:color w:val="auto"/>
              </w:rPr>
              <w:t>52,533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102,986</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38,845</w:t>
            </w:r>
          </w:p>
        </w:tc>
        <w:tc>
          <w:tcPr>
            <w:tcW w:w="1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261</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(142,092)</w:t>
            </w:r>
          </w:p>
        </w:tc>
        <w:tc>
          <w:tcPr>
            <w:tcW w:w="840" w:type="dxa"/>
            <w:vAlign w:val="bottom"/>
          </w:tcPr>
          <w:p>
            <w:pPr>
              <w:jc w:val="right"/>
              <w:spacing w:after="0"/>
              <w:rPr>
                <w:sz w:val="20"/>
                <w:szCs w:val="20"/>
                <w:color w:val="auto"/>
              </w:rPr>
            </w:pPr>
            <w:r>
              <w:rPr>
                <w:rFonts w:ascii="Arial" w:cs="Arial" w:eastAsia="Arial" w:hAnsi="Arial"/>
                <w:sz w:val="18"/>
                <w:szCs w:val="18"/>
                <w:color w:val="auto"/>
              </w:rPr>
              <w:t>52,533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1,027</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155,212</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29,370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(185,609)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(8,715)</w:t>
            </w:r>
          </w:p>
        </w:tc>
        <w:tc>
          <w:tcPr>
            <w:tcW w:w="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(9,420)</w:t>
            </w: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(18,784)</w:t>
            </w:r>
          </w:p>
        </w:tc>
        <w:tc>
          <w:tcPr>
            <w:tcW w:w="900" w:type="dxa"/>
            <w:vAlign w:val="bottom"/>
          </w:tcPr>
          <w:p>
            <w:pPr>
              <w:jc w:val="right"/>
              <w:spacing w:after="0"/>
              <w:rPr>
                <w:sz w:val="20"/>
                <w:szCs w:val="20"/>
                <w:color w:val="auto"/>
              </w:rPr>
            </w:pPr>
            <w:r>
              <w:rPr>
                <w:rFonts w:ascii="Arial" w:cs="Arial" w:eastAsia="Arial" w:hAnsi="Arial"/>
                <w:sz w:val="18"/>
                <w:szCs w:val="18"/>
                <w:color w:val="auto"/>
              </w:rPr>
              <w:t>36,919</w:t>
            </w:r>
          </w:p>
        </w:tc>
        <w:tc>
          <w:tcPr>
            <w:tcW w:w="2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20,720</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20,540</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(61,765)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unitholders’ equity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115,803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205,357</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31,387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(352,547)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4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4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w:t>
            </w: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preferred units and unitholders’ equity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   153,568</w:t>
            </w:r>
          </w:p>
        </w:tc>
        <w:tc>
          <w:tcPr>
            <w:tcW w:w="6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867,184</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1,103,670</w:t>
            </w:r>
          </w:p>
        </w:tc>
        <w:tc>
          <w:tcPr>
            <w:tcW w:w="18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905,559</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(1,875,451)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$ 1,154,530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w w:val="79"/>
              </w:rPr>
              <w:t>14</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2961640</wp:posOffset>
            </wp:positionH>
            <wp:positionV relativeFrom="paragraph">
              <wp:posOffset>-325755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3030220</wp:posOffset>
            </wp:positionH>
            <wp:positionV relativeFrom="paragraph">
              <wp:posOffset>-325755</wp:posOffset>
            </wp:positionV>
            <wp:extent cx="2159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3519170</wp:posOffset>
            </wp:positionH>
            <wp:positionV relativeFrom="paragraph">
              <wp:posOffset>-325755</wp:posOffset>
            </wp:positionV>
            <wp:extent cx="3873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3707765</wp:posOffset>
            </wp:positionH>
            <wp:positionV relativeFrom="paragraph">
              <wp:posOffset>-325755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-325755</wp:posOffset>
            </wp:positionV>
            <wp:extent cx="2159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4273550</wp:posOffset>
            </wp:positionH>
            <wp:positionV relativeFrom="paragraph">
              <wp:posOffset>-325755</wp:posOffset>
            </wp:positionV>
            <wp:extent cx="3873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-325755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-325755</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-325755</wp:posOffset>
            </wp:positionV>
            <wp:extent cx="94742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742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-325755</wp:posOffset>
            </wp:positionV>
            <wp:extent cx="3873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-325755</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2159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-325755</wp:posOffset>
            </wp:positionV>
            <wp:extent cx="3873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MagnaChip</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Finance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Company &amp;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MagnaChip</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20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Ltd.(Korea)</w:t>
            </w:r>
          </w:p>
        </w:tc>
        <w:tc>
          <w:tcPr>
            <w:tcW w:w="12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All 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(Non-</w:t>
            </w:r>
          </w:p>
        </w:tc>
        <w:tc>
          <w:tcPr>
            <w:tcW w:w="116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(Co-Issuers)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Guarantor)</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434,515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203,149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(188,251)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449,413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357,725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194,278</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(188,946)</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363,057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76,790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50,774</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51,608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(1,139)</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(34,312)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(2,630)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(16,829)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(24,652)</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before income taxes, equity in earnings (loss)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equity 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(58,964)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earnings(loss) of related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(58,964)</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11,140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Earnings (loss) of related investment</w:t>
            </w: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(64,652)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(43,136)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(60,164)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167,952</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(64,762)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(60,659)</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168,647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(69,635)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(60,659)</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(58,964)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(49,024)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168,647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(69,635)</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-909320</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-909320</wp:posOffset>
            </wp:positionV>
            <wp:extent cx="2159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-909320</wp:posOffset>
            </wp:positionV>
            <wp:extent cx="3873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-909320</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-909320</wp:posOffset>
            </wp:positionV>
            <wp:extent cx="2159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-909320</wp:posOffset>
            </wp:positionV>
            <wp:extent cx="3873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-909320</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-909320</wp:posOffset>
            </wp:positionV>
            <wp:extent cx="2159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-909320</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-909320</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-909320</wp:posOffset>
            </wp:positionV>
            <wp:extent cx="2159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-909320</wp:posOffset>
            </wp:positionV>
            <wp:extent cx="3873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-909320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-909320</wp:posOffset>
            </wp:positionV>
            <wp:extent cx="2159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-909320</wp:posOffset>
            </wp:positionV>
            <wp:extent cx="3873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-909320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-909320</wp:posOffset>
            </wp:positionV>
            <wp:extent cx="2159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-909320</wp:posOffset>
            </wp:positionV>
            <wp:extent cx="3873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-325755</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-325755</wp:posOffset>
            </wp:positionV>
            <wp:extent cx="2159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-325755</wp:posOffset>
            </wp:positionV>
            <wp:extent cx="3873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-325755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-325755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July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0"/>
              </w:rPr>
              <w:t>MagnaChip</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Finance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rPr>
              <w:t>Company &amp;</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7"/>
              </w:rPr>
              <w:t>MagnaChip</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2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20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Ltd.(Korea)</w:t>
            </w:r>
          </w:p>
        </w:tc>
        <w:tc>
          <w:tcPr>
            <w:tcW w:w="120" w:type="dxa"/>
            <w:vAlign w:val="bottom"/>
          </w:tcPr>
          <w:p>
            <w:pPr>
              <w:spacing w:after="0"/>
              <w:rPr>
                <w:sz w:val="12"/>
                <w:szCs w:val="12"/>
                <w:color w:val="auto"/>
              </w:rPr>
            </w:pPr>
          </w:p>
        </w:tc>
        <w:tc>
          <w:tcPr>
            <w:tcW w:w="10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7"/>
              </w:rPr>
              <w:t>All other</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LLC</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S.A.</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(Non-</w:t>
            </w:r>
          </w:p>
        </w:tc>
        <w:tc>
          <w:tcPr>
            <w:tcW w:w="116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86"/>
              </w:rPr>
              <w:t>Subsidiaries</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5"/>
              </w:rPr>
              <w:t>(Co-Issuers)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Guarantor)</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226,550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109,527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(100,054)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171,005</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104,776</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(100,162)</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175,619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25,174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3,118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(804)</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(3,762)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(4,190)</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(25,344)</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before income taxes, equity in earnings (loss)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equity 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(9,033)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(29,106)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earnings (loss) of related</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(9,114)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(29,106)</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(29,231)</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82,736</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(33,484)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(29,245)</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Dividends to preferred unitholders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(35,962)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(29,245)</w:t>
            </w:r>
          </w:p>
        </w:tc>
        <w:tc>
          <w:tcPr>
            <w:tcW w:w="1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(29,106)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82,844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-909320</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-909320</wp:posOffset>
            </wp:positionV>
            <wp:extent cx="2159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-909320</wp:posOffset>
            </wp:positionV>
            <wp:extent cx="3873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-909320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-909320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-909320</wp:posOffset>
            </wp:positionV>
            <wp:extent cx="3873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-909320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-909320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-909320</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-909320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-909320</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-909320</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-909320</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-909320</wp:posOffset>
            </wp:positionV>
            <wp:extent cx="2159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-909320</wp:posOffset>
            </wp:positionV>
            <wp:extent cx="3873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-909320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-909320</wp:posOffset>
            </wp:positionV>
            <wp:extent cx="2159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-909320</wp:posOffset>
            </wp:positionV>
            <wp:extent cx="3873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2833370</wp:posOffset>
            </wp:positionH>
            <wp:positionV relativeFrom="paragraph">
              <wp:posOffset>-325755</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2901950</wp:posOffset>
            </wp:positionH>
            <wp:positionV relativeFrom="paragraph">
              <wp:posOffset>-325755</wp:posOffset>
            </wp:positionV>
            <wp:extent cx="2159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3382010</wp:posOffset>
            </wp:positionH>
            <wp:positionV relativeFrom="paragraph">
              <wp:posOffset>-325755</wp:posOffset>
            </wp:positionV>
            <wp:extent cx="3873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-325755</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-325755</wp:posOffset>
            </wp:positionV>
            <wp:extent cx="2159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-325755</wp:posOffset>
            </wp:positionV>
            <wp:extent cx="3873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-325755</wp:posOffset>
            </wp:positionV>
            <wp:extent cx="12700"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-325755</wp:posOffset>
            </wp:positionV>
            <wp:extent cx="21590"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3873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-325755</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-325755</wp:posOffset>
            </wp:positionV>
            <wp:extent cx="2159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5740400</wp:posOffset>
            </wp:positionH>
            <wp:positionV relativeFrom="paragraph">
              <wp:posOffset>-325755</wp:posOffset>
            </wp:positionV>
            <wp:extent cx="3873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-325755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6049010</wp:posOffset>
            </wp:positionH>
            <wp:positionV relativeFrom="paragraph">
              <wp:posOffset>-325755</wp:posOffset>
            </wp:positionV>
            <wp:extent cx="21590"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-325755</wp:posOffset>
            </wp:positionV>
            <wp:extent cx="3873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12700"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-325755</wp:posOffset>
            </wp:positionV>
            <wp:extent cx="21590"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-325755</wp:posOffset>
            </wp:positionV>
            <wp:extent cx="3873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Finance</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MagnaChip</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0"/>
              </w:rPr>
              <w:t>MagnaChip</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MagnaChip</w:t>
            </w:r>
          </w:p>
        </w:tc>
        <w:tc>
          <w:tcPr>
            <w:tcW w:w="128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3"/>
              </w:rPr>
              <w:t>Semiconductor,</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0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24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1"/>
              </w:rPr>
              <w:t>Ltd. (Korea)</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All other</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LLC</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S.A.</w:t>
            </w:r>
          </w:p>
        </w:tc>
        <w:tc>
          <w:tcPr>
            <w:tcW w:w="80" w:type="dxa"/>
            <w:vAlign w:val="bottom"/>
          </w:tcPr>
          <w:p>
            <w:pPr>
              <w:spacing w:after="0"/>
              <w:rPr>
                <w:sz w:val="12"/>
                <w:szCs w:val="12"/>
                <w:color w:val="auto"/>
              </w:rPr>
            </w:pP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(Non-</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Subsidiaries</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(Parent)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(Co-Issuers)</w:t>
            </w:r>
          </w:p>
        </w:tc>
        <w:tc>
          <w:tcPr>
            <w:tcW w:w="80" w:type="dxa"/>
            <w:vAlign w:val="bottom"/>
          </w:tcPr>
          <w:p>
            <w:pPr>
              <w:spacing w:after="0"/>
              <w:rPr>
                <w:sz w:val="15"/>
                <w:szCs w:val="15"/>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Guarantor)</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(Guarantors)</w:t>
            </w:r>
          </w:p>
        </w:tc>
        <w:tc>
          <w:tcPr>
            <w:tcW w:w="16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Eliminations</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(64,762)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(60,659)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(58,964)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  (49,024)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$ 168,647</w:t>
            </w:r>
          </w:p>
        </w:tc>
        <w:tc>
          <w:tcPr>
            <w:tcW w:w="22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(64,762)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cash provided by (used in) operating activities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102,760</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4,024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8,083</w:t>
            </w:r>
          </w:p>
        </w:tc>
        <w:tc>
          <w:tcPr>
            <w:tcW w:w="3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20,359</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(2,494)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(19,210)</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disposal of property, plant and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equipment, net</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w w:val="94"/>
              </w:rPr>
              <w:t>Impairment charges on property, plant and equipment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7,996</w:t>
            </w:r>
          </w:p>
        </w:tc>
        <w:tc>
          <w:tcPr>
            <w:tcW w:w="3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(earnings) of related investment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43,136</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60,164</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(167,952)</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Others, net</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(987)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(8,877)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(1,090)</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(7,535)</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(17,502)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5,286</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w w:val="86"/>
              </w:rPr>
              <w:t>825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66,448</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(1,807)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1,797</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6,403</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(10,474)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w w:val="86"/>
              </w:rPr>
              <w:t>205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(73,517)</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(1,797)</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(2,256)</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6,389</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(10,865)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(7,591)</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895</w:t>
            </w:r>
          </w:p>
        </w:tc>
        <w:tc>
          <w:tcPr>
            <w:tcW w:w="38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10,865</w:t>
            </w:r>
          </w:p>
        </w:tc>
        <w:tc>
          <w:tcPr>
            <w:tcW w:w="2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108</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(6,319)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(6,864)</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(30,859)</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24,629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(6,230)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w:t>
            </w: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16,775</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July 3, 2005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Finance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Company &amp;</w:t>
            </w: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MagnaChip</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2"/>
              </w:rPr>
              <w:t>MagnaChip</w:t>
            </w:r>
          </w:p>
        </w:tc>
        <w:tc>
          <w:tcPr>
            <w:tcW w:w="80" w:type="dxa"/>
            <w:vAlign w:val="bottom"/>
          </w:tcPr>
          <w:p>
            <w:pPr>
              <w:spacing w:after="0"/>
              <w:rPr>
                <w:sz w:val="12"/>
                <w:szCs w:val="12"/>
                <w:color w:val="auto"/>
              </w:rPr>
            </w:pPr>
          </w:p>
        </w:tc>
        <w:tc>
          <w:tcPr>
            <w:tcW w:w="12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0"/>
              </w:rPr>
              <w:t>MagnaChip</w:t>
            </w:r>
          </w:p>
        </w:tc>
        <w:tc>
          <w:tcPr>
            <w:tcW w:w="138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3"/>
              </w:rPr>
              <w:t>Semiconductor,</w:t>
            </w: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6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128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Ltd. (Korea)</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All other</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12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7"/>
              </w:rPr>
              <w:t>S.A.</w:t>
            </w:r>
          </w:p>
        </w:tc>
        <w:tc>
          <w:tcPr>
            <w:tcW w:w="10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7"/>
              </w:rPr>
              <w:t>(Non-</w:t>
            </w: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Subsidiaries</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(Parent)</w:t>
            </w:r>
          </w:p>
        </w:tc>
        <w:tc>
          <w:tcPr>
            <w:tcW w:w="80" w:type="dxa"/>
            <w:vAlign w:val="bottom"/>
          </w:tcPr>
          <w:p>
            <w:pPr>
              <w:spacing w:after="0"/>
              <w:rPr>
                <w:sz w:val="15"/>
                <w:szCs w:val="15"/>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83"/>
              </w:rPr>
              <w:t>(Co-Issuers)</w:t>
            </w:r>
          </w:p>
        </w:tc>
        <w:tc>
          <w:tcPr>
            <w:tcW w:w="10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Guarantor)</w:t>
            </w: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(Guarantors)</w:t>
            </w: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5"/>
                <w:szCs w:val="15"/>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Purchases of plant, property and equipment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(18,226)</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(474)</w:t>
            </w:r>
          </w:p>
        </w:tc>
        <w:tc>
          <w:tcPr>
            <w:tcW w:w="160" w:type="dxa"/>
            <w:vAlign w:val="bottom"/>
          </w:tcPr>
          <w:p>
            <w:pPr>
              <w:spacing w:after="0"/>
              <w:rPr>
                <w:sz w:val="18"/>
                <w:szCs w:val="18"/>
                <w:color w:val="auto"/>
              </w:rPr>
            </w:pPr>
          </w:p>
        </w:tc>
        <w:tc>
          <w:tcPr>
            <w:tcW w:w="600" w:type="dxa"/>
            <w:vAlign w:val="bottom"/>
            <w:gridSpan w:val="2"/>
          </w:tcPr>
          <w:p>
            <w:pPr>
              <w:ind w:left="320"/>
              <w:spacing w:after="0"/>
              <w:rPr>
                <w:sz w:val="20"/>
                <w:szCs w:val="20"/>
                <w:color w:val="auto"/>
              </w:rPr>
            </w:pPr>
            <w:r>
              <w:rPr>
                <w:rFonts w:ascii="Arial" w:cs="Arial" w:eastAsia="Arial" w:hAnsi="Arial"/>
                <w:sz w:val="18"/>
                <w:szCs w:val="18"/>
                <w:color w:val="auto"/>
                <w:w w:val="86"/>
              </w:rPr>
              <w:t>401</w:t>
            </w:r>
          </w:p>
        </w:tc>
        <w:tc>
          <w:tcPr>
            <w:tcW w:w="26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(18,299)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intangibles, net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(1,172)</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Acquisition of business</w:t>
            </w:r>
          </w:p>
        </w:tc>
        <w:tc>
          <w:tcPr>
            <w:tcW w:w="100" w:type="dxa"/>
            <w:vAlign w:val="bottom"/>
          </w:tcPr>
          <w:p>
            <w:pPr>
              <w:spacing w:after="0"/>
              <w:rPr>
                <w:sz w:val="18"/>
                <w:szCs w:val="18"/>
                <w:color w:val="auto"/>
              </w:rPr>
            </w:pPr>
          </w:p>
        </w:tc>
        <w:tc>
          <w:tcPr>
            <w:tcW w:w="1260" w:type="dxa"/>
            <w:vAlign w:val="bottom"/>
            <w:gridSpan w:val="3"/>
          </w:tcPr>
          <w:p>
            <w:pPr>
              <w:jc w:val="right"/>
              <w:ind w:right="420"/>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(14,581)</w:t>
            </w:r>
          </w:p>
        </w:tc>
        <w:tc>
          <w:tcPr>
            <w:tcW w:w="16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(increase) of intercompany loans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(15,010)</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ind w:left="420"/>
              <w:spacing w:after="0"/>
              <w:rPr>
                <w:sz w:val="20"/>
                <w:szCs w:val="20"/>
                <w:color w:val="auto"/>
              </w:rPr>
            </w:pPr>
            <w:r>
              <w:rPr>
                <w:rFonts w:ascii="Arial" w:cs="Arial" w:eastAsia="Arial" w:hAnsi="Arial"/>
                <w:sz w:val="18"/>
                <w:szCs w:val="18"/>
                <w:color w:val="auto"/>
              </w:rPr>
              <w:t>Decrease in restricted cash</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7,065</w:t>
            </w:r>
          </w:p>
        </w:tc>
        <w:tc>
          <w:tcPr>
            <w:tcW w:w="46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7,065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 net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(401)</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(1,870)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(10,646)</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(29,549)</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16,019</w:t>
            </w:r>
          </w:p>
        </w:tc>
        <w:tc>
          <w:tcPr>
            <w:tcW w:w="26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13,689</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w w:val="92"/>
              </w:rPr>
              <w:t>(13,689)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long-term borrowings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Repayments of short-term borrowings</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(764)</w:t>
            </w: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(12,605)</w:t>
            </w:r>
          </w:p>
        </w:tc>
        <w:tc>
          <w:tcPr>
            <w:tcW w:w="16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Others, net</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(217)</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514</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2"/>
              </w:rPr>
              <w:t>(15,719)</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Effect of exchange rate on cash and cash</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tcPr>
          <w:p>
            <w:pPr>
              <w:ind w:left="200"/>
              <w:spacing w:after="0"/>
              <w:rPr>
                <w:sz w:val="20"/>
                <w:szCs w:val="20"/>
                <w:color w:val="auto"/>
              </w:rPr>
            </w:pPr>
            <w:r>
              <w:rPr>
                <w:rFonts w:ascii="Arial" w:cs="Arial" w:eastAsia="Arial" w:hAnsi="Arial"/>
                <w:sz w:val="18"/>
                <w:szCs w:val="18"/>
                <w:color w:val="auto"/>
              </w:rPr>
              <w:t>equivalents</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820</w:t>
            </w:r>
          </w:p>
        </w:tc>
        <w:tc>
          <w:tcPr>
            <w:tcW w:w="46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(295)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(1,890)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(1,932)</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(3,197)</w:t>
            </w: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(11,176)</w:t>
            </w: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(18,195)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tcPr>
          <w:p>
            <w:pPr>
              <w:spacing w:after="0"/>
              <w:rPr>
                <w:sz w:val="18"/>
                <w:szCs w:val="18"/>
                <w:color w:val="auto"/>
              </w:rPr>
            </w:pPr>
          </w:p>
        </w:tc>
        <w:tc>
          <w:tcPr>
            <w:tcW w:w="1260" w:type="dxa"/>
            <w:vAlign w:val="bottom"/>
            <w:gridSpan w:val="3"/>
          </w:tcPr>
          <w:p>
            <w:pPr>
              <w:jc w:val="right"/>
              <w:ind w:right="480"/>
              <w:spacing w:after="0"/>
              <w:rPr>
                <w:sz w:val="20"/>
                <w:szCs w:val="20"/>
                <w:color w:val="auto"/>
              </w:rPr>
            </w:pPr>
            <w:r>
              <w:rPr>
                <w:rFonts w:ascii="Arial" w:cs="Arial" w:eastAsia="Arial" w:hAnsi="Arial"/>
                <w:sz w:val="18"/>
                <w:szCs w:val="18"/>
                <w:color w:val="auto"/>
              </w:rPr>
              <w:t>2,386</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3,201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29,671</w:t>
            </w:r>
          </w:p>
        </w:tc>
        <w:tc>
          <w:tcPr>
            <w:tcW w:w="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23,138</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58,396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 from</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of consolidated subsidiaries</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496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26,474</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16,582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44,821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ind w:right="397"/>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-325755</wp:posOffset>
            </wp:positionV>
            <wp:extent cx="5873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87375" cy="29845"/>
                    </a:xfrm>
                    <a:prstGeom prst="rect">
                      <a:avLst/>
                    </a:prstGeom>
                    <a:noFill/>
                  </pic:spPr>
                </pic:pic>
              </a:graphicData>
            </a:graphic>
          </wp:anchor>
        </w:drawing>
        <w:drawing>
          <wp:anchor simplePos="0" relativeHeight="251657728" behindDoc="1" locked="0" layoutInCell="0" allowOverlap="1">
            <wp:simplePos x="0" y="0"/>
            <wp:positionH relativeFrom="column">
              <wp:posOffset>3424555</wp:posOffset>
            </wp:positionH>
            <wp:positionV relativeFrom="paragraph">
              <wp:posOffset>-325755</wp:posOffset>
            </wp:positionV>
            <wp:extent cx="1270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3510280</wp:posOffset>
            </wp:positionH>
            <wp:positionV relativeFrom="paragraph">
              <wp:posOffset>-325755</wp:posOffset>
            </wp:positionV>
            <wp:extent cx="2159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-325755</wp:posOffset>
            </wp:positionV>
            <wp:extent cx="3873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-325755</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-325755</wp:posOffset>
            </wp:positionV>
            <wp:extent cx="2159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-325755</wp:posOffset>
            </wp:positionV>
            <wp:extent cx="3873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-325755</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-325755</wp:posOffset>
            </wp:positionV>
            <wp:extent cx="2159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-325755</wp:posOffset>
            </wp:positionV>
            <wp:extent cx="3873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-325755</wp:posOffset>
            </wp:positionV>
            <wp:extent cx="1270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-325755</wp:posOffset>
            </wp:positionV>
            <wp:extent cx="21590"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-325755</wp:posOffset>
            </wp:positionV>
            <wp:extent cx="3873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-325755</wp:posOffset>
            </wp:positionV>
            <wp:extent cx="51879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8795" cy="298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within the meaning of the federal securities laws that involve risks and uncertainties. Our actual results could differ materially from those anticipated in these forward-looking statements as a result of certain factors set forth elsewhere in this report and in prior Company filings with the Securities and Exchange Commission (the “SEC”). In addition, other factors have been or may be discussed from time to time in the Company’s SEC filings. These forward–looking statements are made based upon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unaudited consolidated interim financial statements and related notes included elsewhere in this report.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are a leading designer, developer and manufacturer of mixed-signal and digital multimedia semiconductors addressing the convergence of consumer electronics and communication devices. We focus our core business on CMOS image sensors and flat panel display drivers, which are complex, high-performance mixed-signal semiconductors that capture images and enable and enhance the features and capabilities of both small and large flat panel displays.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w:t>
      </w:r>
    </w:p>
    <w:p>
      <w:pPr>
        <w:spacing w:after="0" w:line="13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derive our net sales from products and services in four principal areas: CMOS image sensors, flat panel display drivers, application processors and specialty foundry services.</w:t>
      </w:r>
    </w:p>
    <w:p>
      <w:pPr>
        <w:spacing w:after="0" w:line="37" w:lineRule="exact"/>
        <w:rPr>
          <w:sz w:val="20"/>
          <w:szCs w:val="20"/>
          <w:color w:val="auto"/>
        </w:rPr>
      </w:pPr>
    </w:p>
    <w:p>
      <w:pPr>
        <w:jc w:val="both"/>
        <w:ind w:left="780" w:right="100" w:hanging="326"/>
        <w:spacing w:after="0" w:line="259"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CMOS image sensors: </w:t>
      </w:r>
      <w:r>
        <w:rPr>
          <w:rFonts w:ascii="Arial" w:cs="Arial" w:eastAsia="Arial" w:hAnsi="Arial"/>
          <w:sz w:val="18"/>
          <w:szCs w:val="18"/>
          <w:color w:val="auto"/>
        </w:rPr>
        <w:t>Our CMOS image sensor solutions are used in image-capture applications such as camera-equipped mobile handsets, personal</w:t>
      </w:r>
      <w:r>
        <w:rPr>
          <w:rFonts w:ascii="Arial" w:cs="Arial" w:eastAsia="Arial" w:hAnsi="Arial"/>
          <w:sz w:val="18"/>
          <w:szCs w:val="18"/>
          <w:i w:val="1"/>
          <w:iCs w:val="1"/>
          <w:color w:val="auto"/>
        </w:rPr>
        <w:t xml:space="preserve"> </w:t>
      </w:r>
      <w:r>
        <w:rPr>
          <w:rFonts w:ascii="Arial" w:cs="Arial" w:eastAsia="Arial" w:hAnsi="Arial"/>
          <w:sz w:val="18"/>
          <w:szCs w:val="18"/>
          <w:color w:val="auto"/>
        </w:rPr>
        <w:t>computer cameras, fingerprint sensors and surveillance cameras. Our highly integrated image sensors are designed to be cost-effective and to provide brighter, sharper, more colorful, and thus enhanced, image quality.</w:t>
      </w:r>
    </w:p>
    <w:p>
      <w:pPr>
        <w:spacing w:after="0" w:line="45" w:lineRule="exact"/>
        <w:rPr>
          <w:rFonts w:ascii="Arial" w:cs="Arial" w:eastAsia="Arial" w:hAnsi="Arial"/>
          <w:sz w:val="18"/>
          <w:szCs w:val="18"/>
          <w:color w:val="auto"/>
        </w:rPr>
      </w:pPr>
    </w:p>
    <w:p>
      <w:pPr>
        <w:ind w:left="780" w:hanging="326"/>
        <w:spacing w:after="0" w:line="294"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Flat panel display drivers: </w:t>
      </w:r>
      <w:r>
        <w:rPr>
          <w:rFonts w:ascii="Arial" w:cs="Arial" w:eastAsia="Arial" w:hAnsi="Arial"/>
          <w:sz w:val="16"/>
          <w:szCs w:val="16"/>
          <w:color w:val="auto"/>
        </w:rPr>
        <w:t>Our flat panel display drivers are used in several major types of large and small flat panel displays, including TFT-LCD,</w:t>
      </w:r>
      <w:r>
        <w:rPr>
          <w:rFonts w:ascii="Arial" w:cs="Arial" w:eastAsia="Arial" w:hAnsi="Arial"/>
          <w:sz w:val="16"/>
          <w:szCs w:val="16"/>
          <w:i w:val="1"/>
          <w:iCs w:val="1"/>
          <w:color w:val="auto"/>
        </w:rPr>
        <w:t xml:space="preserve"> </w:t>
      </w:r>
      <w:r>
        <w:rPr>
          <w:rFonts w:ascii="Arial" w:cs="Arial" w:eastAsia="Arial" w:hAnsi="Arial"/>
          <w:sz w:val="16"/>
          <w:szCs w:val="16"/>
          <w:color w:val="auto"/>
        </w:rPr>
        <w:t>Color-STN and OLED displays. Our flat panel display driver solutions are used in applications such as mobile handsets, flat panel televisions, displays for portable and desktop computers, handheld gaming devices and PDAs. We produce highly integrated flat panel display driver solutions and have pioneered developments in embedded memory and in the design and manufacturing of display drivers, enabling our customers to provide improved picture quality through thinner, smaller, more power efficient displays.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line="256"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Specialty foundry services: </w:t>
      </w:r>
      <w:r>
        <w:rPr>
          <w:rFonts w:ascii="Arial" w:cs="Arial" w:eastAsia="Arial" w:hAnsi="Arial"/>
          <w:sz w:val="18"/>
          <w:szCs w:val="18"/>
          <w:color w:val="auto"/>
        </w:rPr>
        <w:t>We use our process technology and manufacturing facilities to manufacture semiconductor wafers for third parties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designs. Our five fabs have a combined capacity of over 115,000 eight-inch equivalent wafers per month and are located in Cheongju and Gumi, Korea. Our fabs provide us with large scale, cost-effective and flexible capacity enabling us to rapidly scale to high volume to meet shifts in demand by our end customers.</w:t>
      </w:r>
    </w:p>
    <w:p>
      <w:pPr>
        <w:spacing w:after="0" w:line="48" w:lineRule="exact"/>
        <w:rPr>
          <w:rFonts w:ascii="Arial" w:cs="Arial" w:eastAsia="Arial" w:hAnsi="Arial"/>
          <w:sz w:val="18"/>
          <w:szCs w:val="18"/>
          <w:color w:val="auto"/>
        </w:rPr>
      </w:pPr>
    </w:p>
    <w:p>
      <w:pPr>
        <w:ind w:left="780" w:right="520" w:hanging="326"/>
        <w:spacing w:after="0" w:line="306"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Application processor solutions: </w:t>
      </w:r>
      <w:r>
        <w:rPr>
          <w:rFonts w:ascii="Arial" w:cs="Arial" w:eastAsia="Arial" w:hAnsi="Arial"/>
          <w:sz w:val="16"/>
          <w:szCs w:val="16"/>
          <w:color w:val="auto"/>
        </w:rPr>
        <w:t>Our application processors, which are also referred to as microcontrollers, are designed into a broad range of</w:t>
      </w:r>
      <w:r>
        <w:rPr>
          <w:rFonts w:ascii="Arial" w:cs="Arial" w:eastAsia="Arial" w:hAnsi="Arial"/>
          <w:sz w:val="16"/>
          <w:szCs w:val="16"/>
          <w:i w:val="1"/>
          <w:iCs w:val="1"/>
          <w:color w:val="auto"/>
        </w:rPr>
        <w:t xml:space="preserve"> </w:t>
      </w:r>
      <w:r>
        <w:rPr>
          <w:rFonts w:ascii="Arial" w:cs="Arial" w:eastAsia="Arial" w:hAnsi="Arial"/>
          <w:sz w:val="16"/>
          <w:szCs w:val="16"/>
          <w:color w:val="auto"/>
        </w:rPr>
        <w:t>consumer applications, such as remote control devices, home appliances, and consumer electronics. Our application processors are designed for applications requiring programmability, high-performance, low-power and cost-effectiveness.</w:t>
      </w:r>
    </w:p>
    <w:p>
      <w:pPr>
        <w:spacing w:after="0" w:line="9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business was named MagnaChip Semiconductor when it was acquired from Hynix Semiconductor on October 6, 2004, by Citigroup Venture Capital Equity Partners, or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the Hyundai Electronics and LG Semiconductor System IC businesses and can trace its history back to the late 1970s. Although we were previously part of Hynix, our business had a history of operating autonomously within Hynix and had a separate global sales force and management structure.</w:t>
      </w:r>
    </w:p>
    <w:p>
      <w:pPr>
        <w:spacing w:after="0" w:line="10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transaction, we entered into several definitive agreements with Hynix regarding key raw materials, campus facilities, research and development equipment, information technology, factory automation and wafer foundry services. We also entered into a non-exclusive cross license with Hynix which provides us with intellectual property for use in the manufacture and sale of non-memory semiconductor products. We believe that these arrangements with Hynix provide significant mutual advantages, for example, allowing us to leverage the significant historical investments in our capital equipment and shared resources. All agreements with Hynix under which we obtain essential materials or services are multiyear contracts.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Prior to October 1, 2004, our consolidated financial statements were prepared on a carve-out basis from the consolidated financial statements and accounting records of Hynix using the actual results of operations and actual basis of assets and liabilities of our business. The consolidated statements of operations include allocations of certain raw materials, other assets and accounts payable which our business has historically shared with Hynix, and allocations of certain manufacturing costs, general and administrative, sales and marketing, and other miscellaneous expenses. These allocations were made on a specifically identifiable basis or using the relative percentages, as compared to Hynix’s other businesses, of sales, headcount, raw material consumption or other reasonable methods. We and Hynix considered these allocations to be a reasonable reflection of the utilization of services provided. Our expenses as a separate, stand alone company may be higher or lower than the amounts reflected in the consolidated statements of operations.</w:t>
      </w:r>
    </w:p>
    <w:p>
      <w:pPr>
        <w:spacing w:after="0" w:line="105"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We believe the assumptions underlying the consolidated financial statements are reasonable. However, the consolidated financial statements may not necessarily reflect our results of operations, financial position and cash flows in the future or what our results of operations, financial position and cash flows would have been had we been a separate, stand-alone company during the historical periods presented.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part of the Acquisition, we did not acquire certain assets that were included in the carve-out financial statements and we assumed certain additional obligations that are not reflected in the carve-out financial statements. Accordingly, the carve-out financial statements should not be relied upon as being representative of our financial position or operating results had we operated on a stand alone basis, nor may they be representative of our financial position or operating results following the Acquisition.</w:t>
      </w:r>
    </w:p>
    <w:p>
      <w:pPr>
        <w:spacing w:after="0" w:line="13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240" w:top="459" w:right="5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Three-Month Periods Ended July 3, 2005 and June 30,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87"/>
              </w:rPr>
              <w:t>Three months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85"/>
              </w:rPr>
              <w:t>Three months ended</w:t>
            </w: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July 3, 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June 30, 2004</w:t>
            </w:r>
          </w:p>
        </w:tc>
        <w:tc>
          <w:tcPr>
            <w:tcW w:w="152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 of net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5"/>
              </w:rPr>
              <w:t>% of net</w:t>
            </w: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60" w:type="dxa"/>
            <w:vAlign w:val="bottom"/>
          </w:tcPr>
          <w:p>
            <w:pPr>
              <w:spacing w:after="0"/>
              <w:rPr>
                <w:sz w:val="15"/>
                <w:szCs w:val="15"/>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Amount</w:t>
            </w: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5"/>
                <w:szCs w:val="15"/>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Amount</w:t>
            </w:r>
          </w:p>
        </w:tc>
        <w:tc>
          <w:tcPr>
            <w:tcW w:w="10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sales</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6"/>
              </w:rPr>
              <w:t>Amount</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160" w:type="dxa"/>
            <w:vAlign w:val="bottom"/>
            <w:gridSpan w:val="6"/>
          </w:tcPr>
          <w:p>
            <w:pPr>
              <w:jc w:val="right"/>
              <w:ind w:right="580"/>
              <w:spacing w:after="0"/>
              <w:rPr>
                <w:sz w:val="20"/>
                <w:szCs w:val="20"/>
                <w:color w:val="auto"/>
              </w:rPr>
            </w:pPr>
            <w:r>
              <w:rPr>
                <w:rFonts w:ascii="Arial" w:cs="Arial" w:eastAsia="Arial" w:hAnsi="Arial"/>
                <w:sz w:val="14"/>
                <w:szCs w:val="14"/>
                <w:b w:val="1"/>
                <w:bCs w:val="1"/>
                <w:i w:val="1"/>
                <w:iCs w:val="1"/>
                <w:color w:val="auto"/>
                <w:w w:val="92"/>
              </w:rPr>
              <w:t>(in millions of US dollars)</w:t>
            </w:r>
          </w:p>
        </w:tc>
        <w:tc>
          <w:tcPr>
            <w:tcW w:w="4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59.9</w:t>
            </w:r>
          </w:p>
        </w:tc>
        <w:tc>
          <w:tcPr>
            <w:tcW w:w="3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19.9%</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w w:val="83"/>
              </w:rPr>
              <w:t>$ (59.9)</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236.0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240.5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236.0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300.4</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(64.4)</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175.6</w:t>
            </w:r>
          </w:p>
        </w:tc>
        <w:tc>
          <w:tcPr>
            <w:tcW w:w="36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74.4%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226.2</w:t>
            </w:r>
          </w:p>
        </w:tc>
        <w:tc>
          <w:tcPr>
            <w:tcW w:w="3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75.3%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(50.6)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27.5</w:t>
            </w:r>
          </w:p>
        </w:tc>
        <w:tc>
          <w:tcPr>
            <w:tcW w:w="3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24.3</w:t>
            </w:r>
          </w:p>
        </w:tc>
        <w:tc>
          <w:tcPr>
            <w:tcW w:w="3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8.1%</w:t>
            </w:r>
          </w:p>
        </w:tc>
        <w:tc>
          <w:tcPr>
            <w:tcW w:w="48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(14.0)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(5.5)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(12.8)</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(811.1)%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9"/>
                <w:szCs w:val="19"/>
                <w:color w:val="auto"/>
              </w:rPr>
            </w:pPr>
          </w:p>
        </w:tc>
        <w:tc>
          <w:tcPr>
            <w:tcW w:w="7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0.4</w:t>
            </w:r>
          </w:p>
        </w:tc>
        <w:tc>
          <w:tcPr>
            <w:tcW w:w="3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(0.4)</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(35.1)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Income tax expenses (benefit)</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(1.6)</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0.3%</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(33.5)</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3"/>
              </w:rPr>
              <w:t>$ (63.0)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(213.6)%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-29210</wp:posOffset>
            </wp:positionV>
            <wp:extent cx="3644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64490" cy="2984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2159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3873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1270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21590"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6580505</wp:posOffset>
            </wp:positionH>
            <wp:positionV relativeFrom="paragraph">
              <wp:posOffset>-29210</wp:posOffset>
            </wp:positionV>
            <wp:extent cx="3873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for the three-month period ended July 3, 2005 were $236.0 million, a $64.4 million or 21.4% decrease from $300.4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three-month period ended June 30, 2004. The reduction from prior-year revenue was primarily due to a decrease of $42.8 million or 71.5% in DRAM foundry business with Hynix. This reduction was due to our strategic decision to focus manufacturing capacity and processes on expanding CMOS image sensor capability, which should help improve prospects for increased profitability and growth in the long term. The effect of this decision was a reduction in available capacity to supply Hynix with memory products and lower sales. Our Application Processor revenue decreased by $12.5 million or 50.6% as a result of repositioning this product line, de-emphasizing optical storage device products to focus on consumer appliance and mobile device application areas. We believe this is more in line with our global focus and we can leverage our infrastructure to maximize opportunity in larger markets. Revenue from CMOS Image Sensors decreased by $6.1 million or 12.1% due to lower average sales price in our VGA and 1.0 Mega pixel product lines and increased competition in the this market. The increase in revenue from $74.8 million to $75.6 million or 1.2% in display drivers was attributable to an increase in market share, partially offset by declines in average selling prices.</w:t>
      </w:r>
    </w:p>
    <w:p>
      <w:pPr>
        <w:spacing w:after="0" w:line="10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Net sales to related parties in the quarter ended July 3, 2005 decreased by $59.9 million from the second quarter of 2004. Subsequent to the Acquisition date, all sales made to Hynix were classified as customer sales as the two companies are now separate and do not require related party revenue classification. Net sales to others for the quarter ended July 3, 2005 decreased by $4.5 million or 1.9 % from the second quarter in the prior year.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were $175.6 million in the second quarter of 2005, a $50.6 million or 22.4% decrease from $226.2 million in the second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of 2004. The decrease was primarily due to a lower revenue base, a reduction in depreciation expenses and lower variable spending. Cost of sales as a percentage of net sales was relatively flat at 74.4% in the current-year period compared to 75.3% in the prior-year period.</w:t>
      </w:r>
    </w:p>
    <w:p>
      <w:pPr>
        <w:spacing w:after="0" w:line="9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were $32.5 million or 13.8% of net sales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July 3, 2005. This represents a $16.4 million or 101.9% increase from $16.1 million or 5.4% of net sales in the three months ended June 30, 2004. The increase in selling, general and administrative expenses was primarily attributable to one-time charges and amortization of intangible assets recorded in purchase accounting as a result of recent acquisitions of IC Media Corporation and ISRON Corporation as well as the original Acquisition of our business from Hynix. We also recognized increased professional fees related to consulting and infrastructure build-out as well as additional warranty reserves to cover possible exposure of future claims from customers.</w:t>
      </w:r>
    </w:p>
    <w:p>
      <w:pPr>
        <w:spacing w:after="0" w:line="13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$27.5 million in the three-month period ended July 3, 2005, a $3.2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a 13.2% increase from research and development expenses of $24.3 million in the three months ended June 30, 2004. The increase in research and development expenses was primarily attributable to our acquisitions of ISRON Corporation and IC Media Corporation, our investment in state-of-the-art development tools and platforms at our research and development centers worldwide, and new product and process development to support next generation products. As a percentage of net sales, research and development expense increased to 11.7% during the second quarter of 2005 from 8.1% in the second quarter of 2004.</w:t>
      </w:r>
    </w:p>
    <w:p>
      <w:pPr>
        <w:spacing w:after="0" w:line="13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During the current year quarter, the Company recorded a one-time charge of $8.7 million of restructuring and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charges. The amount included $8.0 million for long-lived assets impairment charge and $0.7 million for an early retirement program. Refer to Note 9. Restructuring and Impairment Charges for details.</w:t>
      </w:r>
    </w:p>
    <w:p>
      <w:pPr>
        <w:spacing w:after="0" w:line="12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Operating Income (Loss). </w:t>
      </w:r>
      <w:r>
        <w:rPr>
          <w:rFonts w:ascii="Arial" w:cs="Arial" w:eastAsia="Arial" w:hAnsi="Arial"/>
          <w:sz w:val="16"/>
          <w:szCs w:val="16"/>
          <w:color w:val="auto"/>
        </w:rPr>
        <w:t>Operating loss for the three-month period ended July 3, 2005 was $8.3 million, a $42.1 million decrease from the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$33.8 million for the three-month period ended June 30, 2004. Operating loss as a percentage of net sales was 3.6% in the second quarter of 2005 compared to operating income as a percentage of net sales of 11.2% in the second quarter of 2004. The current quarter operating loss was primarily attributable to lower revenue, higher operating expenses including one-time charges, partially offset by improved margins driven by a change in product mix.</w:t>
      </w:r>
    </w:p>
    <w:p>
      <w:pPr>
        <w:spacing w:after="0" w:line="99"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$14.0 million during the three-month period ended July 3, 2005, an $8.5 million increase from $5.5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three-month period ended June 30, 2004. The increase in net interest expense was primarily due to the interest expense from the long-term debt of $750.0 million in the current year quarter versus $297.5 million in debt on a carve-out basis at June 30, 2004. Refer to Note 4. Long-term Borrowings for details.</w:t>
      </w:r>
    </w:p>
    <w:p>
      <w:pPr>
        <w:spacing w:after="0" w:line="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benefit was $1.6 million in the second quarter of 2005, compared to income tax expense of $1.0 million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quarter of 2004. Income tax benefit for the quarter ended July 3, 2005 was primarily attributable to the recognition of a deferred tax asset based on expected future utilization of the Company’s cumulative tax net operating loss. This tax benefit is offset by the effect of the Korean withholding tax on the interest income paid to our Korean company’s Dutch parent company. Due to the uncertainty of utilization for foreign tax credits, the Korean withholding tax was treated as a current tax expense to the Company.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Comparison of Six -Month Periods Ended July 3, 2005 and June 30, 2004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89"/>
              </w:rPr>
              <w:t>Six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4"/>
              </w:rPr>
              <w:t>Six months ended</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July 3, 2005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85"/>
              </w:rPr>
              <w:t>June 30, 2004</w:t>
            </w:r>
          </w:p>
        </w:tc>
        <w:tc>
          <w:tcPr>
            <w:tcW w:w="20" w:type="dxa"/>
            <w:vAlign w:val="bottom"/>
          </w:tcPr>
          <w:p>
            <w:pPr>
              <w:spacing w:after="0"/>
              <w:rPr>
                <w:sz w:val="15"/>
                <w:szCs w:val="15"/>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8"/>
              </w:rPr>
              <w:t>% of net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 of net</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sales</w:t>
            </w:r>
          </w:p>
        </w:tc>
        <w:tc>
          <w:tcPr>
            <w:tcW w:w="160" w:type="dxa"/>
            <w:vAlign w:val="bottom"/>
          </w:tcPr>
          <w:p>
            <w:pPr>
              <w:spacing w:after="0"/>
              <w:rPr>
                <w:sz w:val="15"/>
                <w:szCs w:val="15"/>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sales</w:t>
            </w:r>
          </w:p>
        </w:tc>
        <w:tc>
          <w:tcPr>
            <w:tcW w:w="20" w:type="dxa"/>
            <w:vAlign w:val="bottom"/>
          </w:tcPr>
          <w:p>
            <w:pPr>
              <w:spacing w:after="0"/>
              <w:rPr>
                <w:sz w:val="15"/>
                <w:szCs w:val="15"/>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60" w:type="dxa"/>
            <w:vAlign w:val="bottom"/>
            <w:gridSpan w:val="7"/>
          </w:tcPr>
          <w:p>
            <w:pPr>
              <w:jc w:val="center"/>
              <w:ind w:right="320"/>
              <w:spacing w:after="0"/>
              <w:rPr>
                <w:sz w:val="20"/>
                <w:szCs w:val="20"/>
                <w:color w:val="auto"/>
              </w:rPr>
            </w:pPr>
            <w:r>
              <w:rPr>
                <w:rFonts w:ascii="Arial" w:cs="Arial" w:eastAsia="Arial" w:hAnsi="Arial"/>
                <w:sz w:val="14"/>
                <w:szCs w:val="14"/>
                <w:b w:val="1"/>
                <w:bCs w:val="1"/>
                <w:i w:val="1"/>
                <w:iCs w:val="1"/>
                <w:color w:val="auto"/>
                <w:w w:val="86"/>
              </w:rPr>
              <w:t>(in millions of US dollars)</w:t>
            </w: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420"/>
              <w:spacing w:after="0"/>
              <w:rPr>
                <w:sz w:val="20"/>
                <w:szCs w:val="20"/>
                <w:color w:val="auto"/>
              </w:rPr>
            </w:pPr>
            <w:r>
              <w:rPr>
                <w:rFonts w:ascii="Arial" w:cs="Arial" w:eastAsia="Arial" w:hAnsi="Arial"/>
                <w:sz w:val="18"/>
                <w:szCs w:val="18"/>
                <w:color w:val="auto"/>
              </w:rPr>
              <w:t>Related party</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122.5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21.7%</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w w:val="89"/>
              </w:rPr>
              <w:t>$(122.5)</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449.4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441.7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449.4</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564.2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(114.8)</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363.1</w:t>
            </w: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80.8%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434.0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76.9%</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(70.9)</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130.2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23.1%</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(43.9)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53.6</w:t>
            </w:r>
          </w:p>
        </w:tc>
        <w:tc>
          <w:tcPr>
            <w:tcW w:w="3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8.5%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9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(37.0)</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(83.0)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(27.9)</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w w:val="93"/>
              </w:rPr>
              <w:t>(12.9)</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(2.3%)</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(15.0)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(loss), net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Others</w:t>
            </w:r>
          </w:p>
        </w:tc>
        <w:tc>
          <w:tcPr>
            <w:tcW w:w="100" w:type="dxa"/>
            <w:vAlign w:val="bottom"/>
          </w:tcPr>
          <w:p>
            <w:pPr>
              <w:spacing w:after="0"/>
              <w:rPr>
                <w:sz w:val="19"/>
                <w:szCs w:val="19"/>
                <w:color w:val="auto"/>
              </w:rPr>
            </w:pPr>
          </w:p>
        </w:tc>
        <w:tc>
          <w:tcPr>
            <w:tcW w:w="7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(0.8)</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(64.1)</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(103.7)</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(261.9)%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Income tax expenses (benefit)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0.7</w:t>
            </w:r>
          </w:p>
        </w:tc>
        <w:tc>
          <w:tcPr>
            <w:tcW w:w="38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940" w:type="dxa"/>
            <w:vAlign w:val="bottom"/>
            <w:gridSpan w:val="3"/>
          </w:tcPr>
          <w:p>
            <w:pPr>
              <w:jc w:val="right"/>
              <w:ind w:right="320"/>
              <w:spacing w:after="0"/>
              <w:rPr>
                <w:sz w:val="20"/>
                <w:szCs w:val="20"/>
                <w:color w:val="auto"/>
              </w:rPr>
            </w:pPr>
            <w:r>
              <w:rPr>
                <w:rFonts w:ascii="Arial" w:cs="Arial" w:eastAsia="Arial" w:hAnsi="Arial"/>
                <w:sz w:val="18"/>
                <w:szCs w:val="18"/>
                <w:color w:val="auto"/>
              </w:rPr>
              <w:t>(1.4)</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(64.8)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w:t>
            </w:r>
          </w:p>
        </w:tc>
        <w:tc>
          <w:tcPr>
            <w:tcW w:w="9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$(102.3)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(272.8)%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2159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4119245</wp:posOffset>
            </wp:positionH>
            <wp:positionV relativeFrom="paragraph">
              <wp:posOffset>-29210</wp:posOffset>
            </wp:positionV>
            <wp:extent cx="3873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2159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3873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-29210</wp:posOffset>
            </wp:positionV>
            <wp:extent cx="2159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3873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both"/>
        <w:ind w:right="60" w:firstLine="456"/>
        <w:spacing w:after="0" w:line="294"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six-month period ended July 3, 2005 were $449.4 million. This represents a $114.8 million or 20.3% decrease compared to $564.2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six-month period ended June 30, 2004. This decrease in net sales is primarily attributable to the reduction in DRAM foundry revenue from Hynix and revenue from our Application Processor product line. As mentioned previously, we have realigned these products to focus on consumer appliance and mobile application areas where our strategic and technical strength can be leveraged and is more consistent with our core business. The decline in net sales was partially offset by increased revenue in CMOS Image Sensors as a result of an increase in overall market demand.</w:t>
      </w:r>
    </w:p>
    <w:p>
      <w:pPr>
        <w:spacing w:after="0" w:line="10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Net sales to related parties for the current period decreased by $122.5 million from the prior-year period. Subsequent to the Acquisition date, all sales made to Hynix were not reflected as Related Party sales. We do not break out sales to Hynix as an independent company. During the six-month period ended July 3, 2005, net sales to others were $449.4 million, a $7.7 million or 1.7% increase from the six-month period ended June 30, 2004.</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were $363.1 million for the six-month period ended July 3, 2005, a $70.9 million or 16.3% decrease from $434.0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prior-year period. The decrease in cost of sales was attributable to lower revenue, depreciation expense and reduced variable spending. Also included in cost of sales in the current-year period was $4.5 million in amortization of the fair market value of inventory in conjunction with the valuation of assets in purchase accounting resulting from the Acquisition of our business from Hynix. Cost of sales as a percentage of net sales increased to 80.8% for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six-month period compared to 76.9% for the prior-year period primarily due to increases in variable costs partially offset by reduction in depreciation expense.</w:t>
      </w:r>
    </w:p>
    <w:p>
      <w:pPr>
        <w:spacing w:after="0" w:line="18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$61.0 million or 13.6% of net sales for the six-month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 ended July 3, 2005, a $25.0 million or 69.4% increase from the prior-period selling, general and administrative expenses of $36.0 million or 6.4% of net sales. The increase in SG&amp;A expenses was primarily attributable to increased amortization costs due to purchase accounting resulting from the acquisitions and increased professional and audit fees, partially offset by reduced stock option expenses.</w:t>
      </w:r>
    </w:p>
    <w:p>
      <w:pPr>
        <w:spacing w:after="0" w:line="99"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were $53.6 million for the six-month period ended July 3, 2005, a $5.4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or 11.2% increase compared to $48.2 million for the six-month period ended June 30, 2004. This increase was primarily attributable to increased labor costs resulting from the addition of more senior engineering headcount associated with our acquisitions of ISRON Corporation and IC Media Corporation, improved development tools and associated maintenance contracts. Research and development expenses as a percentage of net sales for current-year period was 11.9% compared to 8.5% in prior-year period.</w:t>
      </w:r>
    </w:p>
    <w:p>
      <w:pPr>
        <w:spacing w:after="0" w:line="1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Restructuring and Impairment Charges</w:t>
      </w:r>
      <w:r>
        <w:rPr>
          <w:rFonts w:ascii="Arial" w:cs="Arial" w:eastAsia="Arial" w:hAnsi="Arial"/>
          <w:sz w:val="18"/>
          <w:szCs w:val="18"/>
          <w:color w:val="auto"/>
        </w:rPr>
        <w:t>. During the current year period, the Company recorded a one-time charge of $8.7 million for restructuring and asset</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This amount included $8.0 million for long-lived asset impairment and $0.7 million for an early retirement program. Refer to Note 9. Restructuring and Impairment Charges for details.</w:t>
      </w:r>
    </w:p>
    <w:p>
      <w:pPr>
        <w:spacing w:after="0" w:line="12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i w:val="1"/>
          <w:iCs w:val="1"/>
          <w:color w:val="auto"/>
        </w:rPr>
        <w:t>Operating Income (Loss)</w:t>
      </w:r>
      <w:r>
        <w:rPr>
          <w:rFonts w:ascii="Arial" w:cs="Arial" w:eastAsia="Arial" w:hAnsi="Arial"/>
          <w:sz w:val="16"/>
          <w:szCs w:val="16"/>
          <w:color w:val="auto"/>
        </w:rPr>
        <w:t>. Operating loss for the six-month period ended July 3, 2005 was $37.0 million, an $83.0 million decrease from the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of $46.0 million for the six-month period ended June 30, 2004. Operating loss as a percentage of net sales was 8.2% in current-year period compared to operating income as a percentage of net sales of 8.2% in the same period during 2004. The current period operating loss was primarily attributable to higher operating expenses including one-time charges, and the decrease in margin driven by inventory reserves and amortization.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$27.9 million during the six-month period ended July 3, 2005, a $15.0 million or 116.3% increase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$12.9 million for the six-month period ended June 30, 2004. The increase in net interest expense was primarily due to the resulting interest expense from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debt of $750.0 million in the current year period versus $297.5 million in debt on a carve-out basis at June 30, 2004. Refer to Note 4. Long-term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Borrowings for details.</w:t>
      </w:r>
    </w:p>
    <w:p>
      <w:pPr>
        <w:spacing w:after="0" w:line="15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Income Tax Expense (Benefit)</w:t>
      </w:r>
      <w:r>
        <w:rPr>
          <w:rFonts w:ascii="Arial" w:cs="Arial" w:eastAsia="Arial" w:hAnsi="Arial"/>
          <w:sz w:val="18"/>
          <w:szCs w:val="18"/>
          <w:color w:val="auto"/>
        </w:rPr>
        <w:t>. Income tax expense was $0.7 million for the six-month ended July 3, 2005, a $1.4 million decrease from $2.1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six-month period ended June 30, 2004. Income tax expense of current year period was principally attributable to the effect of the Korean withholding tax on the interest income paid to our Korean company’s Dutch parent company that was mostly offset by the recognition of a deferred tax asset for expected future utilization of the Company’s cumulative tax net operating loss. Due to the uncertainty of utilization for foreign tax credits, the Korean withholding tax was treated as a current tax expense to the Company.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83"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Our principal capital requirements are to fund working capital needs, meet required debt payments, including debt service payments on the notes and, if drawn upon, the senior credit facility, to invest in research and development and capital expenditures. We anticipate that operating cash flow, together with available borrowing capacity under our senior credit facility, will be sufficient to meet our working capital needs, our research and development and capital expenditures and service requirements on our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debt obligations for the foreseeable future. As of July 3, 2005 we had total long-term debt outstanding of $750.0 million. The senior credit facility was unused and available.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generated cash from operating activities of $22.3 million and $218.2 million for the six-month periods ended July 3, 2005 and June 30, 2004, respectively. The decrease in cash from operating activities between the two periods was due to 20.3% lower sales coupled with a 33.7% decrease in margin and 7.0% increase in accounts receivable.</w:t>
      </w:r>
    </w:p>
    <w:p>
      <w:pPr>
        <w:spacing w:after="0" w:line="12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working capital balance was $121.6 million at July 3, 2005 and $129.3 million at December 31, 2004. The decrease of working capital balance was primarily due to a lower cash balance and lower inventory at July 3, 2005.</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For investing activities, we used cash of approximately $27.1 million and $36.6 million for the six-month periods ended July 3, 2005 and June 30, 2004, respectively. The decrease in cash used for investing activities was due to lower spending on purchase of plant, property and equipment, partially offset by an increase in cash used in business acquisitions in the current year.</w:t>
      </w:r>
    </w:p>
    <w:p>
      <w:pPr>
        <w:spacing w:after="0" w:line="12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used $13.5 million during the six-month period ended July 3, 2005 and $180.9 million for six-month period ended June 30, 2004 for financing activities. In the current-year period the Company repaid short-term loan of $13.4 million while, in the prior year, the Company repaid a short-tem loan and long-term debts in the amounts of $46 million and $134.9 million, respectively.</w:t>
      </w:r>
    </w:p>
    <w:p>
      <w:pPr>
        <w:spacing w:after="0" w:line="12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For the six-month period ended July 3, 2005, capital expenditures totaled $19.5 million compared to $36.8 million during the six-month period ended June 30, 2004. The year over year decrease was due to procurement of equipment to support a turnaround in business conditions beginning in the second half of 2004. Capital expenditures in recent years have remained at relatively nominal levels in comparison to the operating cash flows generated during corresponding periods. However, we are planning to increase our capital expenditure significantly toward the end of this year on new product design and development, wafer fabrication upgrades and manufacturing equipment to increase capacity and improve productivity.</w:t>
      </w:r>
    </w:p>
    <w:p>
      <w:pPr>
        <w:spacing w:after="0" w:line="10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Future Financing Activities. </w:t>
      </w:r>
      <w:r>
        <w:rPr>
          <w:rFonts w:ascii="Arial" w:cs="Arial" w:eastAsia="Arial" w:hAnsi="Arial"/>
          <w:sz w:val="16"/>
          <w:szCs w:val="16"/>
          <w:color w:val="auto"/>
        </w:rPr>
        <w:t>Our primary future capital requirements on a recurring basis will be funding working capital needs, meeting required debt</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and funding research and development and capital expenditures. Specifically, going forward, we expect to expand our research and development headcount and make investments in advanced software and hardware design tools that increase our design engineer productivity. In addition, we plan to add design centers in key geographical locations near our strategic customers. We anticipate that operating cash flows, together with available borrowings under our senior credit facility, will be sufficient to meet these capital requirements for the foreseeable future. We may from time to time incur additional debt.</w:t>
      </w:r>
    </w:p>
    <w:p>
      <w:pPr>
        <w:spacing w:after="0" w:line="102"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We cannot assure you that such financing will be available to us on acceptable terms or that such financing will be available at all.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3"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July 3, 2005.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0" w:type="dxa"/>
            <w:vAlign w:val="bottom"/>
            <w:gridSpan w:val="7"/>
          </w:tcPr>
          <w:p>
            <w:pPr>
              <w:jc w:val="center"/>
              <w:ind w:right="20"/>
              <w:spacing w:after="0"/>
              <w:rPr>
                <w:sz w:val="20"/>
                <w:szCs w:val="20"/>
                <w:color w:val="auto"/>
              </w:rPr>
            </w:pPr>
            <w:r>
              <w:rPr>
                <w:rFonts w:ascii="Arial" w:cs="Arial" w:eastAsia="Arial" w:hAnsi="Arial"/>
                <w:sz w:val="14"/>
                <w:szCs w:val="14"/>
                <w:b w:val="1"/>
                <w:bCs w:val="1"/>
                <w:color w:val="auto"/>
                <w:w w:val="86"/>
              </w:rPr>
              <w:t>Payments Due by Period</w:t>
            </w: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6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37"/>
        </w:trPr>
        <w:tc>
          <w:tcPr>
            <w:tcW w:w="6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4"/>
              </w:rPr>
              <w:t>Interest</w:t>
            </w:r>
          </w:p>
        </w:tc>
      </w:tr>
      <w:tr>
        <w:trPr>
          <w:trHeight w:val="174"/>
        </w:trPr>
        <w:tc>
          <w:tcPr>
            <w:tcW w:w="65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9"/>
              </w:rPr>
              <w:t>2006</w:t>
            </w: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w w:val="83"/>
              </w:rPr>
              <w:t>2008</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Thereafter</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expense</w:t>
            </w:r>
          </w:p>
        </w:tc>
      </w:tr>
      <w:tr>
        <w:trPr>
          <w:trHeight w:val="95"/>
        </w:trPr>
        <w:tc>
          <w:tcPr>
            <w:tcW w:w="65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250"/>
        </w:trPr>
        <w:tc>
          <w:tcPr>
            <w:tcW w:w="6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0" w:type="dxa"/>
            <w:vAlign w:val="bottom"/>
            <w:gridSpan w:val="7"/>
          </w:tcPr>
          <w:p>
            <w:pPr>
              <w:jc w:val="center"/>
              <w:ind w:right="20"/>
              <w:spacing w:after="0"/>
              <w:rPr>
                <w:sz w:val="20"/>
                <w:szCs w:val="20"/>
                <w:color w:val="auto"/>
              </w:rPr>
            </w:pPr>
            <w:r>
              <w:rPr>
                <w:rFonts w:ascii="Arial" w:cs="Arial" w:eastAsia="Arial" w:hAnsi="Arial"/>
                <w:sz w:val="14"/>
                <w:szCs w:val="14"/>
                <w:b w:val="1"/>
                <w:bCs w:val="1"/>
                <w:i w:val="1"/>
                <w:iCs w:val="1"/>
                <w:color w:val="auto"/>
                <w:w w:val="88"/>
              </w:rPr>
              <w:t>(in millions of US Dollars)</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Secured notes and subordinated notes(†)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750.0</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Operating lease</w:t>
            </w:r>
          </w:p>
        </w:tc>
        <w:tc>
          <w:tcPr>
            <w:tcW w:w="460" w:type="dxa"/>
            <w:vAlign w:val="bottom"/>
          </w:tcPr>
          <w:p>
            <w:pPr>
              <w:jc w:val="right"/>
              <w:spacing w:after="0"/>
              <w:rPr>
                <w:sz w:val="20"/>
                <w:szCs w:val="20"/>
                <w:color w:val="auto"/>
              </w:rPr>
            </w:pPr>
            <w:r>
              <w:rPr>
                <w:rFonts w:ascii="Arial" w:cs="Arial" w:eastAsia="Arial" w:hAnsi="Arial"/>
                <w:sz w:val="18"/>
                <w:szCs w:val="18"/>
                <w:color w:val="auto"/>
              </w:rPr>
              <w:t>16.6</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2.7</w:t>
            </w:r>
          </w:p>
        </w:tc>
        <w:tc>
          <w:tcPr>
            <w:tcW w:w="320" w:type="dxa"/>
            <w:vAlign w:val="bottom"/>
          </w:tcPr>
          <w:p>
            <w:pPr>
              <w:jc w:val="right"/>
              <w:spacing w:after="0"/>
              <w:rPr>
                <w:sz w:val="20"/>
                <w:szCs w:val="20"/>
                <w:color w:val="auto"/>
              </w:rPr>
            </w:pPr>
            <w:r>
              <w:rPr>
                <w:rFonts w:ascii="Arial" w:cs="Arial" w:eastAsia="Arial" w:hAnsi="Arial"/>
                <w:sz w:val="18"/>
                <w:szCs w:val="18"/>
                <w:color w:val="auto"/>
              </w:rPr>
              <w:t>5.0</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4.1</w:t>
            </w:r>
          </w:p>
        </w:tc>
        <w:tc>
          <w:tcPr>
            <w:tcW w:w="320" w:type="dxa"/>
            <w:vAlign w:val="bottom"/>
          </w:tcPr>
          <w:p>
            <w:pPr>
              <w:jc w:val="right"/>
              <w:spacing w:after="0"/>
              <w:rPr>
                <w:sz w:val="20"/>
                <w:szCs w:val="20"/>
                <w:color w:val="auto"/>
              </w:rPr>
            </w:pPr>
            <w:r>
              <w:rPr>
                <w:rFonts w:ascii="Arial" w:cs="Arial" w:eastAsia="Arial" w:hAnsi="Arial"/>
                <w:sz w:val="18"/>
                <w:szCs w:val="18"/>
                <w:color w:val="auto"/>
              </w:rPr>
              <w:t>2.4</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Capital lease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0.3</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Royalties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740" w:type="dxa"/>
            <w:vAlign w:val="bottom"/>
            <w:gridSpan w:val="3"/>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740" w:type="dxa"/>
            <w:vAlign w:val="bottom"/>
            <w:gridSpan w:val="3"/>
          </w:tcPr>
          <w:p>
            <w:pPr>
              <w:jc w:val="right"/>
              <w:ind w:right="22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 payable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r>
      <w:tr>
        <w:trPr>
          <w:trHeight w:val="222"/>
        </w:trPr>
        <w:tc>
          <w:tcPr>
            <w:tcW w:w="6500" w:type="dxa"/>
            <w:vAlign w:val="bottom"/>
          </w:tcPr>
          <w:p>
            <w:pPr>
              <w:spacing w:after="0"/>
              <w:rPr>
                <w:sz w:val="20"/>
                <w:szCs w:val="20"/>
                <w:color w:val="auto"/>
              </w:rPr>
            </w:pPr>
            <w:r>
              <w:rPr>
                <w:rFonts w:ascii="Arial" w:cs="Arial" w:eastAsia="Arial" w:hAnsi="Arial"/>
                <w:sz w:val="18"/>
                <w:szCs w:val="18"/>
                <w:color w:val="auto"/>
              </w:rPr>
              <w:t>Government grants payable(*)</w:t>
            </w:r>
          </w:p>
        </w:tc>
        <w:tc>
          <w:tcPr>
            <w:tcW w:w="46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0.7</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(†)Excludes interest obligations on the notes.</w:t>
      </w:r>
    </w:p>
    <w:p>
      <w:pPr>
        <w:spacing w:after="0" w:line="77" w:lineRule="exact"/>
        <w:rPr>
          <w:sz w:val="20"/>
          <w:szCs w:val="20"/>
          <w:color w:val="auto"/>
        </w:rPr>
      </w:pPr>
    </w:p>
    <w:p>
      <w:pPr>
        <w:ind w:left="220" w:right="300" w:hanging="215"/>
        <w:spacing w:after="0" w:line="268" w:lineRule="auto"/>
        <w:rPr>
          <w:sz w:val="20"/>
          <w:szCs w:val="20"/>
          <w:color w:val="auto"/>
        </w:rPr>
      </w:pPr>
      <w:r>
        <w:rPr>
          <w:rFonts w:ascii="Arial" w:cs="Arial" w:eastAsia="Arial" w:hAnsi="Arial"/>
          <w:sz w:val="18"/>
          <w:szCs w:val="18"/>
          <w:color w:val="auto"/>
        </w:rPr>
        <w:t>(*)The maturity of the government grant is not specified in the underlying agreements. However, for the purposes of this table, its maturity was assumed to be greater than five years.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Unit/Stock-based Compensation Expense</w:t>
      </w:r>
    </w:p>
    <w:p>
      <w:pPr>
        <w:spacing w:after="0" w:line="8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For options granted to employees on or after October 6, 2004, we record a compensation charge equal to the excess, if any, of the deemed fair value of the stock at the measurement date over the option exercise price, in accordance with Accounting Principles Board Opinion No.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Employees. </w:t>
      </w:r>
      <w:r>
        <w:rPr>
          <w:rFonts w:ascii="Arial" w:cs="Arial" w:eastAsia="Arial" w:hAnsi="Arial"/>
          <w:sz w:val="18"/>
          <w:szCs w:val="18"/>
          <w:color w:val="auto"/>
        </w:rPr>
        <w:t>All of the option grants during this period reflected an exercise price equal to or higher than the fair value, therefore, no compensation expense was</w:t>
      </w:r>
      <w:r>
        <w:rPr>
          <w:rFonts w:ascii="Arial" w:cs="Arial" w:eastAsia="Arial" w:hAnsi="Arial"/>
          <w:sz w:val="18"/>
          <w:szCs w:val="18"/>
          <w:i w:val="1"/>
          <w:iCs w:val="1"/>
          <w:color w:val="auto"/>
        </w:rPr>
        <w:t xml:space="preserve"> </w:t>
      </w:r>
      <w:r>
        <w:rPr>
          <w:rFonts w:ascii="Arial" w:cs="Arial" w:eastAsia="Arial" w:hAnsi="Arial"/>
          <w:sz w:val="18"/>
          <w:szCs w:val="18"/>
          <w:color w:val="auto"/>
        </w:rPr>
        <w:t>recorded. Refer to Note 8. Unit-Based Compensation for details.</w:t>
      </w:r>
    </w:p>
    <w:p>
      <w:pPr>
        <w:spacing w:after="0" w:line="13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Options were previously granted by Hynix to our employees and the related compensation costs are reflected in the historical financials. For the three and six months ended June 30, 2004, a charge was recorded in the amount of $0.9 million and $3.9 million, respectively. However, none of these options were transferred as part of the Acquisition, and therefore, no additional future charges will be required related to these previously issued option grants. On the other hand, we have established a new employee option plan and intend to make grants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In December 2004, FASB issued SFAS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This revision will affect current practice in a number of ways, including the elimination of the alternative to use the intrinsic value method of accounting from Accounting Principles Board (“APB”) Opinion No. 25 that was provided in FASB Statement No. 123 as originally issued. This statement will become effective and impact the Company on January 1, 2006. The Company is evaluating the impact of this proposed FASB Statement on its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an amendment of ARB No. 43, Chapter 4. This Statement amends the guidance in Accounting Research Bulletin (“ARB”)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(spoilage), and requires that allocation of fixed production overheads to the costs of conversion be based on the normal capacity of the production facilities. The effective date for the Company was January 1, 2005, and there was no material impact on our financial statements resulting from this proposed FASB Statement.</w:t>
      </w:r>
    </w:p>
    <w:p>
      <w:pPr>
        <w:spacing w:after="0" w:line="129"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May 2005, the FASB issued SFAS 154, Accounting Changes and Error Corrections – a replacement of APB Opinion No. 20 and FASB Statement No. 3. This Statement supersedes APB Opinion No. 20, Accounting Changes and FASB Statement No. 3, Reporting Accounting Changes in Interim Financial Statements, and changes the requirements for the accounting and reporting for a change in accounting principle. This statement requires retrospective application 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will have no impact on our financial statements. To our knowledge, no accounting changes or errors have occurred in the current or prior periods.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0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3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8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8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If we were to lose key customers or if customers cease to place orders for our high volume devices, our financial results will be adversely affected. While we served more than 180 customers in the six-month period ended July 3, 2005, net sales to our 10 largest customers represented approximately 63.9% of our net revenue for the period. During the period, except for Hynix Semiconductor, Inc., our two largest customers, LG Philips LCD and Solomon Systech Limited, represented 17.05% and 6.83% of our net sales, respectively. Significant reductions in sales to any of these customers, the loss of major customers or the curtailment of orders for our high-volume devices within a short period of time would adversely affect our business.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8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 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8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8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establishing a brand identity.</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business was historically conducted under the Hynix brand name and we are now marketing our products under the new MagnaChip brand name. We may need to devote considerable resources to establish the MagnaChip brand name for our business in the marketplace. This effort may not succeed, and our business, financial condition and results of operations may suffer as a result.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8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8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depend on our ability to attract and retain skilled technical and managerial personnel. Generally, with the exception of certain key executives, our employees are not bound by employment or noncompetition agreements. We could lose the services of, or fail to recruit, skilled personnel, which could hinder our research and product development programs or otherwise have a material adverse effect on our business.</w:t>
      </w:r>
    </w:p>
    <w:p>
      <w:pPr>
        <w:spacing w:after="0" w:line="87"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31"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As of July 3, 2005, approximately 60%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6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never be realized.</w:t>
      </w:r>
    </w:p>
    <w:p>
      <w:pPr>
        <w:spacing w:after="0" w:line="31"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20"/>
          </w:cols>
          <w:pgMar w:left="24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Acquisition. In addition, our senior secured credit facility and the indentures governing the notes may prohibit us from making acquisitions that we may otherwise wish to pursue.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83" w:lineRule="exact"/>
        <w:rPr>
          <w:sz w:val="20"/>
          <w:szCs w:val="20"/>
          <w:color w:val="auto"/>
        </w:rPr>
      </w:pPr>
    </w:p>
    <w:p>
      <w:pPr>
        <w:ind w:right="56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8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packaging subcontractors.</w:t>
      </w:r>
    </w:p>
    <w:p>
      <w:pPr>
        <w:spacing w:after="0" w:line="8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As a division of Hynix, we were able to take advantage of Hynix’s size and purchasing power in procuring parts and materials. As an independent company, we are smaller and less diversified than Hynix, and we may be unable to obtain parts and materials at prices and on terms as favorable as those available to us prior to the separation from Hynix in October 2004. If we cannot obtain adequate materials in a timely manner or on favorable terms for the manufacture of our products, either or both of our revenues or profits will decline.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8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become more expensive and difficult to maintain and, in the future, may not be available on commercially reasonable terms or at all.</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12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31"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Although we have never received any notices of infringement of a third-party patent, to our knowledge, Hynix has received five notices of infringement from third parties regarding various technology transferred to us in the Acquisition. We cannot assure you that these or other third parties will not tender notices of patent infringement or assert infringement claims against us in the future.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for damages they may suffer if the products they purchase from us violate the intellectual property rights of 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14"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As a business segment of Hynix, we were the beneficiary of some of Hynix’s intellectual property arrangements, including cross-licensing arrangements with other leading semiconductor companies and licenses from third parties of technology incorporated in our products and used to operate our business. We are no longer a beneficiary under some of these agreements and arrangements. There may be third parties who had refrained from asserting intellectual property infringement claims against our products or processes while we were a business segment of Hynix that elect to pursue such claims against us now that we are an independent company. In addition, some of our technologies have been sublicensed from Hynix on a non-exclusive basis and Hynix may sublicense such technologies to others. We have cross-licensed most of our technologies to Hynix. This cross-license is subject to the non-competition provision of the Hynix business transfer agreement. Our competitors may develop, patent or gain access to similar know-how and technology. Failure to protect our existing intellectual property rights may result in the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loss of valuable technologies or having to pay other companies for infringing on their intellectual property rights.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0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company organizational structure is based, in part, on assumptions about the various tax laws, including withholding tax, and other laws of applicable non-U.S. jurisdictions. In addition, MagnaChip Korea was granted a limited tax-holiday under Korean law in October 2004, which provides for certain tax exemptions for corporate taxes, withholding taxes, acquisition taxes, property and land taxes and other taxes for varying number of years. Our interpretations and conclusions are not binding on any taxing authority, and, if our assumptions about tax and other laws are incorrect, if the authorities were to change or modify the relevant laws or if MagnaChip Korea were to lose its tax holiday, we could suffer adverse tax and other financial consequences or have the anticipated benefits of our company organizational structure materially impaired.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 and may exercise their control in a manner adverse to your interests.</w:t>
      </w:r>
    </w:p>
    <w:p>
      <w:pPr>
        <w:spacing w:after="0" w:line="83"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CVC, Francisco Partners, and CVC Asia Pacific, own approximately 34%, 34% and 18%, respectively, of the outstanding voting interests in MagnaChip LLC. By virtue of their ownership of these voting interests, and the securityholders’ agreement among MagnaChip LLC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8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8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2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2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financial information may not be representative of our results as a separate company.</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limited operating history as a stand-alone company due to our recent Acquisition by the equity sponsors in October 2004. Prior to the Acquisition, we operated as a division of Hynix. Historical financial information for periods prior to September 30, 2004 has been derived from Hynix’s consolidated financial statements, is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Acquisition.</w:t>
      </w:r>
    </w:p>
    <w:p>
      <w:pPr>
        <w:spacing w:after="0" w:line="103"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We depend on Hynix for services and our business and results of operations could be adversely affected if Hynix were unwilling or unable to provide such services or terminated the relationship.</w:t>
      </w:r>
    </w:p>
    <w:p>
      <w:pPr>
        <w:spacing w:after="0" w:line="3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Pursuant to agreements we entered into at the time we acquired our business, a number of services that are essential to our business are provided to us by or through Hynix. Some of these services include electricity, bulk gasses and de-ionized water, campus facilities, wastewater and sewage management and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environmental safety and facility monitoring services. If any of our agreements with Hynix were terminated or if Hynix were unwilling or unable to fulfill its obligations to us under the terms of these agreements, we may experience a material decrease in our production capabilities and increase in our expenses.</w:t>
      </w:r>
    </w:p>
    <w:p>
      <w:pPr>
        <w:spacing w:after="0" w:line="7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In addition, we lease building and warehouse space from Hynix in Cheongju, Korea and Ichon, Korea and lease to Hynix some of the space we own in Cheongju, Korea. If Hynix were to become insolvent, we could lose our leases on some of our building and warehouse space.</w:t>
      </w:r>
    </w:p>
    <w:p>
      <w:pPr>
        <w:spacing w:after="0" w:line="66" w:lineRule="exact"/>
        <w:rPr>
          <w:sz w:val="20"/>
          <w:szCs w:val="20"/>
          <w:color w:val="auto"/>
        </w:rPr>
      </w:pPr>
    </w:p>
    <w:p>
      <w:pPr>
        <w:ind w:right="400"/>
        <w:spacing w:after="0" w:line="275" w:lineRule="auto"/>
        <w:rPr>
          <w:sz w:val="20"/>
          <w:szCs w:val="20"/>
          <w:color w:val="auto"/>
        </w:rPr>
      </w:pPr>
      <w:r>
        <w:rPr>
          <w:rFonts w:ascii="Arial" w:cs="Arial" w:eastAsia="Arial" w:hAnsi="Arial"/>
          <w:sz w:val="18"/>
          <w:szCs w:val="18"/>
          <w:b w:val="1"/>
          <w:bCs w:val="1"/>
          <w:color w:val="auto"/>
        </w:rPr>
        <w:t>Third parties may seek to hold us responsible for liabilities of Hynix that we did not assume in connection with the Acquisition of our business from Hynix.</w:t>
      </w:r>
    </w:p>
    <w:p>
      <w:pPr>
        <w:spacing w:after="0" w:line="3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Third parties may seek to hold us responsible for Hynix’s retained liabilities. Under our agreements with Hynix, Hynix has agreed to indemnify us for claims and losses relating to such retained liabilities. However, if such liabilities are significant and we are ultimately held liable for them, we cannot assure you that we will be able to recover the full amount of our losses from Hynix.</w:t>
      </w:r>
    </w:p>
    <w:p>
      <w:pPr>
        <w:spacing w:after="0" w:line="12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3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invest significant resources in our research and development. However, research and development efforts may not yield commercially viable products. During each stage of research and development there is a 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confidence and the price of the notes may be adversely impacted if we are unable to comply with Section 404 of the Sarbanes-Oxley Act of 2002.</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5"/>
          <w:szCs w:val="15"/>
          <w:color w:val="auto"/>
        </w:rPr>
        <w:t>As an SEC reporting company, we are subject to rules adopted by the SEC pursuant to Section 404 of the Sarbanes-Oxley Act of 2002, which require us to include in our annual report on Form 10-K our management’s report on, and assessment of the effectiveness of, our internal controls over financial reporting. In addition, our independent auditors must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8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8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27"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some foreign currency exchange-rate fluctuations on net income from our subsidiaries denominated in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currencies other than U.S. dollars. We have foreign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subsidiaries in Korea, Taiwan, China, Japan and Hong Kong. From time to time these subsidiaries have cash and financial instruments in local currency. The amounts held in Japan, Taiwan, Hong Kong and China are not material in regards to foreign currency movements. However, based on the cash and financial instruments balance at July 3, 2005 for our Korean subsidiary, a 10% devaluation of the Korean Won against the U.S. dollar would have resulted in a decrease of $1.4 million in our U.S. dollar and financial instruments cash balance.</w:t>
      </w:r>
    </w:p>
    <w:p>
      <w:pPr>
        <w:spacing w:after="0" w:line="130" w:lineRule="exact"/>
        <w:rPr>
          <w:sz w:val="20"/>
          <w:szCs w:val="20"/>
          <w:color w:val="auto"/>
        </w:rPr>
      </w:pPr>
    </w:p>
    <w:p>
      <w:pPr>
        <w:ind w:firstLine="456"/>
        <w:spacing w:after="0" w:line="258" w:lineRule="auto"/>
        <w:rPr>
          <w:sz w:val="20"/>
          <w:szCs w:val="20"/>
          <w:color w:val="auto"/>
        </w:rPr>
      </w:pPr>
      <w:r>
        <w:rPr>
          <w:rFonts w:ascii="Arial" w:cs="Arial" w:eastAsia="Arial" w:hAnsi="Arial"/>
          <w:sz w:val="17"/>
          <w:szCs w:val="17"/>
          <w:i w:val="1"/>
          <w:iCs w:val="1"/>
          <w:color w:val="auto"/>
        </w:rPr>
        <w:t xml:space="preserve">Interest Rate Risk. </w:t>
      </w:r>
      <w:r>
        <w:rPr>
          <w:rFonts w:ascii="Arial" w:cs="Arial" w:eastAsia="Arial" w:hAnsi="Arial"/>
          <w:sz w:val="17"/>
          <w:szCs w:val="17"/>
          <w:color w:val="auto"/>
        </w:rPr>
        <w:t>The $200 million 6</w:t>
      </w:r>
      <w:r>
        <w:rPr>
          <w:rFonts w:ascii="Arial" w:cs="Arial" w:eastAsia="Arial" w:hAnsi="Arial"/>
          <w:sz w:val="17"/>
          <w:szCs w:val="17"/>
          <w:i w:val="1"/>
          <w:iCs w:val="1"/>
          <w:color w:val="auto"/>
        </w:rPr>
        <w:t xml:space="preserve"> </w:t>
      </w:r>
      <w:r>
        <w:rPr>
          <w:rFonts w:ascii="Arial" w:cs="Arial" w:eastAsia="Arial" w:hAnsi="Arial"/>
          <w:sz w:val="21"/>
          <w:szCs w:val="21"/>
          <w:color w:val="auto"/>
          <w:vertAlign w:val="superscript"/>
        </w:rPr>
        <w:t>7</w:t>
      </w:r>
      <w:r>
        <w:rPr>
          <w:rFonts w:ascii="Arial" w:cs="Arial" w:eastAsia="Arial" w:hAnsi="Arial"/>
          <w:sz w:val="17"/>
          <w:szCs w:val="17"/>
          <w:color w:val="auto"/>
        </w:rPr>
        <w:t>/8% Second Priority Senior Secured Notes due 2011 and the $250 million 8% Senior Subordinated Notes due 2014</w:t>
      </w:r>
      <w:r>
        <w:rPr>
          <w:rFonts w:ascii="Arial" w:cs="Arial" w:eastAsia="Arial" w:hAnsi="Arial"/>
          <w:sz w:val="17"/>
          <w:szCs w:val="17"/>
          <w:i w:val="1"/>
          <w:iCs w:val="1"/>
          <w:color w:val="auto"/>
        </w:rPr>
        <w:t xml:space="preserve"> </w:t>
      </w:r>
      <w:r>
        <w:rPr>
          <w:rFonts w:ascii="Arial" w:cs="Arial" w:eastAsia="Arial" w:hAnsi="Arial"/>
          <w:sz w:val="17"/>
          <w:szCs w:val="17"/>
          <w:color w:val="auto"/>
        </w:rPr>
        <w:t>are subject to changes in fair value due to interest rate changes. If the market interest rate had decreased by 10% and all other variables were held constant from their levels at July 3, 2005, we estimate that we would have additional interest expense cost over market rate of $1.3 million (180 days basis). Our net loss for six-month period ended July 3, 2005 would have increased by 2.0%. The fair value on these fixed rate notes would have decreased by $11.0 million or increased by $11.5 million with a 10% increase or decrease in the interest rate, respectively.</w:t>
      </w:r>
    </w:p>
    <w:p>
      <w:pPr>
        <w:spacing w:after="0" w:line="129"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Cash Flow Interest Rate Risk</w:t>
      </w:r>
      <w:r>
        <w:rPr>
          <w:rFonts w:ascii="Arial" w:cs="Arial" w:eastAsia="Arial" w:hAnsi="Arial"/>
          <w:sz w:val="16"/>
          <w:szCs w:val="16"/>
          <w:color w:val="auto"/>
        </w:rPr>
        <w:t>. The Company entered into an interest rate swap agreement to convert the variable interest rate on our Floating Rate Second</w:t>
      </w:r>
      <w:r>
        <w:rPr>
          <w:rFonts w:ascii="Arial" w:cs="Arial" w:eastAsia="Arial" w:hAnsi="Arial"/>
          <w:sz w:val="16"/>
          <w:szCs w:val="16"/>
          <w:i w:val="1"/>
          <w:iCs w:val="1"/>
          <w:color w:val="auto"/>
        </w:rPr>
        <w:t xml:space="preserve"> </w:t>
      </w:r>
      <w:r>
        <w:rPr>
          <w:rFonts w:ascii="Arial" w:cs="Arial" w:eastAsia="Arial" w:hAnsi="Arial"/>
          <w:sz w:val="16"/>
          <w:szCs w:val="16"/>
          <w:color w:val="auto"/>
        </w:rPr>
        <w:t>Priority Senior Secured Notes to a fixed interest rate for the period to maturity of the interest rate swap, which is June 2008. By this interest rate swap, cash flow interest rate risk was replaced with exposure to interest rate risk. Refer to Interest Swap under Note 4. Long-term Borrowings for details.</w:t>
      </w:r>
    </w:p>
    <w:p>
      <w:pPr>
        <w:spacing w:after="0" w:line="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As required by the Securities Exchange Act of 1934, as amended (the “Exchange Act”),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0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Based on that evaluation, our CEO and our CFO concluded that our disclosure controls and procedures were effective as of the end of the period covered by this report.</w:t>
      </w:r>
    </w:p>
    <w:p>
      <w:pPr>
        <w:spacing w:after="0" w:line="11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During the quarterly period covered by this report, there were no changes in the Company’s internal controls over financial reporting that have materially affected, or are reasonably likely to materially affect, the Company’s internal controls over financial reporting.</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b w:val="1"/>
          <w:bCs w:val="1"/>
          <w:i w:val="1"/>
          <w:iCs w:val="1"/>
          <w:color w:val="auto"/>
        </w:rPr>
        <w:t>Limitations on Controls</w:t>
      </w:r>
      <w:r>
        <w:rPr>
          <w:rFonts w:ascii="Arial" w:cs="Arial" w:eastAsia="Arial" w:hAnsi="Arial"/>
          <w:sz w:val="18"/>
          <w:szCs w:val="18"/>
          <w:color w:val="auto"/>
        </w:rPr>
        <w:t>: Our management, including our CEO and CFO, does not expect that our disclosure controls and procedures will prevent or detect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jc w:val="right"/>
              <w:ind w:right="37"/>
              <w:spacing w:after="0"/>
              <w:rPr>
                <w:sz w:val="20"/>
                <w:szCs w:val="20"/>
                <w:color w:val="auto"/>
              </w:rPr>
            </w:pPr>
            <w:r>
              <w:rPr>
                <w:rFonts w:ascii="Arial" w:cs="Arial" w:eastAsia="Arial" w:hAnsi="Arial"/>
                <w:sz w:val="18"/>
                <w:szCs w:val="18"/>
                <w:b w:val="1"/>
                <w:bCs w:val="1"/>
                <w:color w:val="auto"/>
                <w:w w:val="91"/>
              </w:rPr>
              <w:t>Item 6.</w:t>
            </w:r>
          </w:p>
        </w:tc>
        <w:tc>
          <w:tcPr>
            <w:tcW w:w="10640" w:type="dxa"/>
            <w:vAlign w:val="bottom"/>
            <w:gridSpan w:val="3"/>
          </w:tcPr>
          <w:p>
            <w:pPr>
              <w:jc w:val="right"/>
              <w:ind w:right="9640"/>
              <w:spacing w:after="0"/>
              <w:rPr>
                <w:sz w:val="20"/>
                <w:szCs w:val="20"/>
                <w:color w:val="auto"/>
              </w:rPr>
            </w:pPr>
            <w:r>
              <w:rPr>
                <w:rFonts w:ascii="Arial" w:cs="Arial" w:eastAsia="Arial" w:hAnsi="Arial"/>
                <w:sz w:val="18"/>
                <w:szCs w:val="18"/>
                <w:b w:val="1"/>
                <w:bCs w:val="1"/>
                <w:color w:val="auto"/>
              </w:rPr>
              <w:t>Exhibits</w:t>
            </w:r>
          </w:p>
        </w:tc>
      </w:tr>
      <w:tr>
        <w:trPr>
          <w:trHeight w:val="286"/>
        </w:trPr>
        <w:tc>
          <w:tcPr>
            <w:tcW w:w="660" w:type="dxa"/>
            <w:vAlign w:val="bottom"/>
          </w:tcPr>
          <w:p>
            <w:pPr>
              <w:jc w:val="right"/>
              <w:ind w:right="37"/>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174"/>
        </w:trPr>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10640" w:type="dxa"/>
            <w:vAlign w:val="bottom"/>
            <w:gridSpan w:val="3"/>
          </w:tcPr>
          <w:p>
            <w:pPr>
              <w:ind w:left="7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020" w:type="dxa"/>
            <w:vAlign w:val="bottom"/>
          </w:tcPr>
          <w:p>
            <w:pPr>
              <w:spacing w:after="0"/>
              <w:rPr>
                <w:sz w:val="8"/>
                <w:szCs w:val="8"/>
                <w:color w:val="auto"/>
              </w:rPr>
            </w:pPr>
          </w:p>
        </w:tc>
      </w:tr>
      <w:tr>
        <w:trPr>
          <w:trHeight w:val="309"/>
        </w:trPr>
        <w:tc>
          <w:tcPr>
            <w:tcW w:w="660" w:type="dxa"/>
            <w:vAlign w:val="bottom"/>
          </w:tcPr>
          <w:p>
            <w:pPr>
              <w:jc w:val="right"/>
              <w:spacing w:after="0"/>
              <w:rPr>
                <w:sz w:val="20"/>
                <w:szCs w:val="20"/>
                <w:color w:val="auto"/>
              </w:rPr>
            </w:pPr>
            <w:r>
              <w:rPr>
                <w:rFonts w:ascii="Arial" w:cs="Arial" w:eastAsia="Arial" w:hAnsi="Arial"/>
                <w:sz w:val="18"/>
                <w:szCs w:val="18"/>
                <w:color w:val="auto"/>
              </w:rPr>
              <w:t>10.35</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87"/>
              </w:rPr>
              <w:t>Interest Rate Swap Transaction Letter Agreement, dated as of June 30, 2005, by and between MagnaChip Semiconductor S.A. and Deutsche</w:t>
            </w:r>
          </w:p>
        </w:tc>
      </w:tr>
      <w:tr>
        <w:trPr>
          <w:trHeight w:val="222"/>
        </w:trPr>
        <w:tc>
          <w:tcPr>
            <w:tcW w:w="66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Bank AG</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31.1</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6"/>
              </w:rPr>
              <w:t>Certification pursuant to Rule 13a-14(a) or Rule 15d-14(a) of the Securities Exchange Act of 1934 of the Chief Executive Officer.</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31.2</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7"/>
              </w:rPr>
              <w:t>Certification pursuant to Rule 13a-14(a) or Rule 15d-14(a) of the Securities Exchange Act of 1934 of the Chief Financial Officer.</w:t>
            </w: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32.1</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of the Chief</w:t>
            </w:r>
          </w:p>
        </w:tc>
      </w:tr>
      <w:tr>
        <w:trPr>
          <w:trHeight w:val="222"/>
        </w:trPr>
        <w:tc>
          <w:tcPr>
            <w:tcW w:w="66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Executive Officer.</w:t>
            </w:r>
          </w:p>
        </w:tc>
      </w:tr>
      <w:tr>
        <w:trPr>
          <w:trHeight w:val="318"/>
        </w:trPr>
        <w:tc>
          <w:tcPr>
            <w:tcW w:w="660" w:type="dxa"/>
            <w:vAlign w:val="bottom"/>
          </w:tcPr>
          <w:p>
            <w:pPr>
              <w:jc w:val="right"/>
              <w:spacing w:after="0"/>
              <w:rPr>
                <w:sz w:val="20"/>
                <w:szCs w:val="20"/>
                <w:color w:val="auto"/>
              </w:rPr>
            </w:pPr>
            <w:r>
              <w:rPr>
                <w:rFonts w:ascii="Arial" w:cs="Arial" w:eastAsia="Arial" w:hAnsi="Arial"/>
                <w:sz w:val="18"/>
                <w:szCs w:val="18"/>
                <w:color w:val="auto"/>
              </w:rPr>
              <w:t>32.2</w:t>
            </w: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w w:val="93"/>
              </w:rPr>
              <w:t>Certification pursuant to 18 U.S.C. Section 1350, as adopted pursuant to Section 906 of the Sarbanes-Oxley Act of 2002, of the Chief</w:t>
            </w:r>
          </w:p>
        </w:tc>
      </w:tr>
      <w:tr>
        <w:trPr>
          <w:trHeight w:val="222"/>
        </w:trPr>
        <w:tc>
          <w:tcPr>
            <w:tcW w:w="660" w:type="dxa"/>
            <w:vAlign w:val="bottom"/>
          </w:tcPr>
          <w:p>
            <w:pPr>
              <w:spacing w:after="0"/>
              <w:rPr>
                <w:sz w:val="19"/>
                <w:szCs w:val="19"/>
                <w:color w:val="auto"/>
              </w:rPr>
            </w:pPr>
          </w:p>
        </w:tc>
        <w:tc>
          <w:tcPr>
            <w:tcW w:w="10640" w:type="dxa"/>
            <w:vAlign w:val="bottom"/>
            <w:gridSpan w:val="3"/>
          </w:tcPr>
          <w:p>
            <w:pPr>
              <w:ind w:left="760"/>
              <w:spacing w:after="0"/>
              <w:rPr>
                <w:sz w:val="20"/>
                <w:szCs w:val="20"/>
                <w:color w:val="auto"/>
              </w:rPr>
            </w:pPr>
            <w:r>
              <w:rPr>
                <w:rFonts w:ascii="Arial" w:cs="Arial" w:eastAsia="Arial" w:hAnsi="Arial"/>
                <w:sz w:val="18"/>
                <w:szCs w:val="18"/>
                <w:color w:val="auto"/>
              </w:rPr>
              <w:t>Financial Officer.</w:t>
            </w:r>
          </w:p>
        </w:tc>
      </w:tr>
      <w:tr>
        <w:trPr>
          <w:trHeight w:val="365"/>
        </w:trPr>
        <w:tc>
          <w:tcPr>
            <w:tcW w:w="660" w:type="dxa"/>
            <w:vAlign w:val="bottom"/>
          </w:tcPr>
          <w:p>
            <w:pPr>
              <w:spacing w:after="0"/>
              <w:rPr>
                <w:sz w:val="24"/>
                <w:szCs w:val="24"/>
                <w:color w:val="auto"/>
              </w:rPr>
            </w:pPr>
          </w:p>
        </w:tc>
        <w:tc>
          <w:tcPr>
            <w:tcW w:w="10640" w:type="dxa"/>
            <w:vAlign w:val="bottom"/>
            <w:gridSpan w:val="3"/>
          </w:tcPr>
          <w:p>
            <w:pPr>
              <w:jc w:val="right"/>
              <w:ind w:right="550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300"/>
          </w:cols>
          <w:pgMar w:left="24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60" w:type="dxa"/>
            <w:vAlign w:val="bottom"/>
          </w:tcPr>
          <w:p>
            <w:pPr>
              <w:spacing w:after="0"/>
              <w:rPr>
                <w:sz w:val="19"/>
                <w:szCs w:val="19"/>
                <w:color w:val="auto"/>
              </w:rPr>
            </w:pPr>
          </w:p>
        </w:tc>
        <w:tc>
          <w:tcPr>
            <w:tcW w:w="7460" w:type="dxa"/>
            <w:vAlign w:val="bottom"/>
            <w:gridSpan w:val="2"/>
          </w:tcPr>
          <w:p>
            <w:pPr>
              <w:ind w:left="212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960" w:type="dxa"/>
            <w:vAlign w:val="bottom"/>
          </w:tcPr>
          <w:p>
            <w:pPr>
              <w:spacing w:after="0"/>
              <w:rPr>
                <w:sz w:val="20"/>
                <w:szCs w:val="20"/>
                <w:color w:val="auto"/>
              </w:rPr>
            </w:pPr>
            <w:r>
              <w:rPr>
                <w:rFonts w:ascii="Arial" w:cs="Arial" w:eastAsia="Arial" w:hAnsi="Arial"/>
                <w:sz w:val="18"/>
                <w:szCs w:val="18"/>
                <w:color w:val="auto"/>
              </w:rPr>
              <w:t>Dated: September 6, 2005</w:t>
            </w:r>
          </w:p>
        </w:tc>
        <w:tc>
          <w:tcPr>
            <w:tcW w:w="244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Youm Huh</w:t>
            </w:r>
          </w:p>
        </w:tc>
      </w:tr>
      <w:tr>
        <w:trPr>
          <w:trHeight w:val="202"/>
        </w:trPr>
        <w:tc>
          <w:tcPr>
            <w:tcW w:w="39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5020" w:type="dxa"/>
            <w:vAlign w:val="bottom"/>
          </w:tcPr>
          <w:p>
            <w:pPr>
              <w:ind w:left="120"/>
              <w:spacing w:after="0" w:line="202" w:lineRule="exact"/>
              <w:rPr>
                <w:sz w:val="20"/>
                <w:szCs w:val="20"/>
                <w:color w:val="auto"/>
              </w:rPr>
            </w:pPr>
            <w:r>
              <w:rPr>
                <w:rFonts w:ascii="Arial" w:cs="Arial" w:eastAsia="Arial" w:hAnsi="Arial"/>
                <w:sz w:val="18"/>
                <w:szCs w:val="18"/>
                <w:color w:val="auto"/>
              </w:rPr>
              <w:t>Youm Huh</w:t>
            </w:r>
          </w:p>
        </w:tc>
      </w:tr>
      <w:tr>
        <w:trPr>
          <w:trHeight w:val="222"/>
        </w:trPr>
        <w:tc>
          <w:tcPr>
            <w:tcW w:w="39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Chief Executive Officer and President</w:t>
            </w:r>
          </w:p>
        </w:tc>
      </w:tr>
      <w:tr>
        <w:trPr>
          <w:trHeight w:val="433"/>
        </w:trPr>
        <w:tc>
          <w:tcPr>
            <w:tcW w:w="3960" w:type="dxa"/>
            <w:vAlign w:val="bottom"/>
          </w:tcPr>
          <w:p>
            <w:pPr>
              <w:spacing w:after="0"/>
              <w:rPr>
                <w:sz w:val="20"/>
                <w:szCs w:val="20"/>
                <w:color w:val="auto"/>
              </w:rPr>
            </w:pPr>
            <w:r>
              <w:rPr>
                <w:rFonts w:ascii="Arial" w:cs="Arial" w:eastAsia="Arial" w:hAnsi="Arial"/>
                <w:sz w:val="18"/>
                <w:szCs w:val="18"/>
                <w:color w:val="auto"/>
              </w:rPr>
              <w:t>Dated: September 6, 2005</w:t>
            </w:r>
          </w:p>
        </w:tc>
        <w:tc>
          <w:tcPr>
            <w:tcW w:w="2440" w:type="dxa"/>
            <w:vAlign w:val="bottom"/>
          </w:tcPr>
          <w:p>
            <w:pPr>
              <w:ind w:left="21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Robert J. Krakauer</w:t>
            </w:r>
          </w:p>
        </w:tc>
      </w:tr>
      <w:tr>
        <w:trPr>
          <w:trHeight w:val="216"/>
        </w:trPr>
        <w:tc>
          <w:tcPr>
            <w:tcW w:w="39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20" w:type="dxa"/>
            <w:vAlign w:val="bottom"/>
          </w:tcPr>
          <w:p>
            <w:pPr>
              <w:ind w:left="120"/>
              <w:spacing w:after="0"/>
              <w:rPr>
                <w:sz w:val="20"/>
                <w:szCs w:val="20"/>
                <w:color w:val="auto"/>
              </w:rPr>
            </w:pPr>
            <w:r>
              <w:rPr>
                <w:rFonts w:ascii="Arial" w:cs="Arial" w:eastAsia="Arial" w:hAnsi="Arial"/>
                <w:sz w:val="18"/>
                <w:szCs w:val="18"/>
                <w:color w:val="auto"/>
              </w:rPr>
              <w:t>Robert J. Krakauer</w:t>
            </w:r>
          </w:p>
        </w:tc>
      </w:tr>
    </w:tbl>
    <w:p>
      <w:pPr>
        <w:ind w:left="6520"/>
        <w:spacing w:after="0"/>
        <w:rPr>
          <w:sz w:val="20"/>
          <w:szCs w:val="20"/>
          <w:color w:val="auto"/>
        </w:rPr>
      </w:pPr>
      <w:r>
        <w:rPr>
          <w:rFonts w:ascii="Arial" w:cs="Arial" w:eastAsia="Arial" w:hAnsi="Arial"/>
          <w:sz w:val="18"/>
          <w:szCs w:val="18"/>
          <w:color w:val="auto"/>
        </w:rPr>
        <w:t>Executive Vice President, Strategic Operations</w:t>
      </w:r>
    </w:p>
    <w:p>
      <w:pPr>
        <w:spacing w:after="0" w:line="1"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280" w:type="dxa"/>
            <w:vAlign w:val="bottom"/>
          </w:tcPr>
          <w:p>
            <w:pPr>
              <w:ind w:left="2760"/>
              <w:spacing w:after="0"/>
              <w:rPr>
                <w:sz w:val="20"/>
                <w:szCs w:val="20"/>
                <w:color w:val="auto"/>
              </w:rPr>
            </w:pPr>
            <w:r>
              <w:rPr>
                <w:rFonts w:ascii="Arial" w:cs="Arial" w:eastAsia="Arial" w:hAnsi="Arial"/>
                <w:sz w:val="18"/>
                <w:szCs w:val="18"/>
                <w:color w:val="auto"/>
              </w:rPr>
              <w:t>INDEX TO EXHIBITS</w:t>
            </w:r>
          </w:p>
        </w:tc>
      </w:tr>
      <w:tr>
        <w:trPr>
          <w:trHeight w:val="286"/>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Exhibit</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80" w:type="dxa"/>
            <w:vAlign w:val="bottom"/>
          </w:tcPr>
          <w:p>
            <w:pPr>
              <w:spacing w:after="0"/>
              <w:rPr>
                <w:sz w:val="24"/>
                <w:szCs w:val="24"/>
                <w:color w:val="auto"/>
              </w:rPr>
            </w:pPr>
          </w:p>
        </w:tc>
      </w:tr>
      <w:tr>
        <w:trPr>
          <w:trHeight w:val="174"/>
        </w:trPr>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8"/>
              </w:rPr>
              <w:t>Number</w:t>
            </w:r>
          </w:p>
        </w:tc>
        <w:tc>
          <w:tcPr>
            <w:tcW w:w="10800" w:type="dxa"/>
            <w:vAlign w:val="bottom"/>
            <w:gridSpan w:val="3"/>
          </w:tcPr>
          <w:p>
            <w:pPr>
              <w:ind w:left="66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0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9280" w:type="dxa"/>
            <w:vAlign w:val="bottom"/>
          </w:tcPr>
          <w:p>
            <w:pPr>
              <w:spacing w:after="0"/>
              <w:rPr>
                <w:sz w:val="8"/>
                <w:szCs w:val="8"/>
                <w:color w:val="auto"/>
              </w:rPr>
            </w:pPr>
          </w:p>
        </w:tc>
      </w:tr>
      <w:tr>
        <w:trPr>
          <w:trHeight w:val="309"/>
        </w:trPr>
        <w:tc>
          <w:tcPr>
            <w:tcW w:w="600" w:type="dxa"/>
            <w:vAlign w:val="bottom"/>
          </w:tcPr>
          <w:p>
            <w:pPr>
              <w:jc w:val="right"/>
              <w:spacing w:after="0"/>
              <w:rPr>
                <w:sz w:val="20"/>
                <w:szCs w:val="20"/>
                <w:color w:val="auto"/>
              </w:rPr>
            </w:pPr>
            <w:r>
              <w:rPr>
                <w:rFonts w:ascii="Arial" w:cs="Arial" w:eastAsia="Arial" w:hAnsi="Arial"/>
                <w:sz w:val="18"/>
                <w:szCs w:val="18"/>
                <w:color w:val="auto"/>
              </w:rPr>
              <w:t>10.35</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Interest Rate Swap Transaction Letter Agreement, dated as of June 30, 2005, by and between MagnaChip Semiconductor S.A. and Deutsche</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Bank AG</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9"/>
              </w:rPr>
              <w:t>Certification pursuant to Rule 13a-14(a) or Rule 15d-14(a) of the Securities Exchange Act of 1934 of the Chief Executive Officer.</w:t>
            </w:r>
          </w:p>
        </w:tc>
      </w:tr>
      <w:tr>
        <w:trPr>
          <w:trHeight w:val="324"/>
        </w:trPr>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99"/>
              </w:rPr>
              <w:t>Certification pursuant to Rule 13a-14(a) or Rule 15d-14(a) of the Securities Exchange Act of 1934 of the Chief Financial Officer.</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32.1</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 of the Chief Executive</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Officer.</w:t>
            </w:r>
          </w:p>
        </w:tc>
      </w:tr>
      <w:tr>
        <w:trPr>
          <w:trHeight w:val="318"/>
        </w:trPr>
        <w:tc>
          <w:tcPr>
            <w:tcW w:w="600" w:type="dxa"/>
            <w:vAlign w:val="bottom"/>
          </w:tcPr>
          <w:p>
            <w:pPr>
              <w:jc w:val="right"/>
              <w:spacing w:after="0"/>
              <w:rPr>
                <w:sz w:val="20"/>
                <w:szCs w:val="20"/>
                <w:color w:val="auto"/>
              </w:rPr>
            </w:pPr>
            <w:r>
              <w:rPr>
                <w:rFonts w:ascii="Arial" w:cs="Arial" w:eastAsia="Arial" w:hAnsi="Arial"/>
                <w:sz w:val="18"/>
                <w:szCs w:val="18"/>
                <w:color w:val="auto"/>
              </w:rPr>
              <w:t>32.2</w:t>
            </w: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w w:val="89"/>
              </w:rPr>
              <w:t>Certification pursuant to 18 U.S.C. Section 1350, as adopted pursuant to Section 906 of the Sarbanes-Oxley Act of 2002, of the Chief Financial</w:t>
            </w:r>
          </w:p>
        </w:tc>
      </w:tr>
      <w:tr>
        <w:trPr>
          <w:trHeight w:val="222"/>
        </w:trPr>
        <w:tc>
          <w:tcPr>
            <w:tcW w:w="600" w:type="dxa"/>
            <w:vAlign w:val="bottom"/>
          </w:tcPr>
          <w:p>
            <w:pPr>
              <w:spacing w:after="0"/>
              <w:rPr>
                <w:sz w:val="19"/>
                <w:szCs w:val="19"/>
                <w:color w:val="auto"/>
              </w:rPr>
            </w:pPr>
          </w:p>
        </w:tc>
        <w:tc>
          <w:tcPr>
            <w:tcW w:w="10800" w:type="dxa"/>
            <w:vAlign w:val="bottom"/>
            <w:gridSpan w:val="3"/>
          </w:tcPr>
          <w:p>
            <w:pPr>
              <w:ind w:left="660"/>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00"/>
          </w:cols>
          <w:pgMar w:left="240" w:top="459"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6932295</wp:posOffset>
            </wp:positionH>
            <wp:positionV relativeFrom="page">
              <wp:posOffset>88900</wp:posOffset>
            </wp:positionV>
            <wp:extent cx="471805" cy="4889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471805" cy="488950"/>
                    </a:xfrm>
                    <a:prstGeom prst="rect">
                      <a:avLst/>
                    </a:prstGeom>
                    <a:noFill/>
                  </pic:spPr>
                </pic:pic>
              </a:graphicData>
            </a:graphic>
          </wp:anchor>
        </w:drawing>
        <w:t>Deutsche Bank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Aktiengesellschaft</w:t>
      </w:r>
    </w:p>
    <w:p>
      <w:pPr>
        <w:sectPr>
          <w:pgSz w:w="11900" w:h="16838" w:orient="portrait"/>
          <w:cols w:equalWidth="0" w:num="1">
            <w:col w:w="11380"/>
          </w:cols>
          <w:pgMar w:left="240" w:top="679" w:right="279" w:bottom="1440" w:gutter="0" w:footer="0" w:header="0"/>
        </w:sectPr>
      </w:pP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color w:val="auto"/>
        </w:rPr>
        <w:t>June 30, 2005</w:t>
      </w:r>
    </w:p>
    <w:p>
      <w:pPr>
        <w:spacing w:after="0" w:line="152" w:lineRule="exact"/>
        <w:rPr>
          <w:sz w:val="20"/>
          <w:szCs w:val="20"/>
          <w:color w:val="auto"/>
        </w:rPr>
      </w:pPr>
    </w:p>
    <w:p>
      <w:pPr>
        <w:sectPr>
          <w:pgSz w:w="11900" w:h="16838" w:orient="portrait"/>
          <w:cols w:equalWidth="0" w:num="2">
            <w:col w:w="2020" w:space="720"/>
            <w:col w:w="8640"/>
          </w:cols>
          <w:pgMar w:left="240" w:top="679" w:right="279" w:bottom="1440" w:gutter="0" w:footer="0" w:header="0"/>
          <w:type w:val="continuous"/>
        </w:sect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MagnaChip Semiconductor S.A.</w:t>
      </w:r>
    </w:p>
    <w:p>
      <w:pPr>
        <w:spacing w:after="0" w:line="140" w:lineRule="exact"/>
        <w:rPr>
          <w:sz w:val="20"/>
          <w:szCs w:val="20"/>
          <w:color w:val="auto"/>
        </w:rPr>
      </w:pPr>
    </w:p>
    <w:p>
      <w:pPr>
        <w:sectPr>
          <w:pgSz w:w="11900" w:h="16838" w:orient="portrait"/>
          <w:cols w:equalWidth="0" w:num="2">
            <w:col w:w="2020" w:space="720"/>
            <w:col w:w="8640"/>
          </w:cols>
          <w:pgMar w:left="240" w:top="679" w:right="279" w:bottom="1440" w:gutter="0" w:footer="0" w:header="0"/>
          <w:type w:val="continuous"/>
        </w:sectPr>
      </w:pPr>
    </w:p>
    <w:p>
      <w:pPr>
        <w:spacing w:after="0"/>
        <w:rPr>
          <w:sz w:val="20"/>
          <w:szCs w:val="20"/>
          <w:color w:val="auto"/>
        </w:rPr>
      </w:pPr>
      <w:r>
        <w:rPr>
          <w:rFonts w:ascii="Arial" w:cs="Arial" w:eastAsia="Arial" w:hAnsi="Arial"/>
          <w:sz w:val="18"/>
          <w:szCs w:val="18"/>
          <w:color w:val="auto"/>
        </w:rPr>
        <w:t>Attention: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Facsimile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Swaps Documentation Department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82 2 3459 3689</w:t>
      </w:r>
    </w:p>
    <w:p>
      <w:pPr>
        <w:spacing w:after="0" w:line="105" w:lineRule="exact"/>
        <w:rPr>
          <w:sz w:val="20"/>
          <w:szCs w:val="20"/>
          <w:color w:val="auto"/>
        </w:rPr>
      </w:pPr>
    </w:p>
    <w:p>
      <w:pPr>
        <w:sectPr>
          <w:pgSz w:w="11900" w:h="16838" w:orient="portrait"/>
          <w:cols w:equalWidth="0" w:num="2">
            <w:col w:w="2020" w:space="720"/>
            <w:col w:w="8640"/>
          </w:cols>
          <w:pgMar w:left="240" w:top="67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Our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Global No. N397355N</w:t>
      </w:r>
    </w:p>
    <w:p>
      <w:pPr>
        <w:spacing w:after="0" w:line="140" w:lineRule="exact"/>
        <w:rPr>
          <w:sz w:val="20"/>
          <w:szCs w:val="20"/>
          <w:color w:val="auto"/>
        </w:rPr>
      </w:pPr>
    </w:p>
    <w:p>
      <w:pPr>
        <w:sectPr>
          <w:pgSz w:w="11900" w:h="16838" w:orient="portrait"/>
          <w:cols w:equalWidth="0" w:num="2">
            <w:col w:w="2020" w:space="720"/>
            <w:col w:w="8640"/>
          </w:cols>
          <w:pgMar w:left="240" w:top="679"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Interest Rate Swap Transaction</w:t>
      </w:r>
    </w:p>
    <w:p>
      <w:pPr>
        <w:spacing w:after="0" w:line="198" w:lineRule="exact"/>
        <w:rPr>
          <w:sz w:val="20"/>
          <w:szCs w:val="20"/>
          <w:color w:val="auto"/>
        </w:rPr>
      </w:pPr>
    </w:p>
    <w:p>
      <w:pPr>
        <w:sectPr>
          <w:pgSz w:w="11900" w:h="16838" w:orient="portrait"/>
          <w:cols w:equalWidth="0" w:num="2">
            <w:col w:w="2020" w:space="720"/>
            <w:col w:w="8640"/>
          </w:cols>
          <w:pgMar w:left="240" w:top="679" w:right="279" w:bottom="1440" w:gutter="0" w:footer="0" w:header="0"/>
          <w:type w:val="continuous"/>
        </w:sectPr>
      </w:pPr>
    </w:p>
    <w:p>
      <w:pPr>
        <w:spacing w:after="0"/>
        <w:rPr>
          <w:sz w:val="20"/>
          <w:szCs w:val="20"/>
          <w:color w:val="auto"/>
        </w:rPr>
      </w:pPr>
      <w:r>
        <w:rPr>
          <w:rFonts w:ascii="Arial" w:cs="Arial" w:eastAsia="Arial" w:hAnsi="Arial"/>
          <w:sz w:val="15"/>
          <w:szCs w:val="15"/>
          <w:color w:val="auto"/>
        </w:rPr>
        <w:t>Ladies and Gentlemen:</w:t>
      </w:r>
    </w:p>
    <w:p>
      <w:pPr>
        <w:sectPr>
          <w:pgSz w:w="11900" w:h="16838" w:orient="portrait"/>
          <w:cols w:equalWidth="0" w:num="1">
            <w:col w:w="11380"/>
          </w:cols>
          <w:pgMar w:left="240" w:top="679" w:right="279" w:bottom="1440" w:gutter="0" w:footer="0" w:header="0"/>
          <w:type w:val="continuous"/>
        </w:sectPr>
      </w:pPr>
    </w:p>
    <w:p>
      <w:pPr>
        <w:spacing w:after="0" w:line="19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purpose of this letter agreement is to set forth the terms and conditions of the Transaction entered into between Deutsche Bank AG (“DBAG”) and MagnaChip Semiconductor S.A. (“Counterparty”) on the Trade Date specified below (the “Transaction”). This letter agreement constitutes a “Confirmation” as referred to in the Agreement specified below.</w:t>
      </w:r>
    </w:p>
    <w:p>
      <w:pPr>
        <w:spacing w:after="0" w:line="12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definitions and provisions contained in the 2000 ISDA Definitions (the “Definitions”) as published by the International Swaps and Derivatives Association, Inc. are incorporated by reference herein. In the event of any inconsistency between the Definitions and this Confirmation, this Confirmation will govern.</w:t>
      </w:r>
    </w:p>
    <w:p>
      <w:pPr>
        <w:spacing w:after="0" w:line="72"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For the purpose of this Confirmation, all references in the Definitions or the Agreement to a “Swap Transaction” shall be deemed to be references to this Transaction.</w:t>
      </w:r>
    </w:p>
    <w:p>
      <w:pPr>
        <w:spacing w:after="0" w:line="118" w:lineRule="exact"/>
        <w:rPr>
          <w:sz w:val="20"/>
          <w:szCs w:val="20"/>
          <w:color w:val="auto"/>
        </w:rPr>
      </w:pPr>
    </w:p>
    <w:p>
      <w:pPr>
        <w:ind w:firstLine="8"/>
        <w:spacing w:after="0" w:line="286" w:lineRule="auto"/>
        <w:tabs>
          <w:tab w:leader="none" w:pos="176"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This Confirmation evidences a complete and binding agreement between DBAG (“Party A”) and Counterparty (“Party B”) as to the terms of the Transaction to which this Confirmation relates. In addition, Party A and Party B agree to use all reasonable efforts to negotiate, execute and deliver an agreement in the form of the ISDA 2002 Master Agreement with such modifications as Party A and Party B will in good faith agree (the “ISDA Form” or the “Agreement”). Upon execution by the parties of such Agreement, this Confirmation will supplement, form a part of and be subject to the Agreement. All provisions contained or incorporated by reference in such Agreement upon its execution shall govern this Confirmation except as expressly modified below. Until Party A and Party B execute and deliver the Agreement, this Confirmation, together with all other documents referring to the ISDA Form (each a “Confirmation”) confirming Transactions (each a “Transaction”) entered into between us (notwithstanding anything to the contrary in a Confirmation) shall supplement, form a part of, and be subject to an agreement in the form of the ISDA Form as if Party A and Party B had executed an agreement on the Trade Date of the first such Transaction between us in such form, with the Schedule thereto (i) specifying only that (a) the governing law is English law, provided, that such choice of law shall be superseded by any choice of law provision specified in the Agreement upon its execution, and (b) the Termination Currency is U.S. Dollars and (ii) incorporating the addition to the definition of “Indemnifiable Tax” contained in (page 49 of) the ISDA “User’s Guide to the 2002 ISDA Master Agreements”.</w:t>
      </w:r>
    </w:p>
    <w:p>
      <w:pPr>
        <w:sectPr>
          <w:pgSz w:w="11900" w:h="16838" w:orient="portrait"/>
          <w:cols w:equalWidth="0" w:num="1">
            <w:col w:w="11380"/>
          </w:cols>
          <w:pgMar w:left="240" w:top="679" w:right="279" w:bottom="1440" w:gutter="0" w:footer="0" w:header="0"/>
          <w:type w:val="continuous"/>
        </w:sectPr>
      </w:pPr>
    </w:p>
    <w:bookmarkStart w:id="43" w:name="page44"/>
    <w:bookmarkEnd w:id="43"/>
    <w:p>
      <w:pPr>
        <w:ind w:left="180" w:hanging="172"/>
        <w:spacing w:after="0"/>
        <w:tabs>
          <w:tab w:leader="none" w:pos="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of the particular Transaction to which this Confirmation relates are as follows:</w:t>
      </w:r>
    </w:p>
    <w:p>
      <w:pPr>
        <w:sectPr>
          <w:pgSz w:w="11900" w:h="16838" w:orient="portrait"/>
          <w:cols w:equalWidth="0" w:num="1">
            <w:col w:w="10219"/>
          </w:cols>
          <w:pgMar w:left="240" w:top="280" w:right="1440" w:bottom="1440" w:gutter="0" w:footer="0" w:header="0"/>
        </w:sectPr>
      </w:pP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Notional Amount:</w:t>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Trade Date:</w:t>
      </w:r>
    </w:p>
    <w:p>
      <w:pPr>
        <w:spacing w:after="0" w:line="1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Effective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Termination Date: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Amounts: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Rate Payer: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Rate Payer Period End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Rate Payer Payment Dates:</w:t>
      </w: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Rate: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Rate Day Count Fraction: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Fixed Rate Payer Business Days: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Fixed Rate Payer Business Day Convention: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Floating Amounts:</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Floating Rate Payer: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Floating Rate Payer Period End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Floating Rate Payer Payment Dates:</w:t>
      </w: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Floating Rate for initial Calculation Period:</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Floating Rate Option: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Designated Maturity: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Spread: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Floating Rate Day Count Fraction: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Reset Dates:</w:t>
      </w:r>
    </w:p>
    <w:p>
      <w:pPr>
        <w:spacing w:after="0" w:line="200" w:lineRule="exact"/>
        <w:rPr>
          <w:sz w:val="20"/>
          <w:szCs w:val="20"/>
          <w:color w:val="auto"/>
        </w:rPr>
      </w:pPr>
    </w:p>
    <w:p>
      <w:pPr>
        <w:spacing w:after="0" w:line="3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Compounding: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Floating Rate Payer Business Days:</w:t>
      </w:r>
    </w:p>
    <w:p>
      <w:pPr>
        <w:spacing w:after="0" w:line="117" w:lineRule="exact"/>
        <w:rPr>
          <w:sz w:val="20"/>
          <w:szCs w:val="20"/>
          <w:color w:val="auto"/>
        </w:rPr>
      </w:pPr>
    </w:p>
    <w:p>
      <w:pPr>
        <w:jc w:val="right"/>
        <w:ind w:right="740"/>
        <w:spacing w:after="0"/>
        <w:rPr>
          <w:sz w:val="20"/>
          <w:szCs w:val="20"/>
          <w:color w:val="auto"/>
        </w:rPr>
      </w:pPr>
      <w:r>
        <w:rPr>
          <w:rFonts w:ascii="Arial" w:cs="Arial" w:eastAsia="Arial" w:hAnsi="Arial"/>
          <w:sz w:val="18"/>
          <w:szCs w:val="18"/>
          <w:color w:val="auto"/>
        </w:rPr>
        <w:t>Floating Rate Payer Business Day Convention:</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USD 300,000,000.00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23, 2005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June 27, 2005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June 15, 2008</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Counterparty</w:t>
      </w:r>
    </w:p>
    <w:p>
      <w:pPr>
        <w:spacing w:after="0" w:line="117" w:lineRule="exact"/>
        <w:rPr>
          <w:sz w:val="20"/>
          <w:szCs w:val="20"/>
          <w:color w:val="auto"/>
        </w:rPr>
      </w:pPr>
    </w:p>
    <w:p>
      <w:pPr>
        <w:ind w:right="1119"/>
        <w:spacing w:after="0" w:line="256" w:lineRule="auto"/>
        <w:rPr>
          <w:sz w:val="20"/>
          <w:szCs w:val="20"/>
          <w:color w:val="auto"/>
        </w:rPr>
      </w:pPr>
      <w:r>
        <w:rPr>
          <w:rFonts w:ascii="Arial" w:cs="Arial" w:eastAsia="Arial" w:hAnsi="Arial"/>
          <w:sz w:val="18"/>
          <w:szCs w:val="18"/>
          <w:color w:val="auto"/>
        </w:rPr>
        <w:t>The 15th day of March, June, September and December of each year, commencing September 15, 2005, through and including the Termination Date with No Adjustment</w:t>
      </w:r>
    </w:p>
    <w:p>
      <w:pPr>
        <w:spacing w:after="0" w:line="89" w:lineRule="exact"/>
        <w:rPr>
          <w:sz w:val="20"/>
          <w:szCs w:val="20"/>
          <w:color w:val="auto"/>
        </w:rPr>
      </w:pPr>
    </w:p>
    <w:p>
      <w:pPr>
        <w:ind w:right="1339"/>
        <w:spacing w:after="0" w:line="335" w:lineRule="auto"/>
        <w:rPr>
          <w:sz w:val="20"/>
          <w:szCs w:val="20"/>
          <w:color w:val="auto"/>
        </w:rPr>
      </w:pPr>
      <w:r>
        <w:rPr>
          <w:rFonts w:ascii="Arial" w:cs="Arial" w:eastAsia="Arial" w:hAnsi="Arial"/>
          <w:sz w:val="15"/>
          <w:szCs w:val="15"/>
          <w:color w:val="auto"/>
        </w:rPr>
        <w:t>The 15th day of March, June, September and December of each year, commencing September 15, 2005, through and including the Termination Date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4.09%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Modified Following</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DBAG</w:t>
      </w:r>
    </w:p>
    <w:p>
      <w:pPr>
        <w:spacing w:after="0" w:line="117" w:lineRule="exact"/>
        <w:rPr>
          <w:sz w:val="20"/>
          <w:szCs w:val="20"/>
          <w:color w:val="auto"/>
        </w:rPr>
      </w:pPr>
    </w:p>
    <w:p>
      <w:pPr>
        <w:ind w:right="1119"/>
        <w:spacing w:after="0" w:line="256" w:lineRule="auto"/>
        <w:rPr>
          <w:sz w:val="20"/>
          <w:szCs w:val="20"/>
          <w:color w:val="auto"/>
        </w:rPr>
      </w:pPr>
      <w:r>
        <w:rPr>
          <w:rFonts w:ascii="Arial" w:cs="Arial" w:eastAsia="Arial" w:hAnsi="Arial"/>
          <w:sz w:val="18"/>
          <w:szCs w:val="18"/>
          <w:color w:val="auto"/>
        </w:rPr>
        <w:t>The 15th day of March, June, September and December of each year, commencing September 15, 2005, through and including the Termination Date with No Adjustment</w:t>
      </w:r>
    </w:p>
    <w:p>
      <w:pPr>
        <w:spacing w:after="0" w:line="89" w:lineRule="exact"/>
        <w:rPr>
          <w:sz w:val="20"/>
          <w:szCs w:val="20"/>
          <w:color w:val="auto"/>
        </w:rPr>
      </w:pPr>
    </w:p>
    <w:p>
      <w:pPr>
        <w:ind w:right="1339"/>
        <w:spacing w:after="0" w:line="335" w:lineRule="auto"/>
        <w:rPr>
          <w:sz w:val="20"/>
          <w:szCs w:val="20"/>
          <w:color w:val="auto"/>
        </w:rPr>
      </w:pPr>
      <w:r>
        <w:rPr>
          <w:rFonts w:ascii="Arial" w:cs="Arial" w:eastAsia="Arial" w:hAnsi="Arial"/>
          <w:sz w:val="15"/>
          <w:szCs w:val="15"/>
          <w:color w:val="auto"/>
        </w:rPr>
        <w:t>The 15th day of March, June, September and December of each year, commencing September 15, 2005, through and including the Termination Date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3.41%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USD-LIBOR-BBA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Three months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30/360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first Floating Rate Payer Business Day of each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Calculation Period or Compounding Period, if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Compounding is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Modified Following</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4500" w:space="720"/>
            <w:col w:w="4999"/>
          </w:cols>
          <w:pgMar w:left="240" w:top="280"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Other Provisions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“Cross Default” provisions of Section 5(a)(vi) of the ISDA Form will apply to Party B.</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shall constitute an Additional Termination Event: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Party B’s obligations to Party A under this Agreement:</w:t>
      </w:r>
    </w:p>
    <w:p>
      <w:pPr>
        <w:spacing w:after="0" w:line="77" w:lineRule="exact"/>
        <w:rPr>
          <w:sz w:val="20"/>
          <w:szCs w:val="20"/>
          <w:color w:val="auto"/>
        </w:rPr>
      </w:pPr>
    </w:p>
    <w:p>
      <w:pPr>
        <w:ind w:left="680" w:hanging="216"/>
        <w:spacing w:after="0"/>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to be secured pursuant to the Security Documents (as such term is defined in the Credit Agreement); or</w:t>
      </w:r>
    </w:p>
    <w:p>
      <w:pPr>
        <w:spacing w:after="0" w:line="76" w:lineRule="exact"/>
        <w:rPr>
          <w:rFonts w:ascii="Arial" w:cs="Arial" w:eastAsia="Arial" w:hAnsi="Arial"/>
          <w:sz w:val="18"/>
          <w:szCs w:val="18"/>
          <w:color w:val="auto"/>
        </w:rPr>
      </w:pPr>
    </w:p>
    <w:p>
      <w:pPr>
        <w:ind w:left="460" w:right="340" w:firstLine="4"/>
        <w:spacing w:after="0" w:line="268" w:lineRule="auto"/>
        <w:tabs>
          <w:tab w:leader="none" w:pos="719"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to be equally and ratably secured with Party B’s obligations to the Lender (as such term is defined in the Credit Agreement) under the Credit Agreement pursuant to the relevant Security Documents; or</w:t>
      </w:r>
    </w:p>
    <w:p>
      <w:pPr>
        <w:spacing w:after="0" w:line="37" w:lineRule="exact"/>
        <w:rPr>
          <w:rFonts w:ascii="Arial" w:cs="Arial" w:eastAsia="Arial" w:hAnsi="Arial"/>
          <w:sz w:val="18"/>
          <w:szCs w:val="18"/>
          <w:color w:val="auto"/>
        </w:rPr>
      </w:pPr>
    </w:p>
    <w:p>
      <w:pPr>
        <w:ind w:left="780" w:hanging="31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cease to be guaranteed pursuant to the Guarantees (as such term is defined in the Credit Agreement) at any time for any reason.</w:t>
      </w:r>
    </w:p>
    <w:p>
      <w:pPr>
        <w:spacing w:after="0" w:line="77" w:lineRule="exact"/>
        <w:rPr>
          <w:sz w:val="20"/>
          <w:szCs w:val="20"/>
          <w:color w:val="auto"/>
        </w:rPr>
      </w:pPr>
    </w:p>
    <w:p>
      <w:pPr>
        <w:ind w:left="460" w:right="260"/>
        <w:spacing w:after="0" w:line="325" w:lineRule="auto"/>
        <w:rPr>
          <w:sz w:val="20"/>
          <w:szCs w:val="20"/>
          <w:color w:val="auto"/>
        </w:rPr>
      </w:pPr>
      <w:r>
        <w:rPr>
          <w:rFonts w:ascii="Arial" w:cs="Arial" w:eastAsia="Arial" w:hAnsi="Arial"/>
          <w:sz w:val="16"/>
          <w:szCs w:val="16"/>
          <w:color w:val="auto"/>
        </w:rPr>
        <w:t>B. Any collateral under the Security Documents is released at any time when Party A, or an Affiliate of Party A, is not a party to the Credit Agreement, unless Party A shall have consented in writing prior to such release (such consent not to be unreasonably withheld).</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the purpose of the foregoing Termination Events, the Affected Party shall be Party B.</w:t>
      </w:r>
    </w:p>
    <w:p>
      <w:pPr>
        <w:spacing w:after="0" w:line="77"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As used herein and throughout this Agreement, “Credit Agreement” means that U.S. $100,000,000 Credit Agreement dated as of December 23, 2004, among MagnaChip Semiconductor S.A. and MagnaChip Semiconductor Finance Company as Borrowers, MagnaChip Semiconductor LLC and The Other Guarantors Party Hereto, as Guarantors, The Lenders Party Hereto, UBS Securities LLC as Arranger, Bookmanager, Documentation Agent and Syndication Agent, and Korea Exchange Bank, as Issuing Bank and UBS AG, Stamford Branch, as Administrative Agent and Collateral Agent, and UBS Loan Finance LLC, as Swingline Lender, as may be amended and supplemented from time to time.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Set-Off</w:t>
      </w:r>
    </w:p>
    <w:p>
      <w:pPr>
        <w:spacing w:after="0" w:line="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designation of any Early Termination Date, the party that is not the Defaulting Party or Affected Party (“X”) may, without prior notice to the Defaulting or Affected Party (“Y”), set off any sum or obligation (whether or not arising under this Agreement, whether matured or unmatured, whether or not contingent and irrespective of the currency, place of payment or booking office of the sum or obligation) owed by Y to X or any Affiliate of X (the “X Set Off Amount”) against any sum or obligation (whether or not arising under this Agreement, whether matured or unmatured, whether or not contingent and irrespective of the currency, place of payment or booking office of the sum or obligation) owed by X or any Affiliate of X to Y (the “Y Set Off Amount”). X will give notice to the other party of any set off effected under this Section 6(f).</w:t>
      </w:r>
    </w:p>
    <w:p>
      <w:pPr>
        <w:spacing w:after="0" w:line="1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this purpose, either the X Set Off Amount or the Y Set Off Amount (or the relevant portion of such set off amounts) may be converted by X into the currency in which the other set off amount is denominated at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74" w:right="299" w:bottom="1440" w:gutter="0" w:footer="0" w:header="0"/>
        </w:sectPr>
      </w:pPr>
    </w:p>
    <w:bookmarkStart w:id="45" w:name="page46"/>
    <w:bookmarkEnd w:id="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rate of exchange at which X would be able, acting in a reasonable manner and in good faith, to purchase the relevant amount of such currency.</w:t>
      </w:r>
    </w:p>
    <w:p>
      <w:pPr>
        <w:spacing w:after="0" w:line="18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a sum or obligation is unascertained, X may in good faith estimate that obligation and set-off in respect of the estimate, subject to the relevant party accounting to the other when the obligation is ascertained.</w:t>
      </w:r>
    </w:p>
    <w:p>
      <w:pPr>
        <w:spacing w:after="0" w:line="118"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Nothing in this Section 6(f) shall be effective to create a charge or other security interest. This Section 6(f) shall be without prejudice and in addition to any right of set-off, combination of accounts, lien or other rights to which any party is at any time otherwise entitled (whether by operation of law, contract or otherwise).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5.</w:t>
            </w: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Account Details:</w:t>
            </w:r>
          </w:p>
        </w:tc>
        <w:tc>
          <w:tcPr>
            <w:tcW w:w="2300" w:type="dxa"/>
            <w:vAlign w:val="bottom"/>
          </w:tcPr>
          <w:p>
            <w:pPr>
              <w:spacing w:after="0"/>
              <w:rPr>
                <w:sz w:val="19"/>
                <w:szCs w:val="19"/>
                <w:color w:val="auto"/>
              </w:rPr>
            </w:pPr>
          </w:p>
        </w:tc>
      </w:tr>
      <w:tr>
        <w:trPr>
          <w:trHeight w:val="358"/>
        </w:trPr>
        <w:tc>
          <w:tcPr>
            <w:tcW w:w="160" w:type="dxa"/>
            <w:vAlign w:val="bottom"/>
          </w:tcPr>
          <w:p>
            <w:pPr>
              <w:spacing w:after="0"/>
              <w:rPr>
                <w:sz w:val="24"/>
                <w:szCs w:val="24"/>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USD DBAG Payment Instructions:</w:t>
            </w:r>
          </w:p>
        </w:tc>
        <w:tc>
          <w:tcPr>
            <w:tcW w:w="2300" w:type="dxa"/>
            <w:vAlign w:val="bottom"/>
          </w:tcPr>
          <w:p>
            <w:pPr>
              <w:spacing w:after="0"/>
              <w:rPr>
                <w:sz w:val="24"/>
                <w:szCs w:val="24"/>
                <w:color w:val="auto"/>
              </w:rPr>
            </w:pPr>
          </w:p>
        </w:tc>
      </w:tr>
      <w:tr>
        <w:trPr>
          <w:trHeight w:val="216"/>
        </w:trPr>
        <w:tc>
          <w:tcPr>
            <w:tcW w:w="16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Account With:</w:t>
            </w:r>
          </w:p>
        </w:tc>
        <w:tc>
          <w:tcPr>
            <w:tcW w:w="2300" w:type="dxa"/>
            <w:vAlign w:val="bottom"/>
          </w:tcPr>
          <w:p>
            <w:pPr>
              <w:ind w:left="140"/>
              <w:spacing w:after="0"/>
              <w:rPr>
                <w:sz w:val="20"/>
                <w:szCs w:val="20"/>
                <w:color w:val="auto"/>
              </w:rPr>
            </w:pPr>
            <w:r>
              <w:rPr>
                <w:rFonts w:ascii="Arial" w:cs="Arial" w:eastAsia="Arial" w:hAnsi="Arial"/>
                <w:sz w:val="18"/>
                <w:szCs w:val="18"/>
                <w:color w:val="auto"/>
                <w:w w:val="88"/>
              </w:rPr>
              <w:t>Deutsche Bank AG, New York</w:t>
            </w:r>
          </w:p>
        </w:tc>
      </w:tr>
      <w:tr>
        <w:trPr>
          <w:trHeight w:val="216"/>
        </w:trPr>
        <w:tc>
          <w:tcPr>
            <w:tcW w:w="16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SWIFT Code:</w:t>
            </w:r>
          </w:p>
        </w:tc>
        <w:tc>
          <w:tcPr>
            <w:tcW w:w="2300" w:type="dxa"/>
            <w:vAlign w:val="bottom"/>
          </w:tcPr>
          <w:p>
            <w:pPr>
              <w:ind w:left="140"/>
              <w:spacing w:after="0"/>
              <w:rPr>
                <w:sz w:val="20"/>
                <w:szCs w:val="20"/>
                <w:color w:val="auto"/>
              </w:rPr>
            </w:pPr>
            <w:r>
              <w:rPr>
                <w:rFonts w:ascii="Arial" w:cs="Arial" w:eastAsia="Arial" w:hAnsi="Arial"/>
                <w:sz w:val="18"/>
                <w:szCs w:val="18"/>
                <w:color w:val="auto"/>
              </w:rPr>
              <w:t>DEUTUS33</w:t>
            </w:r>
          </w:p>
        </w:tc>
      </w:tr>
      <w:tr>
        <w:trPr>
          <w:trHeight w:val="216"/>
        </w:trPr>
        <w:tc>
          <w:tcPr>
            <w:tcW w:w="160" w:type="dxa"/>
            <w:vAlign w:val="bottom"/>
          </w:tcPr>
          <w:p>
            <w:pPr>
              <w:spacing w:after="0"/>
              <w:rPr>
                <w:sz w:val="18"/>
                <w:szCs w:val="18"/>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Favor Of:</w:t>
            </w:r>
          </w:p>
        </w:tc>
        <w:tc>
          <w:tcPr>
            <w:tcW w:w="2300" w:type="dxa"/>
            <w:vAlign w:val="bottom"/>
          </w:tcPr>
          <w:p>
            <w:pPr>
              <w:ind w:left="140"/>
              <w:spacing w:after="0"/>
              <w:rPr>
                <w:sz w:val="20"/>
                <w:szCs w:val="20"/>
                <w:color w:val="auto"/>
              </w:rPr>
            </w:pPr>
            <w:r>
              <w:rPr>
                <w:rFonts w:ascii="Arial" w:cs="Arial" w:eastAsia="Arial" w:hAnsi="Arial"/>
                <w:sz w:val="18"/>
                <w:szCs w:val="18"/>
                <w:color w:val="auto"/>
                <w:w w:val="88"/>
              </w:rPr>
              <w:t>Deutsche Bank AG, New York</w:t>
            </w:r>
          </w:p>
        </w:tc>
      </w:tr>
      <w:tr>
        <w:trPr>
          <w:trHeight w:val="222"/>
        </w:trPr>
        <w:tc>
          <w:tcPr>
            <w:tcW w:w="160" w:type="dxa"/>
            <w:vAlign w:val="bottom"/>
          </w:tcPr>
          <w:p>
            <w:pPr>
              <w:spacing w:after="0"/>
              <w:rPr>
                <w:sz w:val="19"/>
                <w:szCs w:val="19"/>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Account Number:</w:t>
            </w:r>
          </w:p>
        </w:tc>
        <w:tc>
          <w:tcPr>
            <w:tcW w:w="2300" w:type="dxa"/>
            <w:vAlign w:val="bottom"/>
          </w:tcPr>
          <w:p>
            <w:pPr>
              <w:ind w:left="140"/>
              <w:spacing w:after="0"/>
              <w:rPr>
                <w:sz w:val="20"/>
                <w:szCs w:val="20"/>
                <w:color w:val="auto"/>
              </w:rPr>
            </w:pPr>
            <w:r>
              <w:rPr>
                <w:rFonts w:ascii="Arial" w:cs="Arial" w:eastAsia="Arial" w:hAnsi="Arial"/>
                <w:sz w:val="18"/>
                <w:szCs w:val="18"/>
                <w:color w:val="auto"/>
              </w:rPr>
              <w:t>100440170004</w:t>
            </w:r>
          </w:p>
        </w:tc>
      </w:tr>
      <w:tr>
        <w:trPr>
          <w:trHeight w:val="312"/>
        </w:trPr>
        <w:tc>
          <w:tcPr>
            <w:tcW w:w="160" w:type="dxa"/>
            <w:vAlign w:val="bottom"/>
          </w:tcPr>
          <w:p>
            <w:pPr>
              <w:spacing w:after="0"/>
              <w:rPr>
                <w:sz w:val="24"/>
                <w:szCs w:val="24"/>
                <w:color w:val="auto"/>
              </w:rPr>
            </w:pPr>
          </w:p>
        </w:tc>
        <w:tc>
          <w:tcPr>
            <w:tcW w:w="5800" w:type="dxa"/>
            <w:vAlign w:val="bottom"/>
          </w:tcPr>
          <w:p>
            <w:pPr>
              <w:ind w:left="980"/>
              <w:spacing w:after="0"/>
              <w:rPr>
                <w:sz w:val="20"/>
                <w:szCs w:val="20"/>
                <w:color w:val="auto"/>
              </w:rPr>
            </w:pPr>
            <w:r>
              <w:rPr>
                <w:rFonts w:ascii="Arial" w:cs="Arial" w:eastAsia="Arial" w:hAnsi="Arial"/>
                <w:sz w:val="18"/>
                <w:szCs w:val="18"/>
                <w:color w:val="auto"/>
              </w:rPr>
              <w:t>USD Counterparty Payment Instructions:</w:t>
            </w:r>
          </w:p>
        </w:tc>
        <w:tc>
          <w:tcPr>
            <w:tcW w:w="2300" w:type="dxa"/>
            <w:vAlign w:val="bottom"/>
          </w:tcPr>
          <w:p>
            <w:pPr>
              <w:spacing w:after="0"/>
              <w:rPr>
                <w:sz w:val="24"/>
                <w:szCs w:val="24"/>
                <w:color w:val="auto"/>
              </w:rPr>
            </w:pPr>
          </w:p>
        </w:tc>
      </w:tr>
      <w:tr>
        <w:trPr>
          <w:trHeight w:val="228"/>
        </w:trPr>
        <w:tc>
          <w:tcPr>
            <w:tcW w:w="160" w:type="dxa"/>
            <w:vAlign w:val="bottom"/>
          </w:tcPr>
          <w:p>
            <w:pPr>
              <w:spacing w:after="0"/>
              <w:rPr>
                <w:sz w:val="19"/>
                <w:szCs w:val="19"/>
                <w:color w:val="auto"/>
              </w:rPr>
            </w:pPr>
          </w:p>
        </w:tc>
        <w:tc>
          <w:tcPr>
            <w:tcW w:w="5800" w:type="dxa"/>
            <w:vAlign w:val="bottom"/>
          </w:tcPr>
          <w:p>
            <w:pPr>
              <w:ind w:left="980"/>
              <w:spacing w:after="0"/>
              <w:rPr>
                <w:sz w:val="20"/>
                <w:szCs w:val="20"/>
                <w:color w:val="auto"/>
              </w:rPr>
            </w:pPr>
            <w:r>
              <w:rPr>
                <w:rFonts w:ascii="Arial" w:cs="Arial" w:eastAsia="Arial" w:hAnsi="Arial"/>
                <w:sz w:val="18"/>
                <w:szCs w:val="18"/>
                <w:b w:val="1"/>
                <w:bCs w:val="1"/>
                <w:color w:val="auto"/>
              </w:rPr>
              <w:t>PLEASE PROVIDE AT YOUR EARLIEST CONVENIENCE</w:t>
            </w:r>
          </w:p>
        </w:tc>
        <w:tc>
          <w:tcPr>
            <w:tcW w:w="2300" w:type="dxa"/>
            <w:vAlign w:val="bottom"/>
          </w:tcPr>
          <w:p>
            <w:pPr>
              <w:spacing w:after="0"/>
              <w:rPr>
                <w:sz w:val="19"/>
                <w:szCs w:val="19"/>
                <w:color w:val="auto"/>
              </w:rPr>
            </w:pPr>
          </w:p>
        </w:tc>
      </w:tr>
      <w:tr>
        <w:trPr>
          <w:trHeight w:val="365"/>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6.</w:t>
            </w: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Offices:</w:t>
            </w:r>
          </w:p>
        </w:tc>
        <w:tc>
          <w:tcPr>
            <w:tcW w:w="2300" w:type="dxa"/>
            <w:vAlign w:val="bottom"/>
          </w:tcPr>
          <w:p>
            <w:pPr>
              <w:spacing w:after="0"/>
              <w:rPr>
                <w:sz w:val="24"/>
                <w:szCs w:val="24"/>
                <w:color w:val="auto"/>
              </w:rPr>
            </w:pPr>
          </w:p>
        </w:tc>
      </w:tr>
      <w:tr>
        <w:trPr>
          <w:trHeight w:val="284"/>
        </w:trPr>
        <w:tc>
          <w:tcPr>
            <w:tcW w:w="5960" w:type="dxa"/>
            <w:vAlign w:val="bottom"/>
            <w:gridSpan w:val="2"/>
          </w:tcPr>
          <w:p>
            <w:pPr>
              <w:spacing w:after="0"/>
              <w:rPr>
                <w:sz w:val="20"/>
                <w:szCs w:val="20"/>
                <w:color w:val="auto"/>
              </w:rPr>
            </w:pPr>
            <w:r>
              <w:rPr>
                <w:rFonts w:ascii="Arial" w:cs="Arial" w:eastAsia="Arial" w:hAnsi="Arial"/>
                <w:sz w:val="18"/>
                <w:szCs w:val="18"/>
                <w:color w:val="auto"/>
              </w:rPr>
              <w:t>The Office of DBAG for this Transaction is New York.</w:t>
            </w:r>
          </w:p>
        </w:tc>
        <w:tc>
          <w:tcPr>
            <w:tcW w:w="2300" w:type="dxa"/>
            <w:vAlign w:val="bottom"/>
          </w:tcPr>
          <w:p>
            <w:pPr>
              <w:spacing w:after="0"/>
              <w:rPr>
                <w:sz w:val="24"/>
                <w:szCs w:val="24"/>
                <w:color w:val="auto"/>
              </w:rPr>
            </w:pPr>
          </w:p>
        </w:tc>
      </w:tr>
      <w:tr>
        <w:trPr>
          <w:trHeight w:val="365"/>
        </w:trPr>
        <w:tc>
          <w:tcPr>
            <w:tcW w:w="5960" w:type="dxa"/>
            <w:vAlign w:val="bottom"/>
            <w:gridSpan w:val="2"/>
          </w:tcPr>
          <w:p>
            <w:pPr>
              <w:spacing w:after="0"/>
              <w:rPr>
                <w:sz w:val="20"/>
                <w:szCs w:val="20"/>
                <w:color w:val="auto"/>
              </w:rPr>
            </w:pPr>
            <w:r>
              <w:rPr>
                <w:rFonts w:ascii="Arial" w:cs="Arial" w:eastAsia="Arial" w:hAnsi="Arial"/>
                <w:sz w:val="18"/>
                <w:szCs w:val="18"/>
                <w:color w:val="auto"/>
              </w:rPr>
              <w:t>The Office of Counterparty for this Transaction is Luxembourg.</w:t>
            </w:r>
          </w:p>
        </w:tc>
        <w:tc>
          <w:tcPr>
            <w:tcW w:w="2300" w:type="dxa"/>
            <w:vAlign w:val="bottom"/>
          </w:tcPr>
          <w:p>
            <w:pPr>
              <w:spacing w:after="0"/>
              <w:rPr>
                <w:sz w:val="24"/>
                <w:szCs w:val="24"/>
                <w:color w:val="auto"/>
              </w:rPr>
            </w:pPr>
          </w:p>
        </w:tc>
      </w:tr>
      <w:tr>
        <w:trPr>
          <w:trHeight w:val="365"/>
        </w:trPr>
        <w:tc>
          <w:tcPr>
            <w:tcW w:w="160" w:type="dxa"/>
            <w:vAlign w:val="bottom"/>
          </w:tcPr>
          <w:p>
            <w:pPr>
              <w:spacing w:after="0"/>
              <w:rPr>
                <w:sz w:val="20"/>
                <w:szCs w:val="20"/>
                <w:color w:val="auto"/>
              </w:rPr>
            </w:pPr>
            <w:r>
              <w:rPr>
                <w:rFonts w:ascii="Arial" w:cs="Arial" w:eastAsia="Arial" w:hAnsi="Arial"/>
                <w:sz w:val="18"/>
                <w:szCs w:val="18"/>
                <w:b w:val="1"/>
                <w:bCs w:val="1"/>
                <w:color w:val="auto"/>
                <w:w w:val="92"/>
              </w:rPr>
              <w:t>7.</w:t>
            </w:r>
          </w:p>
        </w:tc>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Calculation Agent:</w:t>
            </w:r>
          </w:p>
        </w:tc>
        <w:tc>
          <w:tcPr>
            <w:tcW w:w="2300" w:type="dxa"/>
            <w:vAlign w:val="bottom"/>
          </w:tcPr>
          <w:p>
            <w:pPr>
              <w:spacing w:after="0"/>
              <w:rPr>
                <w:sz w:val="24"/>
                <w:szCs w:val="24"/>
                <w:color w:val="auto"/>
              </w:rPr>
            </w:pPr>
          </w:p>
        </w:tc>
      </w:tr>
    </w:tbl>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The party specified as such in the Agreement, or if not specified therein, DBAG.</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Representations</w:t>
      </w:r>
    </w:p>
    <w:p>
      <w:pPr>
        <w:spacing w:after="0" w:line="8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Counterparty, if it is a nonresident alien individual, foreign corporation, foreign partnership, foreign trust, or foreign estate, represents that it is a foreign person for purposes of US Treasury regulations relating to information reporting and backup withholding.</w:t>
      </w:r>
    </w:p>
    <w:p>
      <w:pPr>
        <w:spacing w:after="0" w:line="118"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Each party will be deemed to represent to the other party on the date on which it enters into this Transaction that (absent a written agreement between the parties that expressly imposes affirmative obligations to the contrary for this Transaction):</w:t>
      </w:r>
    </w:p>
    <w:p>
      <w:pPr>
        <w:spacing w:after="0" w:line="31" w:lineRule="exact"/>
        <w:rPr>
          <w:sz w:val="20"/>
          <w:szCs w:val="20"/>
          <w:color w:val="auto"/>
        </w:rPr>
      </w:pPr>
    </w:p>
    <w:p>
      <w:pPr>
        <w:ind w:left="460" w:firstLine="4"/>
        <w:spacing w:after="0" w:line="293" w:lineRule="auto"/>
        <w:tabs>
          <w:tab w:leader="none" w:pos="67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Non-Reliance. </w:t>
      </w:r>
      <w:r>
        <w:rPr>
          <w:rFonts w:ascii="Arial" w:cs="Arial" w:eastAsia="Arial" w:hAnsi="Arial"/>
          <w:sz w:val="16"/>
          <w:szCs w:val="16"/>
          <w:color w:val="auto"/>
        </w:rPr>
        <w:t>It is acting for its own account, and it has made its own independent decisions to enter into this Transaction and as to whether this</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is appropriate or proper for it based upon its own judgement and upon advice from such advisers as it has deemed necessary. It is not relying on any communication (written or oral) of the other party as investment advice or as a recommendation to enter into this Transaction; it being understood that information and explanations related to the terms and conditions of this Transaction shall not be considered investment advice or a recommendation to enter into this Transaction. No communication (written or oral) received from the other party shall be deemed to be an assurance or guarantee as to the expected results of this Transaction.</w:t>
      </w:r>
    </w:p>
    <w:p>
      <w:pPr>
        <w:spacing w:after="0" w:line="16" w:lineRule="exact"/>
        <w:rPr>
          <w:rFonts w:ascii="Arial" w:cs="Arial" w:eastAsia="Arial" w:hAnsi="Arial"/>
          <w:sz w:val="16"/>
          <w:szCs w:val="16"/>
          <w:color w:val="auto"/>
        </w:rPr>
      </w:pPr>
    </w:p>
    <w:p>
      <w:pPr>
        <w:ind w:left="460" w:right="360" w:firstLine="4"/>
        <w:spacing w:after="0" w:line="262" w:lineRule="auto"/>
        <w:tabs>
          <w:tab w:leader="none" w:pos="718"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Assessment and Understanding. </w:t>
      </w:r>
      <w:r>
        <w:rPr>
          <w:rFonts w:ascii="Arial" w:cs="Arial" w:eastAsia="Arial" w:hAnsi="Arial"/>
          <w:sz w:val="18"/>
          <w:szCs w:val="18"/>
          <w:color w:val="auto"/>
        </w:rPr>
        <w:t>It is capable of assessing the merits of and understanding (on its own behalf or through independent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advice), and understands and accepts, the terms, conditions and risks of this Transaction. It is also capable of assuming, and assumes, the risks of this Transaction.</w:t>
      </w:r>
    </w:p>
    <w:p>
      <w:pPr>
        <w:spacing w:after="0" w:line="37" w:lineRule="exact"/>
        <w:rPr>
          <w:rFonts w:ascii="Arial" w:cs="Arial" w:eastAsia="Arial" w:hAnsi="Arial"/>
          <w:sz w:val="18"/>
          <w:szCs w:val="18"/>
          <w:color w:val="auto"/>
        </w:rPr>
      </w:pPr>
    </w:p>
    <w:p>
      <w:pPr>
        <w:ind w:left="780" w:hanging="31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Status of Parties. </w:t>
      </w:r>
      <w:r>
        <w:rPr>
          <w:rFonts w:ascii="Arial" w:cs="Arial" w:eastAsia="Arial" w:hAnsi="Arial"/>
          <w:sz w:val="18"/>
          <w:szCs w:val="18"/>
          <w:color w:val="auto"/>
        </w:rPr>
        <w:t>The other party is not acting as a fiduciary for, or an adviser to it in respect of this Transaction.</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6" w:name="page47"/>
    <w:bookmarkEnd w:id="46"/>
    <w:p>
      <w:pPr>
        <w:ind w:firstLine="8"/>
        <w:spacing w:after="0" w:line="268" w:lineRule="auto"/>
        <w:tabs>
          <w:tab w:leader="none" w:pos="176"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confirm that the foregoing correctly sets forth the terms of our agreement by having an authorized officer sign this Confirmation and return it via facsimile or e-mail to:</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Derivative Documentation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44 20 7547 4755</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Facsimile: 44 20 7545 9761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E-mail: Derivative.Documentation@db.com</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This message will be the only form of Confirmation dispatched by us. If you wish to exchange hard copy forms of this Confirmation, please contact 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Yours sincerely,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Deutsche Bank 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156845</wp:posOffset>
            </wp:positionV>
            <wp:extent cx="1861185" cy="76327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86118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Name: Gaby Bolton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144145</wp:posOffset>
            </wp:positionV>
            <wp:extent cx="1577975" cy="660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5779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Name: Jamie Hunt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written above: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156845</wp:posOffset>
            </wp:positionV>
            <wp:extent cx="1543685" cy="3943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543685" cy="39433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Name: Robert Krakauer</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CFO</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240" w:top="280" w:right="8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Youm Huh, certify that:</w:t>
      </w:r>
    </w:p>
    <w:p>
      <w:pPr>
        <w:spacing w:after="0" w:line="158"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sz w:val="20"/>
          <w:szCs w:val="20"/>
          <w:color w:val="auto"/>
        </w:rPr>
      </w:pPr>
    </w:p>
    <w:p>
      <w:pPr>
        <w:ind w:left="460" w:right="40" w:firstLine="4"/>
        <w:spacing w:after="0" w:line="259"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sz w:val="20"/>
          <w:szCs w:val="20"/>
          <w:color w:val="auto"/>
        </w:rPr>
      </w:pPr>
    </w:p>
    <w:p>
      <w:pPr>
        <w:ind w:left="460" w:right="120" w:firstLine="4"/>
        <w:spacing w:after="0" w:line="325" w:lineRule="auto"/>
        <w:tabs>
          <w:tab w:leader="none" w:pos="709"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720" w:firstLine="8"/>
        <w:spacing w:after="0" w:line="325"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460" w:right="140" w:firstLine="4"/>
        <w:spacing w:after="0" w:line="268"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60" w:firstLine="4"/>
        <w:spacing w:after="0" w:line="268" w:lineRule="auto"/>
        <w:tabs>
          <w:tab w:leader="none" w:pos="65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2005</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Youm Huh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158" w:lineRule="exact"/>
        <w:rPr>
          <w:sz w:val="20"/>
          <w:szCs w:val="20"/>
          <w:color w:val="auto"/>
        </w:rPr>
      </w:pPr>
    </w:p>
    <w:p>
      <w:pPr>
        <w:ind w:left="180" w:hanging="172"/>
        <w:spacing w:after="0"/>
        <w:tabs>
          <w:tab w:leader="none" w:pos="1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57"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1"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8"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37"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460" w:right="120" w:firstLine="4"/>
        <w:spacing w:after="0" w:line="325" w:lineRule="auto"/>
        <w:tabs>
          <w:tab w:leader="none" w:pos="70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8"/>
          <w:szCs w:val="18"/>
          <w:color w:val="auto"/>
        </w:rPr>
      </w:pPr>
    </w:p>
    <w:p>
      <w:pPr>
        <w:ind w:right="720" w:firstLine="8"/>
        <w:spacing w:after="0" w:line="325" w:lineRule="auto"/>
        <w:tabs>
          <w:tab w:leader="none" w:pos="17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sz w:val="20"/>
          <w:szCs w:val="20"/>
          <w:color w:val="auto"/>
        </w:rPr>
      </w:pPr>
    </w:p>
    <w:p>
      <w:pPr>
        <w:ind w:left="460" w:right="140" w:firstLine="4"/>
        <w:spacing w:after="0" w:line="268"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460" w:right="360" w:firstLine="4"/>
        <w:spacing w:after="0" w:line="268" w:lineRule="auto"/>
        <w:tabs>
          <w:tab w:leader="none" w:pos="65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6, 2005</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788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Strategic Operations, and Chief Financial Officer</w:t>
      </w:r>
    </w:p>
    <w:p>
      <w:pPr>
        <w:sectPr>
          <w:pgSz w:w="11900" w:h="16838" w:orient="portrait"/>
          <w:cols w:equalWidth="0" w:num="1">
            <w:col w:w="11420"/>
          </w:cols>
          <w:pgMar w:left="240" w:top="125"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July 3, 2005 as filed with the Securities and Exchange Commission on the date hereof (the “Report”), I, Youm Huh, Chief Executive Officer and President of the Company, certify, pursuant to 18 U.S.C. §1350, as adopted pursuant to §906 of the Sarbanes-Oxley Act of 2002, that to my knowledge:</w:t>
      </w:r>
    </w:p>
    <w:p>
      <w:pPr>
        <w:spacing w:after="0" w:line="93" w:lineRule="exact"/>
        <w:rPr>
          <w:sz w:val="20"/>
          <w:szCs w:val="20"/>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Youm Huh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2005</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July 3, 2005 as filed with the Securities and Exchange Commission on the date hereof (the “Report”), I, Robert J. Krakauer, Executive Vice President, Strategic Operations, and Chief Financial Officer of the Company, certify, pursuant to 18 U.S.C. §1350, as adopted pursuant to §906 of the Sarbanes-Oxley Act of 2002, that to my knowledge:</w:t>
      </w:r>
    </w:p>
    <w:p>
      <w:pPr>
        <w:spacing w:after="0" w:line="93" w:lineRule="exact"/>
        <w:rPr>
          <w:sz w:val="20"/>
          <w:szCs w:val="20"/>
          <w:color w:val="auto"/>
        </w:rPr>
      </w:pPr>
    </w:p>
    <w:p>
      <w:pPr>
        <w:ind w:left="720" w:hanging="256"/>
        <w:spacing w:after="0"/>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3788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Strategic Operations,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6, 2005</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0"/>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2"/>
    </w:lvl>
  </w:abstractNum>
  <w:abstractNum w:abstractNumId="7">
    <w:nsid w:val="109CF92E"/>
    <w:multiLevelType w:val="hybridMultilevel"/>
    <w:lvl w:ilvl="0">
      <w:lvlJc w:val="left"/>
      <w:lvlText w:val="(%1)"/>
      <w:numFmt w:val="lowerRoman"/>
      <w:start w:val="1"/>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decimal"/>
      <w:start w:val="9"/>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1"/>
    </w:lvl>
    <w:lvl w:ilvl="1">
      <w:lvlJc w:val="left"/>
      <w:lvlText w:val="(%2)"/>
      <w:numFmt w:val="lowerLetter"/>
      <w:start w:val="2"/>
    </w:lvl>
  </w:abstractNum>
  <w:abstractNum w:abstractNumId="13">
    <w:nsid w:val="4E6AFB66"/>
    <w:multiLevelType w:val="hybridMultilevel"/>
    <w:lvl w:ilvl="0">
      <w:lvlJc w:val="left"/>
      <w:lvlText w:val="%1."/>
      <w:numFmt w:val="decimal"/>
      <w:start w:val="5"/>
    </w:lvl>
    <w:lvl w:ilvl="1">
      <w:lvlJc w:val="left"/>
      <w:lvlText w:val="%2"/>
      <w:numFmt w:val="lowerLetter"/>
      <w:start w:val="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2019-12-12T04:36:31Z</dcterms:created>
  <dcterms:modified xsi:type="dcterms:W3CDTF">2019-12-12T04:36:31Z</dcterms:modified>
</cp:coreProperties>
</file>