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820" w:right="4660" w:firstLine="252"/>
        <w:spacing w:after="0" w:line="448" w:lineRule="auto"/>
        <w:tabs>
          <w:tab w:leader="none" w:pos="524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240.13d-2(a) (Amendment No. 8)</w:t>
      </w:r>
      <w:r>
        <w:rPr>
          <w:rFonts w:ascii="Times New Roman" w:cs="Times New Roman" w:eastAsia="Times New Roman" w:hAnsi="Times New Roman"/>
          <w:sz w:val="11"/>
          <w:szCs w:val="11"/>
          <w:color w:val="auto"/>
        </w:rPr>
        <w:t>1</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MagnaChip Semiconductor Corporation</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(Name of Issuer)</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Common Stock, $0.01 par value per share</w:t>
      </w:r>
    </w:p>
    <w:p>
      <w:pPr>
        <w:spacing w:after="0" w:line="2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82"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22"/>
          <w:szCs w:val="22"/>
          <w:u w:val="single" w:color="auto"/>
          <w:color w:val="auto"/>
        </w:rPr>
        <w:t>55933J203</w:t>
      </w:r>
    </w:p>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GLENN W. WELLING</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ENGAGED CAPITAL, LLC</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610 Newport Center Drive, Suite 250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Newport Beach, California 92660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(949) 734-7900</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STEVE WOLOSKY</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(212) 451-2300</w:t>
      </w:r>
    </w:p>
    <w:p>
      <w:pPr>
        <w:jc w:val="center"/>
        <w:ind w:right="-159"/>
        <w:spacing w:after="0" w:line="235"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July 13, 2017</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10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7" w:lineRule="exact"/>
        <w:rPr>
          <w:sz w:val="24"/>
          <w:szCs w:val="24"/>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ind w:right="40"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1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Engaged Capital Flagship Master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 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CAYMAN ISLANDS</w:t>
            </w: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1,926,408*</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1,926,408*</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1,926,408*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4" w:lineRule="exact"/>
        <w:rPr>
          <w:sz w:val="20"/>
          <w:szCs w:val="20"/>
          <w:color w:val="auto"/>
        </w:rPr>
      </w:pPr>
    </w:p>
    <w:p>
      <w:pPr>
        <w:ind w:left="5660" w:right="5540" w:hanging="5652"/>
        <w:spacing w:after="0" w:line="247" w:lineRule="auto"/>
        <w:tabs>
          <w:tab w:leader="none" w:pos="119"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544,674 Shares issuable upon the conversion of the Convertible Notes.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Engaged Capital Flagship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1,926,408*</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1,926,408*</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1,926,408*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ind w:left="5660" w:right="5540" w:hanging="5652"/>
        <w:spacing w:after="0" w:line="247" w:lineRule="auto"/>
        <w:tabs>
          <w:tab w:leader="none" w:pos="119"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544,674 Shares issuable upon the conversion of the Convertible Notes.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Engaged Capital Flagship Fund,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CAYMAN ISLANDS</w:t>
            </w: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1,926,408*</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1,926,408*</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1,926,408*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ind w:left="5660" w:right="5540" w:hanging="5652"/>
        <w:spacing w:after="0" w:line="247" w:lineRule="auto"/>
        <w:tabs>
          <w:tab w:leader="none" w:pos="119"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544,674 Shares issuable upon the conversion of the Convertible Notes.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Engaged Capital,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2,107,005*</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2,107,005*</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2,107,005*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ind w:left="5660" w:right="5540" w:hanging="5652"/>
        <w:spacing w:after="0" w:line="247" w:lineRule="auto"/>
        <w:tabs>
          <w:tab w:leader="none" w:pos="119"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605,693 Shares issuable upon the conversion of the Convertible Notes.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240665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Engaged Capital Holdings,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2,107,005*</w:t>
            </w:r>
          </w:p>
        </w:tc>
        <w:tc>
          <w:tcPr>
            <w:tcW w:w="1260" w:type="dxa"/>
            <w:vAlign w:val="bottom"/>
            <w:tcBorders>
              <w:bottom w:val="single" w:sz="8" w:color="auto"/>
            </w:tcBorders>
          </w:tcPr>
          <w:p>
            <w:pPr>
              <w:spacing w:after="0"/>
              <w:rPr>
                <w:sz w:val="20"/>
                <w:szCs w:val="20"/>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2,107,005*</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2,107,005*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-5336540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5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6.1%*</w:t>
      </w:r>
    </w:p>
    <w:p>
      <w:pPr>
        <w:spacing w:after="0" w:line="27" w:lineRule="exact"/>
        <w:rPr>
          <w:sz w:val="20"/>
          <w:szCs w:val="20"/>
          <w:color w:val="auto"/>
        </w:rPr>
      </w:pPr>
    </w:p>
    <w:p>
      <w:pPr>
        <w:ind w:left="2340" w:right="7040" w:hanging="1551"/>
        <w:spacing w:after="0" w:line="527" w:lineRule="auto"/>
        <w:tabs>
          <w:tab w:leader="none" w:pos="18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56" w:lineRule="exact"/>
        <w:rPr>
          <w:rFonts w:ascii="Times New Roman" w:cs="Times New Roman" w:eastAsia="Times New Roman" w:hAnsi="Times New Roman"/>
          <w:sz w:val="18"/>
          <w:szCs w:val="18"/>
          <w:color w:val="auto"/>
        </w:rPr>
      </w:pPr>
    </w:p>
    <w:p>
      <w:pPr>
        <w:ind w:left="5660" w:right="5540" w:hanging="5661"/>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Includes 605,693 Shares issuable upon the conversion of the Convertible Notes.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-864870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-582295</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-582295</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-582295</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Glenn W. Welling</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2,107,005*</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2,107,005*</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2,107,005*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ind w:left="5660" w:right="5540" w:hanging="5652"/>
        <w:spacing w:after="0" w:line="247" w:lineRule="auto"/>
        <w:tabs>
          <w:tab w:leader="none" w:pos="119"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605,693 Shares issuable upon the conversion of the Convertible Notes.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117"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The following constitutes Amendment No. 8 to the Schedule 13D filed by the undersigned (“Amendment No. 8”). This Amendment No. 8 amends the Schedule 13D as specifically set forth herein.</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3 is hereby amended and restated to read as follows:</w:t>
      </w:r>
    </w:p>
    <w:p>
      <w:pPr>
        <w:spacing w:after="0" w:line="225"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The securities owned by Engaged Capital Flagship Master and held in the Engaged Capital Account were purchased with working capital (which may, at any given time, include margin loans made by brokerage firms in the ordinary course of business) in open market purchases, except as has been otherwise noted. The aggregate purchase price of the 1,381,734 Shares directly beneficially owned by Engaged Capital Flagship Master is approximately $7,703,652, including brokerage commissions. The aggregate purchase price of the 119,578 Shares held in the Engaged Capital Account is approximately $658,982, including brokerage commissions.</w:t>
      </w:r>
    </w:p>
    <w:p>
      <w:pPr>
        <w:spacing w:after="0" w:line="184"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Engaged Capital Flagship Master purchased $4,496,288 principal amount of the Issuer’s 5.00% Exchangeable Senior Notes due 2021 (the “Convertible Notes”) that are convertible to 544,674 Shares. The Engaged Capital Account purchased $503,712 principal amount of the Convertible Notes that are convertible to 61,019 Shares. The Convertible Notes have an exercise price of approximately $8.2550 per Share, subject to adjustment in certain circumstances, and will expire on March 1, 2021.</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Items 5(a) – (c) are hereby amended and restated to read as follows:</w:t>
      </w:r>
    </w:p>
    <w:p>
      <w:pPr>
        <w:spacing w:after="0" w:line="225" w:lineRule="exact"/>
        <w:rPr>
          <w:sz w:val="20"/>
          <w:szCs w:val="20"/>
          <w:color w:val="auto"/>
        </w:rPr>
      </w:pPr>
    </w:p>
    <w:p>
      <w:pPr>
        <w:jc w:val="both"/>
        <w:ind w:firstLine="1305"/>
        <w:spacing w:after="0" w:line="266" w:lineRule="auto"/>
        <w:tabs>
          <w:tab w:leader="none" w:pos="18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percentage of Shares reported owned by each person named herein is based upon 33,956,021 Shares outstanding as of May 25, 2017, which is the total number of Shares outstanding as reported in the Issuer’s definitive proxy statement filed with the Securities and Exchange Commission on May 31, 2017.</w:t>
      </w:r>
    </w:p>
    <w:p>
      <w:pPr>
        <w:spacing w:after="0" w:line="176"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As of the close of business on July 17, 2017, Engaged Capital Flagship Master beneficially owned 1,926,408 Shares, including 544,674 Shares issuable upon the conversion of the Convertible Notes, constituting approximately 5.6% of the Shares outstanding. Each of Engaged Capital Fund and Engaged Capital Offshore, as feeder funds of Engaged Capital Flagship Master, may be deemed to beneficially own the 1,926,408 Shares beneficially owned directly by Engaged Capital Flagship Master, constituting approximately 5.6% of the Shares outstanding.</w:t>
      </w:r>
    </w:p>
    <w:p>
      <w:pPr>
        <w:spacing w:after="0" w:line="180"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As of the close of business on July 17, 2017, 180,597 Shares were held in the Engaged Capital Account, including 61,019 Shares issuable upon the conversion of the Convertible Notes, constituting less than 1% of the Shares outstanding.</w:t>
      </w:r>
    </w:p>
    <w:p>
      <w:pPr>
        <w:spacing w:after="0" w:line="162"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Engaged Capital Flagship Master and the Engaged Capital Account own Convertible Notes convertible into 544,674 Shares and 61,019 Shares, respectively. The Convertible Notes are subject to a blocker provision that precludes the holders from converting the Convertible Notes to the extent that the holder and its affiliates would beneficially own (as determined in accordance with Section 13(d) of the Securities Exchange Act of 1934, as amended (the “Exchange Act”)) in excess of 9.99% of the Shares outstanding immediately after giving effect to such conversion. The Reporting Persons’ aggregate beneficial ownership is under 9.99% and accordingly includes all 605,693 Shares underlying the Convertible Notes.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22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Engaged Capital, as the general partner and investment adviser of Engaged Capital Flagship Master and the investment adviser of the Engaged Capital Account, may be deemed to beneficially own the 2,107,005 Shares directly beneficially owned in the aggregate by Engaged Capital Flagship Master and held in the Engaged Capital Account, constituting approximately 6.1% of the Shares outstanding. Engaged Holdings, as the managing member of Engaged Capital, may be deemed to beneficially own the 2,107,005 Shares directly beneficially owned in the aggregate by Engaged Capital Flagship Master and held in the Engaged Capital Account, constituting approximately 6.1% of the Shares outstanding. Mr. Welling, as the Founder and CIO of Engaged Capital and sole member of Engaged Holdings, may be deemed to beneficially own the 2,107,005 Shares directly beneficially owned in the aggregate by Engaged Capital Flagship Master and held in the Engaged Capital Account, constituting approximately 6.1% of the Shares outstanding.</w:t>
      </w:r>
    </w:p>
    <w:p>
      <w:pPr>
        <w:spacing w:after="0" w:line="189"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Each of the Reporting Persons, as a member of a “group” with the other Reporting Persons for purposes of the Exchange Act, may be deemed to beneficially own the securities of the Issuer beneficially owned by the other Reporting Persons. The filing of this Schedule 13D shall not be deemed an admission that the Reporting Persons are, for purposes of Section 13(d) of the Exchange Act, the beneficial owners of any securities of the Issuer he or it does not directly own. Each of the Reporting Persons specifically disclaims beneficial ownership of the securities reported herein that he or it does not directly own.</w:t>
      </w:r>
    </w:p>
    <w:p>
      <w:pPr>
        <w:spacing w:after="0" w:line="184" w:lineRule="exact"/>
        <w:rPr>
          <w:sz w:val="20"/>
          <w:szCs w:val="20"/>
          <w:color w:val="auto"/>
        </w:rPr>
      </w:pPr>
    </w:p>
    <w:p>
      <w:pPr>
        <w:jc w:val="both"/>
        <w:ind w:firstLine="1305"/>
        <w:spacing w:after="0" w:line="266" w:lineRule="auto"/>
        <w:tabs>
          <w:tab w:leader="none" w:pos="1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their respective positions with Engaged Capital Flagship Master, each of Engaged Capital Fund, Engaged Capital Offshore, Engaged Capital, Engaged Holdings and Mr. Welling may be deemed to have sole power to vote and dispose of the Shares reported owned by Engaged Capital Flagship Master.</w:t>
      </w:r>
    </w:p>
    <w:p>
      <w:pPr>
        <w:spacing w:after="0" w:line="176"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By virtue of their respective positions with the Engaged Capital Account, each of Engaged Capital, Engaged Holdings and Mr. Welling may be deemed to have sole power to vote and dispose of the Shares held in the Engaged Capital Account.</w:t>
      </w:r>
    </w:p>
    <w:p>
      <w:pPr>
        <w:spacing w:after="0" w:line="162" w:lineRule="exact"/>
        <w:rPr>
          <w:sz w:val="20"/>
          <w:szCs w:val="20"/>
          <w:color w:val="auto"/>
        </w:rPr>
      </w:pPr>
    </w:p>
    <w:p>
      <w:pPr>
        <w:ind w:firstLine="1305"/>
        <w:spacing w:after="0" w:line="282" w:lineRule="auto"/>
        <w:tabs>
          <w:tab w:leader="none" w:pos="18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annexed hereto lists all transactions in securities of the Issuer by the Reporting Persons since the filing of Amendment No. 7 to the Schedule 13D. All of such transactions were effected in the open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17, 2017</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Engaged Capital Flagship Master Fund,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Engaged Capital, LLC</w:t>
            </w:r>
          </w:p>
        </w:tc>
      </w:tr>
      <w:tr>
        <w:trPr>
          <w:trHeight w:val="234"/>
        </w:trPr>
        <w:tc>
          <w:tcPr>
            <w:tcW w:w="46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 Glenn W. Welling</w:t>
            </w:r>
          </w:p>
        </w:tc>
      </w:tr>
      <w:tr>
        <w:trPr>
          <w:trHeight w:val="191"/>
        </w:trPr>
        <w:tc>
          <w:tcPr>
            <w:tcW w:w="460" w:type="dxa"/>
            <w:vAlign w:val="bottom"/>
          </w:tcPr>
          <w:p>
            <w:pPr>
              <w:spacing w:after="0"/>
              <w:rPr>
                <w:sz w:val="16"/>
                <w:szCs w:val="16"/>
                <w:color w:val="auto"/>
              </w:rPr>
            </w:pPr>
          </w:p>
        </w:tc>
        <w:tc>
          <w:tcPr>
            <w:tcW w:w="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Glenn W. Welling</w:t>
            </w:r>
          </w:p>
        </w:tc>
      </w:tr>
      <w:tr>
        <w:trPr>
          <w:trHeight w:val="234"/>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Founder and Chief Investment Officer</w:t>
            </w:r>
          </w:p>
        </w:tc>
      </w:tr>
      <w:tr>
        <w:trPr>
          <w:trHeight w:val="648"/>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Engaged Capital Flagship Fund,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Engaged Capital, LLC</w:t>
            </w:r>
          </w:p>
        </w:tc>
      </w:tr>
      <w:tr>
        <w:trPr>
          <w:trHeight w:val="234"/>
        </w:trPr>
        <w:tc>
          <w:tcPr>
            <w:tcW w:w="46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 Glenn W. Welling</w:t>
            </w:r>
          </w:p>
        </w:tc>
      </w:tr>
      <w:tr>
        <w:trPr>
          <w:trHeight w:val="191"/>
        </w:trPr>
        <w:tc>
          <w:tcPr>
            <w:tcW w:w="460" w:type="dxa"/>
            <w:vAlign w:val="bottom"/>
          </w:tcPr>
          <w:p>
            <w:pPr>
              <w:spacing w:after="0"/>
              <w:rPr>
                <w:sz w:val="16"/>
                <w:szCs w:val="16"/>
                <w:color w:val="auto"/>
              </w:rPr>
            </w:pPr>
          </w:p>
        </w:tc>
        <w:tc>
          <w:tcPr>
            <w:tcW w:w="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Glenn W. Welling</w:t>
            </w:r>
          </w:p>
        </w:tc>
      </w:tr>
      <w:tr>
        <w:trPr>
          <w:trHeight w:val="234"/>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Founder and Chief Investment Officer</w:t>
            </w:r>
          </w:p>
        </w:tc>
      </w:tr>
      <w:tr>
        <w:trPr>
          <w:trHeight w:val="864"/>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Engaged Capital Flagship Fund, Ltd.</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 Glenn W. Welling</w:t>
            </w:r>
          </w:p>
        </w:tc>
      </w:tr>
      <w:tr>
        <w:trPr>
          <w:trHeight w:val="191"/>
        </w:trPr>
        <w:tc>
          <w:tcPr>
            <w:tcW w:w="460" w:type="dxa"/>
            <w:vAlign w:val="bottom"/>
          </w:tcPr>
          <w:p>
            <w:pPr>
              <w:spacing w:after="0"/>
              <w:rPr>
                <w:sz w:val="16"/>
                <w:szCs w:val="16"/>
                <w:color w:val="auto"/>
              </w:rPr>
            </w:pPr>
          </w:p>
        </w:tc>
        <w:tc>
          <w:tcPr>
            <w:tcW w:w="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Glenn W. Welling</w:t>
            </w:r>
          </w:p>
        </w:tc>
      </w:tr>
      <w:tr>
        <w:trPr>
          <w:trHeight w:val="234"/>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Engaged Capital, LLC</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 Glenn W. Welling</w:t>
            </w:r>
          </w:p>
        </w:tc>
      </w:tr>
      <w:tr>
        <w:trPr>
          <w:trHeight w:val="191"/>
        </w:trPr>
        <w:tc>
          <w:tcPr>
            <w:tcW w:w="460" w:type="dxa"/>
            <w:vAlign w:val="bottom"/>
          </w:tcPr>
          <w:p>
            <w:pPr>
              <w:spacing w:after="0"/>
              <w:rPr>
                <w:sz w:val="16"/>
                <w:szCs w:val="16"/>
                <w:color w:val="auto"/>
              </w:rPr>
            </w:pPr>
          </w:p>
        </w:tc>
        <w:tc>
          <w:tcPr>
            <w:tcW w:w="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Glenn W. Welling</w:t>
            </w:r>
          </w:p>
        </w:tc>
      </w:tr>
      <w:tr>
        <w:trPr>
          <w:trHeight w:val="234"/>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Founder and Chief Investment Officer</w:t>
            </w:r>
          </w:p>
        </w:tc>
      </w:tr>
      <w:tr>
        <w:trPr>
          <w:trHeight w:val="864"/>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Engaged Capital Holdings, LLC</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 Glenn W. Welling</w:t>
            </w:r>
          </w:p>
        </w:tc>
      </w:tr>
      <w:tr>
        <w:trPr>
          <w:trHeight w:val="191"/>
        </w:trPr>
        <w:tc>
          <w:tcPr>
            <w:tcW w:w="460" w:type="dxa"/>
            <w:vAlign w:val="bottom"/>
          </w:tcPr>
          <w:p>
            <w:pPr>
              <w:spacing w:after="0"/>
              <w:rPr>
                <w:sz w:val="16"/>
                <w:szCs w:val="16"/>
                <w:color w:val="auto"/>
              </w:rPr>
            </w:pPr>
          </w:p>
        </w:tc>
        <w:tc>
          <w:tcPr>
            <w:tcW w:w="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Glenn W. Welling</w:t>
            </w:r>
          </w:p>
        </w:tc>
      </w:tr>
      <w:tr>
        <w:trPr>
          <w:trHeight w:val="234"/>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Sole Member</w:t>
            </w:r>
          </w:p>
        </w:tc>
      </w:tr>
    </w:tbl>
    <w:p>
      <w:pPr>
        <w:spacing w:after="0" w:line="200" w:lineRule="exact"/>
        <w:rPr>
          <w:sz w:val="20"/>
          <w:szCs w:val="20"/>
          <w:color w:val="auto"/>
        </w:rPr>
      </w:pPr>
    </w:p>
    <w:p>
      <w:pPr>
        <w:spacing w:after="0" w:line="2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Glenn W. Welling</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55933J203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Securities of the Issuer Since the Filing of Amendment No. 7 to the Schedule 13D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color w:val="auto"/>
              </w:rPr>
              <w:t>Securities</w:t>
            </w:r>
          </w:p>
        </w:tc>
        <w:tc>
          <w:tcPr>
            <w:tcW w:w="110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Price Per</w:t>
            </w:r>
          </w:p>
        </w:tc>
        <w:tc>
          <w:tcPr>
            <w:tcW w:w="1520" w:type="dxa"/>
            <w:vAlign w:val="bottom"/>
          </w:tcPr>
          <w:p>
            <w:pPr>
              <w:spacing w:after="0"/>
              <w:rPr>
                <w:sz w:val="18"/>
                <w:szCs w:val="18"/>
                <w:color w:val="auto"/>
              </w:rPr>
            </w:pPr>
          </w:p>
        </w:tc>
        <w:tc>
          <w:tcPr>
            <w:tcW w:w="19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2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u w:val="single" w:color="auto"/>
                <w:color w:val="auto"/>
                <w:w w:val="99"/>
              </w:rPr>
              <w:t>Share($</w:t>
            </w:r>
            <w:r>
              <w:rPr>
                <w:rFonts w:ascii="Times New Roman" w:cs="Times New Roman" w:eastAsia="Times New Roman" w:hAnsi="Times New Roman"/>
                <w:sz w:val="18"/>
                <w:szCs w:val="18"/>
                <w:color w:val="auto"/>
                <w:w w:val="99"/>
              </w:rPr>
              <w:t>)</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80" w:type="dxa"/>
            <w:vAlign w:val="bottom"/>
            <w:gridSpan w:val="2"/>
          </w:tcPr>
          <w:p>
            <w:pPr>
              <w:jc w:val="center"/>
              <w:ind w:right="880"/>
              <w:spacing w:after="0" w:line="194" w:lineRule="exact"/>
              <w:rPr>
                <w:sz w:val="20"/>
                <w:szCs w:val="20"/>
                <w:color w:val="auto"/>
              </w:rPr>
            </w:pPr>
            <w:r>
              <w:rPr>
                <w:rFonts w:ascii="Times New Roman" w:cs="Times New Roman" w:eastAsia="Times New Roman" w:hAnsi="Times New Roman"/>
                <w:sz w:val="18"/>
                <w:szCs w:val="18"/>
                <w:color w:val="auto"/>
                <w:w w:val="99"/>
              </w:rPr>
              <w:t>Purchase / Sale</w:t>
            </w:r>
          </w:p>
        </w:tc>
      </w:tr>
      <w:tr>
        <w:trPr>
          <w:trHeight w:val="20"/>
        </w:trPr>
        <w:tc>
          <w:tcPr>
            <w:tcW w:w="5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0" w:type="dxa"/>
            <w:vAlign w:val="bottom"/>
            <w:gridSpan w:val="10"/>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ENGAGED CAPITAL FLAGSHIP MASTER FUND, LP</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gridSpan w:val="4"/>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8"/>
              </w:rPr>
              <w:t>(4,300)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10.0095</w:t>
            </w:r>
          </w:p>
        </w:tc>
        <w:tc>
          <w:tcPr>
            <w:tcW w:w="4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07/07/2017</w:t>
            </w:r>
          </w:p>
        </w:tc>
        <w:tc>
          <w:tcPr>
            <w:tcW w:w="88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color w:val="auto"/>
              </w:rPr>
              <w:t>(32,400)</w:t>
            </w: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10.0018</w:t>
            </w:r>
          </w:p>
        </w:tc>
        <w:tc>
          <w:tcPr>
            <w:tcW w:w="460" w:type="dxa"/>
            <w:vAlign w:val="bottom"/>
          </w:tcPr>
          <w:p>
            <w:pPr>
              <w:spacing w:after="0"/>
              <w:rPr>
                <w:sz w:val="18"/>
                <w:szCs w:val="18"/>
                <w:color w:val="auto"/>
              </w:rPr>
            </w:pPr>
          </w:p>
        </w:tc>
        <w:tc>
          <w:tcPr>
            <w:tcW w:w="26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07/10/2017</w:t>
            </w:r>
          </w:p>
        </w:tc>
        <w:tc>
          <w:tcPr>
            <w:tcW w:w="88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000" w:type="dxa"/>
            <w:vAlign w:val="bottom"/>
            <w:gridSpan w:val="5"/>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(267,225)</w:t>
            </w:r>
          </w:p>
        </w:tc>
        <w:tc>
          <w:tcPr>
            <w:tcW w:w="1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4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07/11/2017</w:t>
            </w:r>
          </w:p>
        </w:tc>
        <w:tc>
          <w:tcPr>
            <w:tcW w:w="88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00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color w:val="auto"/>
                <w:w w:val="99"/>
              </w:rPr>
              <w:t>(190,300)</w:t>
            </w:r>
          </w:p>
        </w:tc>
        <w:tc>
          <w:tcPr>
            <w:tcW w:w="190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10.9706</w:t>
            </w:r>
          </w:p>
        </w:tc>
        <w:tc>
          <w:tcPr>
            <w:tcW w:w="460" w:type="dxa"/>
            <w:vAlign w:val="bottom"/>
          </w:tcPr>
          <w:p>
            <w:pPr>
              <w:spacing w:after="0"/>
              <w:rPr>
                <w:sz w:val="18"/>
                <w:szCs w:val="18"/>
                <w:color w:val="auto"/>
              </w:rPr>
            </w:pPr>
          </w:p>
        </w:tc>
        <w:tc>
          <w:tcPr>
            <w:tcW w:w="26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07/13/2017</w:t>
            </w:r>
          </w:p>
        </w:tc>
        <w:tc>
          <w:tcPr>
            <w:tcW w:w="88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000" w:type="dxa"/>
            <w:vAlign w:val="bottom"/>
            <w:gridSpan w:val="5"/>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(132,000)</w:t>
            </w:r>
          </w:p>
        </w:tc>
        <w:tc>
          <w:tcPr>
            <w:tcW w:w="1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10.9880</w:t>
            </w:r>
          </w:p>
        </w:tc>
        <w:tc>
          <w:tcPr>
            <w:tcW w:w="4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07/14/2017</w:t>
            </w:r>
          </w:p>
        </w:tc>
        <w:tc>
          <w:tcPr>
            <w:tcW w:w="880" w:type="dxa"/>
            <w:vAlign w:val="bottom"/>
            <w:shd w:val="clear" w:color="auto" w:fill="CCEEFF"/>
          </w:tcPr>
          <w:p>
            <w:pPr>
              <w:spacing w:after="0"/>
              <w:rPr>
                <w:sz w:val="18"/>
                <w:szCs w:val="18"/>
                <w:color w:val="auto"/>
              </w:rPr>
            </w:pPr>
          </w:p>
        </w:tc>
      </w:tr>
      <w:tr>
        <w:trPr>
          <w:trHeight w:val="234"/>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00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color w:val="auto"/>
                <w:w w:val="99"/>
              </w:rPr>
              <w:t>(119,600)</w:t>
            </w:r>
          </w:p>
        </w:tc>
        <w:tc>
          <w:tcPr>
            <w:tcW w:w="1900" w:type="dxa"/>
            <w:vAlign w:val="bottom"/>
          </w:tcPr>
          <w:p>
            <w:pPr>
              <w:spacing w:after="0"/>
              <w:rPr>
                <w:sz w:val="20"/>
                <w:szCs w:val="20"/>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11.2552</w:t>
            </w:r>
          </w:p>
        </w:tc>
        <w:tc>
          <w:tcPr>
            <w:tcW w:w="460" w:type="dxa"/>
            <w:vAlign w:val="bottom"/>
          </w:tcPr>
          <w:p>
            <w:pPr>
              <w:spacing w:after="0"/>
              <w:rPr>
                <w:sz w:val="20"/>
                <w:szCs w:val="20"/>
                <w:color w:val="auto"/>
              </w:rPr>
            </w:pPr>
          </w:p>
        </w:tc>
        <w:tc>
          <w:tcPr>
            <w:tcW w:w="26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07/17/2017</w:t>
            </w:r>
          </w:p>
        </w:tc>
        <w:tc>
          <w:tcPr>
            <w:tcW w:w="880" w:type="dxa"/>
            <w:vAlign w:val="bottom"/>
          </w:tcPr>
          <w:p>
            <w:pPr>
              <w:spacing w:after="0"/>
              <w:rPr>
                <w:sz w:val="20"/>
                <w:szCs w:val="20"/>
                <w:color w:val="auto"/>
              </w:rPr>
            </w:pPr>
          </w:p>
        </w:tc>
      </w:tr>
      <w:tr>
        <w:trPr>
          <w:trHeight w:val="589"/>
        </w:trPr>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ENGAGED CAPITAL, LLC</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60" w:type="dxa"/>
            <w:vAlign w:val="bottom"/>
            <w:gridSpan w:val="7"/>
          </w:tcPr>
          <w:p>
            <w:pPr>
              <w:jc w:val="center"/>
              <w:ind w:right="6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(Through the Engaged Capital Account)</w:t>
            </w: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7"/>
        </w:trPr>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gridSpan w:val="4"/>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10.0095</w:t>
            </w:r>
          </w:p>
        </w:tc>
        <w:tc>
          <w:tcPr>
            <w:tcW w:w="4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07/07/2017</w:t>
            </w:r>
          </w:p>
        </w:tc>
        <w:tc>
          <w:tcPr>
            <w:tcW w:w="88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gridSpan w:val="4"/>
          </w:tcPr>
          <w:p>
            <w:pPr>
              <w:jc w:val="center"/>
              <w:ind w:left="990"/>
              <w:spacing w:after="0"/>
              <w:rPr>
                <w:sz w:val="20"/>
                <w:szCs w:val="20"/>
                <w:color w:val="auto"/>
              </w:rPr>
            </w:pPr>
            <w:r>
              <w:rPr>
                <w:rFonts w:ascii="Times New Roman" w:cs="Times New Roman" w:eastAsia="Times New Roman" w:hAnsi="Times New Roman"/>
                <w:sz w:val="18"/>
                <w:szCs w:val="18"/>
                <w:color w:val="auto"/>
                <w:w w:val="98"/>
              </w:rPr>
              <w:t>(2,600)</w:t>
            </w: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10.0018</w:t>
            </w:r>
          </w:p>
        </w:tc>
        <w:tc>
          <w:tcPr>
            <w:tcW w:w="460" w:type="dxa"/>
            <w:vAlign w:val="bottom"/>
          </w:tcPr>
          <w:p>
            <w:pPr>
              <w:spacing w:after="0"/>
              <w:rPr>
                <w:sz w:val="18"/>
                <w:szCs w:val="18"/>
                <w:color w:val="auto"/>
              </w:rPr>
            </w:pPr>
          </w:p>
        </w:tc>
        <w:tc>
          <w:tcPr>
            <w:tcW w:w="26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07/10/2017</w:t>
            </w:r>
          </w:p>
        </w:tc>
        <w:tc>
          <w:tcPr>
            <w:tcW w:w="88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gridSpan w:val="4"/>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(23,273)</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4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07/11/2017</w:t>
            </w:r>
          </w:p>
        </w:tc>
        <w:tc>
          <w:tcPr>
            <w:tcW w:w="88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color w:val="auto"/>
              </w:rPr>
              <w:t>(16,308)</w:t>
            </w: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10.9706</w:t>
            </w:r>
          </w:p>
        </w:tc>
        <w:tc>
          <w:tcPr>
            <w:tcW w:w="460" w:type="dxa"/>
            <w:vAlign w:val="bottom"/>
          </w:tcPr>
          <w:p>
            <w:pPr>
              <w:spacing w:after="0"/>
              <w:rPr>
                <w:sz w:val="18"/>
                <w:szCs w:val="18"/>
                <w:color w:val="auto"/>
              </w:rPr>
            </w:pPr>
          </w:p>
        </w:tc>
        <w:tc>
          <w:tcPr>
            <w:tcW w:w="26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07/13/2017</w:t>
            </w:r>
          </w:p>
        </w:tc>
        <w:tc>
          <w:tcPr>
            <w:tcW w:w="88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gridSpan w:val="4"/>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7"/>
              </w:rPr>
              <w:t>(11,392)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10.9880</w:t>
            </w:r>
          </w:p>
        </w:tc>
        <w:tc>
          <w:tcPr>
            <w:tcW w:w="4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07/14/2017</w:t>
            </w:r>
          </w:p>
        </w:tc>
        <w:tc>
          <w:tcPr>
            <w:tcW w:w="880" w:type="dxa"/>
            <w:vAlign w:val="bottom"/>
            <w:shd w:val="clear" w:color="auto" w:fill="CCEEFF"/>
          </w:tcPr>
          <w:p>
            <w:pPr>
              <w:spacing w:after="0"/>
              <w:rPr>
                <w:sz w:val="18"/>
                <w:szCs w:val="18"/>
                <w:color w:val="auto"/>
              </w:rPr>
            </w:pPr>
          </w:p>
        </w:tc>
      </w:tr>
      <w:tr>
        <w:trPr>
          <w:trHeight w:val="234"/>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color w:val="auto"/>
              </w:rPr>
              <w:t>(10,313)</w:t>
            </w: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11.2552</w:t>
            </w:r>
          </w:p>
        </w:tc>
        <w:tc>
          <w:tcPr>
            <w:tcW w:w="460" w:type="dxa"/>
            <w:vAlign w:val="bottom"/>
          </w:tcPr>
          <w:p>
            <w:pPr>
              <w:spacing w:after="0"/>
              <w:rPr>
                <w:sz w:val="20"/>
                <w:szCs w:val="20"/>
                <w:color w:val="auto"/>
              </w:rPr>
            </w:pPr>
          </w:p>
        </w:tc>
        <w:tc>
          <w:tcPr>
            <w:tcW w:w="26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07/17/2017</w:t>
            </w:r>
          </w:p>
        </w:tc>
        <w:tc>
          <w:tcPr>
            <w:tcW w:w="8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2"/>
      <w:numFmt w:val="decimal"/>
      <w:start w:val="14"/>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2019-12-07T00:16:36Z</dcterms:created>
  <dcterms:modified xsi:type="dcterms:W3CDTF">2019-12-07T00:16:36Z</dcterms:modified>
</cp:coreProperties>
</file>