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MAGNACHIP SEMICONDUCTOR CORP.</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55933J203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5320" w:hanging="217"/>
        <w:spacing w:after="0"/>
        <w:tabs>
          <w:tab w:leader="none" w:pos="53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 w:lineRule="exact"/>
        <w:rPr>
          <w:rFonts w:ascii="MS PGothic" w:cs="MS PGothic" w:eastAsia="MS PGothic" w:hAnsi="MS PGothic"/>
          <w:sz w:val="18"/>
          <w:szCs w:val="18"/>
          <w:color w:val="auto"/>
        </w:rPr>
      </w:pPr>
    </w:p>
    <w:p>
      <w:pPr>
        <w:ind w:left="5320" w:hanging="212"/>
        <w:spacing w:after="0"/>
        <w:tabs>
          <w:tab w:leader="none" w:pos="5320" w:val="left"/>
        </w:tabs>
        <w:numPr>
          <w:ilvl w:val="2"/>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9" w:lineRule="exact"/>
        <w:rPr>
          <w:rFonts w:ascii="MS PGothic" w:cs="MS PGothic" w:eastAsia="MS PGothic" w:hAnsi="MS PGothic"/>
          <w:sz w:val="18"/>
          <w:szCs w:val="18"/>
          <w:color w:val="auto"/>
        </w:rPr>
      </w:pPr>
    </w:p>
    <w:p>
      <w:pPr>
        <w:ind w:left="5320" w:hanging="217"/>
        <w:spacing w:after="0"/>
        <w:tabs>
          <w:tab w:leader="none" w:pos="5320" w:val="left"/>
        </w:tabs>
        <w:numPr>
          <w:ilvl w:val="2"/>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36" w:lineRule="exact"/>
        <w:rPr>
          <w:rFonts w:ascii="MS PGothic" w:cs="MS PGothic" w:eastAsia="MS PGothic" w:hAnsi="MS PGothic"/>
          <w:sz w:val="18"/>
          <w:szCs w:val="18"/>
          <w:color w:val="auto"/>
        </w:rPr>
      </w:pPr>
    </w:p>
    <w:p>
      <w:pPr>
        <w:ind w:right="200"/>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387985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CUSIP No.: 55933J203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64573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6457315"/>
                    </a:xfrm>
                    <a:prstGeom prst="rect">
                      <a:avLst/>
                    </a:prstGeom>
                    <a:noFill/>
                  </pic:spPr>
                </pic:pic>
              </a:graphicData>
            </a:graphic>
          </wp:anchor>
        </w:drawing>
      </w:r>
    </w:p>
    <w:p>
      <w:pPr>
        <w:spacing w:after="0" w:line="246"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NAMES OF REPORTING PERSONS</w:t>
      </w:r>
    </w:p>
    <w:p>
      <w:pPr>
        <w:spacing w:after="0" w:line="63" w:lineRule="exact"/>
        <w:rPr>
          <w:sz w:val="20"/>
          <w:szCs w:val="20"/>
          <w:color w:val="auto"/>
        </w:rPr>
      </w:pPr>
    </w:p>
    <w:p>
      <w:pPr>
        <w:ind w:left="1440" w:right="4100" w:hanging="817"/>
        <w:spacing w:after="0" w:line="180" w:lineRule="auto"/>
        <w:tabs>
          <w:tab w:leader="none" w:pos="1431" w:val="left"/>
        </w:tabs>
        <w:numPr>
          <w:ilvl w:val="0"/>
          <w:numId w:val="2"/>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Wolverine Asset Management, LLC</w:t>
      </w:r>
    </w:p>
    <w:p>
      <w:pPr>
        <w:spacing w:after="0" w:line="18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THE APPROPRIATE BOX IF A MEMBER OF A GROUP</w:t>
      </w:r>
    </w:p>
    <w:p>
      <w:pPr>
        <w:ind w:left="1420" w:hanging="797"/>
        <w:spacing w:after="0" w:line="322" w:lineRule="exact"/>
        <w:tabs>
          <w:tab w:leader="none" w:pos="1420" w:val="left"/>
        </w:tabs>
        <w:numPr>
          <w:ilvl w:val="0"/>
          <w:numId w:val="3"/>
        </w:numPr>
        <w:rPr>
          <w:rFonts w:ascii="Arial" w:cs="Arial" w:eastAsia="Arial" w:hAnsi="Arial"/>
          <w:sz w:val="32"/>
          <w:szCs w:val="32"/>
          <w:b w:val="1"/>
          <w:bCs w:val="1"/>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p>
      <w:pPr>
        <w:spacing w:after="0" w:line="36" w:lineRule="exact"/>
        <w:rPr>
          <w:rFonts w:ascii="Arial" w:cs="Arial" w:eastAsia="Arial" w:hAnsi="Arial"/>
          <w:sz w:val="32"/>
          <w:szCs w:val="32"/>
          <w:b w:val="1"/>
          <w:bCs w:val="1"/>
          <w:color w:val="auto"/>
        </w:rPr>
      </w:pPr>
    </w:p>
    <w:p>
      <w:pPr>
        <w:ind w:left="1420"/>
        <w:spacing w:after="0" w:line="207" w:lineRule="exact"/>
        <w:rPr>
          <w:rFonts w:ascii="Arial" w:cs="Arial" w:eastAsia="Arial" w:hAnsi="Arial"/>
          <w:sz w:val="32"/>
          <w:szCs w:val="32"/>
          <w:b w:val="1"/>
          <w:bCs w:val="1"/>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p>
      <w:pPr>
        <w:spacing w:after="0" w:line="51" w:lineRule="exact"/>
        <w:rPr>
          <w:rFonts w:ascii="Arial" w:cs="Arial" w:eastAsia="Arial" w:hAnsi="Arial"/>
          <w:sz w:val="32"/>
          <w:szCs w:val="32"/>
          <w:b w:val="1"/>
          <w:bCs w:val="1"/>
          <w:color w:val="auto"/>
        </w:rPr>
      </w:pPr>
    </w:p>
    <w:p>
      <w:pPr>
        <w:ind w:left="1420"/>
        <w:spacing w:after="0"/>
        <w:rPr>
          <w:rFonts w:ascii="Arial" w:cs="Arial" w:eastAsia="Arial" w:hAnsi="Arial"/>
          <w:sz w:val="32"/>
          <w:szCs w:val="32"/>
          <w:b w:val="1"/>
          <w:bCs w:val="1"/>
          <w:color w:val="auto"/>
        </w:rPr>
      </w:pPr>
      <w:r>
        <w:rPr>
          <w:rFonts w:ascii="Arial" w:cs="Arial" w:eastAsia="Arial" w:hAnsi="Arial"/>
          <w:sz w:val="18"/>
          <w:szCs w:val="18"/>
          <w:b w:val="1"/>
          <w:bCs w:val="1"/>
          <w:color w:val="auto"/>
        </w:rPr>
        <w:t>SEC USE ONLY</w:t>
      </w:r>
    </w:p>
    <w:p>
      <w:pPr>
        <w:ind w:left="620"/>
        <w:spacing w:after="0"/>
        <w:rPr>
          <w:sz w:val="20"/>
          <w:szCs w:val="20"/>
          <w:color w:val="auto"/>
        </w:rPr>
      </w:pPr>
      <w:r>
        <w:rPr>
          <w:rFonts w:ascii="Arial" w:cs="Arial" w:eastAsia="Arial" w:hAnsi="Arial"/>
          <w:sz w:val="32"/>
          <w:szCs w:val="32"/>
          <w:b w:val="1"/>
          <w:bCs w:val="1"/>
          <w:color w:val="auto"/>
        </w:rPr>
        <w:t>3</w:t>
      </w:r>
    </w:p>
    <w:p>
      <w:pPr>
        <w:spacing w:after="0" w:line="24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CITIZENSHIP OR PLACE OF ORGANIZATION</w:t>
      </w:r>
    </w:p>
    <w:p>
      <w:pPr>
        <w:ind w:left="1440" w:hanging="817"/>
        <w:spacing w:after="0" w:line="182" w:lineRule="auto"/>
        <w:tabs>
          <w:tab w:leader="none" w:pos="1440" w:val="left"/>
        </w:tabs>
        <w:numPr>
          <w:ilvl w:val="0"/>
          <w:numId w:val="4"/>
        </w:numPr>
        <w:rPr>
          <w:rFonts w:ascii="Arial" w:cs="Arial" w:eastAsia="Arial" w:hAnsi="Arial"/>
          <w:sz w:val="50"/>
          <w:szCs w:val="50"/>
          <w:b w:val="1"/>
          <w:bCs w:val="1"/>
          <w:color w:val="auto"/>
          <w:vertAlign w:val="superscript"/>
        </w:rPr>
      </w:pPr>
      <w:r>
        <w:rPr>
          <w:rFonts w:ascii="Arial" w:cs="Arial" w:eastAsia="Arial" w:hAnsi="Arial"/>
          <w:sz w:val="16"/>
          <w:szCs w:val="16"/>
          <w:color w:val="auto"/>
        </w:rPr>
        <w:t>Illinois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00" w:type="dxa"/>
            <w:vAlign w:val="bottom"/>
            <w:tcBorders>
              <w:top w:val="single" w:sz="8" w:color="auto"/>
            </w:tcBorders>
          </w:tcPr>
          <w:p>
            <w:pPr>
              <w:spacing w:after="0"/>
              <w:rPr>
                <w:sz w:val="20"/>
                <w:szCs w:val="20"/>
                <w:color w:val="auto"/>
              </w:rPr>
            </w:pPr>
          </w:p>
        </w:tc>
        <w:tc>
          <w:tcPr>
            <w:tcW w:w="660" w:type="dxa"/>
            <w:vAlign w:val="bottom"/>
            <w:tcBorders>
              <w:top w:val="single" w:sz="8" w:color="auto"/>
              <w:right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00" w:type="dxa"/>
            <w:vAlign w:val="bottom"/>
            <w:tcBorders>
              <w:top w:val="single" w:sz="8" w:color="auto"/>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6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353"/>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8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68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8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8680" w:type="dxa"/>
            <w:vAlign w:val="bottom"/>
            <w:vMerge w:val="restart"/>
          </w:tcPr>
          <w:p>
            <w:pPr>
              <w:ind w:left="40"/>
              <w:spacing w:after="0"/>
              <w:rPr>
                <w:sz w:val="20"/>
                <w:szCs w:val="20"/>
                <w:color w:val="auto"/>
              </w:rPr>
            </w:pPr>
            <w:r>
              <w:rPr>
                <w:rFonts w:ascii="Arial" w:cs="Arial" w:eastAsia="Arial" w:hAnsi="Arial"/>
                <w:sz w:val="18"/>
                <w:szCs w:val="18"/>
                <w:color w:val="auto"/>
              </w:rPr>
              <w:t>1,827,983</w:t>
            </w: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8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8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8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8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8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80" w:type="dxa"/>
            <w:vAlign w:val="bottom"/>
          </w:tcPr>
          <w:p>
            <w:pPr>
              <w:spacing w:after="0"/>
              <w:rPr>
                <w:sz w:val="14"/>
                <w:szCs w:val="14"/>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8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1400" w:type="dxa"/>
            <w:vAlign w:val="bottom"/>
          </w:tcPr>
          <w:p>
            <w:pPr>
              <w:jc w:val="center"/>
              <w:ind w:left="538"/>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8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68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1,827,983</w:t>
            </w: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00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w w:val="97"/>
              </w:rPr>
              <w:t>1,827,983</w:t>
            </w:r>
          </w:p>
        </w:tc>
        <w:tc>
          <w:tcPr>
            <w:tcW w:w="50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100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4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8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100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0020" w:type="dxa"/>
            <w:vAlign w:val="bottom"/>
            <w:gridSpan w:val="4"/>
          </w:tcPr>
          <w:p>
            <w:pPr>
              <w:ind w:left="40"/>
              <w:spacing w:after="0"/>
              <w:rPr>
                <w:sz w:val="20"/>
                <w:szCs w:val="20"/>
                <w:color w:val="auto"/>
              </w:rPr>
            </w:pPr>
            <w:r>
              <w:rPr>
                <w:rFonts w:ascii="Arial" w:cs="Arial" w:eastAsia="Arial" w:hAnsi="Arial"/>
                <w:sz w:val="18"/>
                <w:szCs w:val="18"/>
                <w:color w:val="auto"/>
              </w:rPr>
              <w:t>5.1% * (see Item 4)</w:t>
            </w: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100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IA</w:t>
            </w:r>
          </w:p>
        </w:tc>
        <w:tc>
          <w:tcPr>
            <w:tcW w:w="50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*Percentage calculated by dividing (i) the sum of 1,827,983 shares of common stock receivable upon conversion of convertible notes of the Issuer plus (ii) the sum of (a) 34,138,289 (the number of shares of common stock outstanding as of October 31, 2017, as reported in the Issuer's Form 10-Q filed on November 8, 2017) and (b) 1,827,983 (the number of shares of common stock receivable upon conversion of convertible notes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CUSIP No.: 55933J203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64573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6457315"/>
                    </a:xfrm>
                    <a:prstGeom prst="rect">
                      <a:avLst/>
                    </a:prstGeom>
                    <a:noFill/>
                  </pic:spPr>
                </pic:pic>
              </a:graphicData>
            </a:graphic>
          </wp:anchor>
        </w:drawing>
      </w:r>
    </w:p>
    <w:p>
      <w:pPr>
        <w:spacing w:after="0" w:line="246"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NAMES OF REPORTING PERSONS</w:t>
      </w:r>
    </w:p>
    <w:p>
      <w:pPr>
        <w:spacing w:after="0" w:line="63" w:lineRule="exact"/>
        <w:rPr>
          <w:sz w:val="20"/>
          <w:szCs w:val="20"/>
          <w:color w:val="auto"/>
        </w:rPr>
      </w:pPr>
    </w:p>
    <w:p>
      <w:pPr>
        <w:ind w:left="1440" w:right="4100" w:hanging="817"/>
        <w:spacing w:after="0" w:line="180" w:lineRule="auto"/>
        <w:tabs>
          <w:tab w:leader="none" w:pos="1431" w:val="left"/>
        </w:tabs>
        <w:numPr>
          <w:ilvl w:val="0"/>
          <w:numId w:val="5"/>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Wolverine Holdings, L.P.</w:t>
      </w:r>
    </w:p>
    <w:p>
      <w:pPr>
        <w:spacing w:after="0" w:line="18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THE APPROPRIATE BOX IF A MEMBER OF A GROUP</w:t>
      </w:r>
    </w:p>
    <w:p>
      <w:pPr>
        <w:ind w:left="1420" w:hanging="797"/>
        <w:spacing w:after="0" w:line="322" w:lineRule="exact"/>
        <w:tabs>
          <w:tab w:leader="none" w:pos="1420" w:val="left"/>
        </w:tabs>
        <w:numPr>
          <w:ilvl w:val="0"/>
          <w:numId w:val="6"/>
        </w:numPr>
        <w:rPr>
          <w:rFonts w:ascii="Arial" w:cs="Arial" w:eastAsia="Arial" w:hAnsi="Arial"/>
          <w:sz w:val="32"/>
          <w:szCs w:val="32"/>
          <w:b w:val="1"/>
          <w:bCs w:val="1"/>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p>
      <w:pPr>
        <w:spacing w:after="0" w:line="36" w:lineRule="exact"/>
        <w:rPr>
          <w:rFonts w:ascii="Arial" w:cs="Arial" w:eastAsia="Arial" w:hAnsi="Arial"/>
          <w:sz w:val="32"/>
          <w:szCs w:val="32"/>
          <w:b w:val="1"/>
          <w:bCs w:val="1"/>
          <w:color w:val="auto"/>
        </w:rPr>
      </w:pPr>
    </w:p>
    <w:p>
      <w:pPr>
        <w:ind w:left="1420"/>
        <w:spacing w:after="0" w:line="207" w:lineRule="exact"/>
        <w:rPr>
          <w:rFonts w:ascii="Arial" w:cs="Arial" w:eastAsia="Arial" w:hAnsi="Arial"/>
          <w:sz w:val="32"/>
          <w:szCs w:val="32"/>
          <w:b w:val="1"/>
          <w:bCs w:val="1"/>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p>
      <w:pPr>
        <w:spacing w:after="0" w:line="51" w:lineRule="exact"/>
        <w:rPr>
          <w:rFonts w:ascii="Arial" w:cs="Arial" w:eastAsia="Arial" w:hAnsi="Arial"/>
          <w:sz w:val="32"/>
          <w:szCs w:val="32"/>
          <w:b w:val="1"/>
          <w:bCs w:val="1"/>
          <w:color w:val="auto"/>
        </w:rPr>
      </w:pPr>
    </w:p>
    <w:p>
      <w:pPr>
        <w:ind w:left="1420"/>
        <w:spacing w:after="0"/>
        <w:rPr>
          <w:rFonts w:ascii="Arial" w:cs="Arial" w:eastAsia="Arial" w:hAnsi="Arial"/>
          <w:sz w:val="32"/>
          <w:szCs w:val="32"/>
          <w:b w:val="1"/>
          <w:bCs w:val="1"/>
          <w:color w:val="auto"/>
        </w:rPr>
      </w:pPr>
      <w:r>
        <w:rPr>
          <w:rFonts w:ascii="Arial" w:cs="Arial" w:eastAsia="Arial" w:hAnsi="Arial"/>
          <w:sz w:val="18"/>
          <w:szCs w:val="18"/>
          <w:b w:val="1"/>
          <w:bCs w:val="1"/>
          <w:color w:val="auto"/>
        </w:rPr>
        <w:t>SEC USE ONLY</w:t>
      </w:r>
    </w:p>
    <w:p>
      <w:pPr>
        <w:ind w:left="620"/>
        <w:spacing w:after="0"/>
        <w:rPr>
          <w:sz w:val="20"/>
          <w:szCs w:val="20"/>
          <w:color w:val="auto"/>
        </w:rPr>
      </w:pPr>
      <w:r>
        <w:rPr>
          <w:rFonts w:ascii="Arial" w:cs="Arial" w:eastAsia="Arial" w:hAnsi="Arial"/>
          <w:sz w:val="32"/>
          <w:szCs w:val="32"/>
          <w:b w:val="1"/>
          <w:bCs w:val="1"/>
          <w:color w:val="auto"/>
        </w:rPr>
        <w:t>3</w:t>
      </w:r>
    </w:p>
    <w:p>
      <w:pPr>
        <w:spacing w:after="0" w:line="24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CITIZENSHIP OR PLACE OF ORGANIZATION</w:t>
      </w:r>
    </w:p>
    <w:p>
      <w:pPr>
        <w:ind w:left="1440" w:hanging="817"/>
        <w:spacing w:after="0" w:line="182" w:lineRule="auto"/>
        <w:tabs>
          <w:tab w:leader="none" w:pos="1440" w:val="left"/>
        </w:tabs>
        <w:numPr>
          <w:ilvl w:val="0"/>
          <w:numId w:val="7"/>
        </w:numPr>
        <w:rPr>
          <w:rFonts w:ascii="Arial" w:cs="Arial" w:eastAsia="Arial" w:hAnsi="Arial"/>
          <w:sz w:val="50"/>
          <w:szCs w:val="50"/>
          <w:b w:val="1"/>
          <w:bCs w:val="1"/>
          <w:color w:val="auto"/>
          <w:vertAlign w:val="superscript"/>
        </w:rPr>
      </w:pPr>
      <w:r>
        <w:rPr>
          <w:rFonts w:ascii="Arial" w:cs="Arial" w:eastAsia="Arial" w:hAnsi="Arial"/>
          <w:sz w:val="16"/>
          <w:szCs w:val="16"/>
          <w:color w:val="auto"/>
        </w:rPr>
        <w:t>Illinois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00" w:type="dxa"/>
            <w:vAlign w:val="bottom"/>
            <w:tcBorders>
              <w:top w:val="single" w:sz="8" w:color="auto"/>
            </w:tcBorders>
          </w:tcPr>
          <w:p>
            <w:pPr>
              <w:spacing w:after="0"/>
              <w:rPr>
                <w:sz w:val="20"/>
                <w:szCs w:val="20"/>
                <w:color w:val="auto"/>
              </w:rPr>
            </w:pPr>
          </w:p>
        </w:tc>
        <w:tc>
          <w:tcPr>
            <w:tcW w:w="660" w:type="dxa"/>
            <w:vAlign w:val="bottom"/>
            <w:tcBorders>
              <w:top w:val="single" w:sz="8" w:color="auto"/>
              <w:right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00" w:type="dxa"/>
            <w:vAlign w:val="bottom"/>
            <w:tcBorders>
              <w:top w:val="single" w:sz="8" w:color="auto"/>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6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353"/>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8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68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8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8680" w:type="dxa"/>
            <w:vAlign w:val="bottom"/>
            <w:vMerge w:val="restart"/>
          </w:tcPr>
          <w:p>
            <w:pPr>
              <w:ind w:left="40"/>
              <w:spacing w:after="0"/>
              <w:rPr>
                <w:sz w:val="20"/>
                <w:szCs w:val="20"/>
                <w:color w:val="auto"/>
              </w:rPr>
            </w:pPr>
            <w:r>
              <w:rPr>
                <w:rFonts w:ascii="Arial" w:cs="Arial" w:eastAsia="Arial" w:hAnsi="Arial"/>
                <w:sz w:val="18"/>
                <w:szCs w:val="18"/>
                <w:color w:val="auto"/>
              </w:rPr>
              <w:t>1,850,307</w:t>
            </w: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8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8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8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8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8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80" w:type="dxa"/>
            <w:vAlign w:val="bottom"/>
          </w:tcPr>
          <w:p>
            <w:pPr>
              <w:spacing w:after="0"/>
              <w:rPr>
                <w:sz w:val="14"/>
                <w:szCs w:val="14"/>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8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1400" w:type="dxa"/>
            <w:vAlign w:val="bottom"/>
          </w:tcPr>
          <w:p>
            <w:pPr>
              <w:jc w:val="center"/>
              <w:ind w:left="538"/>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8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68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1,850,307</w:t>
            </w: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00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w w:val="97"/>
              </w:rPr>
              <w:t>1,850,307</w:t>
            </w:r>
          </w:p>
        </w:tc>
        <w:tc>
          <w:tcPr>
            <w:tcW w:w="50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100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4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8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100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0020" w:type="dxa"/>
            <w:vAlign w:val="bottom"/>
            <w:gridSpan w:val="4"/>
          </w:tcPr>
          <w:p>
            <w:pPr>
              <w:ind w:left="40"/>
              <w:spacing w:after="0"/>
              <w:rPr>
                <w:sz w:val="20"/>
                <w:szCs w:val="20"/>
                <w:color w:val="auto"/>
              </w:rPr>
            </w:pPr>
            <w:r>
              <w:rPr>
                <w:rFonts w:ascii="Arial" w:cs="Arial" w:eastAsia="Arial" w:hAnsi="Arial"/>
                <w:sz w:val="18"/>
                <w:szCs w:val="18"/>
                <w:color w:val="auto"/>
              </w:rPr>
              <w:t>5.1%* (see Item 4)</w:t>
            </w: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100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HC</w:t>
            </w:r>
          </w:p>
        </w:tc>
        <w:tc>
          <w:tcPr>
            <w:tcW w:w="50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8"/>
        <w:spacing w:after="0" w:line="291" w:lineRule="auto"/>
        <w:tabs>
          <w:tab w:leader="none" w:pos="135" w:val="left"/>
        </w:tabs>
        <w:numPr>
          <w:ilvl w:val="0"/>
          <w:numId w:val="8"/>
        </w:numPr>
        <w:rPr>
          <w:rFonts w:ascii="Arial" w:cs="Arial" w:eastAsia="Arial" w:hAnsi="Arial"/>
          <w:sz w:val="16"/>
          <w:szCs w:val="16"/>
          <w:color w:val="auto"/>
        </w:rPr>
      </w:pPr>
      <w:r>
        <w:rPr>
          <w:rFonts w:ascii="Arial" w:cs="Arial" w:eastAsia="Arial" w:hAnsi="Arial"/>
          <w:sz w:val="16"/>
          <w:szCs w:val="16"/>
          <w:color w:val="auto"/>
        </w:rPr>
        <w:t>Percentage calculated by dividing (i) the sum of (a) 8,224 shares of common stock of the Issuer plus (b) 14,100 shares of common stock receivable upon exercise of options of the Issuer plus (c) 1,827,983 shares of common stock receivable upon conversion of convertible notes of the Issuer plus (ii) the sum of</w:t>
      </w:r>
    </w:p>
    <w:p>
      <w:pPr>
        <w:ind w:right="60"/>
        <w:spacing w:after="0" w:line="255" w:lineRule="auto"/>
        <w:rPr>
          <w:rFonts w:ascii="Arial" w:cs="Arial" w:eastAsia="Arial" w:hAnsi="Arial"/>
          <w:sz w:val="16"/>
          <w:szCs w:val="16"/>
          <w:color w:val="auto"/>
        </w:rPr>
      </w:pPr>
      <w:r>
        <w:rPr>
          <w:rFonts w:ascii="Arial" w:cs="Arial" w:eastAsia="Arial" w:hAnsi="Arial"/>
          <w:sz w:val="18"/>
          <w:szCs w:val="18"/>
          <w:color w:val="auto"/>
        </w:rPr>
        <w:t>(a) 34,138,289 (the number of shares of common stock outstanding as of October 31, 2017, as reported in the Issuer's Form 10-Q filed on November 8, 2017) and (b) 1,827,983 (the number of shares of common stock receivable upon conversion of convertible notes of the Issuer) plus (c) 14,100 shares of common stock receivable upon exercise of options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CUSIP No.: 55933J203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64573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6457315"/>
                    </a:xfrm>
                    <a:prstGeom prst="rect">
                      <a:avLst/>
                    </a:prstGeom>
                    <a:noFill/>
                  </pic:spPr>
                </pic:pic>
              </a:graphicData>
            </a:graphic>
          </wp:anchor>
        </w:drawing>
      </w:r>
    </w:p>
    <w:p>
      <w:pPr>
        <w:spacing w:after="0" w:line="246"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NAMES OF REPORTING PERSONS</w:t>
      </w:r>
    </w:p>
    <w:p>
      <w:pPr>
        <w:spacing w:after="0" w:line="63" w:lineRule="exact"/>
        <w:rPr>
          <w:sz w:val="20"/>
          <w:szCs w:val="20"/>
          <w:color w:val="auto"/>
        </w:rPr>
      </w:pPr>
    </w:p>
    <w:p>
      <w:pPr>
        <w:ind w:left="1440" w:right="4100" w:hanging="817"/>
        <w:spacing w:after="0" w:line="180" w:lineRule="auto"/>
        <w:tabs>
          <w:tab w:leader="none" w:pos="1431" w:val="left"/>
        </w:tabs>
        <w:numPr>
          <w:ilvl w:val="0"/>
          <w:numId w:val="9"/>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Wolverine Trading Partners, Inc.</w:t>
      </w:r>
    </w:p>
    <w:p>
      <w:pPr>
        <w:spacing w:after="0" w:line="18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THE APPROPRIATE BOX IF A MEMBER OF A GROUP</w:t>
      </w:r>
    </w:p>
    <w:p>
      <w:pPr>
        <w:ind w:left="1420" w:hanging="797"/>
        <w:spacing w:after="0" w:line="322" w:lineRule="exact"/>
        <w:tabs>
          <w:tab w:leader="none" w:pos="1420" w:val="left"/>
        </w:tabs>
        <w:numPr>
          <w:ilvl w:val="0"/>
          <w:numId w:val="10"/>
        </w:numPr>
        <w:rPr>
          <w:rFonts w:ascii="Arial" w:cs="Arial" w:eastAsia="Arial" w:hAnsi="Arial"/>
          <w:sz w:val="32"/>
          <w:szCs w:val="32"/>
          <w:b w:val="1"/>
          <w:bCs w:val="1"/>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p>
      <w:pPr>
        <w:spacing w:after="0" w:line="36" w:lineRule="exact"/>
        <w:rPr>
          <w:rFonts w:ascii="Arial" w:cs="Arial" w:eastAsia="Arial" w:hAnsi="Arial"/>
          <w:sz w:val="32"/>
          <w:szCs w:val="32"/>
          <w:b w:val="1"/>
          <w:bCs w:val="1"/>
          <w:color w:val="auto"/>
        </w:rPr>
      </w:pPr>
    </w:p>
    <w:p>
      <w:pPr>
        <w:ind w:left="1420"/>
        <w:spacing w:after="0" w:line="207" w:lineRule="exact"/>
        <w:rPr>
          <w:rFonts w:ascii="Arial" w:cs="Arial" w:eastAsia="Arial" w:hAnsi="Arial"/>
          <w:sz w:val="32"/>
          <w:szCs w:val="32"/>
          <w:b w:val="1"/>
          <w:bCs w:val="1"/>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p>
      <w:pPr>
        <w:spacing w:after="0" w:line="51" w:lineRule="exact"/>
        <w:rPr>
          <w:rFonts w:ascii="Arial" w:cs="Arial" w:eastAsia="Arial" w:hAnsi="Arial"/>
          <w:sz w:val="32"/>
          <w:szCs w:val="32"/>
          <w:b w:val="1"/>
          <w:bCs w:val="1"/>
          <w:color w:val="auto"/>
        </w:rPr>
      </w:pPr>
    </w:p>
    <w:p>
      <w:pPr>
        <w:ind w:left="1420"/>
        <w:spacing w:after="0"/>
        <w:rPr>
          <w:rFonts w:ascii="Arial" w:cs="Arial" w:eastAsia="Arial" w:hAnsi="Arial"/>
          <w:sz w:val="32"/>
          <w:szCs w:val="32"/>
          <w:b w:val="1"/>
          <w:bCs w:val="1"/>
          <w:color w:val="auto"/>
        </w:rPr>
      </w:pPr>
      <w:r>
        <w:rPr>
          <w:rFonts w:ascii="Arial" w:cs="Arial" w:eastAsia="Arial" w:hAnsi="Arial"/>
          <w:sz w:val="18"/>
          <w:szCs w:val="18"/>
          <w:b w:val="1"/>
          <w:bCs w:val="1"/>
          <w:color w:val="auto"/>
        </w:rPr>
        <w:t>SEC USE ONLY</w:t>
      </w:r>
    </w:p>
    <w:p>
      <w:pPr>
        <w:ind w:left="620"/>
        <w:spacing w:after="0"/>
        <w:rPr>
          <w:sz w:val="20"/>
          <w:szCs w:val="20"/>
          <w:color w:val="auto"/>
        </w:rPr>
      </w:pPr>
      <w:r>
        <w:rPr>
          <w:rFonts w:ascii="Arial" w:cs="Arial" w:eastAsia="Arial" w:hAnsi="Arial"/>
          <w:sz w:val="32"/>
          <w:szCs w:val="32"/>
          <w:b w:val="1"/>
          <w:bCs w:val="1"/>
          <w:color w:val="auto"/>
        </w:rPr>
        <w:t>3</w:t>
      </w:r>
    </w:p>
    <w:p>
      <w:pPr>
        <w:spacing w:after="0" w:line="24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CITIZENSHIP OR PLACE OF ORGANIZATION</w:t>
      </w:r>
    </w:p>
    <w:p>
      <w:pPr>
        <w:ind w:left="1440" w:hanging="817"/>
        <w:spacing w:after="0" w:line="182" w:lineRule="auto"/>
        <w:tabs>
          <w:tab w:leader="none" w:pos="1440" w:val="left"/>
        </w:tabs>
        <w:numPr>
          <w:ilvl w:val="0"/>
          <w:numId w:val="11"/>
        </w:numPr>
        <w:rPr>
          <w:rFonts w:ascii="Arial" w:cs="Arial" w:eastAsia="Arial" w:hAnsi="Arial"/>
          <w:sz w:val="50"/>
          <w:szCs w:val="50"/>
          <w:b w:val="1"/>
          <w:bCs w:val="1"/>
          <w:color w:val="auto"/>
          <w:vertAlign w:val="superscript"/>
        </w:rPr>
      </w:pPr>
      <w:r>
        <w:rPr>
          <w:rFonts w:ascii="Arial" w:cs="Arial" w:eastAsia="Arial" w:hAnsi="Arial"/>
          <w:sz w:val="16"/>
          <w:szCs w:val="16"/>
          <w:color w:val="auto"/>
        </w:rPr>
        <w:t>Illinois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00" w:type="dxa"/>
            <w:vAlign w:val="bottom"/>
            <w:tcBorders>
              <w:top w:val="single" w:sz="8" w:color="auto"/>
            </w:tcBorders>
          </w:tcPr>
          <w:p>
            <w:pPr>
              <w:spacing w:after="0"/>
              <w:rPr>
                <w:sz w:val="20"/>
                <w:szCs w:val="20"/>
                <w:color w:val="auto"/>
              </w:rPr>
            </w:pPr>
          </w:p>
        </w:tc>
        <w:tc>
          <w:tcPr>
            <w:tcW w:w="660" w:type="dxa"/>
            <w:vAlign w:val="bottom"/>
            <w:tcBorders>
              <w:top w:val="single" w:sz="8" w:color="auto"/>
              <w:right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00" w:type="dxa"/>
            <w:vAlign w:val="bottom"/>
            <w:tcBorders>
              <w:top w:val="single" w:sz="8" w:color="auto"/>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6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353"/>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8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68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8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8680" w:type="dxa"/>
            <w:vAlign w:val="bottom"/>
            <w:vMerge w:val="restart"/>
          </w:tcPr>
          <w:p>
            <w:pPr>
              <w:ind w:left="40"/>
              <w:spacing w:after="0"/>
              <w:rPr>
                <w:sz w:val="20"/>
                <w:szCs w:val="20"/>
                <w:color w:val="auto"/>
              </w:rPr>
            </w:pPr>
            <w:r>
              <w:rPr>
                <w:rFonts w:ascii="Arial" w:cs="Arial" w:eastAsia="Arial" w:hAnsi="Arial"/>
                <w:sz w:val="18"/>
                <w:szCs w:val="18"/>
                <w:color w:val="auto"/>
              </w:rPr>
              <w:t>1,850,307</w:t>
            </w: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8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8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8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8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8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80" w:type="dxa"/>
            <w:vAlign w:val="bottom"/>
          </w:tcPr>
          <w:p>
            <w:pPr>
              <w:spacing w:after="0"/>
              <w:rPr>
                <w:sz w:val="14"/>
                <w:szCs w:val="14"/>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8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1400" w:type="dxa"/>
            <w:vAlign w:val="bottom"/>
          </w:tcPr>
          <w:p>
            <w:pPr>
              <w:jc w:val="center"/>
              <w:ind w:left="538"/>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8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68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1,850,307</w:t>
            </w: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00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w w:val="97"/>
              </w:rPr>
              <w:t>1,850,307</w:t>
            </w:r>
          </w:p>
        </w:tc>
        <w:tc>
          <w:tcPr>
            <w:tcW w:w="50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100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4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8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100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0020" w:type="dxa"/>
            <w:vAlign w:val="bottom"/>
            <w:gridSpan w:val="4"/>
          </w:tcPr>
          <w:p>
            <w:pPr>
              <w:ind w:left="40"/>
              <w:spacing w:after="0"/>
              <w:rPr>
                <w:sz w:val="20"/>
                <w:szCs w:val="20"/>
                <w:color w:val="auto"/>
              </w:rPr>
            </w:pPr>
            <w:r>
              <w:rPr>
                <w:rFonts w:ascii="Arial" w:cs="Arial" w:eastAsia="Arial" w:hAnsi="Arial"/>
                <w:sz w:val="18"/>
                <w:szCs w:val="18"/>
                <w:color w:val="auto"/>
              </w:rPr>
              <w:t>5.1%* (see Item 4)</w:t>
            </w: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100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CO/HC</w:t>
            </w:r>
          </w:p>
        </w:tc>
        <w:tc>
          <w:tcPr>
            <w:tcW w:w="50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8"/>
        <w:spacing w:after="0" w:line="291" w:lineRule="auto"/>
        <w:tabs>
          <w:tab w:leader="none" w:pos="135" w:val="left"/>
        </w:tabs>
        <w:numPr>
          <w:ilvl w:val="0"/>
          <w:numId w:val="12"/>
        </w:numPr>
        <w:rPr>
          <w:rFonts w:ascii="Arial" w:cs="Arial" w:eastAsia="Arial" w:hAnsi="Arial"/>
          <w:sz w:val="16"/>
          <w:szCs w:val="16"/>
          <w:color w:val="auto"/>
        </w:rPr>
      </w:pPr>
      <w:r>
        <w:rPr>
          <w:rFonts w:ascii="Arial" w:cs="Arial" w:eastAsia="Arial" w:hAnsi="Arial"/>
          <w:sz w:val="16"/>
          <w:szCs w:val="16"/>
          <w:color w:val="auto"/>
        </w:rPr>
        <w:t>Percentage calculated by dividing (i) the sum of (a) 8,224 shares of common stock of the Issuer plus (b) 14,100 shares of common stock receivable upon exercise of options of the Issuer plus (c) 1,827,983 shares of common stock receivable upon conversion of convertible notes of the Issuer plus (ii) the sum of</w:t>
      </w:r>
    </w:p>
    <w:p>
      <w:pPr>
        <w:ind w:right="60"/>
        <w:spacing w:after="0" w:line="255" w:lineRule="auto"/>
        <w:rPr>
          <w:rFonts w:ascii="Arial" w:cs="Arial" w:eastAsia="Arial" w:hAnsi="Arial"/>
          <w:sz w:val="16"/>
          <w:szCs w:val="16"/>
          <w:color w:val="auto"/>
        </w:rPr>
      </w:pPr>
      <w:r>
        <w:rPr>
          <w:rFonts w:ascii="Arial" w:cs="Arial" w:eastAsia="Arial" w:hAnsi="Arial"/>
          <w:sz w:val="18"/>
          <w:szCs w:val="18"/>
          <w:color w:val="auto"/>
        </w:rPr>
        <w:t>(a) 34,138,289 (the number of shares of common stock outstanding as of October 31, 2017, as reported in the Issuer's Form 10-Q filed on November 8, 2017) and (b) 1,827,983 (the number of shares of common stock receivable upon conversion of convertible notes of the Issuer) plus (c) 14,100 shares of common stock receivable upon exercise of options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CUSIP No.: 55933J203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64573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6457315"/>
                    </a:xfrm>
                    <a:prstGeom prst="rect">
                      <a:avLst/>
                    </a:prstGeom>
                    <a:noFill/>
                  </pic:spPr>
                </pic:pic>
              </a:graphicData>
            </a:graphic>
          </wp:anchor>
        </w:drawing>
      </w:r>
    </w:p>
    <w:p>
      <w:pPr>
        <w:spacing w:after="0" w:line="246"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NAMES OF REPORTING PERSONS</w:t>
      </w:r>
    </w:p>
    <w:p>
      <w:pPr>
        <w:spacing w:after="0" w:line="63" w:lineRule="exact"/>
        <w:rPr>
          <w:sz w:val="20"/>
          <w:szCs w:val="20"/>
          <w:color w:val="auto"/>
        </w:rPr>
      </w:pPr>
    </w:p>
    <w:p>
      <w:pPr>
        <w:ind w:left="1440" w:right="4100" w:hanging="817"/>
        <w:spacing w:after="0" w:line="180" w:lineRule="auto"/>
        <w:tabs>
          <w:tab w:leader="none" w:pos="1431" w:val="left"/>
        </w:tabs>
        <w:numPr>
          <w:ilvl w:val="0"/>
          <w:numId w:val="13"/>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Christopher L. Gust</w:t>
      </w:r>
    </w:p>
    <w:p>
      <w:pPr>
        <w:spacing w:after="0" w:line="18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THE APPROPRIATE BOX IF A MEMBER OF A GROUP</w:t>
      </w:r>
    </w:p>
    <w:p>
      <w:pPr>
        <w:ind w:left="1420" w:hanging="797"/>
        <w:spacing w:after="0" w:line="322" w:lineRule="exact"/>
        <w:tabs>
          <w:tab w:leader="none" w:pos="1420" w:val="left"/>
        </w:tabs>
        <w:numPr>
          <w:ilvl w:val="0"/>
          <w:numId w:val="14"/>
        </w:numPr>
        <w:rPr>
          <w:rFonts w:ascii="Arial" w:cs="Arial" w:eastAsia="Arial" w:hAnsi="Arial"/>
          <w:sz w:val="32"/>
          <w:szCs w:val="32"/>
          <w:b w:val="1"/>
          <w:bCs w:val="1"/>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p>
      <w:pPr>
        <w:spacing w:after="0" w:line="36" w:lineRule="exact"/>
        <w:rPr>
          <w:rFonts w:ascii="Arial" w:cs="Arial" w:eastAsia="Arial" w:hAnsi="Arial"/>
          <w:sz w:val="32"/>
          <w:szCs w:val="32"/>
          <w:b w:val="1"/>
          <w:bCs w:val="1"/>
          <w:color w:val="auto"/>
        </w:rPr>
      </w:pPr>
    </w:p>
    <w:p>
      <w:pPr>
        <w:ind w:left="1420"/>
        <w:spacing w:after="0" w:line="207" w:lineRule="exact"/>
        <w:rPr>
          <w:rFonts w:ascii="Arial" w:cs="Arial" w:eastAsia="Arial" w:hAnsi="Arial"/>
          <w:sz w:val="32"/>
          <w:szCs w:val="32"/>
          <w:b w:val="1"/>
          <w:bCs w:val="1"/>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p>
      <w:pPr>
        <w:spacing w:after="0" w:line="51" w:lineRule="exact"/>
        <w:rPr>
          <w:rFonts w:ascii="Arial" w:cs="Arial" w:eastAsia="Arial" w:hAnsi="Arial"/>
          <w:sz w:val="32"/>
          <w:szCs w:val="32"/>
          <w:b w:val="1"/>
          <w:bCs w:val="1"/>
          <w:color w:val="auto"/>
        </w:rPr>
      </w:pPr>
    </w:p>
    <w:p>
      <w:pPr>
        <w:ind w:left="1420"/>
        <w:spacing w:after="0"/>
        <w:rPr>
          <w:rFonts w:ascii="Arial" w:cs="Arial" w:eastAsia="Arial" w:hAnsi="Arial"/>
          <w:sz w:val="32"/>
          <w:szCs w:val="32"/>
          <w:b w:val="1"/>
          <w:bCs w:val="1"/>
          <w:color w:val="auto"/>
        </w:rPr>
      </w:pPr>
      <w:r>
        <w:rPr>
          <w:rFonts w:ascii="Arial" w:cs="Arial" w:eastAsia="Arial" w:hAnsi="Arial"/>
          <w:sz w:val="18"/>
          <w:szCs w:val="18"/>
          <w:b w:val="1"/>
          <w:bCs w:val="1"/>
          <w:color w:val="auto"/>
        </w:rPr>
        <w:t>SEC USE ONLY</w:t>
      </w:r>
    </w:p>
    <w:p>
      <w:pPr>
        <w:ind w:left="620"/>
        <w:spacing w:after="0"/>
        <w:rPr>
          <w:sz w:val="20"/>
          <w:szCs w:val="20"/>
          <w:color w:val="auto"/>
        </w:rPr>
      </w:pPr>
      <w:r>
        <w:rPr>
          <w:rFonts w:ascii="Arial" w:cs="Arial" w:eastAsia="Arial" w:hAnsi="Arial"/>
          <w:sz w:val="32"/>
          <w:szCs w:val="32"/>
          <w:b w:val="1"/>
          <w:bCs w:val="1"/>
          <w:color w:val="auto"/>
        </w:rPr>
        <w:t>3</w:t>
      </w:r>
    </w:p>
    <w:p>
      <w:pPr>
        <w:spacing w:after="0" w:line="24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CITIZENSHIP OR PLACE OF ORGANIZATION</w:t>
      </w:r>
    </w:p>
    <w:p>
      <w:pPr>
        <w:ind w:left="1440" w:hanging="817"/>
        <w:spacing w:after="0" w:line="182" w:lineRule="auto"/>
        <w:tabs>
          <w:tab w:leader="none" w:pos="1440" w:val="left"/>
        </w:tabs>
        <w:numPr>
          <w:ilvl w:val="0"/>
          <w:numId w:val="15"/>
        </w:numPr>
        <w:rPr>
          <w:rFonts w:ascii="Arial" w:cs="Arial" w:eastAsia="Arial" w:hAnsi="Arial"/>
          <w:sz w:val="50"/>
          <w:szCs w:val="50"/>
          <w:b w:val="1"/>
          <w:bCs w:val="1"/>
          <w:color w:val="auto"/>
          <w:vertAlign w:val="superscript"/>
        </w:rPr>
      </w:pPr>
      <w:r>
        <w:rPr>
          <w:rFonts w:ascii="Arial" w:cs="Arial" w:eastAsia="Arial" w:hAnsi="Arial"/>
          <w:sz w:val="16"/>
          <w:szCs w:val="16"/>
          <w:color w:val="auto"/>
        </w:rPr>
        <w:t>US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00" w:type="dxa"/>
            <w:vAlign w:val="bottom"/>
            <w:tcBorders>
              <w:top w:val="single" w:sz="8" w:color="auto"/>
            </w:tcBorders>
          </w:tcPr>
          <w:p>
            <w:pPr>
              <w:spacing w:after="0"/>
              <w:rPr>
                <w:sz w:val="20"/>
                <w:szCs w:val="20"/>
                <w:color w:val="auto"/>
              </w:rPr>
            </w:pPr>
          </w:p>
        </w:tc>
        <w:tc>
          <w:tcPr>
            <w:tcW w:w="660" w:type="dxa"/>
            <w:vAlign w:val="bottom"/>
            <w:tcBorders>
              <w:top w:val="single" w:sz="8" w:color="auto"/>
              <w:right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00" w:type="dxa"/>
            <w:vAlign w:val="bottom"/>
            <w:tcBorders>
              <w:top w:val="single" w:sz="8" w:color="auto"/>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6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353"/>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8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68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8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8680" w:type="dxa"/>
            <w:vAlign w:val="bottom"/>
            <w:vMerge w:val="restart"/>
          </w:tcPr>
          <w:p>
            <w:pPr>
              <w:ind w:left="40"/>
              <w:spacing w:after="0"/>
              <w:rPr>
                <w:sz w:val="20"/>
                <w:szCs w:val="20"/>
                <w:color w:val="auto"/>
              </w:rPr>
            </w:pPr>
            <w:r>
              <w:rPr>
                <w:rFonts w:ascii="Arial" w:cs="Arial" w:eastAsia="Arial" w:hAnsi="Arial"/>
                <w:sz w:val="18"/>
                <w:szCs w:val="18"/>
                <w:color w:val="auto"/>
              </w:rPr>
              <w:t>1,850,307</w:t>
            </w: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8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8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8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8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8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80" w:type="dxa"/>
            <w:vAlign w:val="bottom"/>
          </w:tcPr>
          <w:p>
            <w:pPr>
              <w:spacing w:after="0"/>
              <w:rPr>
                <w:sz w:val="14"/>
                <w:szCs w:val="14"/>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8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1400" w:type="dxa"/>
            <w:vAlign w:val="bottom"/>
          </w:tcPr>
          <w:p>
            <w:pPr>
              <w:jc w:val="center"/>
              <w:ind w:left="538"/>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8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68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1,850,307</w:t>
            </w: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00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w w:val="97"/>
              </w:rPr>
              <w:t>1,850,307</w:t>
            </w:r>
          </w:p>
        </w:tc>
        <w:tc>
          <w:tcPr>
            <w:tcW w:w="50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100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4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8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100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0020" w:type="dxa"/>
            <w:vAlign w:val="bottom"/>
            <w:gridSpan w:val="4"/>
          </w:tcPr>
          <w:p>
            <w:pPr>
              <w:ind w:left="40"/>
              <w:spacing w:after="0"/>
              <w:rPr>
                <w:sz w:val="20"/>
                <w:szCs w:val="20"/>
                <w:color w:val="auto"/>
              </w:rPr>
            </w:pPr>
            <w:r>
              <w:rPr>
                <w:rFonts w:ascii="Arial" w:cs="Arial" w:eastAsia="Arial" w:hAnsi="Arial"/>
                <w:sz w:val="18"/>
                <w:szCs w:val="18"/>
                <w:color w:val="auto"/>
              </w:rPr>
              <w:t>5.1%* (see Item 4)</w:t>
            </w: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100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IN/HC</w:t>
            </w:r>
          </w:p>
        </w:tc>
        <w:tc>
          <w:tcPr>
            <w:tcW w:w="50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8"/>
        <w:spacing w:after="0" w:line="291" w:lineRule="auto"/>
        <w:tabs>
          <w:tab w:leader="none" w:pos="1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Percentage calculated by dividing (i) the sum of (a) 8,224 shares of common stock of the Issuer plus (b) 14,100 shares of common stock receivable upon exercise of options of the Issuer plus (c) 1,827,983 shares of common stock receivable upon conversion of convertible notes of the Issuer plus (ii) the sum of</w:t>
      </w:r>
    </w:p>
    <w:p>
      <w:pPr>
        <w:ind w:right="60"/>
        <w:spacing w:after="0" w:line="255" w:lineRule="auto"/>
        <w:rPr>
          <w:rFonts w:ascii="Arial" w:cs="Arial" w:eastAsia="Arial" w:hAnsi="Arial"/>
          <w:sz w:val="16"/>
          <w:szCs w:val="16"/>
          <w:color w:val="auto"/>
        </w:rPr>
      </w:pPr>
      <w:r>
        <w:rPr>
          <w:rFonts w:ascii="Arial" w:cs="Arial" w:eastAsia="Arial" w:hAnsi="Arial"/>
          <w:sz w:val="18"/>
          <w:szCs w:val="18"/>
          <w:color w:val="auto"/>
        </w:rPr>
        <w:t>(a) 34,138,289 (the number of shares of common stock outstanding as of October 31, 2017, as reported in the Issuer's Form 10-Q filed on November 8, 2017) and (b) 1,827,983 (the number of shares of common stock receivable upon conversion of convertible notes of the Issuer) plus (c) 14,100 shares of common stock receivable upon exercise of options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CUSIP No.: 55933J203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64573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6457315"/>
                    </a:xfrm>
                    <a:prstGeom prst="rect">
                      <a:avLst/>
                    </a:prstGeom>
                    <a:noFill/>
                  </pic:spPr>
                </pic:pic>
              </a:graphicData>
            </a:graphic>
          </wp:anchor>
        </w:drawing>
      </w:r>
    </w:p>
    <w:p>
      <w:pPr>
        <w:spacing w:after="0" w:line="246"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NAMES OF REPORTING PERSONS</w:t>
      </w:r>
    </w:p>
    <w:p>
      <w:pPr>
        <w:spacing w:after="0" w:line="63" w:lineRule="exact"/>
        <w:rPr>
          <w:sz w:val="20"/>
          <w:szCs w:val="20"/>
          <w:color w:val="auto"/>
        </w:rPr>
      </w:pPr>
    </w:p>
    <w:p>
      <w:pPr>
        <w:ind w:left="1440" w:right="4100" w:hanging="817"/>
        <w:spacing w:after="0" w:line="180" w:lineRule="auto"/>
        <w:tabs>
          <w:tab w:leader="none" w:pos="1431" w:val="left"/>
        </w:tabs>
        <w:numPr>
          <w:ilvl w:val="0"/>
          <w:numId w:val="17"/>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Robert R. Bellick</w:t>
      </w:r>
    </w:p>
    <w:p>
      <w:pPr>
        <w:spacing w:after="0" w:line="18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THE APPROPRIATE BOX IF A MEMBER OF A GROUP</w:t>
      </w:r>
    </w:p>
    <w:p>
      <w:pPr>
        <w:ind w:left="1420" w:hanging="797"/>
        <w:spacing w:after="0" w:line="322" w:lineRule="exact"/>
        <w:tabs>
          <w:tab w:leader="none" w:pos="1420" w:val="left"/>
        </w:tabs>
        <w:numPr>
          <w:ilvl w:val="0"/>
          <w:numId w:val="18"/>
        </w:numPr>
        <w:rPr>
          <w:rFonts w:ascii="Arial" w:cs="Arial" w:eastAsia="Arial" w:hAnsi="Arial"/>
          <w:sz w:val="32"/>
          <w:szCs w:val="32"/>
          <w:b w:val="1"/>
          <w:bCs w:val="1"/>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p>
      <w:pPr>
        <w:spacing w:after="0" w:line="36" w:lineRule="exact"/>
        <w:rPr>
          <w:rFonts w:ascii="Arial" w:cs="Arial" w:eastAsia="Arial" w:hAnsi="Arial"/>
          <w:sz w:val="32"/>
          <w:szCs w:val="32"/>
          <w:b w:val="1"/>
          <w:bCs w:val="1"/>
          <w:color w:val="auto"/>
        </w:rPr>
      </w:pPr>
    </w:p>
    <w:p>
      <w:pPr>
        <w:ind w:left="1420"/>
        <w:spacing w:after="0" w:line="207" w:lineRule="exact"/>
        <w:rPr>
          <w:rFonts w:ascii="Arial" w:cs="Arial" w:eastAsia="Arial" w:hAnsi="Arial"/>
          <w:sz w:val="32"/>
          <w:szCs w:val="32"/>
          <w:b w:val="1"/>
          <w:bCs w:val="1"/>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p>
      <w:pPr>
        <w:spacing w:after="0" w:line="51" w:lineRule="exact"/>
        <w:rPr>
          <w:rFonts w:ascii="Arial" w:cs="Arial" w:eastAsia="Arial" w:hAnsi="Arial"/>
          <w:sz w:val="32"/>
          <w:szCs w:val="32"/>
          <w:b w:val="1"/>
          <w:bCs w:val="1"/>
          <w:color w:val="auto"/>
        </w:rPr>
      </w:pPr>
    </w:p>
    <w:p>
      <w:pPr>
        <w:ind w:left="1420"/>
        <w:spacing w:after="0"/>
        <w:rPr>
          <w:rFonts w:ascii="Arial" w:cs="Arial" w:eastAsia="Arial" w:hAnsi="Arial"/>
          <w:sz w:val="32"/>
          <w:szCs w:val="32"/>
          <w:b w:val="1"/>
          <w:bCs w:val="1"/>
          <w:color w:val="auto"/>
        </w:rPr>
      </w:pPr>
      <w:r>
        <w:rPr>
          <w:rFonts w:ascii="Arial" w:cs="Arial" w:eastAsia="Arial" w:hAnsi="Arial"/>
          <w:sz w:val="18"/>
          <w:szCs w:val="18"/>
          <w:b w:val="1"/>
          <w:bCs w:val="1"/>
          <w:color w:val="auto"/>
        </w:rPr>
        <w:t>SEC USE ONLY</w:t>
      </w:r>
    </w:p>
    <w:p>
      <w:pPr>
        <w:ind w:left="620"/>
        <w:spacing w:after="0"/>
        <w:rPr>
          <w:sz w:val="20"/>
          <w:szCs w:val="20"/>
          <w:color w:val="auto"/>
        </w:rPr>
      </w:pPr>
      <w:r>
        <w:rPr>
          <w:rFonts w:ascii="Arial" w:cs="Arial" w:eastAsia="Arial" w:hAnsi="Arial"/>
          <w:sz w:val="32"/>
          <w:szCs w:val="32"/>
          <w:b w:val="1"/>
          <w:bCs w:val="1"/>
          <w:color w:val="auto"/>
        </w:rPr>
        <w:t>3</w:t>
      </w:r>
    </w:p>
    <w:p>
      <w:pPr>
        <w:spacing w:after="0" w:line="24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CITIZENSHIP OR PLACE OF ORGANIZATION</w:t>
      </w:r>
    </w:p>
    <w:p>
      <w:pPr>
        <w:ind w:left="1440" w:hanging="817"/>
        <w:spacing w:after="0" w:line="182" w:lineRule="auto"/>
        <w:tabs>
          <w:tab w:leader="none" w:pos="1440" w:val="left"/>
        </w:tabs>
        <w:numPr>
          <w:ilvl w:val="0"/>
          <w:numId w:val="19"/>
        </w:numPr>
        <w:rPr>
          <w:rFonts w:ascii="Arial" w:cs="Arial" w:eastAsia="Arial" w:hAnsi="Arial"/>
          <w:sz w:val="50"/>
          <w:szCs w:val="50"/>
          <w:b w:val="1"/>
          <w:bCs w:val="1"/>
          <w:color w:val="auto"/>
          <w:vertAlign w:val="superscript"/>
        </w:rPr>
      </w:pPr>
      <w:r>
        <w:rPr>
          <w:rFonts w:ascii="Arial" w:cs="Arial" w:eastAsia="Arial" w:hAnsi="Arial"/>
          <w:sz w:val="16"/>
          <w:szCs w:val="16"/>
          <w:color w:val="auto"/>
        </w:rPr>
        <w:t>US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00" w:type="dxa"/>
            <w:vAlign w:val="bottom"/>
            <w:tcBorders>
              <w:top w:val="single" w:sz="8" w:color="auto"/>
            </w:tcBorders>
          </w:tcPr>
          <w:p>
            <w:pPr>
              <w:spacing w:after="0"/>
              <w:rPr>
                <w:sz w:val="20"/>
                <w:szCs w:val="20"/>
                <w:color w:val="auto"/>
              </w:rPr>
            </w:pPr>
          </w:p>
        </w:tc>
        <w:tc>
          <w:tcPr>
            <w:tcW w:w="660" w:type="dxa"/>
            <w:vAlign w:val="bottom"/>
            <w:tcBorders>
              <w:top w:val="single" w:sz="8" w:color="auto"/>
              <w:right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00" w:type="dxa"/>
            <w:vAlign w:val="bottom"/>
            <w:tcBorders>
              <w:top w:val="single" w:sz="8" w:color="auto"/>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6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353"/>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8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68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8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8680" w:type="dxa"/>
            <w:vAlign w:val="bottom"/>
            <w:vMerge w:val="restart"/>
          </w:tcPr>
          <w:p>
            <w:pPr>
              <w:ind w:left="40"/>
              <w:spacing w:after="0"/>
              <w:rPr>
                <w:sz w:val="20"/>
                <w:szCs w:val="20"/>
                <w:color w:val="auto"/>
              </w:rPr>
            </w:pPr>
            <w:r>
              <w:rPr>
                <w:rFonts w:ascii="Arial" w:cs="Arial" w:eastAsia="Arial" w:hAnsi="Arial"/>
                <w:sz w:val="18"/>
                <w:szCs w:val="18"/>
                <w:color w:val="auto"/>
              </w:rPr>
              <w:t>1,850,307</w:t>
            </w: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8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8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8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8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8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80" w:type="dxa"/>
            <w:vAlign w:val="bottom"/>
          </w:tcPr>
          <w:p>
            <w:pPr>
              <w:spacing w:after="0"/>
              <w:rPr>
                <w:sz w:val="14"/>
                <w:szCs w:val="14"/>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8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1400" w:type="dxa"/>
            <w:vAlign w:val="bottom"/>
          </w:tcPr>
          <w:p>
            <w:pPr>
              <w:jc w:val="center"/>
              <w:ind w:left="538"/>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8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68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1,850,307</w:t>
            </w: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00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w w:val="97"/>
              </w:rPr>
              <w:t>1,850,307</w:t>
            </w:r>
          </w:p>
        </w:tc>
        <w:tc>
          <w:tcPr>
            <w:tcW w:w="50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100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4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8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100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0020" w:type="dxa"/>
            <w:vAlign w:val="bottom"/>
            <w:gridSpan w:val="4"/>
          </w:tcPr>
          <w:p>
            <w:pPr>
              <w:ind w:left="40"/>
              <w:spacing w:after="0"/>
              <w:rPr>
                <w:sz w:val="20"/>
                <w:szCs w:val="20"/>
                <w:color w:val="auto"/>
              </w:rPr>
            </w:pPr>
            <w:r>
              <w:rPr>
                <w:rFonts w:ascii="Arial" w:cs="Arial" w:eastAsia="Arial" w:hAnsi="Arial"/>
                <w:sz w:val="18"/>
                <w:szCs w:val="18"/>
                <w:color w:val="auto"/>
              </w:rPr>
              <w:t>5.1%* (see Item 4)</w:t>
            </w: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100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IN/HC</w:t>
            </w:r>
          </w:p>
        </w:tc>
        <w:tc>
          <w:tcPr>
            <w:tcW w:w="50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firstLine="8"/>
        <w:spacing w:after="0" w:line="291" w:lineRule="auto"/>
        <w:tabs>
          <w:tab w:leader="none" w:pos="135" w:val="left"/>
        </w:tabs>
        <w:numPr>
          <w:ilvl w:val="0"/>
          <w:numId w:val="20"/>
        </w:numPr>
        <w:rPr>
          <w:rFonts w:ascii="Arial" w:cs="Arial" w:eastAsia="Arial" w:hAnsi="Arial"/>
          <w:sz w:val="16"/>
          <w:szCs w:val="16"/>
          <w:color w:val="auto"/>
        </w:rPr>
      </w:pPr>
      <w:r>
        <w:rPr>
          <w:rFonts w:ascii="Arial" w:cs="Arial" w:eastAsia="Arial" w:hAnsi="Arial"/>
          <w:sz w:val="16"/>
          <w:szCs w:val="16"/>
          <w:color w:val="auto"/>
        </w:rPr>
        <w:t>Percentage calculated by dividing (i) the sum of (a) 8,224 shares of common stock of the Issuer plus (b) 14,100 shares of common stock receivable upon exercise of options of the Issuer plus (c) 1,827,983 shares of common stock receivable upon conversion of convertible notes of the Issuer plus (ii) the sum of</w:t>
      </w:r>
    </w:p>
    <w:p>
      <w:pPr>
        <w:ind w:right="60"/>
        <w:spacing w:after="0" w:line="255" w:lineRule="auto"/>
        <w:rPr>
          <w:rFonts w:ascii="Arial" w:cs="Arial" w:eastAsia="Arial" w:hAnsi="Arial"/>
          <w:sz w:val="16"/>
          <w:szCs w:val="16"/>
          <w:color w:val="auto"/>
        </w:rPr>
      </w:pPr>
      <w:r>
        <w:rPr>
          <w:rFonts w:ascii="Arial" w:cs="Arial" w:eastAsia="Arial" w:hAnsi="Arial"/>
          <w:sz w:val="18"/>
          <w:szCs w:val="18"/>
          <w:color w:val="auto"/>
        </w:rPr>
        <w:t>(a) 34,138,289 (the number of shares of common stock outstanding as of October 31, 2017, as reported in the Issuer's Form 10-Q filed on November 8, 2017) and (b) 1,827,983 (the number of shares of common stock receivable upon conversion of convertible notes of the Issuer) plus (c) 14,100 shares of common stock receivable upon exercise of options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CUSIP No.: 55933J203</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NAME OF ISSUER:</w:t>
      </w:r>
    </w:p>
    <w:p>
      <w:pPr>
        <w:spacing w:after="0" w:line="25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Magnachip Semiconductor Corp.</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ADDRESS OF ISSUER'S PRINCIPAL EXECUTIVE OFFICES:</w:t>
      </w:r>
    </w:p>
    <w:p>
      <w:pPr>
        <w:spacing w:after="0" w:line="25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c/o MagnaChip Semiconductor S.A.</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1, Allee Scheffer, L-2520</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Luxembourg, Grand Duchy of Luxembourg</w:t>
      </w:r>
    </w:p>
    <w:p>
      <w:pPr>
        <w:spacing w:after="0" w:line="23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8"/>
          <w:szCs w:val="18"/>
          <w:b w:val="1"/>
          <w:bCs w:val="1"/>
          <w:color w:val="auto"/>
        </w:rPr>
        <w:t>NAME OF PERSON FILING:</w:t>
      </w:r>
    </w:p>
    <w:p>
      <w:pPr>
        <w:spacing w:after="0" w:line="22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Wolverine Asset Management, LLC</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Wolverine Holdings, L.P.</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Wolverine Trading Partners, Inc.</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Christopher L. Gust</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Robert R. Bellick</w:t>
      </w:r>
    </w:p>
    <w:p>
      <w:pPr>
        <w:spacing w:after="0" w:line="23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7"/>
          <w:szCs w:val="17"/>
          <w:b w:val="1"/>
          <w:bCs w:val="1"/>
          <w:color w:val="auto"/>
        </w:rPr>
        <w:t>ADDRESS OF PRINCIPAL BUSINESS OFFICE OR, IF NONE, RESIDENCE:</w:t>
      </w:r>
    </w:p>
    <w:p>
      <w:pPr>
        <w:spacing w:after="0" w:line="25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c/o Wolverine Asset Management, LLC</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175 West Jackson Blvd., Suite 340</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Chicago, IL 60604</w:t>
      </w:r>
    </w:p>
    <w:p>
      <w:pPr>
        <w:spacing w:after="0" w:line="23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8"/>
          <w:szCs w:val="18"/>
          <w:b w:val="1"/>
          <w:bCs w:val="1"/>
          <w:color w:val="auto"/>
        </w:rPr>
        <w:t>CITIZENSHIP:</w:t>
      </w:r>
    </w:p>
    <w:p>
      <w:pPr>
        <w:spacing w:after="0" w:line="25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Wolverine Asset Management, LLC – Illinois</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Wolverine Holdings, L.P. – Illinois</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Wolverine Trading Partners, Inc. – Illinois</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Christopher L. Gust – US Citizen</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Robert R. Bellick – US Citizen</w:t>
      </w:r>
    </w:p>
    <w:p>
      <w:pPr>
        <w:spacing w:after="0" w:line="234" w:lineRule="exact"/>
        <w:rPr>
          <w:sz w:val="20"/>
          <w:szCs w:val="20"/>
          <w:color w:val="auto"/>
        </w:rPr>
      </w:pPr>
    </w:p>
    <w:p>
      <w:pPr>
        <w:ind w:left="20"/>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8"/>
          <w:szCs w:val="18"/>
          <w:b w:val="1"/>
          <w:bCs w:val="1"/>
          <w:color w:val="auto"/>
        </w:rPr>
        <w:t>TITLE OF CLASS OF SECURITIES:</w:t>
      </w:r>
    </w:p>
    <w:p>
      <w:pPr>
        <w:spacing w:after="0" w:line="25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Common stock, par value $0.001 per share</w:t>
      </w:r>
    </w:p>
    <w:p>
      <w:pPr>
        <w:spacing w:after="0" w:line="248" w:lineRule="exact"/>
        <w:rPr>
          <w:sz w:val="20"/>
          <w:szCs w:val="20"/>
          <w:color w:val="auto"/>
        </w:rPr>
      </w:pPr>
    </w:p>
    <w:p>
      <w:pPr>
        <w:ind w:left="20"/>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5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55933J203</w:t>
      </w:r>
    </w:p>
    <w:p>
      <w:pPr>
        <w:spacing w:after="0" w:line="248" w:lineRule="exact"/>
        <w:rPr>
          <w:sz w:val="20"/>
          <w:szCs w:val="20"/>
          <w:color w:val="auto"/>
        </w:rPr>
      </w:pPr>
    </w:p>
    <w:p>
      <w:pPr>
        <w:ind w:left="13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SECTION 240.13d-1(b), or 13d-2(b) or (c) CHECK WHETHER THE PERSON FILING IS A:</w:t>
      </w:r>
    </w:p>
    <w:p>
      <w:pPr>
        <w:spacing w:after="0" w:line="160" w:lineRule="exact"/>
        <w:rPr>
          <w:sz w:val="20"/>
          <w:szCs w:val="20"/>
          <w:color w:val="auto"/>
        </w:rPr>
      </w:pPr>
    </w:p>
    <w:p>
      <w:pPr>
        <w:ind w:left="360" w:hanging="352"/>
        <w:spacing w:after="0" w:line="207" w:lineRule="exact"/>
        <w:tabs>
          <w:tab w:leader="none" w:pos="360" w:val="left"/>
        </w:tabs>
        <w:numPr>
          <w:ilvl w:val="0"/>
          <w:numId w:val="2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78c);</w:t>
      </w:r>
    </w:p>
    <w:p>
      <w:pPr>
        <w:spacing w:after="0" w:line="57" w:lineRule="exact"/>
        <w:rPr>
          <w:rFonts w:ascii="Arial" w:cs="Arial" w:eastAsia="Arial" w:hAnsi="Arial"/>
          <w:sz w:val="18"/>
          <w:szCs w:val="18"/>
          <w:color w:val="auto"/>
        </w:rPr>
      </w:pPr>
    </w:p>
    <w:p>
      <w:pPr>
        <w:ind w:left="360" w:hanging="352"/>
        <w:spacing w:after="0" w:line="207" w:lineRule="exact"/>
        <w:tabs>
          <w:tab w:leader="none" w:pos="360" w:val="left"/>
        </w:tabs>
        <w:numPr>
          <w:ilvl w:val="0"/>
          <w:numId w:val="2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9" w:lineRule="exact"/>
        <w:rPr>
          <w:rFonts w:ascii="Arial" w:cs="Arial" w:eastAsia="Arial" w:hAnsi="Arial"/>
          <w:sz w:val="18"/>
          <w:szCs w:val="18"/>
          <w:color w:val="auto"/>
        </w:rPr>
      </w:pPr>
    </w:p>
    <w:p>
      <w:pPr>
        <w:ind w:left="360" w:hanging="352"/>
        <w:spacing w:after="0" w:line="207" w:lineRule="exact"/>
        <w:tabs>
          <w:tab w:leader="none" w:pos="360" w:val="left"/>
        </w:tabs>
        <w:numPr>
          <w:ilvl w:val="0"/>
          <w:numId w:val="2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60"/>
          </w:cols>
          <w:pgMar w:left="240" w:top="121" w:right="999" w:bottom="1440" w:gutter="0" w:footer="0" w:header="0"/>
        </w:sectPr>
      </w:pPr>
    </w:p>
    <w:bookmarkStart w:id="7" w:name="page8"/>
    <w:bookmarkEnd w:id="7"/>
    <w:p>
      <w:pPr>
        <w:ind w:left="400" w:hanging="392"/>
        <w:spacing w:after="0" w:line="207" w:lineRule="exact"/>
        <w:tabs>
          <w:tab w:leader="none" w:pos="400" w:val="left"/>
        </w:tabs>
        <w:numPr>
          <w:ilvl w:val="0"/>
          <w:numId w:val="2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58" w:lineRule="exact"/>
        <w:rPr>
          <w:rFonts w:ascii="Arial" w:cs="Arial" w:eastAsia="Arial" w:hAnsi="Arial"/>
          <w:sz w:val="18"/>
          <w:szCs w:val="18"/>
          <w:color w:val="auto"/>
        </w:rPr>
      </w:pPr>
    </w:p>
    <w:p>
      <w:pPr>
        <w:ind w:left="400" w:hanging="392"/>
        <w:spacing w:after="0" w:line="207" w:lineRule="exact"/>
        <w:tabs>
          <w:tab w:leader="none" w:pos="400" w:val="left"/>
        </w:tabs>
        <w:numPr>
          <w:ilvl w:val="0"/>
          <w:numId w:val="2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9" w:lineRule="exact"/>
        <w:rPr>
          <w:rFonts w:ascii="Arial" w:cs="Arial" w:eastAsia="Arial" w:hAnsi="Arial"/>
          <w:sz w:val="18"/>
          <w:szCs w:val="18"/>
          <w:color w:val="auto"/>
        </w:rPr>
      </w:pPr>
    </w:p>
    <w:p>
      <w:pPr>
        <w:ind w:left="400" w:hanging="392"/>
        <w:spacing w:after="0" w:line="207" w:lineRule="exact"/>
        <w:tabs>
          <w:tab w:leader="none" w:pos="400" w:val="left"/>
        </w:tabs>
        <w:numPr>
          <w:ilvl w:val="0"/>
          <w:numId w:val="2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9" w:lineRule="exact"/>
        <w:rPr>
          <w:rFonts w:ascii="Arial" w:cs="Arial" w:eastAsia="Arial" w:hAnsi="Arial"/>
          <w:sz w:val="18"/>
          <w:szCs w:val="18"/>
          <w:color w:val="auto"/>
        </w:rPr>
      </w:pPr>
    </w:p>
    <w:p>
      <w:pPr>
        <w:ind w:left="400" w:hanging="392"/>
        <w:spacing w:after="0" w:line="207" w:lineRule="exact"/>
        <w:tabs>
          <w:tab w:leader="none" w:pos="400" w:val="left"/>
        </w:tabs>
        <w:numPr>
          <w:ilvl w:val="0"/>
          <w:numId w:val="2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9" w:lineRule="exact"/>
        <w:rPr>
          <w:rFonts w:ascii="Arial" w:cs="Arial" w:eastAsia="Arial" w:hAnsi="Arial"/>
          <w:sz w:val="18"/>
          <w:szCs w:val="18"/>
          <w:color w:val="auto"/>
        </w:rPr>
      </w:pPr>
    </w:p>
    <w:p>
      <w:pPr>
        <w:ind w:left="400" w:hanging="392"/>
        <w:spacing w:after="0" w:line="207" w:lineRule="exact"/>
        <w:tabs>
          <w:tab w:leader="none" w:pos="400" w:val="left"/>
        </w:tabs>
        <w:numPr>
          <w:ilvl w:val="0"/>
          <w:numId w:val="2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9" w:lineRule="exact"/>
        <w:rPr>
          <w:rFonts w:ascii="Arial" w:cs="Arial" w:eastAsia="Arial" w:hAnsi="Arial"/>
          <w:sz w:val="18"/>
          <w:szCs w:val="18"/>
          <w:color w:val="auto"/>
        </w:rPr>
      </w:pPr>
    </w:p>
    <w:p>
      <w:pPr>
        <w:ind w:left="400" w:right="320" w:hanging="392"/>
        <w:spacing w:after="0" w:line="215" w:lineRule="exact"/>
        <w:tabs>
          <w:tab w:leader="none" w:pos="400" w:val="left"/>
        </w:tabs>
        <w:numPr>
          <w:ilvl w:val="0"/>
          <w:numId w:val="2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ind w:left="400" w:hanging="392"/>
        <w:spacing w:after="0" w:line="207" w:lineRule="exact"/>
        <w:tabs>
          <w:tab w:leader="none" w:pos="400" w:val="left"/>
        </w:tabs>
        <w:numPr>
          <w:ilvl w:val="0"/>
          <w:numId w:val="2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240.13d-1(b)(1)(ii)(J);</w:t>
      </w:r>
    </w:p>
    <w:p>
      <w:pPr>
        <w:spacing w:after="0" w:line="10" w:lineRule="exact"/>
        <w:rPr>
          <w:rFonts w:ascii="Arial" w:cs="Arial" w:eastAsia="Arial" w:hAnsi="Arial"/>
          <w:sz w:val="18"/>
          <w:szCs w:val="18"/>
          <w:color w:val="auto"/>
        </w:rPr>
      </w:pPr>
    </w:p>
    <w:p>
      <w:pPr>
        <w:ind w:left="400" w:right="80" w:hanging="392"/>
        <w:spacing w:after="0" w:line="215" w:lineRule="exact"/>
        <w:tabs>
          <w:tab w:leader="none" w:pos="400" w:val="left"/>
        </w:tabs>
        <w:numPr>
          <w:ilvl w:val="0"/>
          <w:numId w:val="2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240.13d-1(b)(1)(ii)(K). If filing as a non-U.S. institution in accordance with 240.13d1(b)(1)(ii)(J), please specify the type of institution:</w:t>
      </w:r>
    </w:p>
    <w:p>
      <w:pPr>
        <w:spacing w:after="0" w:line="22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Amount beneficially owned:</w:t>
      </w:r>
    </w:p>
    <w:p>
      <w:pPr>
        <w:spacing w:after="0" w:line="252" w:lineRule="exact"/>
        <w:rPr>
          <w:sz w:val="20"/>
          <w:szCs w:val="20"/>
          <w:color w:val="auto"/>
        </w:rPr>
      </w:pPr>
    </w:p>
    <w:p>
      <w:pPr>
        <w:ind w:left="1300" w:right="60"/>
        <w:spacing w:after="0" w:line="273" w:lineRule="auto"/>
        <w:rPr>
          <w:sz w:val="20"/>
          <w:szCs w:val="20"/>
          <w:color w:val="auto"/>
        </w:rPr>
      </w:pPr>
      <w:r>
        <w:rPr>
          <w:rFonts w:ascii="Arial" w:cs="Arial" w:eastAsia="Arial" w:hAnsi="Arial"/>
          <w:sz w:val="17"/>
          <w:szCs w:val="17"/>
          <w:color w:val="auto"/>
        </w:rPr>
        <w:t>Wolverine Asset Management, LLC (“WAM”) is an investment manager and has voting and dispositive power over 1,827,983 shares of the common stock receivable upon conversion of convertible notes of the Issuer. The sole member and manager of WAM is Wolverine Holdings, L.P. (“Wolverine Holdings”). In addition to shares deemed beneficially owned by WAM, Wolverine Holdings may be deemed to be the beneficial owner of (i) 8,224 shares of common stock of the Issuer plus (ii) 14,100 shares of common stock receivable upon exercise of options of the Issuer held by affiliates other than WAM as of December 29, 2017. Robert R. Bellick and Christopher L. Gust may be deemed to control Wolverine Trading Partners, Inc. (“WTP”), the general partner of Wolverine Holdings.</w:t>
      </w:r>
    </w:p>
    <w:p>
      <w:pPr>
        <w:spacing w:after="0" w:line="2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  Percent of class:</w:t>
      </w:r>
    </w:p>
    <w:p>
      <w:pPr>
        <w:spacing w:after="0" w:line="25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5.1%</w:t>
      </w:r>
    </w:p>
    <w:p>
      <w:pPr>
        <w:spacing w:after="0" w:line="252" w:lineRule="exact"/>
        <w:rPr>
          <w:sz w:val="20"/>
          <w:szCs w:val="20"/>
          <w:color w:val="auto"/>
        </w:rPr>
      </w:pPr>
    </w:p>
    <w:p>
      <w:pPr>
        <w:ind w:left="1300" w:right="60"/>
        <w:spacing w:after="0" w:line="255" w:lineRule="auto"/>
        <w:rPr>
          <w:sz w:val="20"/>
          <w:szCs w:val="20"/>
          <w:color w:val="auto"/>
        </w:rPr>
      </w:pPr>
      <w:r>
        <w:rPr>
          <w:rFonts w:ascii="Arial" w:cs="Arial" w:eastAsia="Arial" w:hAnsi="Arial"/>
          <w:sz w:val="18"/>
          <w:szCs w:val="18"/>
          <w:color w:val="auto"/>
        </w:rPr>
        <w:t>WAM may be deemed the beneficial owner of 5.1% of the Issuer’s outstanding shares of common stock, and each of Wolverine Holdings, WTP, Mr. Bellick, and Mr. Gust may be deemed the beneficial owner of 5.1% of the Issuer’s outstanding shares of common stock. Percentages were calculated by dividing the number of shares deemed beneficially owned by each reporting person by the sum of (i) 34,138,289 (the number of shares of common stock outstanding as of October 31, 2017, as reported in the Issuer’s most recent Form 10-Q filed on November 8, 2017) and (ii) 1,827,983 (the number of shares of common stock receivable upon conversion of convertible notes of the Issuer) plus (iii) 14,100 (the number of shares of common stock receivable upon exercise of options of the Issuer held by affiliates other than WAM).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1" w:right="239" w:bottom="1440" w:gutter="0" w:footer="0" w:header="0"/>
        </w:sectPr>
      </w:pPr>
    </w:p>
    <w:bookmarkStart w:id="8" w:name="page9"/>
    <w:bookmarkEnd w:id="8"/>
    <w:p>
      <w:pPr>
        <w:ind w:left="1620" w:hanging="315"/>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right="6600" w:hanging="331"/>
        <w:spacing w:after="0" w:line="532" w:lineRule="auto"/>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ind w:left="1960" w:hanging="331"/>
        <w:spacing w:after="0"/>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52" w:lineRule="exact"/>
        <w:rPr>
          <w:rFonts w:ascii="Arial" w:cs="Arial" w:eastAsia="Arial" w:hAnsi="Arial"/>
          <w:sz w:val="18"/>
          <w:szCs w:val="18"/>
          <w:color w:val="auto"/>
        </w:rPr>
      </w:pPr>
    </w:p>
    <w:p>
      <w:pPr>
        <w:jc w:val="both"/>
        <w:ind w:left="1960"/>
        <w:spacing w:after="0" w:line="264" w:lineRule="auto"/>
        <w:rPr>
          <w:rFonts w:ascii="Arial" w:cs="Arial" w:eastAsia="Arial" w:hAnsi="Arial"/>
          <w:sz w:val="18"/>
          <w:szCs w:val="18"/>
          <w:color w:val="auto"/>
        </w:rPr>
      </w:pPr>
      <w:r>
        <w:rPr>
          <w:rFonts w:ascii="Arial" w:cs="Arial" w:eastAsia="Arial" w:hAnsi="Arial"/>
          <w:sz w:val="18"/>
          <w:szCs w:val="18"/>
          <w:color w:val="auto"/>
        </w:rPr>
        <w:t>WAM has shared power to vote or direct the vote of 1,827,983 shares of the common stock of the Issuer, and each of Wolverine Holdings, WTP, Mr. Bellick, and Mr. Gust has shared power to vote or direct the vote of 1,850,307 shares of the common stock of the Issuer, in each case as set forth in Item 4(a) above.</w:t>
      </w:r>
    </w:p>
    <w:p>
      <w:pPr>
        <w:spacing w:after="0" w:line="208" w:lineRule="exact"/>
        <w:rPr>
          <w:rFonts w:ascii="Arial" w:cs="Arial" w:eastAsia="Arial" w:hAnsi="Arial"/>
          <w:sz w:val="18"/>
          <w:szCs w:val="18"/>
          <w:color w:val="auto"/>
        </w:rPr>
      </w:pPr>
    </w:p>
    <w:p>
      <w:pPr>
        <w:ind w:left="1960" w:right="5700" w:hanging="331"/>
        <w:spacing w:after="0" w:line="532" w:lineRule="auto"/>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ind w:left="1960" w:hanging="331"/>
        <w:spacing w:after="0"/>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52" w:lineRule="exact"/>
        <w:rPr>
          <w:rFonts w:ascii="Arial" w:cs="Arial" w:eastAsia="Arial" w:hAnsi="Arial"/>
          <w:sz w:val="18"/>
          <w:szCs w:val="18"/>
          <w:color w:val="auto"/>
        </w:rPr>
      </w:pPr>
    </w:p>
    <w:p>
      <w:pPr>
        <w:jc w:val="both"/>
        <w:ind w:left="1960"/>
        <w:spacing w:after="0" w:line="264" w:lineRule="auto"/>
        <w:rPr>
          <w:rFonts w:ascii="Arial" w:cs="Arial" w:eastAsia="Arial" w:hAnsi="Arial"/>
          <w:sz w:val="18"/>
          <w:szCs w:val="18"/>
          <w:color w:val="auto"/>
        </w:rPr>
      </w:pPr>
      <w:r>
        <w:rPr>
          <w:rFonts w:ascii="Arial" w:cs="Arial" w:eastAsia="Arial" w:hAnsi="Arial"/>
          <w:sz w:val="18"/>
          <w:szCs w:val="18"/>
          <w:color w:val="auto"/>
        </w:rPr>
        <w:t>WAM has shared power to dispose or to direct the disposition of 1,827,983 shares of the common stock of the Issuer, and each of Wolverine Holdings, WTP, Mr. Bellick, and Mr. Gust has shared power to dispose or to direct the disposition of 1,850,307 shares of the common stock of the Issuer, in each case as set forth in Item 4(a) above.</w:t>
      </w:r>
    </w:p>
    <w:p>
      <w:pPr>
        <w:spacing w:after="0" w:line="20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256" w:lineRule="exact"/>
        <w:rPr>
          <w:sz w:val="20"/>
          <w:szCs w:val="20"/>
          <w:color w:val="auto"/>
        </w:rPr>
      </w:pPr>
    </w:p>
    <w:p>
      <w:pPr>
        <w:ind w:left="1300" w:right="8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256" w:lineRule="exact"/>
        <w:rPr>
          <w:sz w:val="20"/>
          <w:szCs w:val="20"/>
          <w:color w:val="auto"/>
        </w:rPr>
      </w:pPr>
    </w:p>
    <w:p>
      <w:pPr>
        <w:ind w:left="1300" w:right="80"/>
        <w:spacing w:after="0" w:line="308" w:lineRule="auto"/>
        <w:rPr>
          <w:sz w:val="20"/>
          <w:szCs w:val="20"/>
          <w:color w:val="auto"/>
        </w:rPr>
      </w:pPr>
      <w:r>
        <w:rPr>
          <w:rFonts w:ascii="Arial" w:cs="Arial" w:eastAsia="Arial" w:hAnsi="Arial"/>
          <w:sz w:val="17"/>
          <w:szCs w:val="17"/>
          <w:color w:val="auto"/>
        </w:rPr>
        <w:t>Wolverine Flagship Fund Trading Limited is known to have the right to receive the receipt of dividends from, or the proceeds from the sale of, the shares of common stock covered by this statement that may be deemed to be beneficially owned by WAM.</w:t>
      </w:r>
    </w:p>
    <w:p>
      <w:pPr>
        <w:spacing w:after="0" w:line="170" w:lineRule="exact"/>
        <w:rPr>
          <w:sz w:val="20"/>
          <w:szCs w:val="20"/>
          <w:color w:val="auto"/>
        </w:rPr>
      </w:pPr>
    </w:p>
    <w:p>
      <w:pPr>
        <w:ind w:left="1300" w:right="9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4(a) above.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25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2018</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Wolverine Asset Management, LLC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Kenneth L. Nadel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Kenneth L. Nadel, Chief Operating Officer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Name/Title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Wolverine Holdings, L.P.</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/s/Christopher L. Gust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Christopher L. Gust, Managing Director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Name/Title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Wolverine Trading Partners,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/s/Christopher L. Gust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Christopher L. Gust, Authorized Signatory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Name/Title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/s/Christopher L. Gust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Christopher L. Gust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Robert R. Bellick</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Robert R. Bellick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060"/>
      </w:cols>
      <w:pgMar w:left="240" w:top="121"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140E0F76"/>
    <w:multiLevelType w:val="hybridMultilevel"/>
    <w:lvl w:ilvl="0">
      <w:lvlJc w:val="left"/>
      <w:lvlText w:val="1"/>
      <w:numFmt w:val="bullet"/>
      <w:start w:val="1"/>
    </w:lvl>
  </w:abstractNum>
  <w:abstractNum w:abstractNumId="2">
    <w:nsid w:val="3352255A"/>
    <w:multiLevelType w:val="hybridMultilevel"/>
    <w:lvl w:ilvl="0">
      <w:lvlJc w:val="left"/>
      <w:lvlText w:val="2"/>
      <w:numFmt w:val="bullet"/>
      <w:start w:val="1"/>
    </w:lvl>
  </w:abstractNum>
  <w:abstractNum w:abstractNumId="3">
    <w:nsid w:val="109CF92E"/>
    <w:multiLevelType w:val="hybridMultilevel"/>
    <w:lvl w:ilvl="0">
      <w:lvlJc w:val="left"/>
      <w:lvlText w:val="4"/>
      <w:numFmt w:val="bullet"/>
      <w:start w:val="1"/>
    </w:lvl>
  </w:abstractNum>
  <w:abstractNum w:abstractNumId="4">
    <w:nsid w:val="DED7263"/>
    <w:multiLevelType w:val="hybridMultilevel"/>
    <w:lvl w:ilvl="0">
      <w:lvlJc w:val="left"/>
      <w:lvlText w:val="1"/>
      <w:numFmt w:val="bullet"/>
      <w:start w:val="1"/>
    </w:lvl>
  </w:abstractNum>
  <w:abstractNum w:abstractNumId="5">
    <w:nsid w:val="7FDCC233"/>
    <w:multiLevelType w:val="hybridMultilevel"/>
    <w:lvl w:ilvl="0">
      <w:lvlJc w:val="left"/>
      <w:lvlText w:val="2"/>
      <w:numFmt w:val="bullet"/>
      <w:start w:val="1"/>
    </w:lvl>
  </w:abstractNum>
  <w:abstractNum w:abstractNumId="6">
    <w:nsid w:val="1BEFD79F"/>
    <w:multiLevelType w:val="hybridMultilevel"/>
    <w:lvl w:ilvl="0">
      <w:lvlJc w:val="left"/>
      <w:lvlText w:val="4"/>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bullet"/>
      <w:start w:val="1"/>
    </w:lvl>
  </w:abstractNum>
  <w:abstractNum w:abstractNumId="9">
    <w:nsid w:val="4E6AFB66"/>
    <w:multiLevelType w:val="hybridMultilevel"/>
    <w:lvl w:ilvl="0">
      <w:lvlJc w:val="left"/>
      <w:lvlText w:val="2"/>
      <w:numFmt w:val="bullet"/>
      <w:start w:val="1"/>
    </w:lvl>
  </w:abstractNum>
  <w:abstractNum w:abstractNumId="10">
    <w:nsid w:val="25E45D32"/>
    <w:multiLevelType w:val="hybridMultilevel"/>
    <w:lvl w:ilvl="0">
      <w:lvlJc w:val="left"/>
      <w:lvlText w:val="4"/>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1"/>
      <w:numFmt w:val="bullet"/>
      <w:start w:val="1"/>
    </w:lvl>
  </w:abstractNum>
  <w:abstractNum w:abstractNumId="13">
    <w:nsid w:val="3F2DBA31"/>
    <w:multiLevelType w:val="hybridMultilevel"/>
    <w:lvl w:ilvl="0">
      <w:lvlJc w:val="left"/>
      <w:lvlText w:val="2"/>
      <w:numFmt w:val="bullet"/>
      <w:start w:val="1"/>
    </w:lvl>
  </w:abstractNum>
  <w:abstractNum w:abstractNumId="14">
    <w:nsid w:val="7C83E458"/>
    <w:multiLevelType w:val="hybridMultilevel"/>
    <w:lvl w:ilvl="0">
      <w:lvlJc w:val="left"/>
      <w:lvlText w:val="4"/>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bullet"/>
      <w:start w:val="1"/>
    </w:lvl>
  </w:abstractNum>
  <w:abstractNum w:abstractNumId="17">
    <w:nsid w:val="436C6125"/>
    <w:multiLevelType w:val="hybridMultilevel"/>
    <w:lvl w:ilvl="0">
      <w:lvlJc w:val="left"/>
      <w:lvlText w:val="2"/>
      <w:numFmt w:val="bullet"/>
      <w:start w:val="1"/>
    </w:lvl>
  </w:abstractNum>
  <w:abstractNum w:abstractNumId="18">
    <w:nsid w:val="628C895D"/>
    <w:multiLevelType w:val="hybridMultilevel"/>
    <w:lvl w:ilvl="0">
      <w:lvlJc w:val="left"/>
      <w:lvlText w:val="4"/>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lowerLetter"/>
      <w:start w:val="4"/>
    </w:lvl>
  </w:abstractNum>
  <w:abstractNum w:abstractNumId="22">
    <w:nsid w:val="2D1D5AE9"/>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2019-12-17T06:39:10Z</dcterms:created>
  <dcterms:modified xsi:type="dcterms:W3CDTF">2019-12-17T06:39:10Z</dcterms:modified>
</cp:coreProperties>
</file>