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Young-Joon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30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15"/>
        <w:spacing w:after="0"/>
        <w:rPr>
          <w:sz w:val="20"/>
          <w:szCs w:val="20"/>
          <w:color w:val="auto"/>
        </w:rPr>
      </w:pPr>
      <w:r>
        <w:rPr>
          <w:rFonts w:ascii="Arial" w:cs="Arial" w:eastAsia="Arial" w:hAnsi="Arial"/>
          <w:sz w:val="17"/>
          <w:szCs w:val="17"/>
          <w:color w:val="0000FF"/>
        </w:rPr>
        <w:t>See Remarks</w:t>
      </w:r>
    </w:p>
    <w:p>
      <w:pPr>
        <w:spacing w:after="0" w:line="425" w:lineRule="exact"/>
        <w:rPr>
          <w:sz w:val="24"/>
          <w:szCs w:val="24"/>
          <w:color w:val="auto"/>
        </w:rPr>
      </w:pPr>
    </w:p>
    <w:p>
      <w:pPr>
        <w:sectPr>
          <w:pgSz w:w="11900" w:h="16838" w:orient="portrait"/>
          <w:cols w:equalWidth="0" w:num="3">
            <w:col w:w="3540" w:space="371"/>
            <w:col w:w="3649" w:space="175"/>
            <w:col w:w="3265"/>
          </w:cols>
          <w:pgMar w:left="460" w:top="225"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SEOUL</w:t>
            </w:r>
          </w:p>
        </w:tc>
        <w:tc>
          <w:tcPr>
            <w:tcW w:w="1140" w:type="dxa"/>
            <w:vAlign w:val="bottom"/>
          </w:tcPr>
          <w:p>
            <w:pPr>
              <w:ind w:left="320"/>
              <w:spacing w:after="0"/>
              <w:rPr>
                <w:sz w:val="20"/>
                <w:szCs w:val="20"/>
                <w:color w:val="auto"/>
              </w:rPr>
            </w:pPr>
            <w:r>
              <w:rPr>
                <w:rFonts w:ascii="Arial" w:cs="Arial" w:eastAsia="Arial" w:hAnsi="Arial"/>
                <w:sz w:val="17"/>
                <w:szCs w:val="17"/>
                <w:color w:val="0000FF"/>
              </w:rPr>
              <w:t>M5</w:t>
            </w:r>
          </w:p>
        </w:tc>
        <w:tc>
          <w:tcPr>
            <w:tcW w:w="1600" w:type="dxa"/>
            <w:vAlign w:val="bottom"/>
          </w:tcPr>
          <w:p>
            <w:pPr>
              <w:ind w:left="400"/>
              <w:spacing w:after="0"/>
              <w:rPr>
                <w:sz w:val="20"/>
                <w:szCs w:val="20"/>
                <w:color w:val="auto"/>
              </w:rPr>
            </w:pPr>
            <w:r>
              <w:rPr>
                <w:rFonts w:ascii="Arial" w:cs="Arial" w:eastAsia="Arial" w:hAnsi="Arial"/>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Arial" w:cs="Arial" w:eastAsia="Arial" w:hAnsi="Arial"/>
                <w:sz w:val="17"/>
                <w:szCs w:val="17"/>
                <w:color w:val="0000FF"/>
                <w:w w:val="91"/>
              </w:rPr>
              <w:t>12/31/2022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4,010</w:t>
            </w:r>
            <w:r>
              <w:rPr>
                <w:rFonts w:ascii="Arial" w:cs="Arial" w:eastAsia="Arial" w:hAnsi="Arial"/>
                <w:sz w:val="22"/>
                <w:szCs w:val="22"/>
                <w:color w:val="008000"/>
                <w:w w:val="99"/>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9.39</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380,057</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Arial" w:cs="Arial" w:eastAsia="Arial" w:hAnsi="Arial"/>
                <w:sz w:val="17"/>
                <w:szCs w:val="17"/>
                <w:color w:val="0000FF"/>
                <w:w w:val="91"/>
              </w:rPr>
              <w:t>12/31/2022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3,608</w:t>
            </w:r>
            <w:r>
              <w:rPr>
                <w:rFonts w:ascii="Arial" w:cs="Arial" w:eastAsia="Arial" w:hAnsi="Arial"/>
                <w:sz w:val="22"/>
                <w:szCs w:val="22"/>
                <w:color w:val="008000"/>
                <w:w w:val="99"/>
                <w:vertAlign w:val="superscript"/>
              </w:rPr>
              <w:t>(2)</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9.39</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376,449</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Arial" w:cs="Arial" w:eastAsia="Arial" w:hAnsi="Arial"/>
                <w:sz w:val="17"/>
                <w:szCs w:val="17"/>
                <w:color w:val="0000FF"/>
                <w:w w:val="91"/>
              </w:rPr>
              <w:t>12/31/2022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5,304</w:t>
            </w:r>
            <w:r>
              <w:rPr>
                <w:rFonts w:ascii="Arial" w:cs="Arial" w:eastAsia="Arial" w:hAnsi="Arial"/>
                <w:sz w:val="22"/>
                <w:szCs w:val="22"/>
                <w:color w:val="008000"/>
                <w:w w:val="99"/>
                <w:vertAlign w:val="superscript"/>
              </w:rPr>
              <w:t>(3)</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9.39</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371,145</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4,010 shares of common stock to satisfy tax withholding obligations incurred by the Reporting Person upon the vesting of 10,836 shares of common stock originally awarded to the Reporting Person on May 7, 2020.</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3,608 shares of common stock to satisfy tax withholding obligations incurred by the Reporting Person upon the vesting of 9,749 shares of common stock originally awarded to the Reporting Person on February 19, 2021.</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5,304 shares of common stock to satisfy tax withholding obligations incurred by the Reporting Person upon the vesting of 14,333 shares of common stock originally awarded to the Reporting Person on February 28,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Director and Chief Executive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2023-01-04T15:16:08Z</dcterms:created>
  <dcterms:modified xsi:type="dcterms:W3CDTF">2023-01-04T15:16:08Z</dcterms:modified>
</cp:coreProperties>
</file>