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April 24, 2008</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97"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97"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740" w:space="720"/>
            <w:col w:w="2880" w:space="720"/>
            <w:col w:w="1960"/>
          </w:cols>
          <w:pgMar w:left="240" w:top="597"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597"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97"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March 30, 2008, as presented in a press release dated April 24,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9800" w:type="dxa"/>
            <w:vAlign w:val="bottom"/>
            <w:gridSpan w:val="2"/>
          </w:tcPr>
          <w:p>
            <w:pPr>
              <w:ind w:left="7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00" w:type="dxa"/>
            <w:vAlign w:val="bottom"/>
            <w:shd w:val="clear" w:color="auto" w:fill="000000"/>
          </w:tcPr>
          <w:p>
            <w:pPr>
              <w:spacing w:after="0" w:line="20" w:lineRule="exact"/>
              <w:rPr>
                <w:sz w:val="1"/>
                <w:szCs w:val="1"/>
                <w:color w:val="auto"/>
              </w:rPr>
            </w:pPr>
          </w:p>
        </w:tc>
      </w:tr>
      <w:tr>
        <w:trPr>
          <w:trHeight w:val="309"/>
        </w:trPr>
        <w:tc>
          <w:tcPr>
            <w:tcW w:w="700" w:type="dxa"/>
            <w:vAlign w:val="bottom"/>
          </w:tcPr>
          <w:p>
            <w:pPr>
              <w:jc w:val="right"/>
              <w:ind w:right="102"/>
              <w:spacing w:after="0"/>
              <w:rPr>
                <w:sz w:val="20"/>
                <w:szCs w:val="20"/>
                <w:color w:val="auto"/>
              </w:rPr>
            </w:pPr>
            <w:r>
              <w:rPr>
                <w:rFonts w:ascii="Arial" w:cs="Arial" w:eastAsia="Arial" w:hAnsi="Arial"/>
                <w:sz w:val="18"/>
                <w:szCs w:val="18"/>
                <w:color w:val="auto"/>
              </w:rPr>
              <w:t>99.1</w:t>
            </w:r>
          </w:p>
        </w:tc>
        <w:tc>
          <w:tcPr>
            <w:tcW w:w="9800" w:type="dxa"/>
            <w:vAlign w:val="bottom"/>
            <w:gridSpan w:val="2"/>
          </w:tcPr>
          <w:p>
            <w:pPr>
              <w:ind w:left="700"/>
              <w:spacing w:after="0"/>
              <w:rPr>
                <w:sz w:val="20"/>
                <w:szCs w:val="20"/>
                <w:color w:val="auto"/>
              </w:rPr>
            </w:pPr>
            <w:r>
              <w:rPr>
                <w:rFonts w:ascii="Arial" w:cs="Arial" w:eastAsia="Arial" w:hAnsi="Arial"/>
                <w:sz w:val="18"/>
                <w:szCs w:val="18"/>
                <w:color w:val="auto"/>
                <w:w w:val="89"/>
              </w:rPr>
              <w:t>Press release for MagnaChip Semiconductor LLC dated April 24, 2008, announcing the results for the first quarter ended March</w:t>
            </w:r>
          </w:p>
        </w:tc>
      </w:tr>
      <w:tr>
        <w:trPr>
          <w:trHeight w:val="222"/>
        </w:trPr>
        <w:tc>
          <w:tcPr>
            <w:tcW w:w="700" w:type="dxa"/>
            <w:vAlign w:val="bottom"/>
          </w:tcPr>
          <w:p>
            <w:pPr>
              <w:spacing w:after="0"/>
              <w:rPr>
                <w:sz w:val="19"/>
                <w:szCs w:val="19"/>
                <w:color w:val="auto"/>
              </w:rPr>
            </w:pPr>
          </w:p>
        </w:tc>
        <w:tc>
          <w:tcPr>
            <w:tcW w:w="9800" w:type="dxa"/>
            <w:vAlign w:val="bottom"/>
            <w:gridSpan w:val="2"/>
          </w:tcPr>
          <w:p>
            <w:pPr>
              <w:ind w:left="700"/>
              <w:spacing w:after="0"/>
              <w:rPr>
                <w:sz w:val="20"/>
                <w:szCs w:val="20"/>
                <w:color w:val="auto"/>
              </w:rPr>
            </w:pPr>
            <w:r>
              <w:rPr>
                <w:rFonts w:ascii="Arial" w:cs="Arial" w:eastAsia="Arial" w:hAnsi="Arial"/>
                <w:sz w:val="18"/>
                <w:szCs w:val="18"/>
                <w:color w:val="auto"/>
              </w:rPr>
              <w:t>30, 2008.</w:t>
            </w:r>
          </w:p>
        </w:tc>
      </w:tr>
    </w:tbl>
    <w:p>
      <w:pPr>
        <w:sectPr>
          <w:pgSz w:w="11900" w:h="16838" w:orient="portrait"/>
          <w:cols w:equalWidth="0" w:num="1">
            <w:col w:w="10960"/>
          </w:cols>
          <w:pgMar w:left="240" w:top="274"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7560" w:type="dxa"/>
            <w:vAlign w:val="bottom"/>
            <w:gridSpan w:val="2"/>
          </w:tcPr>
          <w:p>
            <w:pPr>
              <w:ind w:left="22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860" w:type="dxa"/>
            <w:vAlign w:val="bottom"/>
          </w:tcPr>
          <w:p>
            <w:pPr>
              <w:spacing w:after="0"/>
              <w:rPr>
                <w:sz w:val="20"/>
                <w:szCs w:val="20"/>
                <w:color w:val="auto"/>
              </w:rPr>
            </w:pPr>
            <w:r>
              <w:rPr>
                <w:rFonts w:ascii="Arial" w:cs="Arial" w:eastAsia="Arial" w:hAnsi="Arial"/>
                <w:sz w:val="18"/>
                <w:szCs w:val="18"/>
                <w:color w:val="auto"/>
              </w:rPr>
              <w:t>Dated: April 24, 2008</w:t>
            </w:r>
          </w:p>
        </w:tc>
        <w:tc>
          <w:tcPr>
            <w:tcW w:w="7560" w:type="dxa"/>
            <w:vAlign w:val="bottom"/>
            <w:gridSpan w:val="2"/>
          </w:tcPr>
          <w:p>
            <w:pPr>
              <w:ind w:left="2260"/>
              <w:spacing w:after="0"/>
              <w:rPr>
                <w:sz w:val="20"/>
                <w:szCs w:val="20"/>
                <w:color w:val="auto"/>
              </w:rPr>
            </w:pPr>
            <w:r>
              <w:rPr>
                <w:rFonts w:ascii="Arial" w:cs="Arial" w:eastAsia="Arial" w:hAnsi="Arial"/>
                <w:sz w:val="18"/>
                <w:szCs w:val="18"/>
                <w:color w:val="auto"/>
              </w:rPr>
              <w:t>By: /s/ Robert Krakauer</w:t>
            </w:r>
          </w:p>
        </w:tc>
      </w:tr>
      <w:tr>
        <w:trPr>
          <w:trHeight w:val="202"/>
        </w:trPr>
        <w:tc>
          <w:tcPr>
            <w:tcW w:w="3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0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3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316"/>
        </w:trPr>
        <w:tc>
          <w:tcPr>
            <w:tcW w:w="720" w:type="dxa"/>
            <w:vAlign w:val="bottom"/>
          </w:tcPr>
          <w:p>
            <w:pPr>
              <w:jc w:val="right"/>
              <w:ind w:right="122"/>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w w:val="90"/>
              </w:rPr>
              <w:t>Press release for MagnaChip Semiconductor LLC dated April 24, 2008, announcing the results for the first quarter ended March 30, 2008.</w:t>
            </w: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118110</wp:posOffset>
            </wp:positionV>
            <wp:extent cx="222123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123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April 24, 2008 </w:t>
      </w:r>
      <w:r>
        <w:rPr>
          <w:rFonts w:ascii="Arial" w:cs="Arial" w:eastAsia="Arial" w:hAnsi="Arial"/>
          <w:sz w:val="18"/>
          <w:szCs w:val="18"/>
          <w:color w:val="auto"/>
        </w:rPr>
        <w:t>– MagnaChip Semiconductor today announced results for the first quarter ended March 30,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March 30, 2008 was $203.1 million, compared to $151.8 million in the first quarter of 2007.</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margin was $47.9 million or 23.6% of revenue for the quarter ended March 30, 2008, compared to $14.9 million or 9.8% of revenue for the first quarter of 2007.</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Operating expenses for the first quarter of 2008 were $54.7 million or 26.9% of revenue, compared to $57.8 million or 38.1% of revenue for the first quarter of 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$6.8 million during the current quarter, compared to an operating loss of $42.9 million in the prior year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first quarter of 2008 was $15.7 million, compared to $14.4 million in the first quarter of 2007.</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loss for the three months ended March 30, 2008 was $67.9 million, compared to a net loss of $67.0 million in the first quarter of 2007. The net loss results were negatively impacted by a foreign currency loss of $42.9 million in the first quarter of 2008, compared to a foreign currency loss of $7.4 million in the first quarter of 2007. A substantial portion of this net foreign currency loss resulted from a non-cash translation loss recorded for intercompany borrowings at our Korea subsidiary that are denominated in U.S. dollars.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Sang Park, Chairman and CEO of MagnaChip Semiconductor, commented, “We continued to make progress in 2008 vs. 2007, with an increase in revenues of 33.8% vs. the first quarter of 2007. During the quarter, we began sampling our new line of power management products as part of an overall strategy to leverage our analog and mixed signal technology platform to expand our market opportunities. We expanded our image solutions business to new end markets and increased our account penetration in our display solutions business. In our Semiconductor Manufacturing Services business, we strengthened our specialty technology portfolio and achieved a design win at a recognized leader in the microcontroller market. Our product pipeline is strong, and our design win activity is at an all-time high as we enter into the second quarter.”</w:t>
      </w:r>
    </w:p>
    <w:p>
      <w:pPr>
        <w:spacing w:after="0" w:line="12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Robert Krakauer, President and CFO of MagnaChip Semiconductor, said, “We continued to make progress in the first quarter of 2008. Our gross margin and operating profit improved year over year, as we focused on maintaining our cost competitiveness. Though some of our markets are slower than expected, we believe we are well-positioned for continued performance improvement throughout 2008.”</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Conference Call / Webcast Details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MagnaChip will report full results for the first quarter 2008 on Thursday, April 24, 2008 at 10:00 a.m. in New York (11:00 p.m., Thursday, April 24, 2008 in Seoul). The conference call will be available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and by telephone at +1-(877) 407-0784 (domestic) or +1-(201) 689-8560 (International). A replay of the call will be available in two hours after the call through midnight on Thursday, May 1, 2008 in New York (1 p.m. on Friday, May 2, 2008 in Seoul)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and by telephone at +1-(201) 612-7415. The account number to access the replay is 3055 and the conference ID number is 279852,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Headquartered in Seoul, South Korea, MagnaChip Semiconductor is a leading, Asia-based designer and manufacturer of analog and mixed-signal semiconductor products for high volume consumer applications, such as mobile phones, digital televisions, flat panel displays, notebook computers, mobile multimedia devices and digital cameras. The Company has a broad range of analog and mixed-signal semiconductor technology, supported by its 28-year operating history, large portfolio of registered and pending patents and extensive engineering and manufacturing process expertise. For more information, visit </w:t>
      </w:r>
      <w:r>
        <w:rPr>
          <w:rFonts w:ascii="Arial" w:cs="Arial" w:eastAsia="Arial" w:hAnsi="Arial"/>
          <w:sz w:val="15"/>
          <w:szCs w:val="15"/>
          <w:u w:val="single" w:color="auto"/>
          <w:color w:val="auto"/>
        </w:rPr>
        <w:t>www.magnachip.com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statements contained in this press release contain forward-looking statements regarding MagnaChip Semiconductor’s operations, economic performance and financial condition. Although MagnaChip Semiconductor believes that the expectations reflected in these statements are reasonable, no assurance can be given that such expectations will prove to have been correct as a result of many factors, including those described in our annual report on Form 10-K for the year ended December 31, 2007, which was filed with the Securities and Exchange Commission on March 31,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w w:val="95"/>
              </w:rPr>
              <w:t>CONTACT:</w:t>
            </w:r>
          </w:p>
        </w:tc>
        <w:tc>
          <w:tcPr>
            <w:tcW w:w="2260" w:type="dxa"/>
            <w:vAlign w:val="bottom"/>
            <w:vMerge w:val="restart"/>
          </w:tcPr>
          <w:p>
            <w:pPr>
              <w:spacing w:after="0"/>
              <w:rPr>
                <w:sz w:val="19"/>
                <w:szCs w:val="19"/>
                <w:color w:val="auto"/>
              </w:rPr>
            </w:pPr>
          </w:p>
        </w:tc>
        <w:tc>
          <w:tcPr>
            <w:tcW w:w="3580" w:type="dxa"/>
            <w:vAlign w:val="bottom"/>
          </w:tcPr>
          <w:p>
            <w:pPr>
              <w:ind w:left="236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183"/>
        </w:trPr>
        <w:tc>
          <w:tcPr>
            <w:tcW w:w="92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In Korea:</w:t>
            </w:r>
          </w:p>
        </w:tc>
        <w:tc>
          <w:tcPr>
            <w:tcW w:w="3580" w:type="dxa"/>
            <w:vAlign w:val="bottom"/>
          </w:tcPr>
          <w:p>
            <w:pPr>
              <w:ind w:left="1180"/>
              <w:spacing w:after="0"/>
              <w:rPr>
                <w:sz w:val="20"/>
                <w:szCs w:val="20"/>
                <w:color w:val="auto"/>
              </w:rPr>
            </w:pPr>
            <w:r>
              <w:rPr>
                <w:rFonts w:ascii="Arial" w:cs="Arial" w:eastAsia="Arial" w:hAnsi="Arial"/>
                <w:sz w:val="18"/>
                <w:szCs w:val="18"/>
                <w:b w:val="1"/>
                <w:bCs w:val="1"/>
                <w:color w:val="auto"/>
              </w:rPr>
              <w:t>In the U.S.: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Mi-Jeong Han, PR Manager</w:t>
            </w:r>
          </w:p>
        </w:tc>
        <w:tc>
          <w:tcPr>
            <w:tcW w:w="3580" w:type="dxa"/>
            <w:vAlign w:val="bottom"/>
          </w:tcPr>
          <w:p>
            <w:pPr>
              <w:ind w:left="1180"/>
              <w:spacing w:after="0"/>
              <w:rPr>
                <w:sz w:val="20"/>
                <w:szCs w:val="20"/>
                <w:color w:val="auto"/>
              </w:rPr>
            </w:pPr>
            <w:r>
              <w:rPr>
                <w:rFonts w:ascii="Arial" w:cs="Arial" w:eastAsia="Arial" w:hAnsi="Arial"/>
                <w:sz w:val="18"/>
                <w:szCs w:val="18"/>
                <w:color w:val="auto"/>
                <w:w w:val="88"/>
              </w:rPr>
              <w:t>Joseph Villalta at The Ruth Group</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Tel: 82-2-6903-3195</w:t>
            </w:r>
          </w:p>
        </w:tc>
        <w:tc>
          <w:tcPr>
            <w:tcW w:w="3580" w:type="dxa"/>
            <w:vAlign w:val="bottom"/>
          </w:tcPr>
          <w:p>
            <w:pPr>
              <w:ind w:left="1180"/>
              <w:spacing w:after="0"/>
              <w:rPr>
                <w:sz w:val="20"/>
                <w:szCs w:val="20"/>
                <w:color w:val="auto"/>
              </w:rPr>
            </w:pPr>
            <w:r>
              <w:rPr>
                <w:rFonts w:ascii="Arial" w:cs="Arial" w:eastAsia="Arial" w:hAnsi="Arial"/>
                <w:sz w:val="18"/>
                <w:szCs w:val="18"/>
                <w:color w:val="auto"/>
              </w:rPr>
              <w:t>Tel:+646-536-7003</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mj.han@magnachip.com</w:t>
            </w:r>
          </w:p>
        </w:tc>
        <w:tc>
          <w:tcPr>
            <w:tcW w:w="3580" w:type="dxa"/>
            <w:vAlign w:val="bottom"/>
          </w:tcPr>
          <w:p>
            <w:pPr>
              <w:ind w:left="1180"/>
              <w:spacing w:after="0"/>
              <w:rPr>
                <w:sz w:val="20"/>
                <w:szCs w:val="20"/>
                <w:color w:val="auto"/>
              </w:rPr>
            </w:pPr>
            <w:r>
              <w:rPr>
                <w:rFonts w:ascii="Arial" w:cs="Arial" w:eastAsia="Arial" w:hAnsi="Arial"/>
                <w:sz w:val="18"/>
                <w:szCs w:val="18"/>
                <w:color w:val="auto"/>
              </w:rPr>
              <w:t>jvillalta@theruthgroup.com</w:t>
            </w: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April 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203,052</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151,783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155,186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136,860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36,347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(6,830)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(42,924)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loss,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(42,864)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(65,389)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(64,731)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(67,897)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(66,982)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3"/>
          </w:tcPr>
          <w:p>
            <w:pPr>
              <w:spacing w:after="0"/>
              <w:rPr>
                <w:sz w:val="20"/>
                <w:szCs w:val="20"/>
                <w:color w:val="auto"/>
              </w:rPr>
            </w:pPr>
            <w:r>
              <w:rPr>
                <w:rFonts w:ascii="Arial" w:cs="Arial" w:eastAsia="Arial" w:hAnsi="Arial"/>
                <w:sz w:val="18"/>
                <w:szCs w:val="18"/>
                <w:color w:val="auto"/>
              </w:rPr>
              <w:t>Net loss attributable to common units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(71,015)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(69,852)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Ratios &amp; Information:</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5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23.6%</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10,070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5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March 30, 2008</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April 1, 2007</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Operating</w:t>
            </w:r>
          </w:p>
        </w:tc>
        <w:tc>
          <w:tcPr>
            <w:tcW w:w="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Profit</w:t>
            </w:r>
          </w:p>
        </w:tc>
        <w:tc>
          <w:tcPr>
            <w:tcW w:w="22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$47,866</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(6,830)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5"/>
              </w:rPr>
              <w:t>$ (67,897)</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$14,923</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(42,924)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 (66,982)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Special items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 Restructuring and impairment charges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Non-US GAAP Profit</w:t>
            </w: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47,866</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 (7,705)</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(68,772)</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14,923</w:t>
            </w:r>
          </w:p>
        </w:tc>
        <w:tc>
          <w:tcPr>
            <w:tcW w:w="820" w:type="dxa"/>
            <w:vAlign w:val="bottom"/>
            <w:gridSpan w:val="2"/>
          </w:tcPr>
          <w:p>
            <w:pPr>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(42,924)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(66,982)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March 30, 2008 are as follows:</w:t>
      </w:r>
    </w:p>
    <w:p>
      <w:pPr>
        <w:spacing w:after="0" w:line="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Unused restructuring charges recorded in the second quarter 2007 under SFAS 144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March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260,978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143,392</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borrowings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1,089,310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(527,890)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March 30,</w:t>
            </w:r>
          </w:p>
        </w:tc>
        <w:tc>
          <w:tcPr>
            <w:tcW w:w="66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(67,897)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21,277</w:t>
            </w:r>
          </w:p>
        </w:tc>
        <w:tc>
          <w:tcPr>
            <w:tcW w:w="660" w:type="dxa"/>
            <w:vAlign w:val="bottom"/>
          </w:tcPr>
          <w:p>
            <w:pPr>
              <w:jc w:val="right"/>
              <w:spacing w:after="0"/>
              <w:rPr>
                <w:sz w:val="20"/>
                <w:szCs w:val="20"/>
                <w:color w:val="auto"/>
              </w:rPr>
            </w:pPr>
            <w:r>
              <w:rPr>
                <w:rFonts w:ascii="Arial" w:cs="Arial" w:eastAsia="Arial" w:hAnsi="Arial"/>
                <w:sz w:val="18"/>
                <w:szCs w:val="18"/>
                <w:color w:val="auto"/>
              </w:rPr>
              <w:t>43,942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Gain(loss) on foreign currency translation, net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43,276</w:t>
            </w:r>
          </w:p>
        </w:tc>
        <w:tc>
          <w:tcPr>
            <w:tcW w:w="660" w:type="dxa"/>
            <w:vAlign w:val="bottom"/>
          </w:tcPr>
          <w:p>
            <w:pPr>
              <w:jc w:val="right"/>
              <w:spacing w:after="0"/>
              <w:rPr>
                <w:sz w:val="20"/>
                <w:szCs w:val="20"/>
                <w:color w:val="auto"/>
              </w:rPr>
            </w:pPr>
            <w:r>
              <w:rPr>
                <w:rFonts w:ascii="Arial" w:cs="Arial" w:eastAsia="Arial" w:hAnsi="Arial"/>
                <w:sz w:val="18"/>
                <w:szCs w:val="18"/>
                <w:color w:val="auto"/>
              </w:rPr>
              <w:t>7,849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accounts and other receivable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Changes in inventories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7,072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accounts and other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Changes in accrued expenses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6,563</w:t>
            </w:r>
          </w:p>
        </w:tc>
        <w:tc>
          <w:tcPr>
            <w:tcW w:w="660" w:type="dxa"/>
            <w:vAlign w:val="bottom"/>
          </w:tcPr>
          <w:p>
            <w:pPr>
              <w:jc w:val="right"/>
              <w:spacing w:after="0"/>
              <w:rPr>
                <w:sz w:val="20"/>
                <w:szCs w:val="20"/>
                <w:color w:val="auto"/>
              </w:rPr>
            </w:pPr>
            <w:r>
              <w:rPr>
                <w:rFonts w:ascii="Arial" w:cs="Arial" w:eastAsia="Arial" w:hAnsi="Arial"/>
                <w:sz w:val="18"/>
                <w:szCs w:val="18"/>
                <w:color w:val="auto"/>
              </w:rPr>
              <w:t>11,410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units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64,345</w:t>
            </w:r>
          </w:p>
        </w:tc>
        <w:tc>
          <w:tcPr>
            <w:tcW w:w="660" w:type="dxa"/>
            <w:vAlign w:val="bottom"/>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$ 53,476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$ 59,264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2019-12-15T11:10:13Z</dcterms:created>
  <dcterms:modified xsi:type="dcterms:W3CDTF">2019-12-15T11:10:13Z</dcterms:modified>
</cp:coreProperties>
</file>