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13G</w:t>
      </w:r>
    </w:p>
    <w:p>
      <w:pPr>
        <w:spacing w:after="0" w:line="21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Common Stock, par value $0.01 per share</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55933J203</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December 31, 2017</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jc w:val="both"/>
        <w:ind w:left="1300" w:right="8660" w:firstLine="5"/>
        <w:spacing w:after="0" w:line="572" w:lineRule="auto"/>
        <w:tabs>
          <w:tab w:leader="none" w:pos="15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238" w:lineRule="auto"/>
        <w:rPr>
          <w:sz w:val="20"/>
          <w:szCs w:val="20"/>
          <w:color w:val="auto"/>
        </w:rPr>
      </w:pPr>
      <w:r>
        <w:rPr>
          <w:rFonts w:ascii="Courier New" w:cs="Courier New" w:eastAsia="Courier New" w:hAnsi="Courier New"/>
          <w:sz w:val="18"/>
          <w:szCs w:val="18"/>
          <w:color w:val="auto"/>
        </w:rPr>
        <w:t>__________</w:t>
      </w:r>
    </w:p>
    <w:p>
      <w:pPr>
        <w:ind w:right="100"/>
        <w:spacing w:after="0" w:line="263"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98"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60"/>
          </w:cols>
          <w:pgMar w:left="240" w:top="445" w:right="399" w:bottom="1440" w:gutter="0" w:footer="0" w:header="0"/>
        </w:sectPr>
      </w:pPr>
    </w:p>
    <w:bookmarkStart w:id="1" w:name="page2"/>
    <w:bookmarkEnd w:id="1"/>
    <w:tbl>
      <w:tblPr>
        <w:tblLayout w:type="fixed"/>
        <w:tblInd w:w="10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CUSIP No.</w:t>
            </w: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55933J203</w:t>
            </w:r>
          </w:p>
        </w:tc>
      </w:tr>
    </w:tbl>
    <w:p>
      <w:pPr>
        <w:spacing w:after="0" w:line="202" w:lineRule="exact"/>
        <w:rPr>
          <w:sz w:val="20"/>
          <w:szCs w:val="20"/>
          <w:color w:val="auto"/>
        </w:rPr>
      </w:pPr>
    </w:p>
    <w:p>
      <w:pPr>
        <w:ind w:left="1020" w:hanging="9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20" w:right="478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Brigade Capital Management, LP</w:t>
      </w:r>
    </w:p>
    <w:p>
      <w:pPr>
        <w:spacing w:after="0" w:line="1" w:lineRule="exact"/>
        <w:rPr>
          <w:rFonts w:ascii="Arial" w:cs="Arial" w:eastAsia="Arial" w:hAnsi="Arial"/>
          <w:sz w:val="18"/>
          <w:szCs w:val="18"/>
          <w:color w:val="auto"/>
        </w:rPr>
      </w:pPr>
    </w:p>
    <w:p>
      <w:pPr>
        <w:ind w:left="1020" w:hanging="9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1020" w:hanging="9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20" w:right="6700" w:hanging="915"/>
        <w:spacing w:after="0" w:line="52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6" w:lineRule="exact"/>
        <w:rPr>
          <w:sz w:val="20"/>
          <w:szCs w:val="20"/>
          <w:color w:val="auto"/>
        </w:rPr>
      </w:pPr>
    </w:p>
    <w:p>
      <w:pPr>
        <w:ind w:left="1020" w:right="8520" w:hanging="915"/>
        <w:spacing w:after="0" w:line="50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1020" w:right="8240" w:hanging="915"/>
        <w:spacing w:after="0" w:line="50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5,843,507*</w:t>
      </w:r>
    </w:p>
    <w:p>
      <w:pPr>
        <w:ind w:left="1020" w:right="8120" w:hanging="915"/>
        <w:spacing w:after="0" w:line="50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020" w:right="7840" w:hanging="915"/>
        <w:spacing w:after="0" w:line="50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5,843,507*</w:t>
      </w:r>
    </w:p>
    <w:p>
      <w:pPr>
        <w:ind w:left="1020" w:right="3820" w:hanging="915"/>
        <w:spacing w:after="0" w:line="50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5,843,507*</w:t>
      </w:r>
    </w:p>
    <w:p>
      <w:pPr>
        <w:ind w:left="100"/>
        <w:spacing w:after="0"/>
        <w:tabs>
          <w:tab w:leader="none" w:pos="1000" w:val="left"/>
          <w:tab w:leader="none" w:pos="10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8"/>
          <w:szCs w:val="18"/>
          <w:color w:val="auto"/>
        </w:rPr>
        <w:t>[_]</w:t>
      </w:r>
    </w:p>
    <w:p>
      <w:pPr>
        <w:spacing w:after="0" w:line="225" w:lineRule="exact"/>
        <w:rPr>
          <w:sz w:val="20"/>
          <w:szCs w:val="20"/>
          <w:color w:val="auto"/>
        </w:rPr>
      </w:pPr>
    </w:p>
    <w:p>
      <w:pPr>
        <w:ind w:left="1020" w:hanging="915"/>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15.86%*</w:t>
      </w:r>
    </w:p>
    <w:p>
      <w:pPr>
        <w:spacing w:after="0" w:line="225" w:lineRule="exact"/>
        <w:rPr>
          <w:rFonts w:ascii="Arial" w:cs="Arial" w:eastAsia="Arial" w:hAnsi="Arial"/>
          <w:sz w:val="18"/>
          <w:szCs w:val="18"/>
          <w:color w:val="auto"/>
        </w:rPr>
      </w:pPr>
    </w:p>
    <w:p>
      <w:pPr>
        <w:ind w:left="1020" w:right="6040" w:hanging="915"/>
        <w:spacing w:after="0" w:line="495"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1" w:lineRule="exact"/>
        <w:rPr>
          <w:rFonts w:ascii="Arial" w:cs="Arial" w:eastAsia="Arial" w:hAnsi="Arial"/>
          <w:sz w:val="18"/>
          <w:szCs w:val="18"/>
          <w:color w:val="auto"/>
        </w:rPr>
      </w:pPr>
    </w:p>
    <w:p>
      <w:pPr>
        <w:spacing w:after="0" w:line="369" w:lineRule="auto"/>
        <w:rPr>
          <w:rFonts w:ascii="Arial" w:cs="Arial" w:eastAsia="Arial" w:hAnsi="Arial"/>
          <w:sz w:val="18"/>
          <w:szCs w:val="18"/>
          <w:color w:val="auto"/>
        </w:rPr>
      </w:pPr>
      <w:r>
        <w:rPr>
          <w:rFonts w:ascii="Arial" w:cs="Arial" w:eastAsia="Arial" w:hAnsi="Arial"/>
          <w:sz w:val="14"/>
          <w:szCs w:val="14"/>
          <w:color w:val="auto"/>
        </w:rPr>
        <w:t>* Includes senior notes that are exchangeable at the option of the holder into 2,713,507 shares of the Issuer's common stock at an initial exchange rate of 121.1387 shares of common stock per $1,000 principal amount of notes, which is equivalent to an exchange price of approximately $8.26 per share, subject to adjustment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 w:name="page3"/>
    <w:bookmarkEnd w:id="2"/>
    <w:tbl>
      <w:tblPr>
        <w:tblLayout w:type="fixed"/>
        <w:tblInd w:w="10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CUSIP No.</w:t>
            </w: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55933J203</w:t>
            </w:r>
          </w:p>
        </w:tc>
      </w:tr>
    </w:tbl>
    <w:p>
      <w:pPr>
        <w:spacing w:after="0" w:line="202" w:lineRule="exact"/>
        <w:rPr>
          <w:sz w:val="20"/>
          <w:szCs w:val="20"/>
          <w:color w:val="auto"/>
        </w:rPr>
      </w:pPr>
    </w:p>
    <w:p>
      <w:pPr>
        <w:ind w:left="1020" w:hanging="9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20" w:right="478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Brigade Capital Management GP, LLC</w:t>
      </w:r>
    </w:p>
    <w:p>
      <w:pPr>
        <w:spacing w:after="0" w:line="1" w:lineRule="exact"/>
        <w:rPr>
          <w:rFonts w:ascii="Arial" w:cs="Arial" w:eastAsia="Arial" w:hAnsi="Arial"/>
          <w:sz w:val="18"/>
          <w:szCs w:val="18"/>
          <w:color w:val="auto"/>
        </w:rPr>
      </w:pPr>
    </w:p>
    <w:p>
      <w:pPr>
        <w:ind w:left="1020" w:hanging="9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1020" w:hanging="91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20" w:right="6700" w:hanging="915"/>
        <w:spacing w:after="0" w:line="52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6" w:lineRule="exact"/>
        <w:rPr>
          <w:sz w:val="20"/>
          <w:szCs w:val="20"/>
          <w:color w:val="auto"/>
        </w:rPr>
      </w:pPr>
    </w:p>
    <w:p>
      <w:pPr>
        <w:ind w:left="1020" w:right="8520" w:hanging="915"/>
        <w:spacing w:after="0" w:line="50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1020" w:right="8240" w:hanging="915"/>
        <w:spacing w:after="0" w:line="50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5,843,507*</w:t>
      </w:r>
    </w:p>
    <w:p>
      <w:pPr>
        <w:ind w:left="1020" w:right="8120" w:hanging="915"/>
        <w:spacing w:after="0" w:line="50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020" w:right="7840" w:hanging="915"/>
        <w:spacing w:after="0" w:line="50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5,843,507*</w:t>
      </w:r>
    </w:p>
    <w:p>
      <w:pPr>
        <w:ind w:left="1020" w:right="3820" w:hanging="915"/>
        <w:spacing w:after="0" w:line="50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5,843,507*</w:t>
      </w:r>
    </w:p>
    <w:p>
      <w:pPr>
        <w:ind w:left="100"/>
        <w:spacing w:after="0"/>
        <w:tabs>
          <w:tab w:leader="none" w:pos="1000" w:val="left"/>
          <w:tab w:leader="none" w:pos="10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8"/>
          <w:szCs w:val="18"/>
          <w:color w:val="auto"/>
        </w:rPr>
        <w:t>[_]</w:t>
      </w:r>
    </w:p>
    <w:p>
      <w:pPr>
        <w:spacing w:after="0" w:line="225" w:lineRule="exact"/>
        <w:rPr>
          <w:sz w:val="20"/>
          <w:szCs w:val="20"/>
          <w:color w:val="auto"/>
        </w:rPr>
      </w:pPr>
    </w:p>
    <w:p>
      <w:pPr>
        <w:ind w:left="1020" w:hanging="915"/>
        <w:spacing w:after="0"/>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15.86%*</w:t>
      </w:r>
    </w:p>
    <w:p>
      <w:pPr>
        <w:spacing w:after="0" w:line="225" w:lineRule="exact"/>
        <w:rPr>
          <w:rFonts w:ascii="Arial" w:cs="Arial" w:eastAsia="Arial" w:hAnsi="Arial"/>
          <w:sz w:val="18"/>
          <w:szCs w:val="18"/>
          <w:color w:val="auto"/>
        </w:rPr>
      </w:pPr>
    </w:p>
    <w:p>
      <w:pPr>
        <w:ind w:left="1020" w:right="6040" w:hanging="915"/>
        <w:spacing w:after="0" w:line="495"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1" w:lineRule="exact"/>
        <w:rPr>
          <w:rFonts w:ascii="Arial" w:cs="Arial" w:eastAsia="Arial" w:hAnsi="Arial"/>
          <w:sz w:val="18"/>
          <w:szCs w:val="18"/>
          <w:color w:val="auto"/>
        </w:rPr>
      </w:pPr>
    </w:p>
    <w:p>
      <w:pPr>
        <w:spacing w:after="0" w:line="369" w:lineRule="auto"/>
        <w:rPr>
          <w:rFonts w:ascii="Arial" w:cs="Arial" w:eastAsia="Arial" w:hAnsi="Arial"/>
          <w:sz w:val="18"/>
          <w:szCs w:val="18"/>
          <w:color w:val="auto"/>
        </w:rPr>
      </w:pPr>
      <w:r>
        <w:rPr>
          <w:rFonts w:ascii="Arial" w:cs="Arial" w:eastAsia="Arial" w:hAnsi="Arial"/>
          <w:sz w:val="14"/>
          <w:szCs w:val="14"/>
          <w:color w:val="auto"/>
        </w:rPr>
        <w:t>* Includes senior notes that are exchangeable at the option of the holder into 2,713,507 shares of the Issuer's common stock at an initial exchange rate of 121.1387 shares of common stock per $1,000 principal amount of notes, which is equivalent to an exchange price of approximately $8.26 per share, subject to adjustment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3" w:name="page4"/>
    <w:bookmarkEnd w:id="3"/>
    <w:tbl>
      <w:tblPr>
        <w:tblLayout w:type="fixed"/>
        <w:tblInd w:w="10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CUSIP No.</w:t>
            </w: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55933J203</w:t>
            </w:r>
          </w:p>
        </w:tc>
      </w:tr>
    </w:tbl>
    <w:p>
      <w:pPr>
        <w:spacing w:after="0" w:line="202" w:lineRule="exact"/>
        <w:rPr>
          <w:sz w:val="20"/>
          <w:szCs w:val="20"/>
          <w:color w:val="auto"/>
        </w:rPr>
      </w:pPr>
    </w:p>
    <w:p>
      <w:pPr>
        <w:ind w:left="1020" w:hanging="91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20" w:right="478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Brigade Leveraged Capital Structures Fund Ltd.</w:t>
      </w:r>
    </w:p>
    <w:p>
      <w:pPr>
        <w:spacing w:after="0" w:line="1" w:lineRule="exact"/>
        <w:rPr>
          <w:rFonts w:ascii="Arial" w:cs="Arial" w:eastAsia="Arial" w:hAnsi="Arial"/>
          <w:sz w:val="18"/>
          <w:szCs w:val="18"/>
          <w:color w:val="auto"/>
        </w:rPr>
      </w:pPr>
    </w:p>
    <w:p>
      <w:pPr>
        <w:ind w:left="1020" w:hanging="91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1020" w:hanging="91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20" w:right="6700" w:hanging="915"/>
        <w:spacing w:after="0" w:line="52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386" w:lineRule="exact"/>
        <w:rPr>
          <w:sz w:val="20"/>
          <w:szCs w:val="20"/>
          <w:color w:val="auto"/>
        </w:rPr>
      </w:pPr>
    </w:p>
    <w:p>
      <w:pPr>
        <w:ind w:left="1020" w:right="8520" w:hanging="915"/>
        <w:spacing w:after="0" w:line="50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ind w:left="1020" w:right="8240" w:hanging="915"/>
        <w:spacing w:after="0" w:line="50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VOTING POWER 4,856,226*</w:t>
      </w:r>
    </w:p>
    <w:p>
      <w:pPr>
        <w:ind w:left="1020" w:right="8120" w:hanging="915"/>
        <w:spacing w:after="0" w:line="50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020" w:right="7840" w:hanging="915"/>
        <w:spacing w:after="0" w:line="50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4,856,226*</w:t>
      </w:r>
    </w:p>
    <w:p>
      <w:pPr>
        <w:ind w:left="1020" w:right="3820" w:hanging="915"/>
        <w:spacing w:after="0" w:line="50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4,856,226*</w:t>
      </w:r>
    </w:p>
    <w:p>
      <w:pPr>
        <w:ind w:left="100"/>
        <w:spacing w:after="0"/>
        <w:tabs>
          <w:tab w:leader="none" w:pos="1000" w:val="left"/>
          <w:tab w:leader="none" w:pos="10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8"/>
          <w:szCs w:val="18"/>
          <w:color w:val="auto"/>
        </w:rPr>
        <w:t>[_]</w:t>
      </w:r>
    </w:p>
    <w:p>
      <w:pPr>
        <w:spacing w:after="0" w:line="225" w:lineRule="exact"/>
        <w:rPr>
          <w:sz w:val="20"/>
          <w:szCs w:val="20"/>
          <w:color w:val="auto"/>
        </w:rPr>
      </w:pPr>
    </w:p>
    <w:p>
      <w:pPr>
        <w:ind w:left="1020" w:hanging="915"/>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13.18%*</w:t>
      </w:r>
    </w:p>
    <w:p>
      <w:pPr>
        <w:spacing w:after="0" w:line="225" w:lineRule="exact"/>
        <w:rPr>
          <w:rFonts w:ascii="Arial" w:cs="Arial" w:eastAsia="Arial" w:hAnsi="Arial"/>
          <w:sz w:val="18"/>
          <w:szCs w:val="18"/>
          <w:color w:val="auto"/>
        </w:rPr>
      </w:pPr>
    </w:p>
    <w:p>
      <w:pPr>
        <w:ind w:left="1020" w:right="6040" w:hanging="915"/>
        <w:spacing w:after="0" w:line="528"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147" w:lineRule="exact"/>
        <w:rPr>
          <w:rFonts w:ascii="Arial" w:cs="Arial" w:eastAsia="Arial" w:hAnsi="Arial"/>
          <w:sz w:val="18"/>
          <w:szCs w:val="18"/>
          <w:color w:val="auto"/>
        </w:rPr>
      </w:pPr>
    </w:p>
    <w:p>
      <w:pPr>
        <w:spacing w:after="0" w:line="369" w:lineRule="auto"/>
        <w:rPr>
          <w:rFonts w:ascii="Arial" w:cs="Arial" w:eastAsia="Arial" w:hAnsi="Arial"/>
          <w:sz w:val="18"/>
          <w:szCs w:val="18"/>
          <w:color w:val="auto"/>
        </w:rPr>
      </w:pPr>
      <w:r>
        <w:rPr>
          <w:rFonts w:ascii="Arial" w:cs="Arial" w:eastAsia="Arial" w:hAnsi="Arial"/>
          <w:sz w:val="14"/>
          <w:szCs w:val="14"/>
          <w:color w:val="auto"/>
        </w:rPr>
        <w:t>* Includes senior notes that are exchangeable at the option of the holder into 1,726,226 shares of the Issuer's common stock at an initial exchange rate of 121.1387 shares of common stock per $1,000 principal amount of notes, which is equivalent to an exchange price of approximately $8.26 per share, subject to adjustment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4" w:name="page5"/>
    <w:bookmarkEnd w:id="4"/>
    <w:tbl>
      <w:tblPr>
        <w:tblLayout w:type="fixed"/>
        <w:tblInd w:w="10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CUSIP No.</w:t>
            </w: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55933J203</w:t>
            </w:r>
          </w:p>
        </w:tc>
      </w:tr>
    </w:tbl>
    <w:p>
      <w:pPr>
        <w:spacing w:after="0" w:line="202" w:lineRule="exact"/>
        <w:rPr>
          <w:sz w:val="20"/>
          <w:szCs w:val="20"/>
          <w:color w:val="auto"/>
        </w:rPr>
      </w:pPr>
    </w:p>
    <w:p>
      <w:pPr>
        <w:ind w:left="1020" w:hanging="91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20" w:right="478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Donald E. Morgan, III</w:t>
      </w:r>
    </w:p>
    <w:p>
      <w:pPr>
        <w:spacing w:after="0" w:line="1" w:lineRule="exact"/>
        <w:rPr>
          <w:rFonts w:ascii="Arial" w:cs="Arial" w:eastAsia="Arial" w:hAnsi="Arial"/>
          <w:sz w:val="18"/>
          <w:szCs w:val="18"/>
          <w:color w:val="auto"/>
        </w:rPr>
      </w:pPr>
    </w:p>
    <w:p>
      <w:pPr>
        <w:ind w:left="1020" w:hanging="91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1020" w:hanging="91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20" w:hanging="91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20" w:right="8520" w:hanging="915"/>
        <w:spacing w:after="0" w:line="50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VOTING POWER 0</w:t>
      </w:r>
    </w:p>
    <w:p>
      <w:pPr>
        <w:ind w:left="1020" w:right="8240" w:hanging="915"/>
        <w:spacing w:after="0" w:line="50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VOTING POWER 5,843,507*</w:t>
      </w:r>
    </w:p>
    <w:p>
      <w:pPr>
        <w:ind w:left="1020" w:right="8120" w:hanging="915"/>
        <w:spacing w:after="0" w:line="50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020" w:right="7840" w:hanging="915"/>
        <w:spacing w:after="0" w:line="50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DISPOSITIVE POWER 5,843,507*</w:t>
      </w:r>
    </w:p>
    <w:p>
      <w:pPr>
        <w:ind w:left="1020" w:right="3820" w:hanging="915"/>
        <w:spacing w:after="0" w:line="50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5,843,507*</w:t>
      </w:r>
    </w:p>
    <w:p>
      <w:pPr>
        <w:ind w:left="100"/>
        <w:spacing w:after="0"/>
        <w:tabs>
          <w:tab w:leader="none" w:pos="1000" w:val="left"/>
          <w:tab w:leader="none" w:pos="10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8"/>
          <w:szCs w:val="18"/>
          <w:color w:val="auto"/>
        </w:rPr>
        <w:t>[_]</w:t>
      </w:r>
    </w:p>
    <w:p>
      <w:pPr>
        <w:spacing w:after="0" w:line="225" w:lineRule="exact"/>
        <w:rPr>
          <w:sz w:val="20"/>
          <w:szCs w:val="20"/>
          <w:color w:val="auto"/>
        </w:rPr>
      </w:pPr>
    </w:p>
    <w:p>
      <w:pPr>
        <w:ind w:left="1020" w:hanging="915"/>
        <w:spacing w:after="0"/>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15.86%*</w:t>
      </w:r>
    </w:p>
    <w:p>
      <w:pPr>
        <w:spacing w:after="0" w:line="225" w:lineRule="exact"/>
        <w:rPr>
          <w:rFonts w:ascii="Arial" w:cs="Arial" w:eastAsia="Arial" w:hAnsi="Arial"/>
          <w:sz w:val="18"/>
          <w:szCs w:val="18"/>
          <w:color w:val="auto"/>
        </w:rPr>
      </w:pPr>
    </w:p>
    <w:p>
      <w:pPr>
        <w:ind w:left="1020" w:right="6040" w:hanging="915"/>
        <w:spacing w:after="0" w:line="495"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pacing w:after="0" w:line="1" w:lineRule="exact"/>
        <w:rPr>
          <w:rFonts w:ascii="Arial" w:cs="Arial" w:eastAsia="Arial" w:hAnsi="Arial"/>
          <w:sz w:val="18"/>
          <w:szCs w:val="18"/>
          <w:color w:val="auto"/>
        </w:rPr>
      </w:pPr>
    </w:p>
    <w:p>
      <w:pPr>
        <w:spacing w:after="0" w:line="369" w:lineRule="auto"/>
        <w:rPr>
          <w:rFonts w:ascii="Arial" w:cs="Arial" w:eastAsia="Arial" w:hAnsi="Arial"/>
          <w:sz w:val="18"/>
          <w:szCs w:val="18"/>
          <w:color w:val="auto"/>
        </w:rPr>
      </w:pPr>
      <w:r>
        <w:rPr>
          <w:rFonts w:ascii="Arial" w:cs="Arial" w:eastAsia="Arial" w:hAnsi="Arial"/>
          <w:sz w:val="14"/>
          <w:szCs w:val="14"/>
          <w:color w:val="auto"/>
        </w:rPr>
        <w:t>* Includes senior notes that are exchangeable at the option of the holder into 2,713,507 shares of the Issuer's common stock at an initial exchange rate of 121.1387 shares of common stock per $1,000 principal amount of notes, which is equivalent to an exchange price of approximately $8.26 per share, subject to adjustment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040" w:type="dxa"/>
            <w:vAlign w:val="bottom"/>
          </w:tcPr>
          <w:p>
            <w:pPr>
              <w:ind w:left="100"/>
              <w:spacing w:after="0"/>
              <w:rPr>
                <w:sz w:val="20"/>
                <w:szCs w:val="20"/>
                <w:color w:val="auto"/>
              </w:rPr>
            </w:pPr>
            <w:r>
              <w:rPr>
                <w:rFonts w:ascii="Arial" w:cs="Arial" w:eastAsia="Arial" w:hAnsi="Arial"/>
                <w:sz w:val="18"/>
                <w:szCs w:val="18"/>
                <w:color w:val="auto"/>
              </w:rPr>
              <w:t>CUSIP No.</w:t>
            </w:r>
          </w:p>
        </w:tc>
        <w:tc>
          <w:tcPr>
            <w:tcW w:w="460" w:type="dxa"/>
            <w:vAlign w:val="bottom"/>
          </w:tcPr>
          <w:p>
            <w:pPr>
              <w:spacing w:after="0"/>
              <w:rPr>
                <w:sz w:val="20"/>
                <w:szCs w:val="20"/>
                <w:color w:val="auto"/>
              </w:rPr>
            </w:pPr>
          </w:p>
        </w:tc>
        <w:tc>
          <w:tcPr>
            <w:tcW w:w="16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55933J203</w:t>
            </w:r>
          </w:p>
        </w:tc>
        <w:tc>
          <w:tcPr>
            <w:tcW w:w="8320" w:type="dxa"/>
            <w:vAlign w:val="bottom"/>
          </w:tcPr>
          <w:p>
            <w:pPr>
              <w:spacing w:after="0"/>
              <w:rPr>
                <w:sz w:val="20"/>
                <w:szCs w:val="20"/>
                <w:color w:val="auto"/>
              </w:rPr>
            </w:pPr>
          </w:p>
        </w:tc>
      </w:tr>
      <w:tr>
        <w:trPr>
          <w:trHeight w:val="426"/>
        </w:trPr>
        <w:tc>
          <w:tcPr>
            <w:tcW w:w="1040" w:type="dxa"/>
            <w:vAlign w:val="bottom"/>
          </w:tcPr>
          <w:p>
            <w:pPr>
              <w:ind w:left="100"/>
              <w:spacing w:after="0"/>
              <w:rPr>
                <w:sz w:val="20"/>
                <w:szCs w:val="20"/>
                <w:color w:val="auto"/>
              </w:rPr>
            </w:pPr>
            <w:r>
              <w:rPr>
                <w:rFonts w:ascii="Arial" w:cs="Arial" w:eastAsia="Arial" w:hAnsi="Arial"/>
                <w:sz w:val="18"/>
                <w:szCs w:val="18"/>
                <w:color w:val="auto"/>
              </w:rPr>
              <w:t>Item 1.</w:t>
            </w: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9340" w:type="dxa"/>
            <w:vAlign w:val="bottom"/>
            <w:gridSpan w:val="2"/>
          </w:tcPr>
          <w:p>
            <w:pPr>
              <w:ind w:left="100"/>
              <w:spacing w:after="0"/>
              <w:rPr>
                <w:sz w:val="20"/>
                <w:szCs w:val="20"/>
                <w:color w:val="auto"/>
              </w:rPr>
            </w:pPr>
            <w:r>
              <w:rPr>
                <w:rFonts w:ascii="Arial" w:cs="Arial" w:eastAsia="Arial" w:hAnsi="Arial"/>
                <w:sz w:val="18"/>
                <w:szCs w:val="18"/>
                <w:color w:val="auto"/>
              </w:rPr>
              <w:t>Name of Issuer:</w:t>
            </w:r>
          </w:p>
        </w:tc>
      </w:tr>
      <w:tr>
        <w:trPr>
          <w:trHeight w:val="432"/>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MagnaChip Semiconductor Corporation</w:t>
            </w:r>
          </w:p>
        </w:tc>
      </w:tr>
      <w:tr>
        <w:trPr>
          <w:trHeight w:val="426"/>
        </w:trPr>
        <w:tc>
          <w:tcPr>
            <w:tcW w:w="1040" w:type="dxa"/>
            <w:vAlign w:val="bottom"/>
          </w:tcPr>
          <w:p>
            <w:pPr>
              <w:spacing w:after="0"/>
              <w:rPr>
                <w:sz w:val="24"/>
                <w:szCs w:val="24"/>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(b).</w:t>
            </w:r>
          </w:p>
        </w:tc>
        <w:tc>
          <w:tcPr>
            <w:tcW w:w="9340" w:type="dxa"/>
            <w:vAlign w:val="bottom"/>
            <w:gridSpan w:val="2"/>
          </w:tcPr>
          <w:p>
            <w:pPr>
              <w:ind w:left="10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340" w:type="dxa"/>
            <w:vAlign w:val="bottom"/>
            <w:gridSpan w:val="2"/>
          </w:tcPr>
          <w:p>
            <w:pPr>
              <w:ind w:left="100"/>
              <w:spacing w:after="0"/>
              <w:rPr>
                <w:sz w:val="20"/>
                <w:szCs w:val="20"/>
                <w:color w:val="auto"/>
              </w:rPr>
            </w:pPr>
            <w:r>
              <w:rPr>
                <w:rFonts w:ascii="Arial" w:cs="Arial" w:eastAsia="Arial" w:hAnsi="Arial"/>
                <w:sz w:val="18"/>
                <w:szCs w:val="18"/>
                <w:color w:val="auto"/>
              </w:rPr>
              <w:t>c/o MagnaChip Semiconductor S.A.</w:t>
            </w:r>
          </w:p>
        </w:tc>
      </w:t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gridSpan w:val="2"/>
          </w:tcPr>
          <w:p>
            <w:pPr>
              <w:ind w:left="100"/>
              <w:spacing w:after="0"/>
              <w:rPr>
                <w:sz w:val="20"/>
                <w:szCs w:val="20"/>
                <w:color w:val="auto"/>
              </w:rPr>
            </w:pPr>
            <w:r>
              <w:rPr>
                <w:rFonts w:ascii="Arial" w:cs="Arial" w:eastAsia="Arial" w:hAnsi="Arial"/>
                <w:sz w:val="18"/>
                <w:szCs w:val="18"/>
                <w:color w:val="auto"/>
              </w:rPr>
              <w:t>1, Allée Scheffer, L-2520</w:t>
            </w:r>
          </w:p>
        </w:tc>
      </w:tr>
      <w:tr>
        <w:trPr>
          <w:trHeight w:val="230"/>
        </w:trPr>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Luxembourg, Grand Duchy of Luxembourg</w:t>
            </w:r>
          </w:p>
        </w:tc>
      </w:tr>
      <w:tr>
        <w:trPr>
          <w:trHeight w:val="426"/>
        </w:trPr>
        <w:tc>
          <w:tcPr>
            <w:tcW w:w="1040" w:type="dxa"/>
            <w:vAlign w:val="bottom"/>
          </w:tcPr>
          <w:p>
            <w:pPr>
              <w:ind w:left="100"/>
              <w:spacing w:after="0"/>
              <w:rPr>
                <w:sz w:val="20"/>
                <w:szCs w:val="20"/>
                <w:color w:val="auto"/>
              </w:rPr>
            </w:pPr>
            <w:r>
              <w:rPr>
                <w:rFonts w:ascii="Arial" w:cs="Arial" w:eastAsia="Arial" w:hAnsi="Arial"/>
                <w:sz w:val="18"/>
                <w:szCs w:val="18"/>
                <w:color w:val="auto"/>
              </w:rPr>
              <w:t>Item 2.</w:t>
            </w: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(a) – (c)</w:t>
            </w:r>
          </w:p>
        </w:tc>
        <w:tc>
          <w:tcPr>
            <w:tcW w:w="9340" w:type="dxa"/>
            <w:vAlign w:val="bottom"/>
            <w:gridSpan w:val="2"/>
          </w:tcPr>
          <w:p>
            <w:pPr>
              <w:ind w:left="100"/>
              <w:spacing w:after="0"/>
              <w:rPr>
                <w:sz w:val="20"/>
                <w:szCs w:val="20"/>
                <w:color w:val="auto"/>
              </w:rPr>
            </w:pPr>
            <w:r>
              <w:rPr>
                <w:rFonts w:ascii="Arial" w:cs="Arial" w:eastAsia="Arial" w:hAnsi="Arial"/>
                <w:sz w:val="18"/>
                <w:szCs w:val="18"/>
                <w:color w:val="auto"/>
              </w:rPr>
              <w:t>Name, Principal Business Address, and Citizenship of Persons Filing:</w:t>
            </w:r>
          </w:p>
        </w:tc>
      </w:tr>
      <w:tr>
        <w:trPr>
          <w:trHeight w:val="418"/>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340" w:type="dxa"/>
            <w:vAlign w:val="bottom"/>
            <w:gridSpan w:val="2"/>
          </w:tcPr>
          <w:p>
            <w:pPr>
              <w:ind w:left="100"/>
              <w:spacing w:after="0"/>
              <w:rPr>
                <w:sz w:val="20"/>
                <w:szCs w:val="20"/>
                <w:color w:val="auto"/>
              </w:rPr>
            </w:pPr>
            <w:r>
              <w:rPr>
                <w:rFonts w:ascii="Arial" w:cs="Arial" w:eastAsia="Arial" w:hAnsi="Arial"/>
                <w:sz w:val="18"/>
                <w:szCs w:val="18"/>
                <w:color w:val="auto"/>
              </w:rPr>
              <w:t>Brigade Capital Management, LP – Delaware</w:t>
            </w:r>
          </w:p>
        </w:tc>
      </w:t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gridSpan w:val="2"/>
          </w:tcPr>
          <w:p>
            <w:pPr>
              <w:ind w:left="100"/>
              <w:spacing w:after="0"/>
              <w:rPr>
                <w:sz w:val="20"/>
                <w:szCs w:val="20"/>
                <w:color w:val="auto"/>
              </w:rPr>
            </w:pPr>
            <w:r>
              <w:rPr>
                <w:rFonts w:ascii="Arial" w:cs="Arial" w:eastAsia="Arial" w:hAnsi="Arial"/>
                <w:sz w:val="18"/>
                <w:szCs w:val="18"/>
                <w:color w:val="auto"/>
              </w:rPr>
              <w:t>Brigade Capital Management GP, LLC – Delaware</w:t>
            </w:r>
          </w:p>
        </w:tc>
      </w:t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gridSpan w:val="2"/>
          </w:tcPr>
          <w:p>
            <w:pPr>
              <w:ind w:left="100"/>
              <w:spacing w:after="0"/>
              <w:rPr>
                <w:sz w:val="20"/>
                <w:szCs w:val="20"/>
                <w:color w:val="auto"/>
              </w:rPr>
            </w:pPr>
            <w:r>
              <w:rPr>
                <w:rFonts w:ascii="Arial" w:cs="Arial" w:eastAsia="Arial" w:hAnsi="Arial"/>
                <w:sz w:val="18"/>
                <w:szCs w:val="18"/>
                <w:color w:val="auto"/>
              </w:rPr>
              <w:t>Brigade Leveraged Capital Structures Fund Ltd. – Cayman Islands</w:t>
            </w:r>
          </w:p>
        </w:tc>
      </w:tr>
      <w:tr>
        <w:trPr>
          <w:trHeight w:val="230"/>
        </w:trPr>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Donald E. Morgan, III – U.S.A.</w:t>
            </w:r>
          </w:p>
        </w:tc>
      </w:tr>
      <w:tr>
        <w:trPr>
          <w:trHeight w:val="411"/>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340" w:type="dxa"/>
            <w:vAlign w:val="bottom"/>
            <w:gridSpan w:val="2"/>
          </w:tcPr>
          <w:p>
            <w:pPr>
              <w:ind w:left="100"/>
              <w:spacing w:after="0"/>
              <w:rPr>
                <w:sz w:val="20"/>
                <w:szCs w:val="20"/>
                <w:color w:val="auto"/>
              </w:rPr>
            </w:pPr>
            <w:r>
              <w:rPr>
                <w:rFonts w:ascii="Arial" w:cs="Arial" w:eastAsia="Arial" w:hAnsi="Arial"/>
                <w:sz w:val="18"/>
                <w:szCs w:val="18"/>
                <w:color w:val="auto"/>
              </w:rPr>
              <w:t>Brigade Capital Management, LP, Brigade Capital Management GP, LLC and Donald E. Morgan, III:</w:t>
            </w:r>
          </w:p>
        </w:tc>
      </w:t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gridSpan w:val="2"/>
          </w:tcPr>
          <w:p>
            <w:pPr>
              <w:ind w:left="100"/>
              <w:spacing w:after="0"/>
              <w:rPr>
                <w:sz w:val="20"/>
                <w:szCs w:val="20"/>
                <w:color w:val="auto"/>
              </w:rPr>
            </w:pPr>
            <w:r>
              <w:rPr>
                <w:rFonts w:ascii="Arial" w:cs="Arial" w:eastAsia="Arial" w:hAnsi="Arial"/>
                <w:sz w:val="18"/>
                <w:szCs w:val="18"/>
                <w:color w:val="auto"/>
              </w:rPr>
              <w:t>399 Park Avenue, 16th Floor</w:t>
            </w:r>
          </w:p>
        </w:tc>
      </w:t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gridSpan w:val="2"/>
          </w:tcPr>
          <w:p>
            <w:pPr>
              <w:ind w:left="100"/>
              <w:spacing w:after="0"/>
              <w:rPr>
                <w:sz w:val="20"/>
                <w:szCs w:val="20"/>
                <w:color w:val="auto"/>
              </w:rPr>
            </w:pPr>
            <w:r>
              <w:rPr>
                <w:rFonts w:ascii="Arial" w:cs="Arial" w:eastAsia="Arial" w:hAnsi="Arial"/>
                <w:sz w:val="18"/>
                <w:szCs w:val="18"/>
                <w:color w:val="auto"/>
              </w:rPr>
              <w:t>New York, New York 10022</w:t>
            </w:r>
          </w:p>
        </w:tc>
      </w:tr>
      <w:tr>
        <w:trPr>
          <w:trHeight w:val="230"/>
        </w:trPr>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4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r>
      <w:tr>
        <w:trPr>
          <w:trHeight w:val="418"/>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340" w:type="dxa"/>
            <w:vAlign w:val="bottom"/>
            <w:gridSpan w:val="2"/>
          </w:tcPr>
          <w:p>
            <w:pPr>
              <w:ind w:left="100"/>
              <w:spacing w:after="0"/>
              <w:rPr>
                <w:sz w:val="20"/>
                <w:szCs w:val="20"/>
                <w:color w:val="auto"/>
              </w:rPr>
            </w:pPr>
            <w:r>
              <w:rPr>
                <w:rFonts w:ascii="Arial" w:cs="Arial" w:eastAsia="Arial" w:hAnsi="Arial"/>
                <w:sz w:val="18"/>
                <w:szCs w:val="18"/>
                <w:color w:val="auto"/>
              </w:rPr>
              <w:t>Brigade Leveraged Capital Structures Fund Ltd.:</w:t>
            </w:r>
          </w:p>
        </w:tc>
      </w:t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gridSpan w:val="2"/>
          </w:tcPr>
          <w:p>
            <w:pPr>
              <w:ind w:left="100"/>
              <w:spacing w:after="0"/>
              <w:rPr>
                <w:sz w:val="20"/>
                <w:szCs w:val="20"/>
                <w:color w:val="auto"/>
              </w:rPr>
            </w:pPr>
            <w:r>
              <w:rPr>
                <w:rFonts w:ascii="Arial" w:cs="Arial" w:eastAsia="Arial" w:hAnsi="Arial"/>
                <w:sz w:val="18"/>
                <w:szCs w:val="18"/>
                <w:color w:val="auto"/>
              </w:rPr>
              <w:t>c/o Intertrust Corporate Services (Cayman) Limited</w:t>
            </w:r>
          </w:p>
        </w:tc>
      </w:t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gridSpan w:val="2"/>
          </w:tcPr>
          <w:p>
            <w:pPr>
              <w:ind w:left="100"/>
              <w:spacing w:after="0"/>
              <w:rPr>
                <w:sz w:val="20"/>
                <w:szCs w:val="20"/>
                <w:color w:val="auto"/>
              </w:rPr>
            </w:pPr>
            <w:r>
              <w:rPr>
                <w:rFonts w:ascii="Arial" w:cs="Arial" w:eastAsia="Arial" w:hAnsi="Arial"/>
                <w:sz w:val="18"/>
                <w:szCs w:val="18"/>
                <w:color w:val="auto"/>
              </w:rPr>
              <w:t>190 Elgin Avenue</w:t>
            </w:r>
          </w:p>
        </w:tc>
      </w:t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gridSpan w:val="2"/>
          </w:tcPr>
          <w:p>
            <w:pPr>
              <w:ind w:left="100"/>
              <w:spacing w:after="0"/>
              <w:rPr>
                <w:sz w:val="20"/>
                <w:szCs w:val="20"/>
                <w:color w:val="auto"/>
              </w:rPr>
            </w:pPr>
            <w:r>
              <w:rPr>
                <w:rFonts w:ascii="Arial" w:cs="Arial" w:eastAsia="Arial" w:hAnsi="Arial"/>
                <w:sz w:val="18"/>
                <w:szCs w:val="18"/>
                <w:color w:val="auto"/>
              </w:rPr>
              <w:t>George Town</w:t>
            </w:r>
          </w:p>
        </w:tc>
      </w:t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gridSpan w:val="2"/>
          </w:tcPr>
          <w:p>
            <w:pPr>
              <w:ind w:left="100"/>
              <w:spacing w:after="0"/>
              <w:rPr>
                <w:sz w:val="20"/>
                <w:szCs w:val="20"/>
                <w:color w:val="auto"/>
              </w:rPr>
            </w:pPr>
            <w:r>
              <w:rPr>
                <w:rFonts w:ascii="Arial" w:cs="Arial" w:eastAsia="Arial" w:hAnsi="Arial"/>
                <w:sz w:val="18"/>
                <w:szCs w:val="18"/>
                <w:color w:val="auto"/>
              </w:rPr>
              <w:t>Grand Cayman KY1-9007</w:t>
            </w:r>
          </w:p>
        </w:tc>
      </w:tr>
      <w:tr>
        <w:trPr>
          <w:trHeight w:val="230"/>
        </w:trPr>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Cayman Islands</w:t>
            </w:r>
          </w:p>
        </w:tc>
      </w:tr>
      <w:tr>
        <w:trPr>
          <w:trHeight w:val="426"/>
        </w:trPr>
        <w:tc>
          <w:tcPr>
            <w:tcW w:w="1040" w:type="dxa"/>
            <w:vAlign w:val="bottom"/>
          </w:tcPr>
          <w:p>
            <w:pPr>
              <w:spacing w:after="0"/>
              <w:rPr>
                <w:sz w:val="24"/>
                <w:szCs w:val="24"/>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(d).</w:t>
            </w:r>
          </w:p>
        </w:tc>
        <w:tc>
          <w:tcPr>
            <w:tcW w:w="9340" w:type="dxa"/>
            <w:vAlign w:val="bottom"/>
            <w:gridSpan w:val="2"/>
          </w:tcPr>
          <w:p>
            <w:pPr>
              <w:ind w:left="10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Common Stock, par value $0.01 per share</w:t>
            </w:r>
          </w:p>
        </w:tc>
      </w:tr>
      <w:tr>
        <w:trPr>
          <w:trHeight w:val="426"/>
        </w:trPr>
        <w:tc>
          <w:tcPr>
            <w:tcW w:w="1040" w:type="dxa"/>
            <w:vAlign w:val="bottom"/>
          </w:tcPr>
          <w:p>
            <w:pPr>
              <w:spacing w:after="0"/>
              <w:rPr>
                <w:sz w:val="24"/>
                <w:szCs w:val="24"/>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(e).</w:t>
            </w:r>
          </w:p>
        </w:tc>
        <w:tc>
          <w:tcPr>
            <w:tcW w:w="9340" w:type="dxa"/>
            <w:vAlign w:val="bottom"/>
            <w:gridSpan w:val="2"/>
          </w:tcPr>
          <w:p>
            <w:pPr>
              <w:ind w:left="100"/>
              <w:spacing w:after="0"/>
              <w:rPr>
                <w:sz w:val="20"/>
                <w:szCs w:val="20"/>
                <w:color w:val="auto"/>
              </w:rPr>
            </w:pPr>
            <w:r>
              <w:rPr>
                <w:rFonts w:ascii="Arial" w:cs="Arial" w:eastAsia="Arial" w:hAnsi="Arial"/>
                <w:sz w:val="18"/>
                <w:szCs w:val="18"/>
                <w:color w:val="auto"/>
              </w:rPr>
              <w:t>CUSIP Number:</w:t>
            </w:r>
          </w:p>
        </w:tc>
      </w:tr>
      <w:tr>
        <w:trPr>
          <w:trHeight w:val="432"/>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55933J203</w:t>
            </w:r>
          </w:p>
        </w:tc>
      </w:tr>
      <w:tr>
        <w:trPr>
          <w:trHeight w:val="473"/>
        </w:trPr>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9" w:right="239" w:bottom="1440" w:gutter="0" w:footer="0" w:header="0"/>
        </w:sectPr>
      </w:pPr>
    </w:p>
    <w:bookmarkStart w:id="6" w:name="page7"/>
    <w:bookmarkEnd w:id="6"/>
    <w:p>
      <w:pPr>
        <w:spacing w:after="0"/>
        <w:tabs>
          <w:tab w:leader="none" w:pos="20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ss.240.13d-1(b) or 240.13d-2(b), or (c), check whether the person filing is a</w:t>
      </w:r>
    </w:p>
    <w:p>
      <w:pPr>
        <w:spacing w:after="0" w:line="225" w:lineRule="exact"/>
        <w:rPr>
          <w:sz w:val="20"/>
          <w:szCs w:val="20"/>
          <w:color w:val="auto"/>
        </w:rPr>
      </w:pPr>
    </w:p>
    <w:p>
      <w:pPr>
        <w:ind w:left="1380" w:hanging="68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Exchange Act (15 U.S.C. 78c).</w:t>
      </w:r>
    </w:p>
    <w:p>
      <w:pPr>
        <w:spacing w:after="0" w:line="225" w:lineRule="exact"/>
        <w:rPr>
          <w:rFonts w:ascii="Arial" w:cs="Arial" w:eastAsia="Arial" w:hAnsi="Arial"/>
          <w:sz w:val="18"/>
          <w:szCs w:val="18"/>
          <w:color w:val="auto"/>
        </w:rPr>
      </w:pPr>
    </w:p>
    <w:p>
      <w:pPr>
        <w:ind w:left="1380" w:hanging="68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Exchange Act (15 U.S.C. 78c).</w:t>
      </w:r>
    </w:p>
    <w:p>
      <w:pPr>
        <w:spacing w:after="0" w:line="225" w:lineRule="exact"/>
        <w:rPr>
          <w:rFonts w:ascii="Arial" w:cs="Arial" w:eastAsia="Arial" w:hAnsi="Arial"/>
          <w:sz w:val="18"/>
          <w:szCs w:val="18"/>
          <w:color w:val="auto"/>
        </w:rPr>
      </w:pPr>
    </w:p>
    <w:p>
      <w:pPr>
        <w:ind w:left="1380" w:hanging="68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Exchange Act (15 U.S.C. 78c).</w:t>
      </w:r>
    </w:p>
    <w:p>
      <w:pPr>
        <w:spacing w:after="0" w:line="225" w:lineRule="exact"/>
        <w:rPr>
          <w:rFonts w:ascii="Arial" w:cs="Arial" w:eastAsia="Arial" w:hAnsi="Arial"/>
          <w:sz w:val="18"/>
          <w:szCs w:val="18"/>
          <w:color w:val="auto"/>
        </w:rPr>
      </w:pPr>
    </w:p>
    <w:p>
      <w:pPr>
        <w:ind w:left="1380" w:hanging="68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380" w:hanging="68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1380" w:hanging="68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380" w:hanging="68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380" w:hanging="68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25" w:lineRule="exact"/>
        <w:rPr>
          <w:rFonts w:ascii="Arial" w:cs="Arial" w:eastAsia="Arial" w:hAnsi="Arial"/>
          <w:sz w:val="18"/>
          <w:szCs w:val="18"/>
          <w:color w:val="auto"/>
        </w:rPr>
      </w:pPr>
    </w:p>
    <w:p>
      <w:pPr>
        <w:ind w:left="2080" w:hanging="1386"/>
        <w:spacing w:after="0" w:line="277" w:lineRule="auto"/>
        <w:tabs>
          <w:tab w:leader="none" w:pos="13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380" w:hanging="68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Group, in accordance with s.240.13d-1(b)(1)(ii)(J).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169545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600"/>
          </w:cols>
          <w:pgMar w:left="340" w:top="908" w:right="959" w:bottom="1440" w:gutter="0" w:footer="0" w:header="0"/>
        </w:sectPr>
      </w:pPr>
    </w:p>
    <w:bookmarkStart w:id="7" w:name="page8"/>
    <w:bookmarkEnd w:id="7"/>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500" w:hanging="685"/>
        <w:spacing w:after="0"/>
        <w:tabs>
          <w:tab w:leader="none" w:pos="1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500" w:right="4240"/>
        <w:spacing w:after="0" w:line="275" w:lineRule="auto"/>
        <w:rPr>
          <w:rFonts w:ascii="Arial" w:cs="Arial" w:eastAsia="Arial" w:hAnsi="Arial"/>
          <w:sz w:val="18"/>
          <w:szCs w:val="18"/>
          <w:color w:val="auto"/>
        </w:rPr>
      </w:pPr>
      <w:r>
        <w:rPr>
          <w:rFonts w:ascii="Arial" w:cs="Arial" w:eastAsia="Arial" w:hAnsi="Arial"/>
          <w:sz w:val="18"/>
          <w:szCs w:val="18"/>
          <w:color w:val="auto"/>
        </w:rPr>
        <w:t>Brigade Capital Management, LP – 5,843,507 Brigade Capital Management GP, LLC – 5,843,507 Brigade Leveraged Capital Structures Fund Ltd. – 4,856,226 Donald E. Morgan, III – 5,843,507</w:t>
      </w:r>
    </w:p>
    <w:p>
      <w:pPr>
        <w:spacing w:after="0" w:line="185" w:lineRule="exact"/>
        <w:rPr>
          <w:rFonts w:ascii="Arial" w:cs="Arial" w:eastAsia="Arial" w:hAnsi="Arial"/>
          <w:sz w:val="18"/>
          <w:szCs w:val="18"/>
          <w:color w:val="auto"/>
        </w:rPr>
      </w:pPr>
    </w:p>
    <w:p>
      <w:pPr>
        <w:ind w:left="1500" w:hanging="685"/>
        <w:spacing w:after="0"/>
        <w:tabs>
          <w:tab w:leader="none" w:pos="1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500" w:right="4420"/>
        <w:spacing w:after="0" w:line="275" w:lineRule="auto"/>
        <w:rPr>
          <w:rFonts w:ascii="Arial" w:cs="Arial" w:eastAsia="Arial" w:hAnsi="Arial"/>
          <w:sz w:val="18"/>
          <w:szCs w:val="18"/>
          <w:color w:val="auto"/>
        </w:rPr>
      </w:pPr>
      <w:r>
        <w:rPr>
          <w:rFonts w:ascii="Arial" w:cs="Arial" w:eastAsia="Arial" w:hAnsi="Arial"/>
          <w:sz w:val="18"/>
          <w:szCs w:val="18"/>
          <w:color w:val="auto"/>
        </w:rPr>
        <w:t>Brigade Capital Management, LP – 15.86% Brigade Capital Management GP, LLC – 15.86% Brigade Leveraged Capital Structures Fund Ltd. – 13.18% Donald E. Morgan, III – 15.86%</w:t>
      </w:r>
    </w:p>
    <w:p>
      <w:pPr>
        <w:spacing w:after="0" w:line="185" w:lineRule="exact"/>
        <w:rPr>
          <w:rFonts w:ascii="Arial" w:cs="Arial" w:eastAsia="Arial" w:hAnsi="Arial"/>
          <w:sz w:val="18"/>
          <w:szCs w:val="18"/>
          <w:color w:val="auto"/>
        </w:rPr>
      </w:pPr>
    </w:p>
    <w:p>
      <w:pPr>
        <w:ind w:left="1500" w:hanging="685"/>
        <w:spacing w:after="0"/>
        <w:tabs>
          <w:tab w:leader="none" w:pos="1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180" w:hanging="676"/>
        <w:spacing w:after="0"/>
        <w:tabs>
          <w:tab w:leader="none" w:pos="21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180" w:right="4200"/>
        <w:spacing w:after="0" w:line="275" w:lineRule="auto"/>
        <w:rPr>
          <w:rFonts w:ascii="Arial" w:cs="Arial" w:eastAsia="Arial" w:hAnsi="Arial"/>
          <w:sz w:val="18"/>
          <w:szCs w:val="18"/>
          <w:color w:val="auto"/>
        </w:rPr>
      </w:pPr>
      <w:r>
        <w:rPr>
          <w:rFonts w:ascii="Arial" w:cs="Arial" w:eastAsia="Arial" w:hAnsi="Arial"/>
          <w:sz w:val="18"/>
          <w:szCs w:val="18"/>
          <w:color w:val="auto"/>
        </w:rPr>
        <w:t>Brigade Capital Management, LP – 0 Brigade Capital Management GP, LLC – 0 Brigade Leveraged Capital Structures Fund Ltd. – 0 Donald E. Morgan, III – 0</w:t>
      </w:r>
    </w:p>
    <w:p>
      <w:pPr>
        <w:spacing w:after="0" w:line="185" w:lineRule="exact"/>
        <w:rPr>
          <w:rFonts w:ascii="Arial" w:cs="Arial" w:eastAsia="Arial" w:hAnsi="Arial"/>
          <w:sz w:val="18"/>
          <w:szCs w:val="18"/>
          <w:color w:val="auto"/>
        </w:rPr>
      </w:pPr>
    </w:p>
    <w:p>
      <w:pPr>
        <w:ind w:left="2180" w:hanging="676"/>
        <w:spacing w:after="0"/>
        <w:tabs>
          <w:tab w:leader="none" w:pos="21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180" w:right="3580"/>
        <w:spacing w:after="0" w:line="275" w:lineRule="auto"/>
        <w:rPr>
          <w:rFonts w:ascii="Arial" w:cs="Arial" w:eastAsia="Arial" w:hAnsi="Arial"/>
          <w:sz w:val="18"/>
          <w:szCs w:val="18"/>
          <w:color w:val="auto"/>
        </w:rPr>
      </w:pPr>
      <w:r>
        <w:rPr>
          <w:rFonts w:ascii="Arial" w:cs="Arial" w:eastAsia="Arial" w:hAnsi="Arial"/>
          <w:sz w:val="18"/>
          <w:szCs w:val="18"/>
          <w:color w:val="auto"/>
        </w:rPr>
        <w:t>Brigade Capital Management, LP – 5,843,507 Brigade Capital Management GP, LLC – 5,843,507 Brigade Leveraged Capital Structures Fund Ltd. – 4,856,226 Donald E. Morgan, III – 5,843,507</w:t>
      </w:r>
    </w:p>
    <w:p>
      <w:pPr>
        <w:spacing w:after="0" w:line="185" w:lineRule="exact"/>
        <w:rPr>
          <w:rFonts w:ascii="Arial" w:cs="Arial" w:eastAsia="Arial" w:hAnsi="Arial"/>
          <w:sz w:val="18"/>
          <w:szCs w:val="18"/>
          <w:color w:val="auto"/>
        </w:rPr>
      </w:pPr>
    </w:p>
    <w:p>
      <w:pPr>
        <w:ind w:left="2180" w:hanging="676"/>
        <w:spacing w:after="0"/>
        <w:tabs>
          <w:tab w:leader="none" w:pos="21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2180" w:right="4200"/>
        <w:spacing w:after="0" w:line="275" w:lineRule="auto"/>
        <w:rPr>
          <w:rFonts w:ascii="Arial" w:cs="Arial" w:eastAsia="Arial" w:hAnsi="Arial"/>
          <w:sz w:val="18"/>
          <w:szCs w:val="18"/>
          <w:color w:val="auto"/>
        </w:rPr>
      </w:pPr>
      <w:r>
        <w:rPr>
          <w:rFonts w:ascii="Arial" w:cs="Arial" w:eastAsia="Arial" w:hAnsi="Arial"/>
          <w:sz w:val="18"/>
          <w:szCs w:val="18"/>
          <w:color w:val="auto"/>
        </w:rPr>
        <w:t>Brigade Capital Management, LP – 0 Brigade Capital Management GP, LLC – 0 Brigade Leveraged Capital Structures Fund Ltd. – 0 Donald E. Morgan, III – 0</w:t>
      </w:r>
    </w:p>
    <w:p>
      <w:pPr>
        <w:spacing w:after="0" w:line="185" w:lineRule="exact"/>
        <w:rPr>
          <w:rFonts w:ascii="Arial" w:cs="Arial" w:eastAsia="Arial" w:hAnsi="Arial"/>
          <w:sz w:val="18"/>
          <w:szCs w:val="18"/>
          <w:color w:val="auto"/>
        </w:rPr>
      </w:pPr>
    </w:p>
    <w:p>
      <w:pPr>
        <w:ind w:left="2180" w:hanging="676"/>
        <w:spacing w:after="0"/>
        <w:tabs>
          <w:tab w:leader="none" w:pos="21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180" w:right="3580"/>
        <w:spacing w:after="0" w:line="275" w:lineRule="auto"/>
        <w:rPr>
          <w:rFonts w:ascii="Arial" w:cs="Arial" w:eastAsia="Arial" w:hAnsi="Arial"/>
          <w:sz w:val="18"/>
          <w:szCs w:val="18"/>
          <w:color w:val="auto"/>
        </w:rPr>
      </w:pPr>
      <w:r>
        <w:rPr>
          <w:rFonts w:ascii="Arial" w:cs="Arial" w:eastAsia="Arial" w:hAnsi="Arial"/>
          <w:sz w:val="18"/>
          <w:szCs w:val="18"/>
          <w:color w:val="auto"/>
        </w:rPr>
        <w:t>Brigade Capital Management, LP – 5,843,507 Brigade Capital Management GP, LLC – 5,843,507 Brigade Leveraged Capital Structures Fund Ltd. – 4,856,226 Donald E. Morgan, III – 5,843,507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1322070</wp:posOffset>
            </wp:positionH>
            <wp:positionV relativeFrom="paragraph">
              <wp:posOffset>-17780</wp:posOffset>
            </wp:positionV>
            <wp:extent cx="58661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1322070</wp:posOffset>
            </wp:positionH>
            <wp:positionV relativeFrom="paragraph">
              <wp:posOffset>-163830</wp:posOffset>
            </wp:positionV>
            <wp:extent cx="5866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1322070</wp:posOffset>
            </wp:positionH>
            <wp:positionV relativeFrom="paragraph">
              <wp:posOffset>-309880</wp:posOffset>
            </wp:positionV>
            <wp:extent cx="5866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1322070</wp:posOffset>
            </wp:positionH>
            <wp:positionV relativeFrom="paragraph">
              <wp:posOffset>-455295</wp:posOffset>
            </wp:positionV>
            <wp:extent cx="58661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1322070</wp:posOffset>
            </wp:positionH>
            <wp:positionV relativeFrom="paragraph">
              <wp:posOffset>-1012825</wp:posOffset>
            </wp:positionV>
            <wp:extent cx="58661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1322070</wp:posOffset>
            </wp:positionH>
            <wp:positionV relativeFrom="paragraph">
              <wp:posOffset>-1158875</wp:posOffset>
            </wp:positionV>
            <wp:extent cx="58661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1322070</wp:posOffset>
            </wp:positionH>
            <wp:positionV relativeFrom="paragraph">
              <wp:posOffset>-1304290</wp:posOffset>
            </wp:positionV>
            <wp:extent cx="58661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1322070</wp:posOffset>
            </wp:positionH>
            <wp:positionV relativeFrom="paragraph">
              <wp:posOffset>-1450340</wp:posOffset>
            </wp:positionV>
            <wp:extent cx="58661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1322070</wp:posOffset>
            </wp:positionH>
            <wp:positionV relativeFrom="paragraph">
              <wp:posOffset>-2007870</wp:posOffset>
            </wp:positionV>
            <wp:extent cx="58661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1322070</wp:posOffset>
            </wp:positionH>
            <wp:positionV relativeFrom="paragraph">
              <wp:posOffset>-2153285</wp:posOffset>
            </wp:positionV>
            <wp:extent cx="58661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1322070</wp:posOffset>
            </wp:positionH>
            <wp:positionV relativeFrom="paragraph">
              <wp:posOffset>-2299335</wp:posOffset>
            </wp:positionV>
            <wp:extent cx="58661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1322070</wp:posOffset>
            </wp:positionH>
            <wp:positionV relativeFrom="paragraph">
              <wp:posOffset>-2444750</wp:posOffset>
            </wp:positionV>
            <wp:extent cx="58661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1322070</wp:posOffset>
            </wp:positionH>
            <wp:positionV relativeFrom="paragraph">
              <wp:posOffset>-3002280</wp:posOffset>
            </wp:positionV>
            <wp:extent cx="58661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1322070</wp:posOffset>
            </wp:positionH>
            <wp:positionV relativeFrom="paragraph">
              <wp:posOffset>-3148330</wp:posOffset>
            </wp:positionV>
            <wp:extent cx="58661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1322070</wp:posOffset>
            </wp:positionH>
            <wp:positionV relativeFrom="paragraph">
              <wp:posOffset>-3293745</wp:posOffset>
            </wp:positionV>
            <wp:extent cx="5866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1322070</wp:posOffset>
            </wp:positionH>
            <wp:positionV relativeFrom="paragraph">
              <wp:posOffset>-3439795</wp:posOffset>
            </wp:positionV>
            <wp:extent cx="58661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-4408805</wp:posOffset>
            </wp:positionV>
            <wp:extent cx="62947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-4554855</wp:posOffset>
            </wp:positionV>
            <wp:extent cx="62947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-4700270</wp:posOffset>
            </wp:positionV>
            <wp:extent cx="62947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-4846320</wp:posOffset>
            </wp:positionV>
            <wp:extent cx="62947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-5403850</wp:posOffset>
            </wp:positionV>
            <wp:extent cx="62947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-5549265</wp:posOffset>
            </wp:positionV>
            <wp:extent cx="62947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-5695315</wp:posOffset>
            </wp:positionV>
            <wp:extent cx="62947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-5841365</wp:posOffset>
            </wp:positionV>
            <wp:extent cx="62947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281305</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120"/>
          </w:cols>
          <w:pgMar w:left="340" w:top="908" w:right="1439" w:bottom="1440" w:gutter="0" w:footer="0" w:header="0"/>
        </w:sectPr>
      </w:pPr>
    </w:p>
    <w:bookmarkStart w:id="8" w:name="page9"/>
    <w:bookmarkEnd w:id="8"/>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00" w:lineRule="exact"/>
        <w:rPr>
          <w:sz w:val="20"/>
          <w:szCs w:val="20"/>
          <w:color w:val="auto"/>
        </w:rPr>
      </w:pPr>
    </w:p>
    <w:p>
      <w:pPr>
        <w:spacing w:after="0" w:line="24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14605</wp:posOffset>
            </wp:positionV>
            <wp:extent cx="65862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14605</wp:posOffset>
            </wp:positionV>
            <wp:extent cx="65862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8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14605</wp:posOffset>
            </wp:positionV>
            <wp:extent cx="65862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452120</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60"/>
          </w:cols>
          <w:pgMar w:left="340" w:top="908" w:right="399" w:bottom="1440" w:gutter="0" w:footer="0" w:header="0"/>
        </w:sectPr>
      </w:pPr>
    </w:p>
    <w:bookmarkStart w:id="9" w:name="page10"/>
    <w:bookmarkEnd w:id="9"/>
    <w:p>
      <w:pPr>
        <w:spacing w:after="0"/>
        <w:tabs>
          <w:tab w:leader="none" w:pos="10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8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14605</wp:posOffset>
            </wp:positionV>
            <wp:extent cx="65862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14605</wp:posOffset>
            </wp:positionV>
            <wp:extent cx="6586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ind w:left="1620" w:hanging="575"/>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rFonts w:ascii="Arial" w:cs="Arial" w:eastAsia="Arial" w:hAnsi="Arial"/>
          <w:sz w:val="18"/>
          <w:szCs w:val="18"/>
          <w:color w:val="auto"/>
        </w:rPr>
      </w:pPr>
    </w:p>
    <w:p>
      <w:pPr>
        <w:ind w:left="1620" w:right="20"/>
        <w:spacing w:after="0" w:line="259"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6" w:lineRule="exact"/>
        <w:rPr>
          <w:rFonts w:ascii="Arial" w:cs="Arial" w:eastAsia="Arial" w:hAnsi="Arial"/>
          <w:sz w:val="18"/>
          <w:szCs w:val="18"/>
          <w:color w:val="auto"/>
        </w:rPr>
      </w:pPr>
    </w:p>
    <w:p>
      <w:pPr>
        <w:ind w:left="1620" w:hanging="575"/>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rFonts w:ascii="Arial" w:cs="Arial" w:eastAsia="Arial" w:hAnsi="Arial"/>
          <w:sz w:val="18"/>
          <w:szCs w:val="18"/>
          <w:color w:val="auto"/>
        </w:rPr>
      </w:pPr>
    </w:p>
    <w:p>
      <w:pPr>
        <w:ind w:left="1620"/>
        <w:spacing w:after="0" w:line="286" w:lineRule="auto"/>
        <w:rPr>
          <w:rFonts w:ascii="Arial" w:cs="Arial" w:eastAsia="Arial" w:hAnsi="Arial"/>
          <w:sz w:val="18"/>
          <w:szCs w:val="18"/>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131445</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10" w:name="page11"/>
    <w:bookmarkEnd w:id="10"/>
    <w:p>
      <w:pPr>
        <w:jc w:val="center"/>
        <w:ind w:right="-1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13, 2018</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Brigade Capital Management, LP</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By: /s/ Donald E. Morgan, III</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Managing Member of its General Partner</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Brigade Capital Management GP, LLC</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By: /s/ Donald E. Morgan, III</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Managing Member</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Brigade Leveraged Capital Structures Fund Ltd.</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Donald E. Morgan, III</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Donald E. Morgan, III</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1" w:name="page12"/>
    <w:bookmarkEnd w:id="11"/>
    <w:p>
      <w:pPr>
        <w:jc w:val="center"/>
        <w:ind w:right="-279"/>
        <w:spacing w:after="0"/>
        <w:rPr>
          <w:sz w:val="20"/>
          <w:szCs w:val="20"/>
          <w:color w:val="auto"/>
        </w:rPr>
      </w:pPr>
      <w:r>
        <w:rPr>
          <w:rFonts w:ascii="Arial" w:cs="Arial" w:eastAsia="Arial" w:hAnsi="Arial"/>
          <w:sz w:val="18"/>
          <w:szCs w:val="18"/>
          <w:color w:val="auto"/>
        </w:rPr>
        <w:t>AGREEMENT</w:t>
      </w:r>
    </w:p>
    <w:p>
      <w:pPr>
        <w:spacing w:after="0" w:line="21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agree that this Schedule 13G Amendment number 3 dated February 13, 2018 relating to the Common Stock, par value $0.01 per share of MagnaChip Semiconductor Corporation shall be filed on behalf of the undersigned.</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13, 2018</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Brigade Capital Management, LP</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By: /s/ Donald E. Morgan, III</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Managing Member of its General Partner</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Brigade Capital Management GP, LLC</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By: /s/ Donald E. Morgan, III</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Managing Member</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Brigade Leveraged Capital Structures Fund Ltd.</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Donald E. Morgan, III</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Donald E. Morgan, III</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140"/>
      </w:cols>
      <w:pgMar w:left="240" w:top="692"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decimal"/>
      <w:start w:val="5"/>
    </w:lvl>
  </w:abstractNum>
  <w:abstractNum w:abstractNumId="4">
    <w:nsid w:val="140E0F76"/>
    <w:multiLevelType w:val="hybridMultilevel"/>
    <w:lvl w:ilvl="0">
      <w:lvlJc w:val="left"/>
      <w:lvlText w:val="*"/>
      <w:numFmt w:val="bullet"/>
      <w:start w:val="1"/>
    </w:lvl>
    <w:lvl w:ilvl="1">
      <w:lvlJc w:val="left"/>
      <w:lvlText w:val="%2."/>
      <w:numFmt w:val="decimal"/>
      <w:start w:val="1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3"/>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
      <w:numFmt w:val="bullet"/>
      <w:start w:val="1"/>
    </w:lvl>
    <w:lvl w:ilvl="1">
      <w:lvlJc w:val="left"/>
      <w:lvlText w:val="%2."/>
      <w:numFmt w:val="decimal"/>
      <w:start w:val="1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decimal"/>
      <w:start w:val="5"/>
    </w:lvl>
  </w:abstractNum>
  <w:abstractNum w:abstractNumId="12">
    <w:nsid w:val="4E6AFB66"/>
    <w:multiLevelType w:val="hybridMultilevel"/>
    <w:lvl w:ilvl="0">
      <w:lvlJc w:val="left"/>
      <w:lvlText w:val="*"/>
      <w:numFmt w:val="bullet"/>
      <w:start w:val="1"/>
    </w:lvl>
    <w:lvl w:ilvl="1">
      <w:lvlJc w:val="left"/>
      <w:lvlText w:val="%2."/>
      <w:numFmt w:val="decimal"/>
      <w:start w:val="1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3"/>
    </w:lvl>
  </w:abstractNum>
  <w:abstractNum w:abstractNumId="15">
    <w:nsid w:val="431BD7B7"/>
    <w:multiLevelType w:val="hybridMultilevel"/>
    <w:lvl w:ilvl="0">
      <w:lvlJc w:val="left"/>
      <w:lvlText w:val="%1."/>
      <w:numFmt w:val="decimal"/>
      <w:start w:val="5"/>
    </w:lvl>
  </w:abstractNum>
  <w:abstractNum w:abstractNumId="16">
    <w:nsid w:val="3F2DBA31"/>
    <w:multiLevelType w:val="hybridMultilevel"/>
    <w:lvl w:ilvl="0">
      <w:lvlJc w:val="left"/>
      <w:lvlText w:val="*"/>
      <w:numFmt w:val="bullet"/>
      <w:start w:val="1"/>
    </w:lvl>
    <w:lvl w:ilvl="1">
      <w:lvlJc w:val="left"/>
      <w:lvlText w:val="%2."/>
      <w:numFmt w:val="decimal"/>
      <w:start w:val="1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lvl w:ilvl="1">
      <w:lvlJc w:val="left"/>
      <w:lvlText w:val="(%2)"/>
      <w:numFmt w:val="lowerRoman"/>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2019-12-07T01:38:09Z</dcterms:created>
  <dcterms:modified xsi:type="dcterms:W3CDTF">2019-12-07T01:38:09Z</dcterms:modified>
</cp:coreProperties>
</file>