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20052240_defa14a.htm"/>
      <w:bookmarkStart w:id="1" w:name="ksbrhc20052240_defa14a"/>
      <w:bookmarkStart w:id="2" w:name="brhc20052240_defa14a.htm"/>
      <w:bookmarkStart w:id="3" w:name="ksbrhc20052240_defa14a"/>
      <w:bookmarkEnd w:id="2"/>
      <w:bookmarkEnd w:id="3"/>
    </w:p>
    <w:p>
      <w:pPr>
        <w:pStyle w:val="TextBody"/>
        <w:spacing w:before="0" w:after="0"/>
        <w:jc w:val="center"/>
        <w:rPr>
          <w:b/>
          <w:sz w:val="28"/>
        </w:rPr>
      </w:pPr>
      <w:r>
        <w:rPr>
          <w:b/>
          <w:sz w:val="28"/>
        </w:rPr>
        <w:t>UNITED STATES</w:t>
      </w:r>
    </w:p>
    <w:p>
      <w:pPr>
        <w:pStyle w:val="TextBody"/>
        <w:spacing w:before="0" w:after="0"/>
        <w:jc w:val="center"/>
        <w:rPr>
          <w:b/>
          <w:sz w:val="28"/>
        </w:rPr>
      </w:pPr>
      <w:r>
        <w:rPr>
          <w:b/>
          <w:sz w:val="28"/>
        </w:rPr>
        <w:t>SECURITIES AND EXCHANGE COMMISSION</w:t>
      </w:r>
    </w:p>
    <w:p>
      <w:pPr>
        <w:pStyle w:val="TextBody"/>
        <w:spacing w:before="0" w:after="0"/>
        <w:jc w:val="center"/>
        <w:rPr>
          <w:b/>
          <w:sz w:val="24"/>
        </w:rPr>
      </w:pPr>
      <w:r>
        <w:rPr>
          <w:b/>
          <w:sz w:val="24"/>
        </w:rPr>
        <w:t>Washington, D.C. 20549</w:t>
      </w:r>
    </w:p>
    <w:p>
      <w:pPr>
        <w:pStyle w:val="TextBody"/>
        <w:spacing w:before="0" w:after="0"/>
        <w:jc w:val="center"/>
        <w:rPr>
          <w:b/>
        </w:rPr>
      </w:pPr>
      <w:r>
        <w:rPr>
          <w:b/>
        </w:rPr>
      </w:r>
    </w:p>
    <w:p>
      <w:pPr>
        <w:pStyle w:val="HorizontalLine"/>
        <w:pBdr>
          <w:bottom w:val="single" w:sz="20" w:space="0" w:color="808080"/>
        </w:pBdr>
        <w:rPr/>
      </w:pPr>
      <w:r>
        <w:rPr/>
      </w:r>
    </w:p>
    <w:p>
      <w:pPr>
        <w:pStyle w:val="TextBody"/>
        <w:spacing w:before="0" w:after="0"/>
        <w:jc w:val="center"/>
        <w:rPr>
          <w:b/>
        </w:rPr>
      </w:pPr>
      <w:r>
        <w:rPr>
          <w:b/>
        </w:rPr>
      </w:r>
    </w:p>
    <w:p>
      <w:pPr>
        <w:pStyle w:val="TextBody"/>
        <w:spacing w:before="0" w:after="0"/>
        <w:jc w:val="center"/>
        <w:rPr>
          <w:b/>
          <w:sz w:val="36"/>
        </w:rPr>
      </w:pPr>
      <w:r>
        <w:rPr>
          <w:b/>
          <w:sz w:val="36"/>
        </w:rPr>
        <w:t>SCHEDULE 14A</w:t>
      </w:r>
    </w:p>
    <w:p>
      <w:pPr>
        <w:pStyle w:val="TextBody"/>
        <w:spacing w:before="0" w:after="0"/>
        <w:jc w:val="center"/>
        <w:rPr>
          <w:b/>
        </w:rPr>
      </w:pPr>
      <w:r>
        <w:rPr>
          <w:b/>
        </w:rPr>
      </w:r>
    </w:p>
    <w:p>
      <w:pPr>
        <w:pStyle w:val="TextBody"/>
        <w:spacing w:before="0" w:after="0"/>
        <w:jc w:val="center"/>
        <w:rPr>
          <w:b/>
        </w:rPr>
      </w:pPr>
      <w:r>
        <w:rPr>
          <w:b/>
        </w:rPr>
        <w:t>Proxy Statement Pursuant to Section 14(a) of the</w:t>
      </w:r>
    </w:p>
    <w:p>
      <w:pPr>
        <w:pStyle w:val="TextBody"/>
        <w:spacing w:before="0" w:after="0"/>
        <w:jc w:val="center"/>
        <w:rPr>
          <w:b/>
        </w:rPr>
      </w:pPr>
      <w:r>
        <w:rPr>
          <w:b/>
        </w:rPr>
        <w:t>Securities Exchange Act of 1934</w:t>
      </w:r>
    </w:p>
    <w:p>
      <w:pPr>
        <w:pStyle w:val="TextBody"/>
        <w:spacing w:before="0" w:after="0"/>
        <w:jc w:val="center"/>
        <w:rPr>
          <w:b/>
        </w:rPr>
      </w:pPr>
      <w:r>
        <w:rPr>
          <w:b/>
        </w:rPr>
        <w:t>(Amendment No.       )</w:t>
      </w:r>
    </w:p>
    <w:p>
      <w:pPr>
        <w:pStyle w:val="TextBody"/>
        <w:spacing w:before="0" w:after="0"/>
        <w:jc w:val="center"/>
        <w:rPr>
          <w:b/>
        </w:rPr>
      </w:pPr>
      <w:r>
        <w:rPr>
          <w:b/>
        </w:rPr>
      </w:r>
    </w:p>
    <w:p>
      <w:pPr>
        <w:pStyle w:val="HorizontalLine"/>
        <w:pBdr>
          <w:bottom w:val="single" w:sz="20" w:space="0" w:color="808080"/>
        </w:pBdr>
        <w:rPr/>
      </w:pPr>
      <w:r>
        <w:rPr/>
      </w:r>
    </w:p>
    <w:p>
      <w:pPr>
        <w:pStyle w:val="TextBody"/>
        <w:spacing w:before="0" w:after="0"/>
        <w:rPr/>
      </w:pPr>
      <w:r>
        <w:rPr/>
        <w:t> </w:t>
      </w:r>
    </w:p>
    <w:p>
      <w:pPr>
        <w:pStyle w:val="TextBody"/>
        <w:spacing w:before="0" w:after="0"/>
        <w:rPr/>
      </w:pPr>
      <w:r>
        <w:rPr/>
        <w:t>Filed by the Registrant ☒</w:t>
      </w:r>
    </w:p>
    <w:p>
      <w:pPr>
        <w:pStyle w:val="TextBody"/>
        <w:spacing w:before="0" w:after="0"/>
        <w:rPr/>
      </w:pPr>
      <w:r>
        <w:rPr/>
        <w:t> </w:t>
      </w:r>
    </w:p>
    <w:p>
      <w:pPr>
        <w:pStyle w:val="TextBody"/>
        <w:spacing w:before="0" w:after="0"/>
        <w:rPr/>
      </w:pPr>
      <w:r>
        <w:rPr/>
        <w:t>Filed by a party other than the Registrant ☐</w:t>
      </w:r>
    </w:p>
    <w:p>
      <w:pPr>
        <w:pStyle w:val="TextBody"/>
        <w:spacing w:before="0" w:after="0"/>
        <w:rPr/>
      </w:pPr>
      <w:r>
        <w:rPr/>
        <w:t> </w:t>
      </w:r>
    </w:p>
    <w:p>
      <w:pPr>
        <w:pStyle w:val="TextBody"/>
        <w:spacing w:before="0" w:after="0"/>
        <w:rPr/>
      </w:pPr>
      <w:r>
        <w:rPr/>
        <w:t>Check the appropriate box:</w:t>
      </w:r>
    </w:p>
    <w:p>
      <w:pPr>
        <w:pStyle w:val="TextBody"/>
        <w:spacing w:before="0" w:after="0"/>
        <w:rPr/>
      </w:pPr>
      <w:r>
        <w:rPr/>
      </w:r>
    </w:p>
    <w:p>
      <w:pPr>
        <w:pStyle w:val="Normal"/>
        <w:spacing w:before="0" w:after="0"/>
        <w:rPr>
          <w:sz w:val="4"/>
          <w:szCs w:val="4"/>
        </w:rPr>
      </w:pPr>
      <w:r>
        <w:rPr>
          <w:sz w:val="4"/>
          <w:szCs w:val="4"/>
        </w:rPr>
      </w:r>
      <w:bookmarkStart w:id="4" w:name="z1cf66729846649cea5c682a606dbc169"/>
      <w:bookmarkStart w:id="5" w:name="z1cf66729846649cea5c682a606dbc169"/>
      <w:bookmarkEnd w:id="5"/>
    </w:p>
    <w:tbl>
      <w:tblPr>
        <w:tblW w:w="2995" w:type="dxa"/>
        <w:jc w:val="left"/>
        <w:tblInd w:w="0" w:type="dxa"/>
        <w:tblCellMar>
          <w:top w:w="0" w:type="dxa"/>
          <w:left w:w="0" w:type="dxa"/>
          <w:bottom w:w="0" w:type="dxa"/>
          <w:right w:w="0" w:type="dxa"/>
        </w:tblCellMar>
      </w:tblPr>
      <w:tblGrid>
        <w:gridCol w:w="245"/>
        <w:gridCol w:w="2750"/>
      </w:tblGrid>
      <w:tr>
        <w:trPr/>
        <w:tc>
          <w:tcPr>
            <w:tcW w:w="245" w:type="dxa"/>
            <w:tcBorders/>
            <w:shd w:fill="auto" w:val="clear"/>
            <w:vAlign w:val="center"/>
          </w:tcPr>
          <w:p>
            <w:pPr>
              <w:pStyle w:val="TableContents"/>
              <w:spacing w:before="0" w:after="283"/>
              <w:rPr>
                <w:color w:val="000000"/>
              </w:rPr>
            </w:pPr>
            <w:r>
              <w:rPr>
                <w:color w:val="000000"/>
              </w:rPr>
              <w:t>☐</w:t>
            </w:r>
          </w:p>
        </w:tc>
        <w:tc>
          <w:tcPr>
            <w:tcW w:w="2750" w:type="dxa"/>
            <w:tcBorders/>
            <w:shd w:fill="auto" w:val="clear"/>
            <w:vAlign w:val="center"/>
          </w:tcPr>
          <w:p>
            <w:pPr>
              <w:pStyle w:val="TableContents"/>
              <w:spacing w:before="0" w:after="0"/>
              <w:rPr>
                <w:color w:val="000000"/>
              </w:rPr>
            </w:pPr>
            <w:r>
              <w:rPr>
                <w:color w:val="000000"/>
              </w:rPr>
              <w:t>Preliminary Proxy Statement</w:t>
            </w:r>
          </w:p>
        </w:tc>
      </w:tr>
    </w:tbl>
    <w:p>
      <w:pPr>
        <w:pStyle w:val="TextBody"/>
        <w:spacing w:before="0" w:after="0"/>
        <w:ind w:left="720" w:right="0" w:hanging="720"/>
        <w:rPr/>
      </w:pPr>
      <w:r>
        <w:rPr/>
      </w:r>
    </w:p>
    <w:p>
      <w:pPr>
        <w:pStyle w:val="Normal"/>
        <w:spacing w:before="0" w:after="0"/>
        <w:rPr>
          <w:sz w:val="4"/>
          <w:szCs w:val="4"/>
        </w:rPr>
      </w:pPr>
      <w:r>
        <w:rPr>
          <w:sz w:val="4"/>
          <w:szCs w:val="4"/>
        </w:rPr>
      </w:r>
      <w:bookmarkStart w:id="6" w:name="z7b591cee1cbf4b389d175b5d03e9bdc5"/>
      <w:bookmarkStart w:id="7" w:name="z7b591cee1cbf4b389d175b5d03e9bdc5"/>
      <w:bookmarkEnd w:id="7"/>
    </w:p>
    <w:tbl>
      <w:tblPr>
        <w:tblW w:w="8350" w:type="dxa"/>
        <w:jc w:val="left"/>
        <w:tblInd w:w="0" w:type="dxa"/>
        <w:tblCellMar>
          <w:top w:w="0" w:type="dxa"/>
          <w:left w:w="0" w:type="dxa"/>
          <w:bottom w:w="0" w:type="dxa"/>
          <w:right w:w="0" w:type="dxa"/>
        </w:tblCellMar>
      </w:tblPr>
      <w:tblGrid>
        <w:gridCol w:w="245"/>
        <w:gridCol w:w="8105"/>
      </w:tblGrid>
      <w:tr>
        <w:trPr/>
        <w:tc>
          <w:tcPr>
            <w:tcW w:w="245" w:type="dxa"/>
            <w:tcBorders/>
            <w:shd w:fill="auto" w:val="clear"/>
            <w:vAlign w:val="center"/>
          </w:tcPr>
          <w:p>
            <w:pPr>
              <w:pStyle w:val="TableContents"/>
              <w:spacing w:before="0" w:after="283"/>
              <w:rPr>
                <w:color w:val="000000"/>
              </w:rPr>
            </w:pPr>
            <w:r>
              <w:rPr>
                <w:color w:val="000000"/>
              </w:rPr>
              <w:t>☐</w:t>
            </w:r>
          </w:p>
        </w:tc>
        <w:tc>
          <w:tcPr>
            <w:tcW w:w="8105" w:type="dxa"/>
            <w:tcBorders/>
            <w:shd w:fill="auto" w:val="clear"/>
            <w:vAlign w:val="center"/>
          </w:tcPr>
          <w:p>
            <w:pPr>
              <w:pStyle w:val="TableContents"/>
              <w:spacing w:before="0" w:after="0"/>
              <w:rPr>
                <w:b/>
                <w:color w:val="000000"/>
              </w:rPr>
            </w:pPr>
            <w:r>
              <w:rPr>
                <w:b/>
                <w:color w:val="000000"/>
              </w:rPr>
              <w:t>Confidential, for Use of the Commission Only (as permitted by Rule 14a-6(e)(2))</w:t>
            </w:r>
          </w:p>
        </w:tc>
      </w:tr>
    </w:tbl>
    <w:p>
      <w:pPr>
        <w:pStyle w:val="TextBody"/>
        <w:spacing w:before="0" w:after="0"/>
        <w:ind w:left="720" w:right="0" w:hanging="720"/>
        <w:rPr/>
      </w:pPr>
      <w:r>
        <w:rPr/>
      </w:r>
    </w:p>
    <w:p>
      <w:pPr>
        <w:pStyle w:val="Normal"/>
        <w:spacing w:before="0" w:after="0"/>
        <w:rPr>
          <w:sz w:val="4"/>
          <w:szCs w:val="4"/>
        </w:rPr>
      </w:pPr>
      <w:r>
        <w:rPr>
          <w:sz w:val="4"/>
          <w:szCs w:val="4"/>
        </w:rPr>
      </w:r>
      <w:bookmarkStart w:id="8" w:name="z7036fa6bec1a44fca97046be1508fdea"/>
      <w:bookmarkStart w:id="9" w:name="z7036fa6bec1a44fca97046be1508fdea"/>
      <w:bookmarkEnd w:id="9"/>
    </w:p>
    <w:tbl>
      <w:tblPr>
        <w:tblW w:w="2845" w:type="dxa"/>
        <w:jc w:val="left"/>
        <w:tblInd w:w="0" w:type="dxa"/>
        <w:tblCellMar>
          <w:top w:w="0" w:type="dxa"/>
          <w:left w:w="0" w:type="dxa"/>
          <w:bottom w:w="0" w:type="dxa"/>
          <w:right w:w="0" w:type="dxa"/>
        </w:tblCellMar>
      </w:tblPr>
      <w:tblGrid>
        <w:gridCol w:w="245"/>
        <w:gridCol w:w="2600"/>
      </w:tblGrid>
      <w:tr>
        <w:trPr/>
        <w:tc>
          <w:tcPr>
            <w:tcW w:w="245" w:type="dxa"/>
            <w:tcBorders/>
            <w:shd w:fill="auto" w:val="clear"/>
            <w:vAlign w:val="center"/>
          </w:tcPr>
          <w:p>
            <w:pPr>
              <w:pStyle w:val="TableContents"/>
              <w:spacing w:before="0" w:after="283"/>
              <w:rPr>
                <w:color w:val="000000"/>
              </w:rPr>
            </w:pPr>
            <w:r>
              <w:rPr>
                <w:color w:val="000000"/>
              </w:rPr>
              <w:t>☐</w:t>
            </w:r>
          </w:p>
        </w:tc>
        <w:tc>
          <w:tcPr>
            <w:tcW w:w="2600" w:type="dxa"/>
            <w:tcBorders/>
            <w:shd w:fill="auto" w:val="clear"/>
            <w:vAlign w:val="center"/>
          </w:tcPr>
          <w:p>
            <w:pPr>
              <w:pStyle w:val="TableContents"/>
              <w:spacing w:before="0" w:after="0"/>
              <w:rPr>
                <w:color w:val="000000"/>
              </w:rPr>
            </w:pPr>
            <w:r>
              <w:rPr>
                <w:color w:val="000000"/>
              </w:rPr>
              <w:t>Definitive Proxy Statement</w:t>
            </w:r>
          </w:p>
        </w:tc>
      </w:tr>
    </w:tbl>
    <w:p>
      <w:pPr>
        <w:pStyle w:val="TextBody"/>
        <w:spacing w:before="0" w:after="0"/>
        <w:ind w:left="720" w:right="0" w:hanging="720"/>
        <w:rPr/>
      </w:pPr>
      <w:r>
        <w:rPr/>
      </w:r>
    </w:p>
    <w:p>
      <w:pPr>
        <w:pStyle w:val="Normal"/>
        <w:spacing w:before="0" w:after="0"/>
        <w:rPr>
          <w:sz w:val="4"/>
          <w:szCs w:val="4"/>
        </w:rPr>
      </w:pPr>
      <w:r>
        <w:rPr>
          <w:sz w:val="4"/>
          <w:szCs w:val="4"/>
        </w:rPr>
      </w:r>
      <w:bookmarkStart w:id="10" w:name="zd14da37b5b0d4bc9becb1398a30b7059"/>
      <w:bookmarkStart w:id="11" w:name="zd14da37b5b0d4bc9becb1398a30b7059"/>
      <w:bookmarkEnd w:id="11"/>
    </w:p>
    <w:tbl>
      <w:tblPr>
        <w:tblW w:w="3220" w:type="dxa"/>
        <w:jc w:val="left"/>
        <w:tblInd w:w="0" w:type="dxa"/>
        <w:tblCellMar>
          <w:top w:w="0" w:type="dxa"/>
          <w:left w:w="0" w:type="dxa"/>
          <w:bottom w:w="0" w:type="dxa"/>
          <w:right w:w="0" w:type="dxa"/>
        </w:tblCellMar>
      </w:tblPr>
      <w:tblGrid>
        <w:gridCol w:w="245"/>
        <w:gridCol w:w="2975"/>
      </w:tblGrid>
      <w:tr>
        <w:trPr/>
        <w:tc>
          <w:tcPr>
            <w:tcW w:w="245" w:type="dxa"/>
            <w:tcBorders/>
            <w:shd w:fill="auto" w:val="clear"/>
            <w:vAlign w:val="center"/>
          </w:tcPr>
          <w:p>
            <w:pPr>
              <w:pStyle w:val="TableContents"/>
              <w:spacing w:before="0" w:after="283"/>
              <w:rPr>
                <w:color w:val="000000"/>
              </w:rPr>
            </w:pPr>
            <w:r>
              <w:rPr>
                <w:color w:val="000000"/>
              </w:rPr>
              <w:t>☒</w:t>
            </w:r>
          </w:p>
        </w:tc>
        <w:tc>
          <w:tcPr>
            <w:tcW w:w="2975" w:type="dxa"/>
            <w:tcBorders/>
            <w:shd w:fill="auto" w:val="clear"/>
            <w:vAlign w:val="center"/>
          </w:tcPr>
          <w:p>
            <w:pPr>
              <w:pStyle w:val="TableContents"/>
              <w:spacing w:before="0" w:after="0"/>
              <w:rPr>
                <w:color w:val="000000"/>
              </w:rPr>
            </w:pPr>
            <w:r>
              <w:rPr>
                <w:color w:val="000000"/>
              </w:rPr>
              <w:t>Definitive Additional Materials</w:t>
            </w:r>
          </w:p>
        </w:tc>
      </w:tr>
    </w:tbl>
    <w:p>
      <w:pPr>
        <w:pStyle w:val="TextBody"/>
        <w:spacing w:before="0" w:after="0"/>
        <w:ind w:left="720" w:right="0" w:hanging="720"/>
        <w:rPr/>
      </w:pPr>
      <w:r>
        <w:rPr/>
      </w:r>
    </w:p>
    <w:p>
      <w:pPr>
        <w:pStyle w:val="Normal"/>
        <w:spacing w:before="0" w:after="0"/>
        <w:rPr>
          <w:sz w:val="4"/>
          <w:szCs w:val="4"/>
        </w:rPr>
      </w:pPr>
      <w:r>
        <w:rPr>
          <w:sz w:val="4"/>
          <w:szCs w:val="4"/>
        </w:rPr>
      </w:r>
      <w:bookmarkStart w:id="12" w:name="z15aa2d2a92094c81986bbce415282f67"/>
      <w:bookmarkStart w:id="13" w:name="z15aa2d2a92094c81986bbce415282f67"/>
      <w:bookmarkEnd w:id="13"/>
    </w:p>
    <w:tbl>
      <w:tblPr>
        <w:tblW w:w="4405" w:type="dxa"/>
        <w:jc w:val="left"/>
        <w:tblInd w:w="0" w:type="dxa"/>
        <w:tblCellMar>
          <w:top w:w="0" w:type="dxa"/>
          <w:left w:w="0" w:type="dxa"/>
          <w:bottom w:w="0" w:type="dxa"/>
          <w:right w:w="0" w:type="dxa"/>
        </w:tblCellMar>
      </w:tblPr>
      <w:tblGrid>
        <w:gridCol w:w="245"/>
        <w:gridCol w:w="4160"/>
      </w:tblGrid>
      <w:tr>
        <w:trPr/>
        <w:tc>
          <w:tcPr>
            <w:tcW w:w="245" w:type="dxa"/>
            <w:tcBorders/>
            <w:shd w:fill="auto" w:val="clear"/>
            <w:vAlign w:val="center"/>
          </w:tcPr>
          <w:p>
            <w:pPr>
              <w:pStyle w:val="TableContents"/>
              <w:spacing w:before="0" w:after="283"/>
              <w:rPr>
                <w:color w:val="000000"/>
              </w:rPr>
            </w:pPr>
            <w:r>
              <w:rPr>
                <w:color w:val="000000"/>
              </w:rPr>
              <w:t>☐</w:t>
            </w:r>
          </w:p>
        </w:tc>
        <w:tc>
          <w:tcPr>
            <w:tcW w:w="4160" w:type="dxa"/>
            <w:tcBorders/>
            <w:shd w:fill="auto" w:val="clear"/>
            <w:vAlign w:val="center"/>
          </w:tcPr>
          <w:p>
            <w:pPr>
              <w:pStyle w:val="TableContents"/>
              <w:spacing w:before="0" w:after="0"/>
              <w:rPr>
                <w:color w:val="000000"/>
              </w:rPr>
            </w:pPr>
            <w:r>
              <w:rPr>
                <w:color w:val="000000"/>
              </w:rPr>
              <w:t>Soliciting Material Pursuant to §240.14a-12</w:t>
            </w:r>
          </w:p>
        </w:tc>
      </w:tr>
    </w:tbl>
    <w:p>
      <w:pPr>
        <w:pStyle w:val="TextBody"/>
        <w:spacing w:before="0" w:after="0"/>
        <w:rPr/>
      </w:pPr>
      <w:r>
        <w:rPr/>
        <w:t> </w:t>
      </w:r>
    </w:p>
    <w:p>
      <w:pPr>
        <w:pStyle w:val="TextBody"/>
        <w:spacing w:before="0" w:after="0"/>
        <w:ind w:left="720" w:right="0" w:hanging="720"/>
        <w:jc w:val="center"/>
        <w:rPr>
          <w:b/>
          <w:sz w:val="48"/>
        </w:rPr>
      </w:pPr>
      <w:r>
        <w:rPr>
          <w:b/>
          <w:sz w:val="48"/>
        </w:rPr>
        <w:t>MAGNACHIP SEMICONDUCTOR CORPORATION</w:t>
      </w:r>
    </w:p>
    <w:p>
      <w:pPr>
        <w:pStyle w:val="TextBody"/>
        <w:spacing w:before="0" w:after="0"/>
        <w:jc w:val="center"/>
        <w:rPr>
          <w:b/>
        </w:rPr>
      </w:pPr>
      <w:r>
        <w:rPr>
          <w:b/>
        </w:rPr>
        <w:t>(Name of Registrant as Specified in its Charter)</w:t>
      </w:r>
    </w:p>
    <w:p>
      <w:pPr>
        <w:pStyle w:val="TextBody"/>
        <w:spacing w:before="0" w:after="0"/>
        <w:rPr/>
      </w:pPr>
      <w:r>
        <w:rPr/>
        <w:t> </w:t>
      </w:r>
    </w:p>
    <w:p>
      <w:pPr>
        <w:pStyle w:val="TextBody"/>
        <w:spacing w:before="0" w:after="0"/>
        <w:jc w:val="center"/>
        <w:rPr>
          <w:b/>
        </w:rPr>
      </w:pPr>
      <w:r>
        <w:rPr>
          <w:b/>
        </w:rPr>
        <w:t>Not applicable.</w:t>
      </w:r>
    </w:p>
    <w:p>
      <w:pPr>
        <w:pStyle w:val="TextBody"/>
        <w:spacing w:before="0" w:after="0"/>
        <w:jc w:val="center"/>
        <w:rPr>
          <w:b/>
        </w:rPr>
      </w:pPr>
      <w:r>
        <w:rPr>
          <w:b/>
        </w:rPr>
        <w:t>(Name of Person(s) Filing Proxy Statement, if other than the Registrant)</w:t>
      </w:r>
    </w:p>
    <w:p>
      <w:pPr>
        <w:pStyle w:val="TextBody"/>
        <w:spacing w:before="0" w:after="0"/>
        <w:rPr/>
      </w:pPr>
      <w:r>
        <w:rPr/>
      </w:r>
    </w:p>
    <w:p>
      <w:pPr>
        <w:pStyle w:val="TextBody"/>
        <w:spacing w:before="0" w:after="0"/>
        <w:rPr/>
      </w:pPr>
      <w:r>
        <w:rPr/>
        <w:t>Payment of Filing Fee (Check all boxes that apply):</w:t>
      </w:r>
    </w:p>
    <w:p>
      <w:pPr>
        <w:pStyle w:val="TextBody"/>
        <w:spacing w:before="0" w:after="0"/>
        <w:rPr/>
      </w:pPr>
      <w:r>
        <w:rPr/>
      </w:r>
    </w:p>
    <w:p>
      <w:pPr>
        <w:pStyle w:val="Normal"/>
        <w:spacing w:before="0" w:after="0"/>
        <w:rPr>
          <w:sz w:val="4"/>
          <w:szCs w:val="4"/>
        </w:rPr>
      </w:pPr>
      <w:r>
        <w:rPr>
          <w:sz w:val="4"/>
          <w:szCs w:val="4"/>
        </w:rPr>
      </w:r>
      <w:bookmarkStart w:id="14" w:name="zd95384dafae346488c2c2e02c08633b2"/>
      <w:bookmarkStart w:id="15" w:name="zd95384dafae346488c2c2e02c08633b2"/>
      <w:bookmarkEnd w:id="15"/>
    </w:p>
    <w:tbl>
      <w:tblPr>
        <w:tblW w:w="1825" w:type="dxa"/>
        <w:jc w:val="left"/>
        <w:tblInd w:w="0" w:type="dxa"/>
        <w:tblCellMar>
          <w:top w:w="0" w:type="dxa"/>
          <w:left w:w="0" w:type="dxa"/>
          <w:bottom w:w="0" w:type="dxa"/>
          <w:right w:w="0" w:type="dxa"/>
        </w:tblCellMar>
      </w:tblPr>
      <w:tblGrid>
        <w:gridCol w:w="245"/>
        <w:gridCol w:w="1580"/>
      </w:tblGrid>
      <w:tr>
        <w:trPr/>
        <w:tc>
          <w:tcPr>
            <w:tcW w:w="245" w:type="dxa"/>
            <w:tcBorders/>
            <w:shd w:fill="auto" w:val="clear"/>
            <w:vAlign w:val="center"/>
          </w:tcPr>
          <w:p>
            <w:pPr>
              <w:pStyle w:val="TableContents"/>
              <w:spacing w:before="0" w:after="283"/>
              <w:rPr>
                <w:color w:val="000000"/>
              </w:rPr>
            </w:pPr>
            <w:r>
              <w:rPr>
                <w:color w:val="000000"/>
              </w:rPr>
              <w:t>☒</w:t>
            </w:r>
          </w:p>
        </w:tc>
        <w:tc>
          <w:tcPr>
            <w:tcW w:w="1580" w:type="dxa"/>
            <w:tcBorders/>
            <w:shd w:fill="auto" w:val="clear"/>
            <w:vAlign w:val="center"/>
          </w:tcPr>
          <w:p>
            <w:pPr>
              <w:pStyle w:val="TableContents"/>
              <w:spacing w:before="0" w:after="0"/>
              <w:rPr>
                <w:color w:val="000000"/>
              </w:rPr>
            </w:pPr>
            <w:r>
              <w:rPr>
                <w:color w:val="000000"/>
              </w:rPr>
              <w:t>No fee required.</w:t>
            </w:r>
          </w:p>
        </w:tc>
      </w:tr>
    </w:tbl>
    <w:p>
      <w:pPr>
        <w:pStyle w:val="TextBody"/>
        <w:spacing w:before="0" w:after="0"/>
        <w:rPr/>
      </w:pPr>
      <w:r>
        <w:rPr/>
      </w:r>
    </w:p>
    <w:p>
      <w:pPr>
        <w:pStyle w:val="Normal"/>
        <w:spacing w:before="0" w:after="0"/>
        <w:rPr>
          <w:sz w:val="4"/>
          <w:szCs w:val="4"/>
        </w:rPr>
      </w:pPr>
      <w:r>
        <w:rPr>
          <w:sz w:val="4"/>
          <w:szCs w:val="4"/>
        </w:rPr>
      </w:r>
      <w:bookmarkStart w:id="16" w:name="zc6cf7d2a3aef4defb4c15cf19055bcbb"/>
      <w:bookmarkStart w:id="17" w:name="zc6cf7d2a3aef4defb4c15cf19055bcbb"/>
      <w:bookmarkEnd w:id="17"/>
    </w:p>
    <w:tbl>
      <w:tblPr>
        <w:tblW w:w="4720" w:type="dxa"/>
        <w:jc w:val="left"/>
        <w:tblInd w:w="0" w:type="dxa"/>
        <w:tblCellMar>
          <w:top w:w="0" w:type="dxa"/>
          <w:left w:w="0" w:type="dxa"/>
          <w:bottom w:w="0" w:type="dxa"/>
          <w:right w:w="0" w:type="dxa"/>
        </w:tblCellMar>
      </w:tblPr>
      <w:tblGrid>
        <w:gridCol w:w="245"/>
        <w:gridCol w:w="4475"/>
      </w:tblGrid>
      <w:tr>
        <w:trPr/>
        <w:tc>
          <w:tcPr>
            <w:tcW w:w="245" w:type="dxa"/>
            <w:tcBorders/>
            <w:shd w:fill="auto" w:val="clear"/>
            <w:vAlign w:val="center"/>
          </w:tcPr>
          <w:p>
            <w:pPr>
              <w:pStyle w:val="TableContents"/>
              <w:spacing w:before="0" w:after="283"/>
              <w:rPr>
                <w:color w:val="000000"/>
              </w:rPr>
            </w:pPr>
            <w:r>
              <w:rPr>
                <w:color w:val="000000"/>
              </w:rPr>
              <w:t>☐</w:t>
            </w:r>
          </w:p>
        </w:tc>
        <w:tc>
          <w:tcPr>
            <w:tcW w:w="4475" w:type="dxa"/>
            <w:tcBorders/>
            <w:shd w:fill="auto" w:val="clear"/>
            <w:vAlign w:val="center"/>
          </w:tcPr>
          <w:p>
            <w:pPr>
              <w:pStyle w:val="TableContents"/>
              <w:spacing w:before="0" w:after="0"/>
              <w:rPr>
                <w:color w:val="000000"/>
              </w:rPr>
            </w:pPr>
            <w:r>
              <w:rPr>
                <w:color w:val="000000"/>
              </w:rPr>
              <w:t>Fee paid previously with preliminary materials.</w:t>
            </w:r>
          </w:p>
        </w:tc>
      </w:tr>
    </w:tbl>
    <w:p>
      <w:pPr>
        <w:pStyle w:val="TextBody"/>
        <w:spacing w:before="0" w:after="0"/>
        <w:rPr/>
      </w:pPr>
      <w:r>
        <w:rPr/>
      </w:r>
    </w:p>
    <w:p>
      <w:pPr>
        <w:pStyle w:val="Normal"/>
        <w:spacing w:before="0" w:after="0"/>
        <w:rPr>
          <w:sz w:val="4"/>
          <w:szCs w:val="4"/>
        </w:rPr>
      </w:pPr>
      <w:r>
        <w:rPr>
          <w:sz w:val="4"/>
          <w:szCs w:val="4"/>
        </w:rPr>
      </w:r>
      <w:bookmarkStart w:id="18" w:name="zef0193eb7ae2460f975e8b5a565f52b1"/>
      <w:bookmarkStart w:id="19" w:name="zef0193eb7ae2460f975e8b5a565f52b1"/>
      <w:bookmarkEnd w:id="19"/>
    </w:p>
    <w:tbl>
      <w:tblPr>
        <w:tblW w:w="9970" w:type="dxa"/>
        <w:jc w:val="left"/>
        <w:tblInd w:w="0" w:type="dxa"/>
        <w:tblCellMar>
          <w:top w:w="0" w:type="dxa"/>
          <w:left w:w="0" w:type="dxa"/>
          <w:bottom w:w="0" w:type="dxa"/>
          <w:right w:w="0" w:type="dxa"/>
        </w:tblCellMar>
      </w:tblPr>
      <w:tblGrid>
        <w:gridCol w:w="245"/>
        <w:gridCol w:w="9725"/>
      </w:tblGrid>
      <w:tr>
        <w:trPr/>
        <w:tc>
          <w:tcPr>
            <w:tcW w:w="245" w:type="dxa"/>
            <w:tcBorders/>
            <w:shd w:fill="auto" w:val="clear"/>
            <w:vAlign w:val="center"/>
          </w:tcPr>
          <w:p>
            <w:pPr>
              <w:pStyle w:val="TableContents"/>
              <w:spacing w:before="0" w:after="283"/>
              <w:rPr>
                <w:color w:val="000000"/>
              </w:rPr>
            </w:pPr>
            <w:r>
              <w:rPr>
                <w:color w:val="000000"/>
              </w:rPr>
              <w:t>☐</w:t>
            </w:r>
          </w:p>
        </w:tc>
        <w:tc>
          <w:tcPr>
            <w:tcW w:w="9725" w:type="dxa"/>
            <w:tcBorders/>
            <w:shd w:fill="auto" w:val="clear"/>
            <w:vAlign w:val="center"/>
          </w:tcPr>
          <w:p>
            <w:pPr>
              <w:pStyle w:val="TableContents"/>
              <w:spacing w:before="0" w:after="0"/>
              <w:rPr>
                <w:color w:val="000000"/>
              </w:rPr>
            </w:pPr>
            <w:r>
              <w:rPr>
                <w:color w:val="000000"/>
              </w:rPr>
              <w:t>Fee computed on table in exhibit required by Item 25(b) per Exchange Act Rules 14a-6(i)(1) and 0-11.</w:t>
            </w:r>
          </w:p>
        </w:tc>
      </w:tr>
    </w:tbl>
    <w:p>
      <w:pPr>
        <w:pStyle w:val="TextBody"/>
        <w:spacing w:before="0" w:after="0"/>
        <w:ind w:left="540" w:right="0" w:hanging="540"/>
        <w:rPr/>
      </w:pPr>
      <w:r>
        <w:rPr/>
      </w:r>
    </w:p>
    <w:p>
      <w:pPr>
        <w:pStyle w:val="HorizontalLine"/>
        <w:rPr/>
      </w:pPr>
      <w:r>
        <w:rPr/>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26860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619125"/>
                    </a:xfrm>
                    <a:prstGeom prst="rect">
                      <a:avLst/>
                    </a:prstGeom>
                  </pic:spPr>
                </pic:pic>
              </a:graphicData>
            </a:graphic>
          </wp:inline>
        </w:drawing>
      </w:r>
    </w:p>
    <w:p>
      <w:pPr>
        <w:pStyle w:val="TextBody"/>
        <w:spacing w:before="0" w:after="0"/>
        <w:rPr/>
      </w:pPr>
      <w:r>
        <w:rPr/>
      </w:r>
    </w:p>
    <w:p>
      <w:pPr>
        <w:pStyle w:val="TextBody"/>
        <w:spacing w:before="0" w:after="0"/>
        <w:jc w:val="center"/>
        <w:rPr>
          <w:b/>
        </w:rPr>
      </w:pPr>
      <w:r>
        <w:rPr>
          <w:b/>
        </w:rPr>
        <w:t xml:space="preserve">c/o </w:t>
      </w:r>
      <w:r>
        <w:rPr>
          <w:b/>
          <w:color w:val="000000"/>
        </w:rPr>
        <w:t>Magnachip Semiconductor, Ltd.</w:t>
      </w:r>
    </w:p>
    <w:p>
      <w:pPr>
        <w:pStyle w:val="TextBody"/>
        <w:spacing w:before="0" w:after="0"/>
        <w:jc w:val="center"/>
        <w:rPr>
          <w:b/>
          <w:color w:val="000000"/>
        </w:rPr>
      </w:pPr>
      <w:r>
        <w:rPr>
          <w:b/>
          <w:color w:val="000000"/>
        </w:rPr>
        <w:t>15F, 76 Jikji-daero 436beon-gil, Heungdeok-gu</w:t>
      </w:r>
    </w:p>
    <w:p>
      <w:pPr>
        <w:pStyle w:val="TextBody"/>
        <w:spacing w:before="0" w:after="0"/>
        <w:jc w:val="center"/>
        <w:rPr>
          <w:b/>
          <w:color w:val="000000"/>
        </w:rPr>
      </w:pPr>
      <w:r>
        <w:rPr>
          <w:b/>
          <w:color w:val="000000"/>
        </w:rPr>
        <w:t>Cheongju-si, Chungcheongbuk-do, Republic of Korea 28581</w:t>
      </w:r>
    </w:p>
    <w:p>
      <w:pPr>
        <w:pStyle w:val="TextBody"/>
        <w:spacing w:before="0" w:after="0"/>
        <w:rPr/>
      </w:pPr>
      <w:r>
        <w:rPr/>
        <w:t> </w:t>
      </w:r>
    </w:p>
    <w:p>
      <w:pPr>
        <w:pStyle w:val="TextBody"/>
        <w:spacing w:before="0" w:after="0"/>
        <w:jc w:val="center"/>
        <w:rPr>
          <w:b/>
        </w:rPr>
      </w:pPr>
      <w:r>
        <w:rPr>
          <w:b/>
        </w:rPr>
        <w:t>SUPPLEMENT TO PROXY STATEMENT</w:t>
      </w:r>
    </w:p>
    <w:p>
      <w:pPr>
        <w:pStyle w:val="TextBody"/>
        <w:spacing w:before="0" w:after="0"/>
        <w:jc w:val="center"/>
        <w:rPr>
          <w:b/>
        </w:rPr>
      </w:pPr>
      <w:r>
        <w:rPr>
          <w:b/>
        </w:rPr>
        <w:t>FOR ANNUAL MEETING OF SHAREHOLDERS</w:t>
      </w:r>
    </w:p>
    <w:p>
      <w:pPr>
        <w:pStyle w:val="TextBody"/>
        <w:spacing w:before="0" w:after="0"/>
        <w:jc w:val="center"/>
        <w:rPr>
          <w:b/>
        </w:rPr>
      </w:pPr>
      <w:r>
        <w:rPr>
          <w:b/>
        </w:rPr>
        <w:t>TO BE HELD ON MAY 18, 2023</w:t>
      </w:r>
    </w:p>
    <w:p>
      <w:pPr>
        <w:pStyle w:val="TextBody"/>
        <w:spacing w:before="0" w:after="0"/>
        <w:rPr/>
      </w:pPr>
      <w:r>
        <w:rPr/>
        <w:t> </w:t>
      </w:r>
    </w:p>
    <w:p>
      <w:pPr>
        <w:pStyle w:val="TextBody"/>
        <w:spacing w:before="0" w:after="0"/>
        <w:jc w:val="center"/>
        <w:rPr>
          <w:b/>
        </w:rPr>
      </w:pPr>
      <w:r>
        <w:rPr>
          <w:b/>
        </w:rPr>
        <w:t>May 1, 2023</w:t>
      </w:r>
    </w:p>
    <w:p>
      <w:pPr>
        <w:pStyle w:val="TextBody"/>
        <w:spacing w:before="0" w:after="0"/>
        <w:rPr/>
      </w:pPr>
      <w:r>
        <w:rPr/>
        <w:t> </w:t>
      </w:r>
    </w:p>
    <w:p>
      <w:pPr>
        <w:pStyle w:val="TextBody"/>
        <w:spacing w:before="0" w:after="0"/>
        <w:ind w:left="0" w:right="0" w:firstLine="490"/>
        <w:jc w:val="both"/>
        <w:rPr/>
      </w:pPr>
      <w:r>
        <w:rPr/>
        <w:t xml:space="preserve">On April 17, 2023, Magnachip Semiconductor Corporation (“Magnachip”) filed a definitive proxy statement (the “Proxy Statement”) relating to its 2023 Annual Meeting of Shareholders (the “Annual Meeting”) to be held at 8:00 p.m. Eastern Daylight Time on Thursday, May 18, 2023, via live interactive webcast on the Internet at </w:t>
      </w:r>
      <w:r>
        <w:rPr>
          <w:i/>
          <w:color w:val="000000"/>
        </w:rPr>
        <w:t xml:space="preserve">www.virtualshareholdermeeting.com/MX2023. </w:t>
      </w:r>
      <w:r>
        <w:rPr/>
        <w:t>This supplement (this “Supplement”) to the Proxy Statement supplements the Proxy Statement as filed and should be read in conjunction with the Proxy Statement. The information contained in this Supplement to the Proxy Statement modifies or supersedes any inconsistent information contained in the Proxy Statement.</w:t>
      </w:r>
    </w:p>
    <w:p>
      <w:pPr>
        <w:pStyle w:val="TextBody"/>
        <w:spacing w:before="0" w:after="0"/>
        <w:rPr/>
      </w:pPr>
      <w:r>
        <w:rPr/>
        <w:t> </w:t>
      </w:r>
    </w:p>
    <w:p>
      <w:pPr>
        <w:pStyle w:val="TextBody"/>
        <w:spacing w:before="0" w:after="0"/>
        <w:ind w:left="0" w:right="0" w:firstLine="490"/>
        <w:jc w:val="both"/>
        <w:rPr/>
      </w:pPr>
      <w:r>
        <w:rPr/>
        <w:t>Proposal 4 of the Proxy Statement requests that Magnachip shareholders approve an amended and restated 2020 Equity and Incentive Compensation Plan (the “Plan”). This Supplement provides shareholders with the following additional information regarding Proposal 4:</w:t>
      </w:r>
    </w:p>
    <w:p>
      <w:pPr>
        <w:pStyle w:val="TextBody"/>
        <w:spacing w:before="0" w:after="0"/>
        <w:rPr/>
      </w:pPr>
      <w:r>
        <w:rPr/>
        <w:t> </w:t>
      </w:r>
    </w:p>
    <w:p>
      <w:pPr>
        <w:pStyle w:val="Normal"/>
        <w:spacing w:before="0" w:after="0"/>
        <w:rPr>
          <w:sz w:val="4"/>
          <w:szCs w:val="4"/>
        </w:rPr>
      </w:pPr>
      <w:r>
        <w:rPr>
          <w:sz w:val="4"/>
          <w:szCs w:val="4"/>
        </w:rPr>
      </w:r>
      <w:bookmarkStart w:id="20" w:name="z2fd2bfff8288426d9752eac25a3f53f8"/>
      <w:bookmarkStart w:id="21" w:name="z2fd2bfff8288426d9752eac25a3f53f8"/>
      <w:bookmarkEnd w:id="2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As of April 6, 2023, the record date for the Annual Meeting, there were stock options to acquire 1,106,158 shares of common stock outstanding under our equity compensation plans, with a weighted average exercise price of $10.50 and a weighted average remaining term of 2.05 years.</w:t>
            </w:r>
          </w:p>
        </w:tc>
      </w:tr>
    </w:tbl>
    <w:p>
      <w:pPr>
        <w:pStyle w:val="TextBody"/>
        <w:spacing w:before="0" w:after="0"/>
        <w:rPr/>
      </w:pPr>
      <w:r>
        <w:rPr/>
        <w:t> </w:t>
      </w:r>
    </w:p>
    <w:p>
      <w:pPr>
        <w:pStyle w:val="Normal"/>
        <w:spacing w:before="0" w:after="0"/>
        <w:rPr>
          <w:sz w:val="4"/>
          <w:szCs w:val="4"/>
        </w:rPr>
      </w:pPr>
      <w:r>
        <w:rPr>
          <w:sz w:val="4"/>
          <w:szCs w:val="4"/>
        </w:rPr>
      </w:r>
      <w:bookmarkStart w:id="22" w:name="zb84239e61c73483ea02b539072b67623"/>
      <w:bookmarkStart w:id="23" w:name="zb84239e61c73483ea02b539072b67623"/>
      <w:bookmarkEnd w:id="2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In addition, as of April 6, 2023, there were 1,860,650 unvested full value awards outstanding under the Plan (both time-based vesting and performance-based vesting awards, with the performance-based vesting awards counted at target level). If the performance-based vesting awards are counted at maximum level of achievement, then there are 2,241,480 unvested full value awards outstanding under the Plan. The weighted average grant value of the unvested full value awards is $11.72.</w:t>
            </w:r>
          </w:p>
        </w:tc>
      </w:tr>
    </w:tbl>
    <w:p>
      <w:pPr>
        <w:pStyle w:val="TextBody"/>
        <w:spacing w:before="0" w:after="0"/>
        <w:rPr/>
      </w:pPr>
      <w:r>
        <w:rPr/>
        <w:t> </w:t>
      </w:r>
    </w:p>
    <w:p>
      <w:pPr>
        <w:pStyle w:val="Normal"/>
        <w:spacing w:before="0" w:after="0"/>
        <w:rPr>
          <w:sz w:val="4"/>
          <w:szCs w:val="4"/>
        </w:rPr>
      </w:pPr>
      <w:r>
        <w:rPr>
          <w:sz w:val="4"/>
          <w:szCs w:val="4"/>
        </w:rPr>
      </w:r>
      <w:bookmarkStart w:id="24" w:name="ze36daa872647472490bb2b8994fb8578"/>
      <w:bookmarkStart w:id="25" w:name="ze36daa872647472490bb2b8994fb8578"/>
      <w:bookmarkEnd w:id="2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Other than the foregoing, no awards were outstanding under our equity compensation plans as of April 6, 2023.</w:t>
            </w:r>
          </w:p>
        </w:tc>
      </w:tr>
    </w:tbl>
    <w:p>
      <w:pPr>
        <w:pStyle w:val="TextBody"/>
        <w:spacing w:before="0" w:after="0"/>
        <w:rPr/>
      </w:pPr>
      <w:r>
        <w:rPr/>
        <w:t> </w:t>
      </w:r>
    </w:p>
    <w:p>
      <w:pPr>
        <w:pStyle w:val="Normal"/>
        <w:spacing w:before="0" w:after="0"/>
        <w:rPr>
          <w:sz w:val="4"/>
          <w:szCs w:val="4"/>
        </w:rPr>
      </w:pPr>
      <w:r>
        <w:rPr>
          <w:sz w:val="4"/>
          <w:szCs w:val="4"/>
        </w:rPr>
      </w:r>
      <w:bookmarkStart w:id="26" w:name="z7ae3dfd535a94ee4ac26bcf8c8c3b8e9"/>
      <w:bookmarkStart w:id="27" w:name="z7ae3dfd535a94ee4ac26bcf8c8c3b8e9"/>
      <w:bookmarkEnd w:id="2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As of April 6, 2023, there were 601,536 shares of common stock available for awards under the Plan and we are requesting an additional 1,990,000 shares in this Proposal 4.  There is no fungible ratio in our Plan.</w:t>
            </w:r>
          </w:p>
        </w:tc>
      </w:tr>
    </w:tbl>
    <w:p>
      <w:pPr>
        <w:pStyle w:val="TextBody"/>
        <w:spacing w:before="0" w:after="0"/>
        <w:rPr/>
      </w:pPr>
      <w:r>
        <w:rPr/>
        <w:t> </w:t>
      </w:r>
    </w:p>
    <w:p>
      <w:pPr>
        <w:pStyle w:val="Normal"/>
        <w:spacing w:before="0" w:after="0"/>
        <w:rPr>
          <w:sz w:val="4"/>
          <w:szCs w:val="4"/>
        </w:rPr>
      </w:pPr>
      <w:r>
        <w:rPr>
          <w:sz w:val="4"/>
          <w:szCs w:val="4"/>
        </w:rPr>
      </w:r>
      <w:bookmarkStart w:id="28" w:name="z4c9af85c93db4b87b74da1a24ac99d42"/>
      <w:bookmarkStart w:id="29" w:name="z4c9af85c93db4b87b74da1a24ac99d42"/>
      <w:bookmarkEnd w:id="29"/>
    </w:p>
    <w:tbl>
      <w:tblPr>
        <w:tblW w:w="8178" w:type="dxa"/>
        <w:jc w:val="left"/>
        <w:tblInd w:w="0" w:type="dxa"/>
        <w:tblCellMar>
          <w:top w:w="0" w:type="dxa"/>
          <w:left w:w="0" w:type="dxa"/>
          <w:bottom w:w="0" w:type="dxa"/>
          <w:right w:w="0" w:type="dxa"/>
        </w:tblCellMar>
      </w:tblPr>
      <w:tblGrid>
        <w:gridCol w:w="38"/>
        <w:gridCol w:w="110"/>
        <w:gridCol w:w="80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030" w:type="dxa"/>
            <w:tcBorders/>
            <w:shd w:fill="auto" w:val="clear"/>
            <w:vAlign w:val="center"/>
          </w:tcPr>
          <w:p>
            <w:pPr>
              <w:pStyle w:val="TableContents"/>
              <w:spacing w:before="0" w:after="0"/>
              <w:jc w:val="both"/>
              <w:rPr/>
            </w:pPr>
            <w:r>
              <w:rPr/>
              <w:t>There were 42,514,556 shares of our common stock outstanding as of April 6, 2023.</w:t>
            </w:r>
          </w:p>
        </w:tc>
      </w:tr>
    </w:tbl>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490"/>
        <w:jc w:val="both"/>
        <w:rPr>
          <w:b/>
        </w:rPr>
      </w:pPr>
      <w:r>
        <w:rPr>
          <w:b/>
        </w:rPr>
        <w:t>OUR BOARD OF DIRECTORS RECOMMENDS A VOTE “FOR” PROPOSAL 4 - APPROVAL OF OUR AMENDED AND RESTATED 2020 EQUITY AND INCENTIVE COMPENSATION PLAN.</w:t>
      </w:r>
    </w:p>
    <w:p>
      <w:pPr>
        <w:pStyle w:val="TextBody"/>
        <w:spacing w:before="0" w:after="0"/>
        <w:rPr/>
      </w:pPr>
      <w:r>
        <w:rPr/>
        <w:t> </w:t>
      </w:r>
    </w:p>
    <w:p>
      <w:pPr>
        <w:pStyle w:val="TextBody"/>
        <w:spacing w:before="0" w:after="0"/>
        <w:ind w:left="0" w:right="0" w:firstLine="490"/>
        <w:jc w:val="both"/>
        <w:rPr/>
      </w:pPr>
      <w:r>
        <w:rPr/>
        <w:t>If you have already submitted your proxy or instructed your broker, bank or other agent how to vote your shares, you do not need to take any action unless you wish to change your vote. Proxies already returned by shareholders will remain valid and common stock represented thereby will be voted at the meeting in accordance with your instructions unless revoked. A stockholder may revoke a proxy and change his, her or its vote at any time before it is voted at the Annual Meeting by (1) delivering a proxy revocation or another duly executed proxy bearing a later date to Magnachip Semiconductor Corporation, c/o Magnachip Semiconductor, Ltd., 15F, 76 Jikji-daero 436beon-gil, Heungdeok-gu, Cheongju-si, Chungcheongbuk-do, Republic of Korea 28581, Attention: Secretary, which revocation or later-dated proxy is received by us prior to the close of business on May 17, 2023; (2) voting again by telephone or Internet in the manner described above prior to 11:59 p.m., Eastern Daylight Time, on May 17, 2023; or (3) attending the Annual Meeting and voting via the Internet during the meeting using the procedures described at www.virtualshareholdermeeting.com/MX2023. Attending the Annual Meeting via the Internet will not revoke a 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pStyle w:val="TextBody"/>
        <w:spacing w:before="0" w:after="0"/>
        <w:rPr/>
      </w:pPr>
      <w:r>
        <w:rPr/>
        <w:t> </w:t>
      </w:r>
    </w:p>
    <w:p>
      <w:pPr>
        <w:pStyle w:val="TextBody"/>
        <w:spacing w:before="0" w:after="0"/>
        <w:ind w:left="0" w:right="0" w:firstLine="490"/>
        <w:jc w:val="both"/>
        <w:rPr>
          <w:b/>
        </w:rPr>
      </w:pPr>
      <w:r>
        <w:rPr>
          <w:b/>
        </w:rPr>
        <w:t>SHAREHOLDERS ARE STRONGLY ADVISED TO READ THE PROXY STATEMENT AND ANY OTHER RELEVANT SOLICITATION MATERIALS FILED BY MAGNACHIP WITH THE SECURITIES AND EXCHANGE COMMISSION BEFORE MAKING ANY VOTING DECISION BECAUSE THESE DOCUMENTS CONTAIN IMPORTANT INFORMATION.</w:t>
      </w:r>
    </w:p>
    <w:p>
      <w:pPr>
        <w:pStyle w:val="TextBody"/>
        <w:spacing w:before="0" w:after="0"/>
        <w:jc w:val="both"/>
        <w:rPr>
          <w:b/>
        </w:rPr>
      </w:pPr>
      <w:r>
        <w:rPr>
          <w:b/>
        </w:rPr>
      </w:r>
    </w:p>
    <w:p>
      <w:pPr>
        <w:pStyle w:val="TextBody"/>
        <w:spacing w:before="0" w:after="0"/>
        <w:jc w:val="both"/>
        <w:rPr>
          <w:b/>
        </w:rPr>
      </w:pPr>
      <w:r>
        <w:rPr>
          <w:b/>
        </w:rPr>
      </w:r>
    </w:p>
    <w:p>
      <w:pPr>
        <w:pStyle w:val="HorizontalLine"/>
        <w:pBdr>
          <w:bottom w:val="single" w:sz="20"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803</Words>
  <CharactersWithSpaces>5224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