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Avenue Special Situations Fund IV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331" w:lineRule="auto"/>
        <w:rPr>
          <w:sz w:val="20"/>
          <w:szCs w:val="20"/>
          <w:color w:val="auto"/>
        </w:rPr>
      </w:pPr>
      <w:r>
        <w:rPr>
          <w:rFonts w:ascii="Arial" w:cs="Arial" w:eastAsia="Arial" w:hAnsi="Arial"/>
          <w:sz w:val="18"/>
          <w:szCs w:val="18"/>
          <w:color w:val="0000FF"/>
        </w:rPr>
        <w:t>C/O AVENUE CAPITAL MANAGEMENT II, L.P. 399 PARK AVENUE, 6TH FLOOR</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4"/>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70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MX </w:t>
              </w:r>
              <w:r>
                <w:rPr>
                  <w:rFonts w:ascii="Arial" w:cs="Arial" w:eastAsia="Arial" w:hAnsi="Arial"/>
                  <w:sz w:val="3"/>
                  <w:szCs w:val="3"/>
                  <w:color w:val="000000"/>
                </w:rPr>
                <w:t>]</w:t>
              </w:r>
            </w:hyperlink>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line="27" w:lineRule="exact"/>
              <w:rPr>
                <w:sz w:val="20"/>
                <w:szCs w:val="20"/>
                <w:color w:val="auto"/>
              </w:rPr>
            </w:pPr>
            <w:r>
              <w:rPr>
                <w:rFonts w:ascii="Arial" w:cs="Arial" w:eastAsia="Arial" w:hAnsi="Arial"/>
                <w:sz w:val="3"/>
                <w:szCs w:val="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380" w:type="dxa"/>
            <w:vAlign w:val="bottom"/>
          </w:tcPr>
          <w:p>
            <w:pPr>
              <w:spacing w:after="0"/>
              <w:rPr>
                <w:sz w:val="11"/>
                <w:szCs w:val="11"/>
                <w:color w:val="auto"/>
              </w:rPr>
            </w:pPr>
          </w:p>
        </w:tc>
        <w:tc>
          <w:tcPr>
            <w:tcW w:w="1280" w:type="dxa"/>
            <w:vAlign w:val="bottom"/>
          </w:tcPr>
          <w:p>
            <w:pPr>
              <w:ind w:left="12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02/08/2013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5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220" w:type="dxa"/>
            <w:vAlign w:val="bottom"/>
            <w:tcBorders>
              <w:bottom w:val="single" w:sz="8" w:color="2C2C2C"/>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4"/>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7"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60" w:type="dxa"/>
            <w:vAlign w:val="bottom"/>
          </w:tcPr>
          <w:p>
            <w:pPr>
              <w:spacing w:after="0"/>
              <w:rPr>
                <w:sz w:val="14"/>
                <w:szCs w:val="14"/>
                <w:color w:val="auto"/>
              </w:rPr>
            </w:pPr>
          </w:p>
        </w:tc>
        <w:tc>
          <w:tcPr>
            <w:tcW w:w="1340" w:type="dxa"/>
            <w:vAlign w:val="bottom"/>
            <w:gridSpan w:val="3"/>
          </w:tcPr>
          <w:p>
            <w:pPr>
              <w:ind w:left="340"/>
              <w:spacing w:after="0"/>
              <w:rPr>
                <w:sz w:val="20"/>
                <w:szCs w:val="20"/>
                <w:color w:val="auto"/>
              </w:rPr>
            </w:pPr>
            <w:r>
              <w:rPr>
                <w:rFonts w:ascii="Arial" w:cs="Arial" w:eastAsia="Arial" w:hAnsi="Arial"/>
                <w:sz w:val="12"/>
                <w:szCs w:val="12"/>
                <w:b w:val="1"/>
                <w:bCs w:val="1"/>
                <w:color w:val="auto"/>
              </w:rPr>
              <w:t>2. Transaction</w:t>
            </w:r>
          </w:p>
        </w:tc>
        <w:tc>
          <w:tcPr>
            <w:tcW w:w="1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3"/>
          </w:tcPr>
          <w:p>
            <w:pPr>
              <w:ind w:left="3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spacing w:after="0"/>
              <w:rPr>
                <w:sz w:val="11"/>
                <w:szCs w:val="11"/>
                <w:color w:val="auto"/>
              </w:rPr>
            </w:pPr>
          </w:p>
        </w:tc>
        <w:tc>
          <w:tcPr>
            <w:tcW w:w="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 $0.01 par value</w:t>
            </w:r>
          </w:p>
        </w:tc>
        <w:tc>
          <w:tcPr>
            <w:tcW w:w="1600" w:type="dxa"/>
            <w:vAlign w:val="bottom"/>
            <w:tcBorders>
              <w:bottom w:val="single" w:sz="8" w:color="2C2C2C"/>
            </w:tcBorders>
            <w:gridSpan w:val="4"/>
          </w:tcPr>
          <w:p>
            <w:pPr>
              <w:ind w:left="700"/>
              <w:spacing w:after="0"/>
              <w:rPr>
                <w:sz w:val="20"/>
                <w:szCs w:val="20"/>
                <w:color w:val="auto"/>
              </w:rPr>
            </w:pPr>
            <w:r>
              <w:rPr>
                <w:rFonts w:ascii="Arial" w:cs="Arial" w:eastAsia="Arial" w:hAnsi="Arial"/>
                <w:sz w:val="18"/>
                <w:szCs w:val="18"/>
                <w:color w:val="0000FF"/>
                <w:w w:val="97"/>
              </w:rPr>
              <w:t>02/08/2013</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2,376,656</w:t>
            </w:r>
          </w:p>
        </w:tc>
        <w:tc>
          <w:tcPr>
            <w:tcW w:w="3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(7)</w:t>
            </w:r>
          </w:p>
        </w:tc>
        <w:tc>
          <w:tcPr>
            <w:tcW w:w="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8"/>
                <w:szCs w:val="18"/>
                <w:color w:val="0000FF"/>
                <w:w w:val="85"/>
              </w:rPr>
              <w:t>1,899,118</w:t>
            </w:r>
            <w:r>
              <w:rPr>
                <w:rFonts w:ascii="Arial" w:cs="Arial" w:eastAsia="Arial" w:hAnsi="Arial"/>
                <w:sz w:val="22"/>
                <w:szCs w:val="22"/>
                <w:color w:val="008000"/>
                <w:w w:val="85"/>
                <w:vertAlign w:val="superscript"/>
              </w:rPr>
              <w:t>(1)</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 $0.01 par value</w:t>
            </w:r>
          </w:p>
        </w:tc>
        <w:tc>
          <w:tcPr>
            <w:tcW w:w="1600" w:type="dxa"/>
            <w:vAlign w:val="bottom"/>
            <w:tcBorders>
              <w:bottom w:val="single" w:sz="8" w:color="2C2C2C"/>
            </w:tcBorders>
            <w:gridSpan w:val="4"/>
          </w:tcPr>
          <w:p>
            <w:pPr>
              <w:ind w:left="700"/>
              <w:spacing w:after="0"/>
              <w:rPr>
                <w:sz w:val="20"/>
                <w:szCs w:val="20"/>
                <w:color w:val="auto"/>
              </w:rPr>
            </w:pPr>
            <w:r>
              <w:rPr>
                <w:rFonts w:ascii="Arial" w:cs="Arial" w:eastAsia="Arial" w:hAnsi="Arial"/>
                <w:sz w:val="18"/>
                <w:szCs w:val="18"/>
                <w:color w:val="0000FF"/>
                <w:w w:val="97"/>
              </w:rPr>
              <w:t>02/08/2013</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2,966,439</w:t>
            </w:r>
          </w:p>
        </w:tc>
        <w:tc>
          <w:tcPr>
            <w:tcW w:w="3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(7)</w:t>
            </w:r>
          </w:p>
        </w:tc>
        <w:tc>
          <w:tcPr>
            <w:tcW w:w="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8"/>
                <w:szCs w:val="18"/>
                <w:color w:val="0000FF"/>
                <w:w w:val="85"/>
              </w:rPr>
              <w:t>2,370,398</w:t>
            </w:r>
            <w:r>
              <w:rPr>
                <w:rFonts w:ascii="Arial" w:cs="Arial" w:eastAsia="Arial" w:hAnsi="Arial"/>
                <w:sz w:val="22"/>
                <w:szCs w:val="22"/>
                <w:color w:val="008000"/>
                <w:w w:val="85"/>
                <w:vertAlign w:val="superscript"/>
              </w:rPr>
              <w:t>(1)</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 $0.01 par value</w:t>
            </w:r>
          </w:p>
        </w:tc>
        <w:tc>
          <w:tcPr>
            <w:tcW w:w="1600" w:type="dxa"/>
            <w:vAlign w:val="bottom"/>
            <w:tcBorders>
              <w:bottom w:val="single" w:sz="8" w:color="2C2C2C"/>
            </w:tcBorders>
            <w:gridSpan w:val="4"/>
          </w:tcPr>
          <w:p>
            <w:pPr>
              <w:ind w:left="700"/>
              <w:spacing w:after="0"/>
              <w:rPr>
                <w:sz w:val="20"/>
                <w:szCs w:val="20"/>
                <w:color w:val="auto"/>
              </w:rPr>
            </w:pPr>
            <w:r>
              <w:rPr>
                <w:rFonts w:ascii="Arial" w:cs="Arial" w:eastAsia="Arial" w:hAnsi="Arial"/>
                <w:sz w:val="18"/>
                <w:szCs w:val="18"/>
                <w:color w:val="0000FF"/>
                <w:w w:val="97"/>
              </w:rPr>
              <w:t>02/08/2013</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center"/>
              <w:ind w:left="70"/>
              <w:spacing w:after="0"/>
              <w:rPr>
                <w:sz w:val="20"/>
                <w:szCs w:val="20"/>
                <w:color w:val="auto"/>
              </w:rPr>
            </w:pPr>
            <w:r>
              <w:rPr>
                <w:rFonts w:ascii="Arial" w:cs="Arial" w:eastAsia="Arial" w:hAnsi="Arial"/>
                <w:sz w:val="18"/>
                <w:szCs w:val="18"/>
                <w:color w:val="0000FF"/>
                <w:w w:val="89"/>
              </w:rPr>
              <w:t>406,905</w:t>
            </w: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(7)</w:t>
            </w:r>
          </w:p>
        </w:tc>
        <w:tc>
          <w:tcPr>
            <w:tcW w:w="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center"/>
              <w:ind w:left="44"/>
              <w:spacing w:after="0"/>
              <w:rPr>
                <w:sz w:val="20"/>
                <w:szCs w:val="20"/>
                <w:color w:val="auto"/>
              </w:rPr>
            </w:pPr>
            <w:r>
              <w:rPr>
                <w:rFonts w:ascii="Arial" w:cs="Arial" w:eastAsia="Arial" w:hAnsi="Arial"/>
                <w:sz w:val="18"/>
                <w:szCs w:val="18"/>
                <w:color w:val="0000FF"/>
                <w:w w:val="84"/>
              </w:rPr>
              <w:t>325,146</w:t>
            </w:r>
            <w:r>
              <w:rPr>
                <w:rFonts w:ascii="Arial" w:cs="Arial" w:eastAsia="Arial" w:hAnsi="Arial"/>
                <w:sz w:val="22"/>
                <w:szCs w:val="22"/>
                <w:color w:val="008000"/>
                <w:w w:val="84"/>
                <w:vertAlign w:val="superscript"/>
              </w:rPr>
              <w:t>(1)</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gridSpan w:val="3"/>
            <w:vMerge w:val="restart"/>
          </w:tcPr>
          <w:p>
            <w:pPr>
              <w:jc w:val="center"/>
              <w:ind w:left="44"/>
              <w:spacing w:after="0"/>
              <w:rPr>
                <w:sz w:val="20"/>
                <w:szCs w:val="20"/>
                <w:color w:val="auto"/>
              </w:rPr>
            </w:pPr>
            <w:r>
              <w:rPr>
                <w:rFonts w:ascii="Arial" w:cs="Arial" w:eastAsia="Arial" w:hAnsi="Arial"/>
                <w:sz w:val="18"/>
                <w:szCs w:val="18"/>
                <w:color w:val="0000FF"/>
                <w:w w:val="87"/>
              </w:rPr>
              <w:t>2,166,652</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gridSpan w:val="3"/>
            <w:vMerge w:val="restart"/>
          </w:tcPr>
          <w:p>
            <w:pPr>
              <w:jc w:val="center"/>
              <w:ind w:left="24"/>
              <w:spacing w:after="0"/>
              <w:rPr>
                <w:sz w:val="20"/>
                <w:szCs w:val="20"/>
                <w:color w:val="auto"/>
              </w:rPr>
            </w:pPr>
            <w:r>
              <w:rPr>
                <w:rFonts w:ascii="Arial" w:cs="Arial" w:eastAsia="Arial" w:hAnsi="Arial"/>
                <w:sz w:val="18"/>
                <w:szCs w:val="18"/>
                <w:color w:val="0000FF"/>
                <w:w w:val="86"/>
              </w:rPr>
              <w:t>722,264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(6)</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0" w:type="dxa"/>
            <w:vAlign w:val="bottom"/>
            <w:gridSpan w:val="15"/>
          </w:tcPr>
          <w:p>
            <w:pPr>
              <w:ind w:left="3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Avenue Special Situations Fund IV LP</w:t>
              </w:r>
            </w:hyperlink>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7"/>
              </w:rPr>
              <w:t>C/O AVENUE CAPITAL MANAGEMENT II, L.P.</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0000FF"/>
                <w:w w:val="94"/>
              </w:rPr>
              <w:t>399 PARK AVENUE, 6TH FLOOR</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1120" w:type="dxa"/>
            <w:vAlign w:val="bottom"/>
            <w:gridSpan w:val="3"/>
          </w:tcPr>
          <w:p>
            <w:pPr>
              <w:ind w:left="300"/>
              <w:spacing w:after="0"/>
              <w:rPr>
                <w:sz w:val="20"/>
                <w:szCs w:val="20"/>
                <w:color w:val="auto"/>
              </w:rPr>
            </w:pPr>
            <w:r>
              <w:rPr>
                <w:rFonts w:ascii="Arial" w:cs="Arial" w:eastAsia="Arial" w:hAnsi="Arial"/>
                <w:sz w:val="18"/>
                <w:szCs w:val="18"/>
                <w:color w:val="0000FF"/>
              </w:rPr>
              <w:t>10022</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Avenue Capital Partners IV, LLC</w:t>
              </w:r>
            </w:hyperlink>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8"/>
          <w:szCs w:val="18"/>
          <w:color w:val="0000FF"/>
        </w:rPr>
        <w:t>NY</w:t>
      </w:r>
      <w:r>
        <w:rPr>
          <w:sz w:val="20"/>
          <w:szCs w:val="20"/>
          <w:color w:val="auto"/>
        </w:rPr>
        <w:tab/>
      </w:r>
      <w:r>
        <w:rPr>
          <w:rFonts w:ascii="Arial" w:cs="Arial" w:eastAsia="Arial" w:hAnsi="Arial"/>
          <w:sz w:val="15"/>
          <w:szCs w:val="15"/>
          <w:color w:val="0000FF"/>
        </w:rPr>
        <w:t>10022</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tcPr>
          <w:p>
            <w:pPr>
              <w:ind w:left="5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GL Partners IV,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2"/>
          </w:tcPr>
          <w:p>
            <w:pPr>
              <w:ind w:left="5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Avenue Special Situations Fund V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480" w:type="dxa"/>
            <w:vAlign w:val="bottom"/>
          </w:tcPr>
          <w:p>
            <w:pPr>
              <w:ind w:left="6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3"/>
          </w:tcPr>
          <w:p>
            <w:pPr>
              <w:spacing w:after="0" w:line="224" w:lineRule="exact"/>
              <w:rPr>
                <w:rFonts w:ascii="Arial" w:cs="Arial" w:eastAsia="Arial" w:hAnsi="Arial"/>
                <w:sz w:val="22"/>
                <w:szCs w:val="22"/>
                <w:color w:val="0000EE"/>
                <w:w w:val="91"/>
              </w:rPr>
            </w:pPr>
            <w:hyperlink r:id="rId18">
              <w:r>
                <w:rPr>
                  <w:rFonts w:ascii="Arial" w:cs="Arial" w:eastAsia="Arial" w:hAnsi="Arial"/>
                  <w:sz w:val="22"/>
                  <w:szCs w:val="22"/>
                  <w:color w:val="0000EE"/>
                  <w:w w:val="91"/>
                </w:rPr>
                <w:t>Avenue Capital Partners V,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GL Partners V,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Avenue CDP Global Opportunities Fund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Avenue Capital Management II,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(Street)</w:t>
      </w:r>
    </w:p>
    <w:p>
      <w:pPr>
        <w:sectPr>
          <w:pgSz w:w="11900" w:h="16909" w:orient="portrait"/>
          <w:cols w:equalWidth="0" w:num="1">
            <w:col w:w="10199"/>
          </w:cols>
          <w:pgMar w:left="260" w:top="179" w:right="1440" w:bottom="0" w:gutter="0" w:footer="0" w:header="0"/>
        </w:sectPr>
      </w:pPr>
    </w:p>
    <w:bookmarkStart w:id="2" w:name="page3"/>
    <w:bookmarkEnd w:id="2"/>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163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2924175" cy="4163695"/>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2"/>
        </w:trPr>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3">
        <w:r>
          <w:rPr>
            <w:rFonts w:ascii="Arial" w:cs="Arial" w:eastAsia="Arial" w:hAnsi="Arial"/>
            <w:sz w:val="22"/>
            <w:szCs w:val="22"/>
            <w:u w:val="single" w:color="auto"/>
            <w:color w:val="0000EE"/>
          </w:rPr>
          <w:t>Avenue Capital Management II GenPar, LLC</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NEW YORK</w:t>
            </w:r>
          </w:p>
        </w:tc>
        <w:tc>
          <w:tcPr>
            <w:tcW w:w="1340" w:type="dxa"/>
            <w:vAlign w:val="bottom"/>
          </w:tcPr>
          <w:p>
            <w:pPr>
              <w:ind w:left="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340" w:type="dxa"/>
            <w:vAlign w:val="bottom"/>
          </w:tcPr>
          <w:p>
            <w:pPr>
              <w:ind w:left="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6"/>
              </w:rPr>
            </w:pPr>
            <w:hyperlink r:id="rId24">
              <w:r>
                <w:rPr>
                  <w:rFonts w:ascii="Arial" w:cs="Arial" w:eastAsia="Arial" w:hAnsi="Arial"/>
                  <w:sz w:val="22"/>
                  <w:szCs w:val="22"/>
                  <w:color w:val="0000EE"/>
                  <w:w w:val="96"/>
                </w:rPr>
                <w:t>LASRY MARC</w:t>
              </w:r>
            </w:hyperlink>
          </w:p>
        </w:tc>
        <w:tc>
          <w:tcPr>
            <w:tcW w:w="1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tcPr>
          <w:p>
            <w:pPr>
              <w:ind w:left="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filing of this Form 4 shall not be construed as an admission that Avenue Capital Partners IV, LLC ("Capital Partners IV"), GL Partners IV, LLC ("GL Partners IV"), Avenue Capital Partners V, LLC ("Capital Partners V"), GL Partners V, LLC ("GL Partners V"), Avenue Capital Management II, L.P. ("Avenue Capital Management"), Avenue Capital Management II GenPar, LLC ("Avenue Capital Management GenPar") or Marc Lasry (collectively, the "Controlling Persons") is or was for the purposes of Section 16(a) of the Securities Exchange Act of 1934, as amended, or otherwise the beneficial owner of any of the Common Stock of the Issuer directly held by Avenue Special Situations Fund IV, L.P. ("Fund IV"), Avenue Special Situations Fund V, L.P., Avenue-CDP Global Opportunities Fund, L.P., Avenue International Master, L.P. and Avenue Investments, L.P. Pursuant to Rule 16a-1, the Controlling Persons disclaim such beneficial ownership except to the extent of their pecuniary interest therein.</w:t>
      </w:r>
    </w:p>
    <w:p>
      <w:pPr>
        <w:spacing w:after="0" w:line="11" w:lineRule="exact"/>
        <w:rPr>
          <w:rFonts w:ascii="Arial" w:cs="Arial" w:eastAsia="Arial" w:hAnsi="Arial"/>
          <w:sz w:val="12"/>
          <w:szCs w:val="12"/>
          <w:color w:val="008000"/>
        </w:rPr>
      </w:pPr>
    </w:p>
    <w:p>
      <w:pPr>
        <w:ind w:left="20" w:righ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After giving effect to the transactions reported herein, Fund IV holds directly 1,899,118 shares of Common Stock of the Issuer. Capital Partners IV serves as the general partner of Fund IV, and GL Partners IV serves as the managing member of Capital Partners IV. Each of Capital Partners IV and GL Partners IV holds indirectly the 1,899,118 shares of Common Stock of the Issuer held directly by Fund IV. Capital Partners IV is entitled to receive a performance-based allocation from Fund IV and GL Partners IV, as the managing member of Capital Partners IV, has an indirect interest in such allocation. Mr. Lasry owns an interest in Capital Partners IV and GL Partners IV and receives a portion of the profits allocation related to Fund IV.</w:t>
      </w:r>
    </w:p>
    <w:p>
      <w:pPr>
        <w:spacing w:after="0" w:line="8" w:lineRule="exact"/>
        <w:rPr>
          <w:rFonts w:ascii="Arial" w:cs="Arial" w:eastAsia="Arial" w:hAnsi="Arial"/>
          <w:sz w:val="12"/>
          <w:szCs w:val="12"/>
          <w:color w:val="008000"/>
        </w:rPr>
      </w:pPr>
    </w:p>
    <w:p>
      <w:pPr>
        <w:ind w:left="20" w:right="18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After giving effect to the transactions reported herein, Avenue Special Situations Fund V, L.P. ("Fund V") holds directly 2,370,398 shares of Common Stock of the Issuer. Capital Partners V serves as the general partner of Fund V, and GL Partners V serves as the managing member of Capital Partners V. Each of Capital Partners V and GL Partners V holds indirectly the 2,370,398 shares of Common Stock of the Issuer held directly by Fund V. Capital Partners V is entitled to receive a performance-based allocation from Fund V and GL Partners V, as the managing member of Capital Partners V, has an indirect interest in such allocation. Mr. Lasry owns an interest in Capital Partners V and GL Partners V and receives a portion of the profits allocation related to Fund V.</w:t>
      </w:r>
    </w:p>
    <w:p>
      <w:pPr>
        <w:spacing w:after="0" w:line="8" w:lineRule="exact"/>
        <w:rPr>
          <w:rFonts w:ascii="Arial" w:cs="Arial" w:eastAsia="Arial" w:hAnsi="Arial"/>
          <w:sz w:val="12"/>
          <w:szCs w:val="12"/>
          <w:color w:val="008000"/>
        </w:rPr>
      </w:pPr>
    </w:p>
    <w:p>
      <w:pPr>
        <w:ind w:left="2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After giving effect to the transactions reported herein, Avenue-CDP Global Opportunities Fund, L.P. ("Avenue-CDP") holds directly 325,146 shares of Common Stock of the Issuer. Avenue Global Opportunities Fund GenPar, LLC ("Global GenPar") serves as the general partner of Avenue-CDP. Global GenPar holds indirectly the 325,146 shares of Common Stock of the Issuer held directly by Avenue-CDP. Global GenPar is entitled to receive a performance-based allocation from Avenue-CDP. Mr. Lasry owns an interest in Global GenPar and receives a portion of the profits allocation related to Avenue-CDP.</w:t>
      </w:r>
    </w:p>
    <w:p>
      <w:pPr>
        <w:spacing w:after="0" w:line="2" w:lineRule="exact"/>
        <w:rPr>
          <w:rFonts w:ascii="Arial" w:cs="Arial" w:eastAsia="Arial" w:hAnsi="Arial"/>
          <w:sz w:val="12"/>
          <w:szCs w:val="12"/>
          <w:color w:val="008000"/>
        </w:rPr>
      </w:pPr>
    </w:p>
    <w:p>
      <w:pPr>
        <w:ind w:left="20" w:right="1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Lasry may be deemed to have a pecuniary interest in the 2,166,652 shares of Common Stock held directly by Avenue International Master, L.P. ("Avenue International Master") due to the portion of the profits allocation related to Avenue International Master he receives.</w:t>
      </w:r>
    </w:p>
    <w:p>
      <w:pPr>
        <w:spacing w:after="0" w:line="30" w:lineRule="exact"/>
        <w:rPr>
          <w:rFonts w:ascii="Arial" w:cs="Arial" w:eastAsia="Arial" w:hAnsi="Arial"/>
          <w:sz w:val="14"/>
          <w:szCs w:val="14"/>
          <w:color w:val="008000"/>
        </w:rPr>
      </w:pPr>
    </w:p>
    <w:p>
      <w:pPr>
        <w:ind w:left="20" w:right="16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Lasry may be deemed to have a pecuniary interest in the 722,264 shares of Common Stock held directly by Avenue Investments, L.P. ("Avenue Investments") due to the portion of the profits allocation related to Avenue Investments he receives.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Price $13.81125</w:t>
      </w:r>
    </w:p>
    <w:p>
      <w:pPr>
        <w:sectPr>
          <w:pgSz w:w="11900" w:h="16877" w:orient="portrait"/>
          <w:cols w:equalWidth="0" w:num="1">
            <w:col w:w="11360"/>
          </w:cols>
          <w:pgMar w:left="260" w:top="158" w:right="279" w:bottom="0" w:gutter="0" w:footer="0" w:header="0"/>
        </w:sectPr>
      </w:pPr>
    </w:p>
    <w:p>
      <w:pPr>
        <w:spacing w:after="0" w:line="7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Avenue Special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68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Fund IV, L.P. By: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4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14490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Capital Partners IV,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38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2738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General Partner, By: 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915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0915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Partners IV, 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3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4033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090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144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60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Avenue Capital Partners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401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4015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GL Partners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944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944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its Managing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60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3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Marc Lasry,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172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GL Partners IV,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611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3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Marc Lasry,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172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Avenue Special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68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Fund V, L.P. By: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07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0744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Capital Partners 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363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363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General Partner, By: 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915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915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Partners V, 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65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36652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090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144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60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Avenue Capital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03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LLC By: GL Partners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69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02/11/2013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02/11/2013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02/11/2013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02/11/2013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02/11/2013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ectPr>
          <w:pgSz w:w="11900" w:h="16877" w:orient="portrait"/>
          <w:cols w:equalWidth="0" w:num="2">
            <w:col w:w="9060" w:space="80"/>
            <w:col w:w="2220"/>
          </w:cols>
          <w:pgMar w:left="260" w:top="158" w:right="27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6"/>
          <w:szCs w:val="16"/>
          <w:color w:val="0000FF"/>
        </w:rPr>
        <w:t>its Managing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60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Marc Lasry,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7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GL Partners V,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242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242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Marc Lasry,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72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Avenue-CDP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239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239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Opportunities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84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Global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06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3106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Fund GenPar,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50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3950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Partner,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37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1537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44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79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II, L.P. By: Avenue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084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Management II GenPar,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60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its General Partner,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50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3950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68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Capital Management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4001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GenPar, LLC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4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4046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44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Eric Ross,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25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for Marc Lasry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743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0000FF"/>
        </w:rPr>
        <w:t>02/11/2013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02/11/2013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02/11/2013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02/11/2013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02/11/2013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9040" w:space="80"/>
            <w:col w:w="1200"/>
          </w:cols>
          <w:pgMar w:left="280" w:top="131" w:right="1299" w:bottom="1440" w:gutter="0" w:footer="0" w:header="0"/>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2"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12" Type="http://schemas.openxmlformats.org/officeDocument/2006/relationships/hyperlink" Target="http://www.sec.gov/cgi-bin/browse-edgar?action=getcompany&amp;CIK=0001338744"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389864" TargetMode="External"/><Relationship Id="rId16" Type="http://schemas.openxmlformats.org/officeDocument/2006/relationships/hyperlink" Target="http://www.sec.gov/cgi-bin/browse-edgar?action=getcompany&amp;CIK=0001389865" TargetMode="External"/><Relationship Id="rId17" Type="http://schemas.openxmlformats.org/officeDocument/2006/relationships/hyperlink" Target="http://www.sec.gov/cgi-bin/browse-edgar?action=getcompany&amp;CIK=0001401178" TargetMode="External"/><Relationship Id="rId18" Type="http://schemas.openxmlformats.org/officeDocument/2006/relationships/hyperlink" Target="http://www.sec.gov/cgi-bin/browse-edgar?action=getcompany&amp;CIK=0001458587" TargetMode="External"/><Relationship Id="rId19" Type="http://schemas.openxmlformats.org/officeDocument/2006/relationships/hyperlink" Target="http://www.sec.gov/cgi-bin/browse-edgar?action=getcompany&amp;CIK=0001458583" TargetMode="External"/><Relationship Id="rId20" Type="http://schemas.openxmlformats.org/officeDocument/2006/relationships/hyperlink" Target="http://www.sec.gov/cgi-bin/browse-edgar?action=getcompany&amp;CIK=0001382345" TargetMode="External"/><Relationship Id="rId21" Type="http://schemas.openxmlformats.org/officeDocument/2006/relationships/hyperlink" Target="http://www.sec.gov/cgi-bin/browse-edgar?action=getcompany&amp;CIK=0001317338" TargetMode="External"/><Relationship Id="rId23" Type="http://schemas.openxmlformats.org/officeDocument/2006/relationships/hyperlink" Target="http://www.sec.gov/cgi-bin/browse-edgar?action=getcompany&amp;CIK=0001389850" TargetMode="External"/><Relationship Id="rId24" Type="http://schemas.openxmlformats.org/officeDocument/2006/relationships/hyperlink" Target="http://www.sec.gov/cgi-bin/browse-edgar?action=getcompany&amp;CIK=00012599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2019-12-18T02:37:53Z</dcterms:created>
  <dcterms:modified xsi:type="dcterms:W3CDTF">2019-12-18T02:37:53Z</dcterms:modified>
</cp:coreProperties>
</file>