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82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821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296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80" w:type="dxa"/>
            <w:vAlign w:val="bottom"/>
          </w:tcPr>
          <w:p>
            <w:pPr>
              <w:ind w:left="4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20" w:type="dxa"/>
            <w:vAlign w:val="bottom"/>
            <w:gridSpan w:val="2"/>
            <w:vMerge w:val="restart"/>
          </w:tcPr>
          <w:p>
            <w:pPr>
              <w:spacing w:after="0"/>
              <w:rPr>
                <w:rFonts w:ascii="Arial" w:cs="Arial" w:eastAsia="Arial" w:hAnsi="Arial"/>
                <w:sz w:val="22"/>
                <w:szCs w:val="22"/>
                <w:color w:val="0000EE"/>
                <w:w w:val="88"/>
              </w:rPr>
            </w:pPr>
            <w:hyperlink r:id="rId11">
              <w:r>
                <w:rPr>
                  <w:rFonts w:ascii="Arial" w:cs="Arial" w:eastAsia="Arial" w:hAnsi="Arial"/>
                  <w:sz w:val="22"/>
                  <w:szCs w:val="22"/>
                  <w:color w:val="0000EE"/>
                  <w:w w:val="88"/>
                </w:rPr>
                <w:t>Brigade Capital Management GP,</w:t>
              </w:r>
            </w:hyperlink>
          </w:p>
        </w:tc>
        <w:tc>
          <w:tcPr>
            <w:tcW w:w="1680" w:type="dxa"/>
            <w:vAlign w:val="bottom"/>
          </w:tcPr>
          <w:p>
            <w:pPr>
              <w:ind w:left="4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1"/>
                <w:szCs w:val="11"/>
                <w:color w:val="auto"/>
              </w:rPr>
            </w:pPr>
          </w:p>
        </w:tc>
        <w:tc>
          <w:tcPr>
            <w:tcW w:w="2920" w:type="dxa"/>
            <w:vAlign w:val="bottom"/>
            <w:tcBorders>
              <w:bottom w:val="single" w:sz="8" w:color="0000EE"/>
            </w:tcBorders>
            <w:gridSpan w:val="2"/>
            <w:vMerge w:val="continue"/>
          </w:tcPr>
          <w:p>
            <w:pPr>
              <w:spacing w:after="0"/>
              <w:rPr>
                <w:sz w:val="11"/>
                <w:szCs w:val="11"/>
                <w:color w:val="auto"/>
              </w:rPr>
            </w:pPr>
          </w:p>
        </w:tc>
        <w:tc>
          <w:tcPr>
            <w:tcW w:w="1680" w:type="dxa"/>
            <w:vAlign w:val="bottom"/>
          </w:tcPr>
          <w:p>
            <w:pPr>
              <w:ind w:left="4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0" w:type="dxa"/>
            <w:vAlign w:val="bottom"/>
            <w:tcBorders>
              <w:bottom w:val="single" w:sz="8" w:color="0000EE"/>
            </w:tcBorders>
          </w:tcPr>
          <w:p>
            <w:pPr>
              <w:spacing w:after="0" w:line="223" w:lineRule="exact"/>
              <w:rPr>
                <w:rFonts w:ascii="Arial" w:cs="Arial" w:eastAsia="Arial" w:hAnsi="Arial"/>
                <w:sz w:val="22"/>
                <w:szCs w:val="22"/>
                <w:color w:val="0000EE"/>
                <w:w w:val="99"/>
              </w:rPr>
            </w:pPr>
            <w:hyperlink r:id="rId11">
              <w:r>
                <w:rPr>
                  <w:rFonts w:ascii="Arial" w:cs="Arial" w:eastAsia="Arial" w:hAnsi="Arial"/>
                  <w:sz w:val="22"/>
                  <w:szCs w:val="22"/>
                  <w:color w:val="0000EE"/>
                  <w:w w:val="99"/>
                </w:rPr>
                <w:t>LLC</w:t>
              </w:r>
            </w:hyperlink>
          </w:p>
        </w:tc>
        <w:tc>
          <w:tcPr>
            <w:tcW w:w="250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Arial" w:cs="Arial" w:eastAsia="Arial" w:hAnsi="Arial"/>
                <w:sz w:val="18"/>
                <w:szCs w:val="18"/>
                <w:color w:val="0000FF"/>
              </w:rPr>
              <w:t>01/17/2017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09" w:lineRule="exact"/>
        <w:rPr>
          <w:sz w:val="20"/>
          <w:szCs w:val="20"/>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4"/>
                <w:szCs w:val="14"/>
                <w:color w:val="auto"/>
              </w:rPr>
              <w:t>(Last)</w:t>
            </w:r>
          </w:p>
        </w:tc>
        <w:tc>
          <w:tcPr>
            <w:tcW w:w="780" w:type="dxa"/>
            <w:vAlign w:val="bottom"/>
          </w:tcPr>
          <w:p>
            <w:pPr>
              <w:ind w:left="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399 PARK AVENUE</w:t>
            </w:r>
          </w:p>
        </w:tc>
        <w:tc>
          <w:tcPr>
            <w:tcW w:w="13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w w:val="93"/>
              </w:rPr>
              <w:t>16TH FLOOR</w:t>
            </w:r>
          </w:p>
        </w:tc>
        <w:tc>
          <w:tcPr>
            <w:tcW w:w="7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780" w:type="dxa"/>
            <w:vAlign w:val="bottom"/>
          </w:tcPr>
          <w:p>
            <w:pPr>
              <w:ind w:left="4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bl>
    <w:p>
      <w:pPr>
        <w:spacing w:after="0" w:line="20" w:lineRule="exact"/>
        <w:rPr>
          <w:sz w:val="20"/>
          <w:szCs w:val="20"/>
          <w:color w:val="auto"/>
        </w:rPr>
      </w:pPr>
      <w:r>
        <w:rPr>
          <w:sz w:val="20"/>
          <w:szCs w:val="20"/>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80" w:lineRule="exact"/>
        <w:rPr>
          <w:sz w:val="20"/>
          <w:szCs w:val="20"/>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$.01 per share</w:t>
            </w: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jc w:val="right"/>
              <w:ind w:right="642"/>
              <w:spacing w:after="0"/>
              <w:rPr>
                <w:sz w:val="20"/>
                <w:szCs w:val="20"/>
                <w:color w:val="auto"/>
              </w:rPr>
            </w:pPr>
            <w:r>
              <w:rPr>
                <w:rFonts w:ascii="Arial" w:cs="Arial" w:eastAsia="Arial" w:hAnsi="Arial"/>
                <w:sz w:val="18"/>
                <w:szCs w:val="18"/>
                <w:color w:val="0000FF"/>
              </w:rPr>
              <w:t>3,130,000</w:t>
            </w:r>
          </w:p>
        </w:tc>
        <w:tc>
          <w:tcPr>
            <w:tcW w:w="840" w:type="dxa"/>
            <w:vAlign w:val="bottom"/>
            <w:tcBorders>
              <w:bottom w:val="single" w:sz="8" w:color="2C2C2C"/>
            </w:tcBorders>
          </w:tcPr>
          <w:p>
            <w:pPr>
              <w:ind w:left="6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w w:val="99"/>
              </w:rPr>
              <w:t>See Footnote</w:t>
            </w:r>
            <w:r>
              <w:rPr>
                <w:rFonts w:ascii="Arial" w:cs="Arial" w:eastAsia="Arial" w:hAnsi="Arial"/>
                <w:sz w:val="22"/>
                <w:szCs w:val="22"/>
                <w:color w:val="008000"/>
                <w:w w:val="99"/>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480" w:type="dxa"/>
            <w:vAlign w:val="bottom"/>
            <w:tcBorders>
              <w:top w:val="single" w:sz="8" w:color="2C2C2C"/>
            </w:tcBorders>
          </w:tcPr>
          <w:p>
            <w:pPr>
              <w:spacing w:after="0"/>
              <w:rPr>
                <w:sz w:val="19"/>
                <w:szCs w:val="19"/>
                <w:color w:val="auto"/>
              </w:rPr>
            </w:pPr>
          </w:p>
        </w:tc>
        <w:tc>
          <w:tcPr>
            <w:tcW w:w="4540" w:type="dxa"/>
            <w:vAlign w:val="bottom"/>
            <w:tcBorders>
              <w:top w:val="single" w:sz="8" w:color="2C2C2C"/>
            </w:tcBorders>
            <w:gridSpan w:val="4"/>
          </w:tcPr>
          <w:p>
            <w:pPr>
              <w:ind w:left="1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90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4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480" w:type="dxa"/>
            <w:vAlign w:val="bottom"/>
          </w:tcPr>
          <w:p>
            <w:pPr>
              <w:ind w:left="60"/>
              <w:spacing w:after="0"/>
              <w:rPr>
                <w:sz w:val="20"/>
                <w:szCs w:val="20"/>
                <w:color w:val="auto"/>
              </w:rPr>
            </w:pPr>
            <w:r>
              <w:rPr>
                <w:rFonts w:ascii="Arial" w:cs="Arial" w:eastAsia="Arial" w:hAnsi="Arial"/>
                <w:sz w:val="18"/>
                <w:szCs w:val="18"/>
                <w:color w:val="0000FF"/>
                <w:w w:val="90"/>
              </w:rPr>
              <w:t>5.00% Exchangeable Senior Notes due 2021</w:t>
            </w:r>
            <w:r>
              <w:rPr>
                <w:rFonts w:ascii="Arial" w:cs="Arial" w:eastAsia="Arial" w:hAnsi="Arial"/>
                <w:sz w:val="22"/>
                <w:szCs w:val="22"/>
                <w:color w:val="008000"/>
                <w:w w:val="90"/>
                <w:vertAlign w:val="superscript"/>
              </w:rPr>
              <w:t>(2)</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03/01/2021</w:t>
            </w:r>
          </w:p>
        </w:tc>
        <w:tc>
          <w:tcPr>
            <w:tcW w:w="200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840" w:type="dxa"/>
            <w:vAlign w:val="bottom"/>
          </w:tcPr>
          <w:p>
            <w:pPr>
              <w:ind w:left="80"/>
              <w:spacing w:after="0"/>
              <w:rPr>
                <w:sz w:val="20"/>
                <w:szCs w:val="20"/>
                <w:color w:val="auto"/>
              </w:rPr>
            </w:pPr>
            <w:r>
              <w:rPr>
                <w:rFonts w:ascii="Arial" w:cs="Arial" w:eastAsia="Arial" w:hAnsi="Arial"/>
                <w:sz w:val="18"/>
                <w:szCs w:val="18"/>
                <w:color w:val="0000FF"/>
                <w:w w:val="92"/>
              </w:rPr>
              <w:t>2,907,329</w:t>
            </w:r>
          </w:p>
        </w:tc>
        <w:tc>
          <w:tcPr>
            <w:tcW w:w="880" w:type="dxa"/>
            <w:vAlign w:val="bottom"/>
          </w:tcPr>
          <w:p>
            <w:pPr>
              <w:ind w:left="300"/>
              <w:spacing w:after="0"/>
              <w:rPr>
                <w:sz w:val="20"/>
                <w:szCs w:val="20"/>
                <w:color w:val="auto"/>
              </w:rPr>
            </w:pPr>
            <w:r>
              <w:rPr>
                <w:rFonts w:ascii="Arial" w:cs="Arial" w:eastAsia="Arial" w:hAnsi="Arial"/>
                <w:sz w:val="18"/>
                <w:szCs w:val="18"/>
                <w:color w:val="0000FF"/>
              </w:rPr>
              <w:t>8.26</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0000FF"/>
                <w:w w:val="86"/>
              </w:rPr>
              <w:t>$.01 per share</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certain private investment funds and managed accounts and may be deemed beneficially owned by Brigade Capital Management GP, LLC, the general partner of Brigade Capital Management, LP, the investment manager of such funds and accounts. Brigade Capital Management GP, LLC disclaims beneficial ownership of the reported securities except to the extent of its pecuniary interest therein, and this report shall not be deemed an admission that the Reporting Person is the beneficial owner of the securities for purposes of Section 16 of the Securities Exchange Act of 1934, as amended, or for any other purpose.</w:t>
      </w:r>
    </w:p>
    <w:p>
      <w:pPr>
        <w:spacing w:after="0" w:line="3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5.00% Exchangeable Senior Notes due 2021 (the "Convertible Notes") bear interest at a rate of 5.00% per annum, with interest payable semiannually. The principal of the Convertible Notes is convertible into shares of the Issuer's Common Stock at any time after their issuance at a conversion price of approximately $8.26 per share, subject to adjustment in certain circumstances in accordance with the terms of the Convertible Notes.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Convertible Notes are exercisable at any time prior to the expiration date.</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GP, LLC, By: /s/ Donald E.</w:t>
      </w:r>
      <w:r>
        <w:rPr>
          <w:sz w:val="20"/>
          <w:szCs w:val="20"/>
          <w:color w:val="auto"/>
        </w:rPr>
        <w:tab/>
      </w:r>
      <w:r>
        <w:rPr>
          <w:rFonts w:ascii="Arial" w:cs="Arial" w:eastAsia="Arial" w:hAnsi="Arial"/>
          <w:sz w:val="23"/>
          <w:szCs w:val="23"/>
          <w:color w:val="0000FF"/>
          <w:vertAlign w:val="subscript"/>
        </w:rPr>
        <w:t>01/25/2017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25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552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77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695885"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2019-12-04T01:04:46Z</dcterms:created>
  <dcterms:modified xsi:type="dcterms:W3CDTF">2019-12-04T01:04:46Z</dcterms:modified>
</cp:coreProperties>
</file>