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496"/>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496"/>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496"/>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40"/>
        <w:spacing w:after="0" w:line="342" w:lineRule="auto"/>
        <w:rPr>
          <w:sz w:val="20"/>
          <w:szCs w:val="20"/>
          <w:color w:val="auto"/>
        </w:rPr>
      </w:pPr>
      <w:r>
        <w:rPr>
          <w:rFonts w:ascii="Arial" w:cs="Arial" w:eastAsia="Arial" w:hAnsi="Arial"/>
          <w:sz w:val="16"/>
          <w:szCs w:val="16"/>
          <w:color w:val="auto"/>
        </w:rPr>
        <w:t>Attached hereto as Exhibit 99.1 and incorporated by reference herein is financial information for Magnachip Semiconductor Corporation and its consolidated subsidiaries for the third quarter ended September 30, 2022, as presented in a press release dated November 2, 2022.</w:t>
      </w:r>
    </w:p>
    <w:p>
      <w:pPr>
        <w:spacing w:after="0" w:line="124"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1480" w:type="dxa"/>
            <w:vAlign w:val="bottom"/>
          </w:tcPr>
          <w:p>
            <w:pPr>
              <w:spacing w:after="0"/>
              <w:rPr>
                <w:sz w:val="14"/>
                <w:szCs w:val="14"/>
                <w:color w:val="auto"/>
              </w:rPr>
            </w:pPr>
          </w:p>
        </w:tc>
        <w:tc>
          <w:tcPr>
            <w:tcW w:w="8620" w:type="dxa"/>
            <w:vAlign w:val="bottom"/>
            <w:gridSpan w:val="2"/>
            <w:vMerge w:val="restart"/>
          </w:tcPr>
          <w:p>
            <w:pPr>
              <w:ind w:left="3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No.</w:t>
            </w:r>
          </w:p>
        </w:tc>
        <w:tc>
          <w:tcPr>
            <w:tcW w:w="1480" w:type="dxa"/>
            <w:vAlign w:val="bottom"/>
          </w:tcPr>
          <w:p>
            <w:pPr>
              <w:spacing w:after="0"/>
              <w:rPr>
                <w:sz w:val="14"/>
                <w:szCs w:val="14"/>
                <w:color w:val="auto"/>
              </w:rPr>
            </w:pPr>
          </w:p>
        </w:tc>
        <w:tc>
          <w:tcPr>
            <w:tcW w:w="8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10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w w:val="95"/>
              </w:rPr>
              <w:t>Press release for Magnachip Semiconductor Corporation dated November 2, 2022, announcing the results for the third quarter ended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September 30, 2022.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Results for Third Quarter 2022</w:t>
      </w:r>
    </w:p>
    <w:p>
      <w:pPr>
        <w:spacing w:after="0" w:line="252" w:lineRule="exact"/>
        <w:rPr>
          <w:sz w:val="20"/>
          <w:szCs w:val="20"/>
          <w:color w:val="auto"/>
        </w:rPr>
      </w:pPr>
    </w:p>
    <w:p>
      <w:pPr>
        <w:ind w:left="960" w:right="200" w:hanging="532"/>
        <w:spacing w:after="0" w:line="224"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$71.2 million was within our guidance range. The year-over-year and sequential decline were primarily driven by the supply shortages of OLED wafers in the 2</w:t>
      </w:r>
      <w:r>
        <w:rPr>
          <w:rFonts w:ascii="Arial" w:cs="Arial" w:eastAsia="Arial" w:hAnsi="Arial"/>
          <w:sz w:val="26"/>
          <w:szCs w:val="26"/>
          <w:b w:val="1"/>
          <w:bCs w:val="1"/>
          <w:color w:val="auto"/>
          <w:vertAlign w:val="superscript"/>
        </w:rPr>
        <w:t>nd</w:t>
      </w:r>
      <w:r>
        <w:rPr>
          <w:rFonts w:ascii="Arial" w:cs="Arial" w:eastAsia="Arial" w:hAnsi="Arial"/>
          <w:sz w:val="18"/>
          <w:szCs w:val="18"/>
          <w:b w:val="1"/>
          <w:bCs w:val="1"/>
          <w:color w:val="auto"/>
        </w:rPr>
        <w:t xml:space="preserve"> half of this year that impacted design-in projects from our large panel customer in Korea.</w:t>
      </w:r>
    </w:p>
    <w:p>
      <w:pPr>
        <w:spacing w:after="0" w:line="104" w:lineRule="exact"/>
        <w:rPr>
          <w:rFonts w:ascii="Arial" w:cs="Arial" w:eastAsia="Arial" w:hAnsi="Arial"/>
          <w:sz w:val="18"/>
          <w:szCs w:val="18"/>
          <w:b w:val="1"/>
          <w:bCs w:val="1"/>
          <w:color w:val="auto"/>
        </w:rPr>
      </w:pPr>
    </w:p>
    <w:p>
      <w:pPr>
        <w:ind w:left="960" w:right="340" w:hanging="532"/>
        <w:spacing w:after="0" w:line="282"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was 24.2%, below the low end of our guidance range as we recorded a $3.3 million charge to scrap 12-inch wafers as a result of slowing demand caused by elevated smartphone inventories in China.</w:t>
      </w:r>
    </w:p>
    <w:p>
      <w:pPr>
        <w:spacing w:after="0" w:line="67"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loss per share was $0.38.</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diluted earnings per share was $0.02.</w:t>
      </w:r>
    </w:p>
    <w:p>
      <w:pPr>
        <w:spacing w:after="0" w:line="225"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 xml:space="preserve">SEOUL, South Korea, November 2, 2022 </w:t>
      </w:r>
      <w:r>
        <w:rPr>
          <w:rFonts w:ascii="Arial" w:cs="Arial" w:eastAsia="Arial" w:hAnsi="Arial"/>
          <w:sz w:val="18"/>
          <w:szCs w:val="18"/>
          <w:color w:val="auto"/>
        </w:rPr>
        <w:t>— Magnachip Semiconductor Corporation (NYSE: MX) (“Magnachip”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third quarter of 2022.</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Commenting on the results for the third quarter of 2022, YJ Kim, Magnachip’s chief executive officer stated, “Our Q3 revenue of $71.2 million was within our guidance range. As we mentioned last quarter, our Display business in the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half is impacted by supply shortages of 28nm 12-inch OLED wafers that impacted design-in projects from our large panel customer in Korea, which are typically given in advance based on future wafer supply allocation. In addition, China covid lockdowns and the dramatic slowdown in consumer spending due to inflationary pressures reduced demand for smartphones and TVs and resulted in an oversupply of channel inventories, particularly in China. Our Power business also slowed due to lower consumer spending.”</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YJ Kim continued, “While the global economic situation remains challenging, our balance sheet is strong, and we are focused on executing a recovery of our Display business. During the quarter, we successfully released our new OLED DDIC sample to our new panel customer and we expect to begin mass production in 2023. In addition, due to the global economic slowdown, we are seeing more wafer capacity availability and we are in discussion with multiple foundries to secure capacity and believe that our 2023 wafer supply will be more than two times higher than 2022. As such, we expect to see a significant recovery of Display business in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2022 Financial Highlights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GAAP</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Q3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Q2 2022</w:t>
            </w:r>
          </w:p>
        </w:tc>
        <w:tc>
          <w:tcPr>
            <w:tcW w:w="15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Q3 2021</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28,336</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58,528</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Power Solutions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56,416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62,952</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58,887</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r>
      <w:tr>
        <w:trPr>
          <w:trHeight w:val="216"/>
        </w:trPr>
        <w:tc>
          <w:tcPr>
            <w:tcW w:w="55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Transitional Fab 3 foundry services</w:t>
            </w:r>
            <w:r>
              <w:rPr>
                <w:rFonts w:ascii="Arial" w:cs="Arial" w:eastAsia="Arial" w:hAnsi="Arial"/>
                <w:sz w:val="25"/>
                <w:szCs w:val="25"/>
                <w:color w:val="auto"/>
                <w:vertAlign w:val="superscript"/>
              </w:rPr>
              <w:t>(1)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10,088</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4.4%pts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12.5%pts</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2,002</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20,001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(17,195)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(3,340)</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10,768</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346"/>
        </w:trPr>
        <w:tc>
          <w:tcPr>
            <w:tcW w:w="55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5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Non-GAAP</w:t>
            </w:r>
            <w:r>
              <w:rPr>
                <w:rFonts w:ascii="Arial" w:cs="Arial" w:eastAsia="Arial" w:hAnsi="Arial"/>
                <w:sz w:val="10"/>
                <w:szCs w:val="10"/>
                <w:b w:val="1"/>
                <w:bCs w:val="1"/>
                <w:color w:val="auto"/>
                <w:w w:val="96"/>
              </w:rPr>
              <w:t>(2)</w:t>
            </w: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Q3 2022</w:t>
            </w: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Q2 2022</w:t>
            </w:r>
          </w:p>
        </w:tc>
        <w:tc>
          <w:tcPr>
            <w:tcW w:w="15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Q/Q 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3"/>
              </w:rPr>
              <w:t>Q3 2021</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22,691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(2,995)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8,525</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26,361</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1,097</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10,567</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20,073</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w:t>
            </w: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520" w:type="dxa"/>
            <w:vAlign w:val="bottom"/>
          </w:tcPr>
          <w:p>
            <w:pPr>
              <w:ind w:left="60"/>
              <w:spacing w:after="0"/>
              <w:rPr>
                <w:sz w:val="20"/>
                <w:szCs w:val="20"/>
                <w:color w:val="auto"/>
              </w:rPr>
            </w:pPr>
            <w:r>
              <w:rPr>
                <w:rFonts w:ascii="Arial" w:cs="Arial" w:eastAsia="Arial" w:hAnsi="Arial"/>
                <w:sz w:val="18"/>
                <w:szCs w:val="18"/>
                <w:color w:val="auto"/>
              </w:rPr>
              <w:t>down</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91.3%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580" w:type="dxa"/>
            <w:vAlign w:val="bottom"/>
          </w:tcPr>
          <w:p>
            <w:pPr>
              <w:ind w:left="60"/>
              <w:spacing w:after="0"/>
              <w:rPr>
                <w:sz w:val="20"/>
                <w:szCs w:val="20"/>
                <w:color w:val="auto"/>
              </w:rPr>
            </w:pPr>
            <w:r>
              <w:rPr>
                <w:rFonts w:ascii="Arial" w:cs="Arial" w:eastAsia="Arial" w:hAnsi="Arial"/>
                <w:sz w:val="18"/>
                <w:szCs w:val="18"/>
                <w:color w:val="auto"/>
              </w:rPr>
              <w:t>down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95.2%</w:t>
            </w:r>
          </w:p>
        </w:tc>
      </w:tr>
    </w:tbl>
    <w:p>
      <w:pPr>
        <w:sectPr>
          <w:pgSz w:w="11900" w:h="16838" w:orient="portrait"/>
          <w:cols w:equalWidth="0" w:num="1">
            <w:col w:w="11020"/>
          </w:cols>
          <w:pgMar w:left="440" w:top="121" w:right="439" w:bottom="1440" w:gutter="0" w:footer="0" w:header="0"/>
        </w:sectPr>
      </w:pPr>
    </w:p>
    <w:bookmarkStart w:id="4" w:name="page5"/>
    <w:bookmarkEnd w:id="4"/>
    <w:p>
      <w:pPr>
        <w:ind w:left="424" w:hanging="424"/>
        <w:spacing w:after="0" w:line="25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 lines.</w:t>
      </w:r>
    </w:p>
    <w:p>
      <w:pPr>
        <w:sectPr>
          <w:pgSz w:w="11900" w:h="16838" w:orient="portrait"/>
          <w:cols w:equalWidth="0" w:num="1">
            <w:col w:w="10964"/>
          </w:cols>
          <w:pgMar w:left="436" w:top="314" w:right="499" w:bottom="1440" w:gutter="0" w:footer="0" w:header="0"/>
        </w:sectPr>
      </w:pPr>
    </w:p>
    <w:bookmarkStart w:id="5" w:name="page6"/>
    <w:bookmarkEnd w:id="5"/>
    <w:p>
      <w:pPr>
        <w:ind w:left="424" w:right="120" w:hanging="424"/>
        <w:spacing w:after="0" w:line="25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Q4 2022 Financial Guidance</w:t>
      </w:r>
    </w:p>
    <w:p>
      <w:pPr>
        <w:spacing w:after="0" w:line="121" w:lineRule="exact"/>
        <w:rPr>
          <w:sz w:val="20"/>
          <w:szCs w:val="20"/>
          <w:color w:val="auto"/>
        </w:rPr>
      </w:pPr>
    </w:p>
    <w:p>
      <w:pPr>
        <w:ind w:left="4" w:right="20"/>
        <w:spacing w:after="0" w:line="233" w:lineRule="auto"/>
        <w:rPr>
          <w:sz w:val="20"/>
          <w:szCs w:val="20"/>
          <w:color w:val="auto"/>
        </w:rPr>
      </w:pPr>
      <w:r>
        <w:rPr>
          <w:rFonts w:ascii="Arial" w:cs="Arial" w:eastAsia="Arial" w:hAnsi="Arial"/>
          <w:sz w:val="18"/>
          <w:szCs w:val="18"/>
          <w:color w:val="auto"/>
        </w:rPr>
        <w:t>The Company’s near-term outlook is being challenged by previous OLED wafer allocation constraints that impacted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half design-in projects, elevated smartphone channel inventories, a pushout of the initial mass production ramp of our new OLED customer and weakening demand in consumer end markets on growing recession fears and cost increases, including labor, due to inflationary pressures. In addition, we estimate our Q4 revenue will be further negatively impacted by approximately $5 million of foreign exchange hedging instruments. While actual results may vary, looking into the next quarter, Magnachip currently expects:</w:t>
      </w:r>
    </w:p>
    <w:p>
      <w:pPr>
        <w:spacing w:after="0" w:line="10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to be in the range of $57 million to $62 million, including about $7 million of Transitional Fab 3 Foundry Services.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margin to be in the range of 26 % to 28%.</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Q3 2022 Earnings Conference Call</w:t>
      </w:r>
    </w:p>
    <w:p>
      <w:pPr>
        <w:spacing w:after="0" w:line="121"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Magnachip will host a corresponding conference call at 2:00 p.m. PT / 5:00 p.m. ET on Wednesday, November 2, 2022,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Online registration: </w:t>
      </w:r>
      <w:r>
        <w:rPr>
          <w:rFonts w:ascii="Arial" w:cs="Arial" w:eastAsia="Arial" w:hAnsi="Arial"/>
          <w:sz w:val="18"/>
          <w:szCs w:val="18"/>
          <w:u w:val="single" w:color="auto"/>
          <w:color w:val="auto"/>
        </w:rPr>
        <w:t>https://register.vevent.com/register/BIccd8bcc64c4a4092bc5e11273a22e8f2</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fourth quarter 2022 revenue and gross profit margin expectations, and the impact of market conditions associated with inflation and rising interest rates, the COVID-19 pandemic or the emergence of various variants of the virus, geopolitical conflict between Russia and Ukraine, and escalated trade tensions and supply constraints on Magnachip’s fourth quarter 2022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and/or general economic conditions, including those caused by or related to inflation, potential recessions or other deteriorations, economic instability or civil unrest; the COVID-19 pandemic or the emergence of various variants of the virus or other outbreaks of disease, and governmental lock-downs or other measures implemented in response thereto, and the Russia-Ukraine conflict;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conflict;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U.S. Securities and Exchange Commission (the “SEC”), including our Form 10-K filed on February 23, 2022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868"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864" w:right="45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34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62,771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91,288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117,415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248,069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333,589</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28,599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30,306</w:t>
            </w:r>
          </w:p>
        </w:tc>
      </w:tr>
      <w:tr>
        <w:trPr>
          <w:trHeight w:val="223"/>
        </w:trPr>
        <w:tc>
          <w:tcPr>
            <w:tcW w:w="4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71,199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276,668</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363,895</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45,497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63,620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71,641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165,197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221,297</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Cost of sales – transitional Fab 3 foundry services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8,477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26,305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27,659</w:t>
            </w:r>
          </w:p>
        </w:tc>
      </w:tr>
      <w:tr>
        <w:trPr>
          <w:trHeight w:val="230"/>
        </w:trPr>
        <w:tc>
          <w:tcPr>
            <w:tcW w:w="434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191,502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248,956</w:t>
            </w:r>
          </w:p>
        </w:tc>
        <w:tc>
          <w:tcPr>
            <w:tcW w:w="22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17,225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85,166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114,939</w:t>
            </w: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11,411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38,310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39,185</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13,321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38,685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39,015</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13,842</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3,360</w:t>
            </w:r>
          </w:p>
        </w:tc>
      </w:tr>
      <w:tr>
        <w:trPr>
          <w:trHeight w:val="27"/>
        </w:trPr>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27,233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26,943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80,293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95,402</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19,537</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w:t>
            </w: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10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(12,809)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1"/>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2,839</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(3,942)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(11,007</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2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3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w w:val="86"/>
              </w:rPr>
              <w:t>44,865,266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44,897,278</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46,449,234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Arial" w:cs="Arial" w:eastAsia="Arial" w:hAnsi="Arial"/>
                <w:sz w:val="18"/>
                <w:szCs w:val="18"/>
                <w:color w:val="auto"/>
                <w:w w:val="86"/>
              </w:rPr>
              <w:t>45,119,214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44,377,250</w:t>
            </w:r>
          </w:p>
        </w:tc>
      </w:tr>
      <w:tr>
        <w:trPr>
          <w:trHeight w:val="216"/>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6"/>
              </w:rPr>
              <w:t>44,865,266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44,897,278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47,808,457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6"/>
              </w:rPr>
              <w:t>45,119,214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45,811,792</w:t>
            </w:r>
          </w:p>
        </w:tc>
      </w:tr>
      <w:tr>
        <w:trPr>
          <w:trHeight w:val="36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864" w:right="439" w:bottom="1440" w:gutter="0" w:footer="0" w:header="0"/>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gridSpan w:val="5"/>
          </w:tcPr>
          <w:p>
            <w:pPr>
              <w:jc w:val="right"/>
              <w:ind w:right="271"/>
              <w:spacing w:after="0" w:line="155" w:lineRule="exact"/>
              <w:rPr>
                <w:sz w:val="20"/>
                <w:szCs w:val="20"/>
                <w:color w:val="auto"/>
              </w:rPr>
            </w:pPr>
            <w:r>
              <w:rPr>
                <w:rFonts w:ascii="Arial" w:cs="Arial" w:eastAsia="Arial" w:hAnsi="Arial"/>
                <w:sz w:val="14"/>
                <w:szCs w:val="14"/>
                <w:b w:val="1"/>
                <w:bCs w:val="1"/>
                <w:color w:val="auto"/>
                <w:w w:val="96"/>
              </w:rPr>
              <w:t>(In thousands of U.S. dollars, 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250,831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279,547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36,759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39,370</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8,248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15,370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20,208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379,036</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94,411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107,882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4,928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11,382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34,299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10,382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536,208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26,545</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14,809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15,800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1,324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23"/>
        </w:trPr>
        <w:tc>
          <w:tcPr>
            <w:tcW w:w="6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74,359</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28,036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33,064</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3,811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16,787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10,395</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122,993</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stock, $0.01 par value, 150,000,000 shares authorized, 56,234,774 shares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issued and 44,579,075 outstanding at September 30, 2022 and 55,905,320 shares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45,659,304 outstanding at December 31, 2021</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562</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264,510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241,197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343,542</w:t>
            </w:r>
          </w:p>
        </w:tc>
        <w:tc>
          <w:tcPr>
            <w:tcW w:w="0" w:type="dxa"/>
            <w:vAlign w:val="bottom"/>
          </w:tcPr>
          <w:p>
            <w:pPr>
              <w:spacing w:after="0"/>
              <w:rPr>
                <w:sz w:val="1"/>
                <w:szCs w:val="1"/>
                <w:color w:val="auto"/>
              </w:rPr>
            </w:pPr>
          </w:p>
        </w:tc>
      </w:tr>
      <w:tr>
        <w:trPr>
          <w:trHeight w:val="202"/>
        </w:trPr>
        <w:tc>
          <w:tcPr>
            <w:tcW w:w="6800" w:type="dxa"/>
            <w:vAlign w:val="bottom"/>
          </w:tcPr>
          <w:p>
            <w:pPr>
              <w:ind w:left="360"/>
              <w:spacing w:after="0" w:line="201" w:lineRule="exact"/>
              <w:rPr>
                <w:sz w:val="20"/>
                <w:szCs w:val="20"/>
                <w:color w:val="auto"/>
              </w:rPr>
            </w:pPr>
            <w:r>
              <w:rPr>
                <w:rFonts w:ascii="Arial" w:cs="Arial" w:eastAsia="Arial" w:hAnsi="Arial"/>
                <w:sz w:val="18"/>
                <w:szCs w:val="18"/>
                <w:color w:val="auto"/>
                <w:w w:val="95"/>
              </w:rPr>
              <w:t>Treasury stock, 11,655,699 shares at September 30, 2022 and 10,246,016 shares at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540"/>
              <w:spacing w:after="0"/>
              <w:rPr>
                <w:sz w:val="20"/>
                <w:szCs w:val="20"/>
                <w:color w:val="auto"/>
              </w:rPr>
            </w:pPr>
            <w:r>
              <w:rPr>
                <w:rFonts w:ascii="Arial" w:cs="Arial" w:eastAsia="Arial" w:hAnsi="Arial"/>
                <w:sz w:val="18"/>
                <w:szCs w:val="18"/>
                <w:color w:val="auto"/>
              </w:rPr>
              <w:t>December 31, 2021, respectively</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(152,161)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(130,306)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(32,231)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413,215</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452,762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536,208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583,654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64"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182880</wp:posOffset>
            </wp:positionV>
            <wp:extent cx="1285875"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257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Nine Months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(17,195)</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(11,007)</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11,225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5,163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66,335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Provision for inventory reserves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4,487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20,182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7,805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(13,208)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17,115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(14,117)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(17,221)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(14,792)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(16,192)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(6,215)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8,575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(11,483)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(1,583)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(4,181)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2,805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(15,282)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(2,075)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(25,873)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1,786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(5,065)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(3,710)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48"/>
              <w:spacing w:after="0"/>
              <w:rPr>
                <w:sz w:val="20"/>
                <w:szCs w:val="20"/>
                <w:color w:val="auto"/>
              </w:rPr>
            </w:pPr>
            <w:r>
              <w:rPr>
                <w:rFonts w:ascii="Arial" w:cs="Arial" w:eastAsia="Arial" w:hAnsi="Arial"/>
                <w:sz w:val="18"/>
                <w:szCs w:val="18"/>
                <w:color w:val="auto"/>
              </w:rPr>
              <w:t>(49,377)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(28,716)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273,797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279,547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279,940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End of the period</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276,301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864"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183515</wp:posOffset>
            </wp:positionV>
            <wp:extent cx="128587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321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OPERATING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7"/>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4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June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3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6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$ 2,002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20,001</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Inventory reserve related to Huawei</w:t>
            </w: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3,360</w:t>
            </w:r>
          </w:p>
        </w:tc>
      </w:tr>
      <w:tr>
        <w:trPr>
          <w:trHeight w:val="27"/>
        </w:trPr>
        <w:tc>
          <w:tcPr>
            <w:tcW w:w="5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(6,646)</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4,787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12,658</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41,714</w:t>
            </w: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present Adjusted Operating Income (Loss) as a supplemental measure of our performance. We define Adjusted Operating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 for the periods indicated as operating income (loss) adjusted to exclude (i) Equity-based compensation expense (ii) Inventory reserve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Huawei (iii) Merger-related costs and (iv) Other charges, net. For the three and nine months ended September 30, 2022, Other charges, net includes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of one-time employee incentives, in each period, and professional service fees and expenses of $0.2 million and $1.0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in connection with certain strategic evaluations, both of which were offset in part by a $0.5 million gain on sale of certain legacy equipment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closed back-end line in our fabrication facility in Gumi. For the three and nine months ended September 30, 2021, Other charges, net includes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professional service fees and expenses of $0.2 million and $3.4 million, respectively, incurred in connection with the regulatory requests.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864"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5986145</wp:posOffset>
            </wp:positionH>
            <wp:positionV relativeFrom="page">
              <wp:posOffset>183515</wp:posOffset>
            </wp:positionV>
            <wp:extent cx="128587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8321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(LOSS)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(3,942)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10,576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17,056</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Foreign currency loss,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7,579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gain,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Inventory reserve related to Huawei</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52,557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10,768</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Derivative valuation gain,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related to Huawei</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Merger-related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7,512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10,567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36,453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Adjusted Net Income per common share—</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44,865,266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44,897,278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46,449,234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45,119,214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44,377,250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45,747,255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45,937,515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47,808,457</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46,134,231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47,718,578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140" w:firstLine="991"/>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net,</w:t>
      </w:r>
    </w:p>
    <w:p>
      <w:pPr>
        <w:ind w:left="4" w:right="540" w:hanging="4"/>
        <w:spacing w:after="0" w:line="323"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color w:val="auto"/>
        </w:rPr>
        <w:t>Derivative valuation gain, net, (iv) Inventory reserve related to Huawei, (v) Merger-related costs and (vi) Other charges, net. EBITDA for the periods indicated is defined as net income (loss) before interest income, net, income tax expense (benefit) and depreciation and amortization.</w:t>
      </w:r>
    </w:p>
    <w:p>
      <w:pPr>
        <w:spacing w:after="0" w:line="138"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 (i) Equity-based compensation expense, (ii) Foreign currency loss, net,</w:t>
      </w:r>
    </w:p>
    <w:p>
      <w:pPr>
        <w:spacing w:after="0" w:line="1" w:lineRule="exact"/>
        <w:rPr>
          <w:sz w:val="20"/>
          <w:szCs w:val="20"/>
          <w:color w:val="auto"/>
        </w:rPr>
      </w:pPr>
    </w:p>
    <w:p>
      <w:pPr>
        <w:ind w:left="4" w:right="100" w:hanging="4"/>
        <w:spacing w:after="0" w:line="260"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valuation gain, net, (iv) Inventory reserve related to Huawei, (v) Merger-related costs, (vi) Other charges, net and (vii) Income tax effect on non-GAAP adjustments.</w:t>
      </w:r>
    </w:p>
    <w:p>
      <w:pPr>
        <w:spacing w:after="0" w:line="185" w:lineRule="exact"/>
        <w:rPr>
          <w:sz w:val="20"/>
          <w:szCs w:val="20"/>
          <w:color w:val="auto"/>
        </w:rPr>
      </w:pPr>
    </w:p>
    <w:p>
      <w:pPr>
        <w:ind w:left="4" w:right="260" w:firstLine="991"/>
        <w:spacing w:after="0" w:line="286" w:lineRule="auto"/>
        <w:rPr>
          <w:sz w:val="20"/>
          <w:szCs w:val="20"/>
          <w:color w:val="auto"/>
        </w:rPr>
      </w:pPr>
      <w:r>
        <w:rPr>
          <w:rFonts w:ascii="Arial" w:cs="Arial" w:eastAsia="Arial" w:hAnsi="Arial"/>
          <w:sz w:val="16"/>
          <w:szCs w:val="16"/>
          <w:color w:val="auto"/>
        </w:rPr>
        <w:t>For the three and nine months ended September 30, 2022, Other charges, net includes $2.8 million of one-time 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back-end line in our fabrication facility in Gumi. For the three and nine months ended September 30, 2021, Other charges, net includes professional service fees and expenses of</w:t>
      </w:r>
    </w:p>
    <w:p>
      <w:pPr>
        <w:spacing w:after="0" w:line="1"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$0.2 million and $3.4 million, respectively, incurred in connection with the regulatory requests, both of which were offset in part by a $0.7 million legal settlement gain related to certain expenses incurred in prior periods in connection with our legacy Fab 4 (which was sold during the year ended December 31, 2020) and awarded in the third quarter of 2021.</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sectPr>
      <w:pgSz w:w="11900" w:h="16838" w:orient="portrait"/>
      <w:cols w:equalWidth="0" w:num="1">
        <w:col w:w="11024"/>
      </w:cols>
      <w:pgMar w:left="436" w:top="8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2022-11-02T16:03:15Z</dcterms:created>
  <dcterms:modified xsi:type="dcterms:W3CDTF">2022-11-02T16:03:15Z</dcterms:modified>
</cp:coreProperties>
</file>