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6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63"/>
        <w:spacing w:after="0"/>
        <w:rPr>
          <w:sz w:val="20"/>
          <w:szCs w:val="20"/>
          <w:color w:val="auto"/>
        </w:rPr>
      </w:pPr>
      <w:r>
        <w:rPr>
          <w:rFonts w:ascii="Arial" w:cs="Arial" w:eastAsia="Arial" w:hAnsi="Arial"/>
          <w:sz w:val="22"/>
          <w:szCs w:val="22"/>
          <w:b w:val="1"/>
          <w:bCs w:val="1"/>
          <w:color w:val="auto"/>
        </w:rPr>
        <w:t>Specialized Disclosure Report</w:t>
      </w:r>
    </w:p>
    <w:p>
      <w:pPr>
        <w:spacing w:after="0" w:line="190" w:lineRule="exact"/>
        <w:rPr>
          <w:sz w:val="24"/>
          <w:szCs w:val="24"/>
          <w:color w:val="auto"/>
        </w:rPr>
      </w:pPr>
    </w:p>
    <w:p>
      <w:pPr>
        <w:jc w:val="center"/>
        <w:ind w:right="-263"/>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263"/>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744"/>
          </w:cols>
          <w:pgMar w:left="436" w:top="368" w:right="719" w:bottom="1440" w:gutter="0" w:footer="0" w:header="0"/>
        </w:sectPr>
      </w:pPr>
    </w:p>
    <w:p>
      <w:pPr>
        <w:spacing w:after="0" w:line="232"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1920"/>
          </w:cols>
          <w:pgMar w:left="436" w:top="368" w:right="719" w:bottom="1440" w:gutter="0" w:footer="0" w:header="0"/>
          <w:type w:val="continuous"/>
        </w:sectPr>
      </w:pPr>
    </w:p>
    <w:p>
      <w:pPr>
        <w:spacing w:after="0" w:line="12" w:lineRule="exact"/>
        <w:rPr>
          <w:sz w:val="24"/>
          <w:szCs w:val="24"/>
          <w:color w:val="auto"/>
        </w:rPr>
      </w:pPr>
    </w:p>
    <w:p>
      <w:pPr>
        <w:ind w:left="964"/>
        <w:spacing w:after="0"/>
        <w:rPr>
          <w:sz w:val="20"/>
          <w:szCs w:val="20"/>
          <w:color w:val="auto"/>
        </w:rPr>
      </w:pPr>
      <w:r>
        <w:rPr>
          <w:rFonts w:ascii="Arial" w:cs="Arial" w:eastAsia="Arial" w:hAnsi="Arial"/>
          <w:sz w:val="13"/>
          <w:szCs w:val="13"/>
          <w:b w:val="1"/>
          <w:bCs w:val="1"/>
          <w:color w:val="auto"/>
        </w:rPr>
        <w:t>(State or other jurisdiction of</w:t>
      </w:r>
    </w:p>
    <w:p>
      <w:pPr>
        <w:ind w:left="92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368" w:right="719" w:bottom="1440" w:gutter="0" w:footer="0" w:header="0"/>
          <w:type w:val="continuous"/>
        </w:sectPr>
      </w:pPr>
    </w:p>
    <w:p>
      <w:pPr>
        <w:spacing w:after="0" w:line="1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6"/>
          <w:szCs w:val="16"/>
          <w:b w:val="1"/>
          <w:bCs w:val="1"/>
          <w:color w:val="auto"/>
        </w:rPr>
        <w:t>Luxembourg, Grand Duchy of Luxembourg</w:t>
      </w:r>
    </w:p>
    <w:p>
      <w:pPr>
        <w:spacing w:after="0" w:line="25"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0744"/>
          </w:cols>
          <w:pgMar w:left="436" w:top="368" w:right="719" w:bottom="1440" w:gutter="0" w:footer="0" w:header="0"/>
          <w:type w:val="continuous"/>
        </w:sectPr>
      </w:pPr>
    </w:p>
    <w:p>
      <w:pPr>
        <w:spacing w:after="0" w:line="192"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Theodore S. Kim</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Chief Compliance Officer, Executive Vice President, General Counsel and Secretary</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c/o Magnachip Semiconductor, Ltd.</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V-Plex Bldg., 15F, 501, Teheran-ro, Gangnam-gu,</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Seoul, Republic of Korea, 06168</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Telephone: +82-2-6903-3666</w:t>
      </w:r>
    </w:p>
    <w:p>
      <w:pPr>
        <w:spacing w:after="0" w:line="9"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Fax: +82-2-6903-5093</w:t>
      </w:r>
    </w:p>
    <w:p>
      <w:pPr>
        <w:spacing w:after="0" w:line="2" w:lineRule="exact"/>
        <w:rPr>
          <w:sz w:val="24"/>
          <w:szCs w:val="24"/>
          <w:color w:val="auto"/>
        </w:rPr>
      </w:pPr>
    </w:p>
    <w:p>
      <w:pPr>
        <w:ind w:left="2364"/>
        <w:spacing w:after="0"/>
        <w:rPr>
          <w:sz w:val="20"/>
          <w:szCs w:val="20"/>
          <w:color w:val="auto"/>
        </w:rPr>
      </w:pPr>
      <w:r>
        <w:rPr>
          <w:rFonts w:ascii="Arial" w:cs="Arial" w:eastAsia="Arial" w:hAnsi="Arial"/>
          <w:sz w:val="14"/>
          <w:szCs w:val="14"/>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type w:val="continuous"/>
        </w:sectPr>
      </w:pPr>
    </w:p>
    <w:bookmarkStart w:id="1" w:name="page2"/>
    <w:bookmarkEnd w:id="1"/>
    <w:p>
      <w:pPr>
        <w:ind w:left="4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Conflict Minerals Disclosure</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Magnachip Semiconductor Corporation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xml:space="preserve">”) regarding the conflict minerals included in its products for the reporting period from January 1, 2021 to December 31, 2021. The results of the Company’s RCOI regarding the conflict minerals included in its products, as well as its additional due diligence regarding the sources of such conflict minerals, are contained in the Company’s Conflict Minerals Report, a copy of which is filed as Exhibit 1.01 to this Form SD, and is publicly available at </w:t>
      </w:r>
      <w:r>
        <w:rPr>
          <w:rFonts w:ascii="Arial" w:cs="Arial" w:eastAsia="Arial" w:hAnsi="Arial"/>
          <w:sz w:val="17"/>
          <w:szCs w:val="17"/>
          <w:i w:val="1"/>
          <w:iCs w:val="1"/>
          <w:color w:val="auto"/>
        </w:rPr>
        <w:t>https://www.magnachip.com/about-us/corporate-responsibility/sustainability/conflict-mineral/</w:t>
      </w:r>
      <w:r>
        <w:rPr>
          <w:rFonts w:ascii="Arial" w:cs="Arial" w:eastAsia="Arial" w:hAnsi="Arial"/>
          <w:sz w:val="17"/>
          <w:szCs w:val="17"/>
          <w:color w:val="auto"/>
        </w:rPr>
        <w:t>. The content on, or accessible through, any web site referred to in this Form SD is not incorporated by reference into this Form SD unless expressly noted.</w:t>
      </w:r>
    </w:p>
    <w:p>
      <w:pPr>
        <w:spacing w:after="0" w:line="32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As specified in Section 2 of Form SD, the Company is hereby filing its Conflict Minerals Report required by Items 1.01 and 1.02 as Exhibit 1.01 to this Form SD.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 is filed as part of this Form SD.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0" w:type="dxa"/>
            <w:vAlign w:val="bottom"/>
            <w:tcBorders>
              <w:bottom w:val="single" w:sz="8" w:color="auto"/>
            </w:tcBorders>
            <w:gridSpan w:val="2"/>
          </w:tcPr>
          <w:p>
            <w:pPr>
              <w:ind w:left="406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3"/>
                <w:szCs w:val="23"/>
                <w:color w:val="auto"/>
              </w:rPr>
            </w:pPr>
          </w:p>
        </w:tc>
        <w:tc>
          <w:tcPr>
            <w:tcW w:w="94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Conflict Minerals Report of Magnachip Semiconductor Corporation for the reporting period from January 1, 2021 to December 31,</w:t>
              </w:r>
            </w:hyperlink>
          </w:p>
        </w:tc>
        <w:tc>
          <w:tcPr>
            <w:tcW w:w="100" w:type="dxa"/>
            <w:vAlign w:val="bottom"/>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1100" w:type="dxa"/>
            <w:vAlign w:val="bottom"/>
            <w:gridSpan w:val="2"/>
          </w:tcPr>
          <w:p>
            <w:pPr>
              <w:ind w:left="74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2021</w:t>
              </w:r>
            </w:hyperlink>
          </w:p>
        </w:tc>
        <w:tc>
          <w:tcPr>
            <w:tcW w:w="9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9100" w:type="dxa"/>
            <w:vAlign w:val="bottom"/>
          </w:tcPr>
          <w:p>
            <w:pPr>
              <w:jc w:val="right"/>
              <w:ind w:right="529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CORPORATION</w:t>
            </w:r>
          </w:p>
        </w:tc>
        <w:tc>
          <w:tcPr>
            <w:tcW w:w="6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By:  /s/ Theodore S. Kim</w:t>
            </w:r>
          </w:p>
        </w:tc>
        <w:tc>
          <w:tcPr>
            <w:tcW w:w="68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May 27, 2022</w:t>
            </w:r>
          </w:p>
        </w:tc>
      </w:tr>
      <w:tr>
        <w:trPr>
          <w:trHeight w:val="209"/>
        </w:trPr>
        <w:tc>
          <w:tcPr>
            <w:tcW w:w="4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Theodore S. Kim</w:t>
            </w:r>
          </w:p>
        </w:tc>
        <w:tc>
          <w:tcPr>
            <w:tcW w:w="680" w:type="dxa"/>
            <w:vAlign w:val="bottom"/>
          </w:tcPr>
          <w:p>
            <w:pPr>
              <w:spacing w:after="0"/>
              <w:rPr>
                <w:sz w:val="18"/>
                <w:szCs w:val="18"/>
                <w:color w:val="auto"/>
              </w:rPr>
            </w:pPr>
          </w:p>
        </w:tc>
        <w:tc>
          <w:tcPr>
            <w:tcW w:w="4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r>
      <w:tr>
        <w:trPr>
          <w:trHeight w:val="216"/>
        </w:trPr>
        <w:tc>
          <w:tcPr>
            <w:tcW w:w="4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Compliance Officer, Executive Vice President, General</w:t>
            </w:r>
          </w:p>
        </w:tc>
        <w:tc>
          <w:tcPr>
            <w:tcW w:w="68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Counsel and Secretary</w:t>
            </w:r>
          </w:p>
        </w:tc>
        <w:tc>
          <w:tcPr>
            <w:tcW w:w="6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64"/>
        </w:trPr>
        <w:tc>
          <w:tcPr>
            <w:tcW w:w="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2021 to December 31, 2021</w:t>
      </w:r>
    </w:p>
    <w:p>
      <w:pPr>
        <w:spacing w:after="0" w:line="21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Magnachip Semiconductor Corporation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been prepared pursuant to Rule 13p-1 and Form SD promulgated under the Securities Exchange Act of 1934 for the reporting period from January 1, 2021 to December 31, 2021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292"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w:t>
      </w:r>
    </w:p>
    <w:p>
      <w:pPr>
        <w:spacing w:after="0" w:line="166"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7"/>
          <w:szCs w:val="17"/>
          <w:b w:val="1"/>
          <w:bCs w:val="1"/>
          <w:i w:val="1"/>
          <w:iCs w:val="1"/>
          <w:color w:val="auto"/>
        </w:rPr>
        <w:t>conflict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minerals</w:t>
      </w:r>
      <w:r>
        <w:rPr>
          <w:rFonts w:ascii="Arial" w:cs="Arial" w:eastAsia="Arial" w:hAnsi="Arial"/>
          <w:sz w:val="17"/>
          <w:szCs w:val="17"/>
          <w:color w:val="auto"/>
        </w:rPr>
        <w:t>” as: (i)(a) columbite-tantalite (or coltan, the metal ore from which tantalum is extracted), (b) cassiterite (the metal ore from which tin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7"/>
          <w:szCs w:val="17"/>
          <w:b w:val="1"/>
          <w:bCs w:val="1"/>
          <w:i w:val="1"/>
          <w:iCs w:val="1"/>
          <w:color w:val="auto"/>
        </w:rPr>
        <w:t>Covered Countries</w:t>
      </w:r>
      <w:r>
        <w:rPr>
          <w:rFonts w:ascii="Arial" w:cs="Arial" w:eastAsia="Arial" w:hAnsi="Arial"/>
          <w:sz w:val="17"/>
          <w:szCs w:val="17"/>
          <w:color w:val="auto"/>
        </w:rPr>
        <w:t>”).</w:t>
      </w:r>
    </w:p>
    <w:p>
      <w:pPr>
        <w:spacing w:after="0" w:line="178"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The Company’s business is currently conducted through its standard products business, which consists of the Display Solutions and Power Solutions business lines.</w:t>
      </w:r>
    </w:p>
    <w:p>
      <w:pPr>
        <w:spacing w:after="0" w:line="170"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The Company’s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organic light emitting diodes (OLED), and micro light emitting diode (microLED) televisions. The Company’s Display Solutions products support the industry’s most advanced display technologies, such as OLEDs, low temperature polysilicons thin film transistors (LTPS TFTs), as well as high-volume display technologies such as amorphous silicon thin film transistors (a-SiTFTs). Since 2007, the Company has designed and manufactured OLED display driver integrated circuit (IC) products. The Company’s current portfolio of OLED solutions address a wide range of resolutions ranging from High Definition (HD) to Wide Quad High Definition (WQHD) for applications including smartphones, TVs, and other mobile devices.</w:t>
      </w:r>
    </w:p>
    <w:p>
      <w:pPr>
        <w:spacing w:after="0" w:line="178" w:lineRule="exact"/>
        <w:rPr>
          <w:sz w:val="20"/>
          <w:szCs w:val="20"/>
          <w:color w:val="auto"/>
        </w:rPr>
      </w:pPr>
    </w:p>
    <w:p>
      <w:pPr>
        <w:ind w:right="320" w:firstLine="440"/>
        <w:spacing w:after="0" w:line="273" w:lineRule="auto"/>
        <w:rPr>
          <w:sz w:val="20"/>
          <w:szCs w:val="20"/>
          <w:color w:val="auto"/>
        </w:rPr>
      </w:pPr>
      <w:r>
        <w:rPr>
          <w:rFonts w:ascii="Arial" w:cs="Arial" w:eastAsia="Arial" w:hAnsi="Arial"/>
          <w:sz w:val="17"/>
          <w:szCs w:val="17"/>
          <w:color w:val="auto"/>
        </w:rPr>
        <w:t>The Company’s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AC-DC/ DC-DC 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e-bikes, photovoltaic inverters, LED lighting, and motor drives.</w:t>
      </w:r>
    </w:p>
    <w:p>
      <w:pPr>
        <w:spacing w:after="0" w:line="178" w:lineRule="exact"/>
        <w:rPr>
          <w:sz w:val="20"/>
          <w:szCs w:val="20"/>
          <w:color w:val="auto"/>
        </w:rPr>
      </w:pPr>
    </w:p>
    <w:p>
      <w:pPr>
        <w:ind w:right="300" w:firstLine="440"/>
        <w:spacing w:after="0" w:line="342" w:lineRule="auto"/>
        <w:rPr>
          <w:sz w:val="20"/>
          <w:szCs w:val="20"/>
          <w:color w:val="auto"/>
        </w:rPr>
      </w:pPr>
      <w:r>
        <w:rPr>
          <w:rFonts w:ascii="Arial" w:cs="Arial" w:eastAsia="Arial" w:hAnsi="Arial"/>
          <w:sz w:val="16"/>
          <w:szCs w:val="16"/>
          <w:color w:val="auto"/>
        </w:rPr>
        <w:t>The Company’s operations during the Reporting Period may have at times manufactured, or contracted to manufacture, products, including the products listed above, for which conflict minerals are necessary to the functionality or production of those products (collectively, the “</w:t>
      </w:r>
      <w:r>
        <w:rPr>
          <w:rFonts w:ascii="Arial" w:cs="Arial" w:eastAsia="Arial" w:hAnsi="Arial"/>
          <w:sz w:val="16"/>
          <w:szCs w:val="16"/>
          <w:b w:val="1"/>
          <w:bCs w:val="1"/>
          <w:i w:val="1"/>
          <w:iCs w:val="1"/>
          <w:color w:val="auto"/>
        </w:rPr>
        <w:t>products</w:t>
      </w:r>
      <w:r>
        <w:rPr>
          <w:rFonts w:ascii="Arial" w:cs="Arial" w:eastAsia="Arial" w:hAnsi="Arial"/>
          <w:sz w:val="16"/>
          <w:szCs w:val="16"/>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4" w:name="page5"/>
    <w:bookmarkEnd w:id="4"/>
    <w:p>
      <w:pPr>
        <w:ind w:left="4" w:right="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required by Form SD, the Company has conducted a good faith reasonable country of origin inquiry (“</w:t>
      </w:r>
      <w:r>
        <w:rPr>
          <w:rFonts w:ascii="Arial" w:cs="Arial" w:eastAsia="Arial" w:hAnsi="Arial"/>
          <w:sz w:val="16"/>
          <w:szCs w:val="16"/>
          <w:b w:val="1"/>
          <w:bCs w:val="1"/>
          <w:i w:val="1"/>
          <w:iCs w:val="1"/>
          <w:color w:val="auto"/>
        </w:rPr>
        <w:t>RCOI</w:t>
      </w:r>
      <w:r>
        <w:rPr>
          <w:rFonts w:ascii="Arial" w:cs="Arial" w:eastAsia="Arial" w:hAnsi="Arial"/>
          <w:sz w:val="16"/>
          <w:szCs w:val="16"/>
          <w:color w:val="auto"/>
        </w:rPr>
        <w:t>”) regarding the conflict minerals included in such products during the Reporting Period, which the Company refers to as the “</w:t>
      </w:r>
      <w:r>
        <w:rPr>
          <w:rFonts w:ascii="Arial" w:cs="Arial" w:eastAsia="Arial" w:hAnsi="Arial"/>
          <w:sz w:val="16"/>
          <w:szCs w:val="16"/>
          <w:b w:val="1"/>
          <w:bCs w:val="1"/>
          <w:i w:val="1"/>
          <w:iCs w:val="1"/>
          <w:color w:val="auto"/>
        </w:rPr>
        <w:t>Subject Minerals</w:t>
      </w:r>
      <w:r>
        <w:rPr>
          <w:rFonts w:ascii="Arial" w:cs="Arial" w:eastAsia="Arial" w:hAnsi="Arial"/>
          <w:sz w:val="16"/>
          <w:szCs w:val="16"/>
          <w:color w:val="auto"/>
        </w:rPr>
        <w:t xml:space="preserve">,”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t>
      </w:r>
      <w:r>
        <w:rPr>
          <w:rFonts w:ascii="Arial" w:cs="Arial" w:eastAsia="Arial" w:hAnsi="Arial"/>
          <w:sz w:val="16"/>
          <w:szCs w:val="16"/>
          <w:i w:val="1"/>
          <w:iCs w:val="1"/>
          <w:color w:val="auto"/>
        </w:rPr>
        <w:t>https://www.magnachip.com/about-us/corporate-responsibility/sustainability/conflict-mineral/</w:t>
      </w:r>
      <w:r>
        <w:rPr>
          <w:rFonts w:ascii="Arial" w:cs="Arial" w:eastAsia="Arial" w:hAnsi="Arial"/>
          <w:sz w:val="16"/>
          <w:szCs w:val="16"/>
          <w:color w:val="auto"/>
        </w:rPr>
        <w:t>. The content on, or accessible through, any web site referred to in this Report is not incorporated by reference into this Report unless expressly noted.</w:t>
      </w:r>
    </w:p>
    <w:p>
      <w:pPr>
        <w:spacing w:after="0" w:line="31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RCOI and Due Diligence Process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180" w:firstLine="440"/>
        <w:spacing w:after="0" w:line="293" w:lineRule="auto"/>
        <w:rPr>
          <w:sz w:val="20"/>
          <w:szCs w:val="20"/>
          <w:color w:val="auto"/>
        </w:rPr>
      </w:pPr>
      <w:r>
        <w:rPr>
          <w:rFonts w:ascii="Arial" w:cs="Arial" w:eastAsia="Arial" w:hAnsi="Arial"/>
          <w:sz w:val="16"/>
          <w:szCs w:val="16"/>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The Company also exercised due diligence on the source of the Subject Minerals. The Company’s due diligence measures have been designed to follow the framework in the Organization for Economic Co-operation and Development Due Diligence Guidance for Responsible Supply Chains of Minerals from Conflict-Affected and High Risk Areas, including the related supplements on gold, tin, tantalum and tungsten (the “</w:t>
      </w:r>
      <w:r>
        <w:rPr>
          <w:rFonts w:ascii="Arial" w:cs="Arial" w:eastAsia="Arial" w:hAnsi="Arial"/>
          <w:sz w:val="16"/>
          <w:szCs w:val="16"/>
          <w:b w:val="1"/>
          <w:bCs w:val="1"/>
          <w:i w:val="1"/>
          <w:iCs w:val="1"/>
          <w:color w:val="auto"/>
        </w:rPr>
        <w:t>OECD Guidelines</w:t>
      </w:r>
      <w:r>
        <w:rPr>
          <w:rFonts w:ascii="Arial" w:cs="Arial" w:eastAsia="Arial" w:hAnsi="Arial"/>
          <w:sz w:val="16"/>
          <w:szCs w:val="16"/>
          <w:color w:val="auto"/>
        </w:rPr>
        <w:t>”).</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RCOI</w:t>
      </w:r>
    </w:p>
    <w:p>
      <w:pPr>
        <w:spacing w:after="0" w:line="121"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or products manufactured by the Company. Because the Company does not purchase conflict minerals directly from mines, smelters or refiners, there are many third parties in the supply chain between the Company and the original sources of conflict minerals. As a result, the Company relies on its suppliers and outsourcing manufacturers to provide information regarding the origin of any conflict minerals that are included in its products. In accordance with the OECD Guidelines and related guidance provided by the SEC, the Company worked with its suppliers and outsourcing manufacturers to identify, where possible, the smelters and countries of origin of the Subject Minerals.</w:t>
      </w:r>
    </w:p>
    <w:p>
      <w:pPr>
        <w:spacing w:after="0" w:line="195"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During the Reporting Period, the Company worked to identify its Tier 1 suppliers and outsourcing manufacturers that it believed could potentially provide materials or components containing Subject Minerals (collectively, the “ </w:t>
      </w:r>
      <w:r>
        <w:rPr>
          <w:rFonts w:ascii="Arial" w:cs="Arial" w:eastAsia="Arial" w:hAnsi="Arial"/>
          <w:sz w:val="16"/>
          <w:szCs w:val="16"/>
          <w:b w:val="1"/>
          <w:bCs w:val="1"/>
          <w:i w:val="1"/>
          <w:iCs w:val="1"/>
          <w:color w:val="auto"/>
        </w:rPr>
        <w:t>Covered Suppliers</w:t>
      </w:r>
      <w:r>
        <w:rPr>
          <w:rFonts w:ascii="Arial" w:cs="Arial" w:eastAsia="Arial" w:hAnsi="Arial"/>
          <w:sz w:val="16"/>
          <w:szCs w:val="16"/>
          <w:color w:val="auto"/>
        </w:rPr>
        <w:t xml:space="preserve"> ”) as part of its RCOI. The Company focused on its suppliers providing materials or components for products that the Company identified as containing Subject Minerals and all of its outsourcing manufacturers. During the Reporting Period, the Company asked the Covered Suppliers to complete and return the Conflict Minerals Reporting Template (“</w:t>
      </w:r>
      <w:r>
        <w:rPr>
          <w:rFonts w:ascii="Arial" w:cs="Arial" w:eastAsia="Arial" w:hAnsi="Arial"/>
          <w:sz w:val="16"/>
          <w:szCs w:val="16"/>
          <w:b w:val="1"/>
          <w:bCs w:val="1"/>
          <w:i w:val="1"/>
          <w:iCs w:val="1"/>
          <w:color w:val="auto"/>
        </w:rPr>
        <w:t>CMRT</w:t>
      </w:r>
      <w:r>
        <w:rPr>
          <w:rFonts w:ascii="Arial" w:cs="Arial" w:eastAsia="Arial" w:hAnsi="Arial"/>
          <w:sz w:val="16"/>
          <w:szCs w:val="16"/>
          <w:color w:val="auto"/>
        </w:rPr>
        <w:t xml:space="preserve"> ”) that was developed by the Responsible Minerals Initiative (formerly the Conflict-Free Sourcing Initiative) (the “ </w:t>
      </w:r>
      <w:r>
        <w:rPr>
          <w:rFonts w:ascii="Arial" w:cs="Arial" w:eastAsia="Arial" w:hAnsi="Arial"/>
          <w:sz w:val="16"/>
          <w:szCs w:val="16"/>
          <w:b w:val="1"/>
          <w:bCs w:val="1"/>
          <w:i w:val="1"/>
          <w:iCs w:val="1"/>
          <w:color w:val="auto"/>
        </w:rPr>
        <w:t>RMI</w:t>
      </w:r>
      <w:r>
        <w:rPr>
          <w:rFonts w:ascii="Arial" w:cs="Arial" w:eastAsia="Arial" w:hAnsi="Arial"/>
          <w:sz w:val="16"/>
          <w:szCs w:val="16"/>
          <w:color w:val="auto"/>
        </w:rPr>
        <w:t xml:space="preserve"> ”). The RMI was founded by the Responsible Business Alliance (RBA) (formerly the Electronic Industry Citizenship Coalition) and the Global e-Sustainability Initiative (GeSI) and has grown into a multi-industry initiative addressing conflict mineral issues in the supply chain. The CMRT is a widely-used standard form to collect information through the supply chain, including the names of smelters and refiners of conflict minerals. The RMI’s Responsible Minerals Assurance Process (formerly the Conflict-Free Smelter Program) (the “</w:t>
      </w:r>
      <w:r>
        <w:rPr>
          <w:rFonts w:ascii="Arial" w:cs="Arial" w:eastAsia="Arial" w:hAnsi="Arial"/>
          <w:sz w:val="16"/>
          <w:szCs w:val="16"/>
          <w:b w:val="1"/>
          <w:bCs w:val="1"/>
          <w:i w:val="1"/>
          <w:iCs w:val="1"/>
          <w:color w:val="auto"/>
        </w:rPr>
        <w:t>RMAP</w:t>
      </w:r>
      <w:r>
        <w:rPr>
          <w:rFonts w:ascii="Arial" w:cs="Arial" w:eastAsia="Arial" w:hAnsi="Arial"/>
          <w:sz w:val="16"/>
          <w:szCs w:val="16"/>
          <w:color w:val="auto"/>
        </w:rPr>
        <w:t>”) sponsors independent third-party audits of smelters and refiners of conflict minerals which determine the country of origin of minerals processed through those smelters and refiners.</w:t>
      </w:r>
    </w:p>
    <w:p>
      <w:pPr>
        <w:spacing w:after="0" w:line="168"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Using a risk-based approach, the Company evaluated responses from the Covered Suppliers for plausibility, consistency, and gaps both in terms of which materials or components were stated to contain or not contain Subject Minerals, as well as the origin of those Subject Minerals.</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5" w:name="page6"/>
    <w:bookmarkEnd w:id="5"/>
    <w:p>
      <w:pPr>
        <w:ind w:right="10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obtained representations from all of its Covered Suppliers, including completed CMRTs indicating the facilities at which the Subject Minerals were processed. Based on the information obtained pursuant to the RCOI process described above, however, the Company does not have sufficient information with respect to the Reporting Period to determine with specificity the country of origin of the Subject Minerals contained in the products. The Company’s RCOI procedures are an evolving process. See “Additional Due Diligence and Risk Mitigation” below for additional detail.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Company’s due diligence process is designed to follow the OECD Guidelines. Due diligence measures undertaken by the Company during the Reporting Period included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Team to Support Supply Chain Due Diligence.</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Company has an internal team, consisting of members from its supply management and legal departments, to manage conflict minerals engagement with its suppliers and outsourcing manufacturers. This team is charged with overseeing and driving conflict minerals compliance. This team also works with the Company’s other employees to provide training and guidance, receive and track responses and facilitate communication between departments with respect to compliance with the SEC’s reporting requirements regarding conflict minerals.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Policy Developed to Establish Expectations of Suppliers.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The Company has adopted and published a position statement establishing the expectations of its suppliers and outsourcing manufacturers to responsibly source products on a conflict-free basis. The position statement can be found on the Company’s website at </w:t>
      </w:r>
      <w:r>
        <w:rPr>
          <w:rFonts w:ascii="Arial" w:cs="Arial" w:eastAsia="Arial" w:hAnsi="Arial"/>
          <w:sz w:val="18"/>
          <w:szCs w:val="18"/>
          <w:i w:val="1"/>
          <w:iCs w:val="1"/>
          <w:color w:val="auto"/>
        </w:rPr>
        <w:t>https://www.magnachip.com/about-us/corporate-responsibility/social-responsibility/ethics-and-compliances/</w:t>
      </w:r>
      <w:r>
        <w:rPr>
          <w:rFonts w:ascii="Arial" w:cs="Arial" w:eastAsia="Arial" w:hAnsi="Arial"/>
          <w:sz w:val="18"/>
          <w:szCs w:val="18"/>
          <w:color w:val="auto"/>
        </w:rPr>
        <w:t>. The Company’s position statement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reviewed and updated as needed. The Company’s internal conflict minerals team also continually evaluates its supply agreements and purchasing procedures to determine whether additional contractual or other means of implementing the Company’s policy should be adopted as described below under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Company continues to assess its supply chain risks and work with its suppliers and outsourcing manufacturers in developing greater supply chain transparency.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and outsourcing manufacturers also works to address any significant due diligence findings as they arise.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11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Where possible, the Company has relied on third party assurances and certifications. For example, the Company accepts as reliable any smelter that is a member of the RMAP (in this Report, we refer to RMAP-compliant smelters as “</w:t>
      </w:r>
      <w:r>
        <w:rPr>
          <w:rFonts w:ascii="Arial" w:cs="Arial" w:eastAsia="Arial" w:hAnsi="Arial"/>
          <w:sz w:val="18"/>
          <w:szCs w:val="18"/>
          <w:b w:val="1"/>
          <w:bCs w:val="1"/>
          <w:i w:val="1"/>
          <w:iCs w:val="1"/>
          <w:color w:val="auto"/>
        </w:rPr>
        <w:t>Members</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Annually on Supply Chain Due Diligence</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This Report is publicly available at </w:t>
      </w:r>
      <w:r>
        <w:rPr>
          <w:rFonts w:ascii="Arial" w:cs="Arial" w:eastAsia="Arial" w:hAnsi="Arial"/>
          <w:sz w:val="18"/>
          <w:szCs w:val="18"/>
          <w:i w:val="1"/>
          <w:iCs w:val="1"/>
          <w:color w:val="auto"/>
        </w:rPr>
        <w:t>https://www.magnachip.com/about-us/corporate-responsibility/sustainability/conflict-mineral/</w:t>
      </w:r>
      <w:r>
        <w:rPr>
          <w:rFonts w:ascii="Arial" w:cs="Arial" w:eastAsia="Arial" w:hAnsi="Arial"/>
          <w:sz w:val="18"/>
          <w:szCs w:val="18"/>
          <w:color w:val="auto"/>
        </w:rPr>
        <w:t xml:space="preserve"> and meets the OECD recommendation to report annually on supply chain due diligence.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Results</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Based solely on the information obtained pursuant to the RCOI and due diligence process described above, including review of CMRTs completed by the Covered Suppliers in 2021, the Company’s Covered Suppliers reported that all of them solely used Members for the Company’s products. However, the Company does not have sufficient information, with respect to the Reporting Period, to determine the known country of origin of the Subject Minerals because certain of the Covered Suppliers did not provide country of origin information for several smelters and refiners that those Covered Suppliers identified as being Members. Therefore, the Company is not able to determine that the Subject Minerals in the Company’s products came from recycled or scrap sources or did not come from the Covered Countries.</w:t>
      </w:r>
    </w:p>
    <w:p>
      <w:pPr>
        <w:spacing w:after="0" w:line="178"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Any Covered Supplier’s failure to identify a specific facility/smelter and/or country of origin with respect to the Company’s products at any point in its supply chain will drive an equivalent response for the Company and, therefore, the Company is unable to report a complete list of facilities/smelters and/or countries of origin for the Subject Minerals at this time. The Company has, however, included in this Report a list of facilities that may have been used to process the Subject Minerals in the Company’s products as reported by the Covered Suppliers in their completed CMRTs, as noted in “</w:t>
      </w:r>
      <w:r>
        <w:rPr>
          <w:rFonts w:ascii="Arial" w:cs="Arial" w:eastAsia="Arial" w:hAnsi="Arial"/>
          <w:sz w:val="18"/>
          <w:szCs w:val="18"/>
          <w:i w:val="1"/>
          <w:iCs w:val="1"/>
          <w:color w:val="auto"/>
        </w:rPr>
        <w:t>Facilities Used to Process Subject Minerals and Country of Origin</w:t>
      </w:r>
      <w:r>
        <w:rPr>
          <w:rFonts w:ascii="Arial" w:cs="Arial" w:eastAsia="Arial" w:hAnsi="Arial"/>
          <w:sz w:val="18"/>
          <w:szCs w:val="18"/>
          <w:color w:val="auto"/>
        </w:rPr>
        <w:t>” below.</w:t>
      </w:r>
    </w:p>
    <w:p>
      <w:pPr>
        <w:spacing w:after="0" w:line="188"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Company expects to continue to implement and refine its conflict minerals program to improve its supply chain transparency by seeking more accurate and more complete information from its suppliers and outsourcing manufacturers. See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 below for additional detail.</w:t>
      </w:r>
    </w:p>
    <w:p>
      <w:pPr>
        <w:spacing w:after="0" w:line="328"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Due Diligence and Risk Mitigation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117"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Within the Company’s supplier relationships, the Company seeks to manage its sourcing processes ethically, and to hold the Company, its suppliers, and its outsourcing manufacturers to high standards of behavior. This means that the Company is committed to working with its suppliers and outsourcing manufacturers to encourage responsible practices throughout the supply network. The Company continually works to strengthen its commitment to the responsible sourcing of conflict minerals, including by using the Company’s purchasing power and relationships to influence its suppliers and outsourcing manufacturers, and evaluating the use of specific terms and conditions in certain supply agreements and purchase orders. For example, the Company includes in its purchase order form a request that the supplier declare that all products supplied to the Company do not contain Subject Minerals that originate from the Covered Countries and that the supplier does not use smelters that have not been validated to be conflict free. The Company has also required certifications from its suppliers and outsourcing manufacturers that they will adhere to the Company’s conflict minerals policy and assist in its reporting requirements. The Company expects to continue to refine, develop and implement specific terms, conditions and expectations with its suppliers and outsourcing manufacturers that require, among other matters, that no materials or components supplied or manufactured on behalf of the Company contain any conflict minerals that directly or indirectly finance any armed group that has been identified as a perpetrator of human rights abuses.</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continually seeks to improve its supply chain due diligence efforts. Such measures may include, but are not limited to:</w:t>
      </w:r>
    </w:p>
    <w:p>
      <w:pPr>
        <w:spacing w:after="0" w:line="131" w:lineRule="exact"/>
        <w:rPr>
          <w:sz w:val="20"/>
          <w:szCs w:val="20"/>
          <w:color w:val="auto"/>
        </w:rPr>
      </w:pPr>
    </w:p>
    <w:p>
      <w:pPr>
        <w:ind w:left="1424" w:hanging="331"/>
        <w:spacing w:after="0"/>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130" w:lineRule="exact"/>
        <w:rPr>
          <w:rFonts w:ascii="Arial" w:cs="Arial" w:eastAsia="Arial" w:hAnsi="Arial"/>
          <w:sz w:val="18"/>
          <w:szCs w:val="18"/>
          <w:color w:val="auto"/>
        </w:rPr>
      </w:pPr>
    </w:p>
    <w:p>
      <w:pPr>
        <w:ind w:left="1424" w:right="460" w:hanging="331"/>
        <w:spacing w:after="0" w:line="277" w:lineRule="auto"/>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the detail and transparency of responses received in the RCOI and due diligence process, including by continuing to request that suppliers provide CMRTs twice a year.</w:t>
      </w:r>
    </w:p>
    <w:p>
      <w:pPr>
        <w:spacing w:after="0" w:line="75" w:lineRule="exact"/>
        <w:rPr>
          <w:rFonts w:ascii="Arial" w:cs="Arial" w:eastAsia="Arial" w:hAnsi="Arial"/>
          <w:sz w:val="18"/>
          <w:szCs w:val="18"/>
          <w:color w:val="auto"/>
        </w:rPr>
      </w:pPr>
    </w:p>
    <w:p>
      <w:pPr>
        <w:ind w:left="1424" w:right="440" w:hanging="331"/>
        <w:spacing w:after="0" w:line="277" w:lineRule="auto"/>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compare RCOI and due diligence results to information collected via independent conflict free smelter validation programs such as the RMAP; and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7" w:name="page8"/>
    <w:bookmarkEnd w:id="7"/>
    <w:p>
      <w:pPr>
        <w:ind w:left="1424" w:right="180" w:hanging="331"/>
        <w:spacing w:after="0" w:line="308" w:lineRule="auto"/>
        <w:tabs>
          <w:tab w:leader="none" w:pos="1424" w:val="left"/>
        </w:tabs>
        <w:numPr>
          <w:ilvl w:val="1"/>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contacting suppliers and outsourcing manufacturers regarding smelters identified as a result of the RCOI and due diligence process and request their participation in obtaining a “conflict free” designation from an industry program such as the RMAP.</w:t>
      </w:r>
    </w:p>
    <w:p>
      <w:pPr>
        <w:spacing w:after="0" w:line="290" w:lineRule="exact"/>
        <w:rPr>
          <w:rFonts w:ascii="Arial" w:cs="Arial" w:eastAsia="Arial" w:hAnsi="Arial"/>
          <w:sz w:val="17"/>
          <w:szCs w:val="17"/>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Facilities Used to Process Subject Minerals and Country of Origin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Based on the information obtained pursuant to the RCOI and due diligence process described above, the Company does not have sufficient</w:t>
      </w:r>
    </w:p>
    <w:p>
      <w:pPr>
        <w:spacing w:after="0" w:line="35" w:lineRule="exact"/>
        <w:rPr>
          <w:sz w:val="20"/>
          <w:szCs w:val="20"/>
          <w:color w:val="auto"/>
        </w:rPr>
      </w:pPr>
    </w:p>
    <w:p>
      <w:pPr>
        <w:ind w:left="4" w:right="120"/>
        <w:spacing w:after="0" w:line="273" w:lineRule="auto"/>
        <w:rPr>
          <w:sz w:val="20"/>
          <w:szCs w:val="20"/>
          <w:color w:val="auto"/>
        </w:rPr>
      </w:pPr>
      <w:r>
        <w:rPr>
          <w:rFonts w:ascii="Arial" w:cs="Arial" w:eastAsia="Arial" w:hAnsi="Arial"/>
          <w:sz w:val="17"/>
          <w:szCs w:val="17"/>
          <w:color w:val="auto"/>
        </w:rPr>
        <w:t>information, with respect to the Reporting Period, to determine the known country of origin of the Subject Minerals, or whether the Subject Minerals in its products are from recycled or scrap sources, for the reasons described above under “</w:t>
      </w:r>
      <w:r>
        <w:rPr>
          <w:rFonts w:ascii="Arial" w:cs="Arial" w:eastAsia="Arial" w:hAnsi="Arial"/>
          <w:sz w:val="17"/>
          <w:szCs w:val="17"/>
          <w:i w:val="1"/>
          <w:iCs w:val="1"/>
          <w:color w:val="auto"/>
        </w:rPr>
        <w:t>Due Diligence Results</w:t>
      </w:r>
      <w:r>
        <w:rPr>
          <w:rFonts w:ascii="Arial" w:cs="Arial" w:eastAsia="Arial" w:hAnsi="Arial"/>
          <w:sz w:val="17"/>
          <w:szCs w:val="17"/>
          <w:color w:val="auto"/>
        </w:rPr>
        <w:t>.” Based on the information provided by the Covered Suppliers in their completed CMRTs, however, the Company believes that facilities that may have been used to process the Subject Minerals in the Company’s products during the Reporting Period include the following smelters and refiners.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4"/>
              </w:rPr>
              <w:t>Subject Mineral</w:t>
            </w:r>
          </w:p>
        </w:tc>
        <w:tc>
          <w:tcPr>
            <w:tcW w:w="780" w:type="dxa"/>
            <w:vAlign w:val="bottom"/>
          </w:tcPr>
          <w:p>
            <w:pPr>
              <w:spacing w:after="0"/>
              <w:rPr>
                <w:sz w:val="14"/>
                <w:szCs w:val="14"/>
                <w:color w:val="auto"/>
              </w:rPr>
            </w:pPr>
          </w:p>
        </w:tc>
        <w:tc>
          <w:tcPr>
            <w:tcW w:w="4720" w:type="dxa"/>
            <w:vAlign w:val="bottom"/>
            <w:gridSpan w:val="2"/>
            <w:vMerge w:val="restart"/>
          </w:tcPr>
          <w:p>
            <w:pPr>
              <w:ind w:left="1540"/>
              <w:spacing w:after="0"/>
              <w:rPr>
                <w:sz w:val="20"/>
                <w:szCs w:val="20"/>
                <w:color w:val="auto"/>
              </w:rPr>
            </w:pPr>
            <w:r>
              <w:rPr>
                <w:rFonts w:ascii="Arial" w:cs="Arial" w:eastAsia="Arial" w:hAnsi="Arial"/>
                <w:sz w:val="14"/>
                <w:szCs w:val="14"/>
                <w:b w:val="1"/>
                <w:bCs w:val="1"/>
                <w:color w:val="auto"/>
              </w:rPr>
              <w:t>Smelter or Refiner Name</w:t>
            </w:r>
          </w:p>
        </w:tc>
        <w:tc>
          <w:tcPr>
            <w:tcW w:w="4520" w:type="dxa"/>
            <w:vAlign w:val="bottom"/>
          </w:tcPr>
          <w:p>
            <w:pPr>
              <w:ind w:left="1640"/>
              <w:spacing w:after="0"/>
              <w:rPr>
                <w:sz w:val="20"/>
                <w:szCs w:val="20"/>
                <w:color w:val="auto"/>
              </w:rPr>
            </w:pPr>
            <w:r>
              <w:rPr>
                <w:rFonts w:ascii="Arial" w:cs="Arial" w:eastAsia="Arial" w:hAnsi="Arial"/>
                <w:sz w:val="14"/>
                <w:szCs w:val="14"/>
                <w:b w:val="1"/>
                <w:bCs w:val="1"/>
                <w:color w:val="auto"/>
              </w:rPr>
              <w:t>Country Location of</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vMerge w:val="continue"/>
          </w:tcPr>
          <w:p>
            <w:pPr>
              <w:spacing w:after="0"/>
              <w:rPr>
                <w:sz w:val="16"/>
                <w:szCs w:val="16"/>
                <w:color w:val="auto"/>
              </w:rPr>
            </w:pPr>
          </w:p>
        </w:tc>
        <w:tc>
          <w:tcPr>
            <w:tcW w:w="780" w:type="dxa"/>
            <w:vAlign w:val="bottom"/>
          </w:tcPr>
          <w:p>
            <w:pPr>
              <w:spacing w:after="0"/>
              <w:rPr>
                <w:sz w:val="16"/>
                <w:szCs w:val="16"/>
                <w:color w:val="auto"/>
              </w:rPr>
            </w:pPr>
          </w:p>
        </w:tc>
        <w:tc>
          <w:tcPr>
            <w:tcW w:w="4720" w:type="dxa"/>
            <w:vAlign w:val="bottom"/>
            <w:gridSpan w:val="2"/>
            <w:vMerge w:val="continue"/>
          </w:tcPr>
          <w:p>
            <w:pPr>
              <w:spacing w:after="0"/>
              <w:rPr>
                <w:sz w:val="16"/>
                <w:szCs w:val="16"/>
                <w:color w:val="auto"/>
              </w:rPr>
            </w:pPr>
          </w:p>
        </w:tc>
        <w:tc>
          <w:tcPr>
            <w:tcW w:w="4520" w:type="dxa"/>
            <w:vAlign w:val="bottom"/>
          </w:tcPr>
          <w:p>
            <w:pPr>
              <w:ind w:left="1680"/>
              <w:spacing w:after="0"/>
              <w:rPr>
                <w:sz w:val="20"/>
                <w:szCs w:val="20"/>
                <w:color w:val="auto"/>
              </w:rPr>
            </w:pPr>
            <w:r>
              <w:rPr>
                <w:rFonts w:ascii="Arial" w:cs="Arial" w:eastAsia="Arial" w:hAnsi="Arial"/>
                <w:sz w:val="14"/>
                <w:szCs w:val="14"/>
                <w:b w:val="1"/>
                <w:bCs w:val="1"/>
                <w:color w:val="auto"/>
              </w:rPr>
              <w:t>Smelter or Refiner</w:t>
            </w:r>
          </w:p>
        </w:tc>
        <w:tc>
          <w:tcPr>
            <w:tcW w:w="0" w:type="dxa"/>
            <w:vAlign w:val="bottom"/>
          </w:tcPr>
          <w:p>
            <w:pPr>
              <w:spacing w:after="0"/>
              <w:rPr>
                <w:sz w:val="1"/>
                <w:szCs w:val="1"/>
                <w:color w:val="auto"/>
              </w:rPr>
            </w:pPr>
          </w:p>
        </w:tc>
      </w:t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18"/>
                <w:szCs w:val="18"/>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Aida Chemical Industries Co., Ltd.</w:t>
            </w:r>
          </w:p>
        </w:tc>
        <w:tc>
          <w:tcPr>
            <w:tcW w:w="10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3"/>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Argor-Heraeus S.A.</w:t>
            </w:r>
          </w:p>
        </w:tc>
        <w:tc>
          <w:tcPr>
            <w:tcW w:w="4520" w:type="dxa"/>
            <w:vAlign w:val="bottom"/>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Asahi Pretec Corp.</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Dowa</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Heraeus Precious Metals GmbH &amp; Co. KG</w:t>
            </w:r>
          </w:p>
        </w:tc>
        <w:tc>
          <w:tcPr>
            <w:tcW w:w="452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Ishifuku Metal Industry Co., Ltd.</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JX Nippon Mining &amp; Metals Co., Ltd.</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Kojima Chemicals Co., Ltd.</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LS-NIKKO Copper Inc.</w:t>
            </w:r>
          </w:p>
        </w:tc>
        <w:tc>
          <w:tcPr>
            <w:tcW w:w="4520" w:type="dxa"/>
            <w:vAlign w:val="bottom"/>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Matsuda Sangyo Co., Ltd.</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Mitsubishi Materials Corporation</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Mitsui Mining and Smelting Co., Ltd.</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Nihon Material Co., Ltd.</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Shandong Zhaojin Gold &amp; Silver Refinery Co.,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Sumitomo Metal Mining Co., Ltd.</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Tanaka Kikinzoku Kogyo K.K.</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Tokuriki Honten Co., Ltd.</w:t>
            </w:r>
          </w:p>
        </w:tc>
        <w:tc>
          <w:tcPr>
            <w:tcW w:w="452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Gold</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Gold Refinery of Zijin Mining Group Co.,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Changsha South Tantalum Niobium Co.,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Exotech Inc.</w:t>
            </w:r>
          </w:p>
        </w:tc>
        <w:tc>
          <w:tcPr>
            <w:tcW w:w="452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F&amp;X Electro-Materials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XIMEI RESOURCES (GUANGDONG) LIMITED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JiuJiang JinXin Nonferrous Metals Co.,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Jiujiang Tanbre Co.,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Metallurgical Products India Pvt., Ltd.</w:t>
            </w:r>
          </w:p>
        </w:tc>
        <w:tc>
          <w:tcPr>
            <w:tcW w:w="452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NPM Silmet AS</w:t>
            </w:r>
          </w:p>
        </w:tc>
        <w:tc>
          <w:tcPr>
            <w:tcW w:w="4520" w:type="dxa"/>
            <w:vAlign w:val="bottom"/>
          </w:tcPr>
          <w:p>
            <w:pPr>
              <w:spacing w:after="0"/>
              <w:rPr>
                <w:sz w:val="20"/>
                <w:szCs w:val="20"/>
                <w:color w:val="auto"/>
              </w:rPr>
            </w:pPr>
            <w:r>
              <w:rPr>
                <w:rFonts w:ascii="Arial" w:cs="Arial" w:eastAsia="Arial" w:hAnsi="Arial"/>
                <w:sz w:val="18"/>
                <w:szCs w:val="18"/>
                <w:color w:val="auto"/>
              </w:rPr>
              <w:t>Estonia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Ningxia Orient Tantalum Industry Co.,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Yanling Jincheng Tantalum &amp; Niobium Co.,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Ulba Metallurgical Plant JSC</w:t>
            </w:r>
          </w:p>
        </w:tc>
        <w:tc>
          <w:tcPr>
            <w:tcW w:w="4520" w:type="dxa"/>
            <w:vAlign w:val="bottom"/>
          </w:tcPr>
          <w:p>
            <w:pPr>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Hengyang King Xing Lifeng New Materials Co.,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 Block Metals, LLC</w:t>
            </w:r>
          </w:p>
        </w:tc>
        <w:tc>
          <w:tcPr>
            <w:tcW w:w="452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Tantalum</w:t>
            </w:r>
          </w:p>
        </w:tc>
        <w:tc>
          <w:tcPr>
            <w:tcW w:w="7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FIR Metals &amp; Resource Ltd.</w:t>
            </w:r>
          </w:p>
        </w:tc>
        <w:tc>
          <w:tcPr>
            <w:tcW w:w="45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024"/>
          </w:cols>
          <w:pgMar w:left="436" w:top="274" w:right="439" w:bottom="1440" w:gutter="0" w:footer="0" w:header="0"/>
        </w:sectPr>
      </w:pPr>
    </w:p>
    <w:p>
      <w:pPr>
        <w:jc w:val="center"/>
        <w:ind w:right="16"/>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24"/>
          </w:cols>
          <w:pgMar w:left="436" w:top="274" w:right="4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Tantalum</w:t>
            </w:r>
          </w:p>
        </w:tc>
        <w:tc>
          <w:tcPr>
            <w:tcW w:w="4860" w:type="dxa"/>
            <w:vAlign w:val="bottom"/>
          </w:tcPr>
          <w:p>
            <w:pPr>
              <w:ind w:left="560"/>
              <w:spacing w:after="0"/>
              <w:rPr>
                <w:sz w:val="20"/>
                <w:szCs w:val="20"/>
                <w:color w:val="auto"/>
              </w:rPr>
            </w:pPr>
            <w:r>
              <w:rPr>
                <w:rFonts w:ascii="Arial" w:cs="Arial" w:eastAsia="Arial" w:hAnsi="Arial"/>
                <w:sz w:val="18"/>
                <w:szCs w:val="18"/>
                <w:color w:val="auto"/>
              </w:rPr>
              <w:t>TANIOBIS Co., Ltd.</w:t>
            </w:r>
          </w:p>
        </w:tc>
        <w:tc>
          <w:tcPr>
            <w:tcW w:w="2640" w:type="dxa"/>
            <w:vAlign w:val="bottom"/>
          </w:tcPr>
          <w:p>
            <w:pPr>
              <w:ind w:left="420"/>
              <w:spacing w:after="0"/>
              <w:rPr>
                <w:sz w:val="20"/>
                <w:szCs w:val="20"/>
                <w:color w:val="auto"/>
              </w:rPr>
            </w:pPr>
            <w:r>
              <w:rPr>
                <w:rFonts w:ascii="Arial" w:cs="Arial" w:eastAsia="Arial" w:hAnsi="Arial"/>
                <w:sz w:val="18"/>
                <w:szCs w:val="18"/>
                <w:color w:val="auto"/>
              </w:rPr>
              <w:t>Thailand</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Tantalum</w:t>
            </w:r>
          </w:p>
        </w:tc>
        <w:tc>
          <w:tcPr>
            <w:tcW w:w="4860" w:type="dxa"/>
            <w:vAlign w:val="bottom"/>
          </w:tcPr>
          <w:p>
            <w:pPr>
              <w:ind w:left="560"/>
              <w:spacing w:after="0"/>
              <w:rPr>
                <w:sz w:val="20"/>
                <w:szCs w:val="20"/>
                <w:color w:val="auto"/>
              </w:rPr>
            </w:pPr>
            <w:r>
              <w:rPr>
                <w:rFonts w:ascii="Arial" w:cs="Arial" w:eastAsia="Arial" w:hAnsi="Arial"/>
                <w:sz w:val="18"/>
                <w:szCs w:val="18"/>
                <w:color w:val="auto"/>
              </w:rPr>
              <w:t>H.C. Starck Tantalum and Niobium GmbH</w:t>
            </w:r>
          </w:p>
        </w:tc>
        <w:tc>
          <w:tcPr>
            <w:tcW w:w="2640" w:type="dxa"/>
            <w:vAlign w:val="bottom"/>
          </w:tcPr>
          <w:p>
            <w:pPr>
              <w:ind w:left="420"/>
              <w:spacing w:after="0"/>
              <w:rPr>
                <w:sz w:val="20"/>
                <w:szCs w:val="20"/>
                <w:color w:val="auto"/>
              </w:rPr>
            </w:pPr>
            <w:r>
              <w:rPr>
                <w:rFonts w:ascii="Arial" w:cs="Arial" w:eastAsia="Arial" w:hAnsi="Arial"/>
                <w:sz w:val="18"/>
                <w:szCs w:val="18"/>
                <w:color w:val="auto"/>
              </w:rPr>
              <w:t>Germany</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Tantalum</w:t>
            </w:r>
          </w:p>
        </w:tc>
        <w:tc>
          <w:tcPr>
            <w:tcW w:w="4860" w:type="dxa"/>
            <w:vAlign w:val="bottom"/>
          </w:tcPr>
          <w:p>
            <w:pPr>
              <w:ind w:left="560"/>
              <w:spacing w:after="0"/>
              <w:rPr>
                <w:sz w:val="20"/>
                <w:szCs w:val="20"/>
                <w:color w:val="auto"/>
              </w:rPr>
            </w:pPr>
            <w:r>
              <w:rPr>
                <w:rFonts w:ascii="Arial" w:cs="Arial" w:eastAsia="Arial" w:hAnsi="Arial"/>
                <w:sz w:val="18"/>
                <w:szCs w:val="18"/>
                <w:color w:val="auto"/>
              </w:rPr>
              <w:t>H.C. Starck Hermsdorf GmbH</w:t>
            </w:r>
          </w:p>
        </w:tc>
        <w:tc>
          <w:tcPr>
            <w:tcW w:w="2640" w:type="dxa"/>
            <w:vAlign w:val="bottom"/>
          </w:tcPr>
          <w:p>
            <w:pPr>
              <w:ind w:left="420"/>
              <w:spacing w:after="0"/>
              <w:rPr>
                <w:sz w:val="20"/>
                <w:szCs w:val="20"/>
                <w:color w:val="auto"/>
              </w:rPr>
            </w:pPr>
            <w:r>
              <w:rPr>
                <w:rFonts w:ascii="Arial" w:cs="Arial" w:eastAsia="Arial" w:hAnsi="Arial"/>
                <w:sz w:val="18"/>
                <w:szCs w:val="18"/>
                <w:color w:val="auto"/>
              </w:rPr>
              <w:t>Germany</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Tantalum</w:t>
            </w:r>
          </w:p>
        </w:tc>
        <w:tc>
          <w:tcPr>
            <w:tcW w:w="4860" w:type="dxa"/>
            <w:vAlign w:val="bottom"/>
          </w:tcPr>
          <w:p>
            <w:pPr>
              <w:ind w:left="560"/>
              <w:spacing w:after="0"/>
              <w:rPr>
                <w:sz w:val="20"/>
                <w:szCs w:val="20"/>
                <w:color w:val="auto"/>
              </w:rPr>
            </w:pPr>
            <w:r>
              <w:rPr>
                <w:rFonts w:ascii="Arial" w:cs="Arial" w:eastAsia="Arial" w:hAnsi="Arial"/>
                <w:sz w:val="18"/>
                <w:szCs w:val="18"/>
                <w:color w:val="auto"/>
              </w:rPr>
              <w:t>H.C. Starck Inc.</w:t>
            </w:r>
          </w:p>
        </w:tc>
        <w:tc>
          <w:tcPr>
            <w:tcW w:w="2640" w:type="dxa"/>
            <w:vAlign w:val="bottom"/>
          </w:tcPr>
          <w:p>
            <w:pPr>
              <w:ind w:left="420"/>
              <w:spacing w:after="0"/>
              <w:rPr>
                <w:sz w:val="20"/>
                <w:szCs w:val="20"/>
                <w:color w:val="auto"/>
              </w:rPr>
            </w:pPr>
            <w:r>
              <w:rPr>
                <w:rFonts w:ascii="Arial" w:cs="Arial" w:eastAsia="Arial" w:hAnsi="Arial"/>
                <w:sz w:val="18"/>
                <w:szCs w:val="18"/>
                <w:color w:val="auto"/>
              </w:rPr>
              <w:t>United States of America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Tantalum</w:t>
            </w:r>
          </w:p>
        </w:tc>
        <w:tc>
          <w:tcPr>
            <w:tcW w:w="4860" w:type="dxa"/>
            <w:vAlign w:val="bottom"/>
          </w:tcPr>
          <w:p>
            <w:pPr>
              <w:ind w:left="560"/>
              <w:spacing w:after="0"/>
              <w:rPr>
                <w:sz w:val="20"/>
                <w:szCs w:val="20"/>
                <w:color w:val="auto"/>
              </w:rPr>
            </w:pPr>
            <w:r>
              <w:rPr>
                <w:rFonts w:ascii="Arial" w:cs="Arial" w:eastAsia="Arial" w:hAnsi="Arial"/>
                <w:sz w:val="18"/>
                <w:szCs w:val="18"/>
                <w:color w:val="auto"/>
              </w:rPr>
              <w:t>TANIOBIS Japan Co., Ltd.</w:t>
            </w:r>
          </w:p>
        </w:tc>
        <w:tc>
          <w:tcPr>
            <w:tcW w:w="264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Tantalum</w:t>
            </w:r>
          </w:p>
        </w:tc>
        <w:tc>
          <w:tcPr>
            <w:tcW w:w="4860" w:type="dxa"/>
            <w:vAlign w:val="bottom"/>
          </w:tcPr>
          <w:p>
            <w:pPr>
              <w:ind w:left="560"/>
              <w:spacing w:after="0"/>
              <w:rPr>
                <w:sz w:val="20"/>
                <w:szCs w:val="20"/>
                <w:color w:val="auto"/>
              </w:rPr>
            </w:pPr>
            <w:r>
              <w:rPr>
                <w:rFonts w:ascii="Arial" w:cs="Arial" w:eastAsia="Arial" w:hAnsi="Arial"/>
                <w:sz w:val="18"/>
                <w:szCs w:val="18"/>
                <w:color w:val="auto"/>
              </w:rPr>
              <w:t>TANIOBIS Smelting GmbH &amp; Co. KG</w:t>
            </w:r>
          </w:p>
        </w:tc>
        <w:tc>
          <w:tcPr>
            <w:tcW w:w="2640" w:type="dxa"/>
            <w:vAlign w:val="bottom"/>
          </w:tcPr>
          <w:p>
            <w:pPr>
              <w:ind w:left="420"/>
              <w:spacing w:after="0"/>
              <w:rPr>
                <w:sz w:val="20"/>
                <w:szCs w:val="20"/>
                <w:color w:val="auto"/>
              </w:rPr>
            </w:pPr>
            <w:r>
              <w:rPr>
                <w:rFonts w:ascii="Arial" w:cs="Arial" w:eastAsia="Arial" w:hAnsi="Arial"/>
                <w:sz w:val="18"/>
                <w:szCs w:val="18"/>
                <w:color w:val="auto"/>
              </w:rPr>
              <w:t>Germany</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Tantalum</w:t>
            </w:r>
          </w:p>
        </w:tc>
        <w:tc>
          <w:tcPr>
            <w:tcW w:w="4860" w:type="dxa"/>
            <w:vAlign w:val="bottom"/>
          </w:tcPr>
          <w:p>
            <w:pPr>
              <w:ind w:left="560"/>
              <w:spacing w:after="0"/>
              <w:rPr>
                <w:sz w:val="20"/>
                <w:szCs w:val="20"/>
                <w:color w:val="auto"/>
              </w:rPr>
            </w:pPr>
            <w:r>
              <w:rPr>
                <w:rFonts w:ascii="Arial" w:cs="Arial" w:eastAsia="Arial" w:hAnsi="Arial"/>
                <w:sz w:val="18"/>
                <w:szCs w:val="18"/>
                <w:color w:val="auto"/>
              </w:rPr>
              <w:t>Global Advanced Metals Boyertown</w:t>
            </w:r>
          </w:p>
        </w:tc>
        <w:tc>
          <w:tcPr>
            <w:tcW w:w="2640" w:type="dxa"/>
            <w:vAlign w:val="bottom"/>
          </w:tcPr>
          <w:p>
            <w:pPr>
              <w:ind w:left="420"/>
              <w:spacing w:after="0"/>
              <w:rPr>
                <w:sz w:val="20"/>
                <w:szCs w:val="20"/>
                <w:color w:val="auto"/>
              </w:rPr>
            </w:pPr>
            <w:r>
              <w:rPr>
                <w:rFonts w:ascii="Arial" w:cs="Arial" w:eastAsia="Arial" w:hAnsi="Arial"/>
                <w:sz w:val="18"/>
                <w:szCs w:val="18"/>
                <w:color w:val="auto"/>
              </w:rPr>
              <w:t>United States of America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Tantalum</w:t>
            </w:r>
          </w:p>
        </w:tc>
        <w:tc>
          <w:tcPr>
            <w:tcW w:w="4860" w:type="dxa"/>
            <w:vAlign w:val="bottom"/>
          </w:tcPr>
          <w:p>
            <w:pPr>
              <w:ind w:left="560"/>
              <w:spacing w:after="0"/>
              <w:rPr>
                <w:sz w:val="20"/>
                <w:szCs w:val="20"/>
                <w:color w:val="auto"/>
              </w:rPr>
            </w:pPr>
            <w:r>
              <w:rPr>
                <w:rFonts w:ascii="Arial" w:cs="Arial" w:eastAsia="Arial" w:hAnsi="Arial"/>
                <w:sz w:val="18"/>
                <w:szCs w:val="18"/>
                <w:color w:val="auto"/>
              </w:rPr>
              <w:t>Global Advanced Metals Aizu</w:t>
            </w:r>
          </w:p>
        </w:tc>
        <w:tc>
          <w:tcPr>
            <w:tcW w:w="264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Tantalum</w:t>
            </w:r>
          </w:p>
        </w:tc>
        <w:tc>
          <w:tcPr>
            <w:tcW w:w="4860" w:type="dxa"/>
            <w:vAlign w:val="bottom"/>
          </w:tcPr>
          <w:p>
            <w:pPr>
              <w:ind w:left="560"/>
              <w:spacing w:after="0"/>
              <w:rPr>
                <w:sz w:val="20"/>
                <w:szCs w:val="20"/>
                <w:color w:val="auto"/>
              </w:rPr>
            </w:pPr>
            <w:r>
              <w:rPr>
                <w:rFonts w:ascii="Arial" w:cs="Arial" w:eastAsia="Arial" w:hAnsi="Arial"/>
                <w:sz w:val="18"/>
                <w:szCs w:val="18"/>
                <w:color w:val="auto"/>
              </w:rPr>
              <w:t>Jiangxi Tuohong New Raw Material</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Chenzhou Yunxiang Mining and Metallurgy Co., Ltd.</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Alpha</w:t>
            </w:r>
          </w:p>
        </w:tc>
        <w:tc>
          <w:tcPr>
            <w:tcW w:w="2640" w:type="dxa"/>
            <w:vAlign w:val="bottom"/>
          </w:tcPr>
          <w:p>
            <w:pPr>
              <w:ind w:left="420"/>
              <w:spacing w:after="0"/>
              <w:rPr>
                <w:sz w:val="20"/>
                <w:szCs w:val="20"/>
                <w:color w:val="auto"/>
              </w:rPr>
            </w:pPr>
            <w:r>
              <w:rPr>
                <w:rFonts w:ascii="Arial" w:cs="Arial" w:eastAsia="Arial" w:hAnsi="Arial"/>
                <w:sz w:val="18"/>
                <w:szCs w:val="18"/>
                <w:color w:val="auto"/>
              </w:rPr>
              <w:t>United States of America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Dowa</w:t>
            </w:r>
          </w:p>
        </w:tc>
        <w:tc>
          <w:tcPr>
            <w:tcW w:w="264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Fenix Metals</w:t>
            </w:r>
          </w:p>
        </w:tc>
        <w:tc>
          <w:tcPr>
            <w:tcW w:w="2640" w:type="dxa"/>
            <w:vAlign w:val="bottom"/>
          </w:tcPr>
          <w:p>
            <w:pPr>
              <w:ind w:left="420"/>
              <w:spacing w:after="0"/>
              <w:rPr>
                <w:sz w:val="20"/>
                <w:szCs w:val="20"/>
                <w:color w:val="auto"/>
              </w:rPr>
            </w:pPr>
            <w:r>
              <w:rPr>
                <w:rFonts w:ascii="Arial" w:cs="Arial" w:eastAsia="Arial" w:hAnsi="Arial"/>
                <w:sz w:val="18"/>
                <w:szCs w:val="18"/>
                <w:color w:val="auto"/>
              </w:rPr>
              <w:t>Poland</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Gejiu Non-Ferrous Metal Processing Co., Ltd.</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Gejiu Kai Meng Industry and Trade LLC</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China Tin Group Co., Ltd.</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Malaysia Smelting Corporation (MSC)</w:t>
            </w:r>
          </w:p>
        </w:tc>
        <w:tc>
          <w:tcPr>
            <w:tcW w:w="2640" w:type="dxa"/>
            <w:vAlign w:val="bottom"/>
          </w:tcPr>
          <w:p>
            <w:pPr>
              <w:ind w:left="420"/>
              <w:spacing w:after="0"/>
              <w:rPr>
                <w:sz w:val="20"/>
                <w:szCs w:val="20"/>
                <w:color w:val="auto"/>
              </w:rPr>
            </w:pPr>
            <w:r>
              <w:rPr>
                <w:rFonts w:ascii="Arial" w:cs="Arial" w:eastAsia="Arial" w:hAnsi="Arial"/>
                <w:sz w:val="18"/>
                <w:szCs w:val="18"/>
                <w:color w:val="auto"/>
              </w:rPr>
              <w:t>Malaysia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Metallic Resources, Inc.</w:t>
            </w:r>
          </w:p>
        </w:tc>
        <w:tc>
          <w:tcPr>
            <w:tcW w:w="2640" w:type="dxa"/>
            <w:vAlign w:val="bottom"/>
          </w:tcPr>
          <w:p>
            <w:pPr>
              <w:ind w:left="420"/>
              <w:spacing w:after="0"/>
              <w:rPr>
                <w:sz w:val="20"/>
                <w:szCs w:val="20"/>
                <w:color w:val="auto"/>
              </w:rPr>
            </w:pPr>
            <w:r>
              <w:rPr>
                <w:rFonts w:ascii="Arial" w:cs="Arial" w:eastAsia="Arial" w:hAnsi="Arial"/>
                <w:sz w:val="18"/>
                <w:szCs w:val="18"/>
                <w:color w:val="auto"/>
              </w:rPr>
              <w:t>United States of America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Mineracao Taboca S.A.</w:t>
            </w:r>
          </w:p>
        </w:tc>
        <w:tc>
          <w:tcPr>
            <w:tcW w:w="2640" w:type="dxa"/>
            <w:vAlign w:val="bottom"/>
          </w:tcPr>
          <w:p>
            <w:pPr>
              <w:ind w:left="420"/>
              <w:spacing w:after="0"/>
              <w:rPr>
                <w:sz w:val="20"/>
                <w:szCs w:val="20"/>
                <w:color w:val="auto"/>
              </w:rPr>
            </w:pPr>
            <w:r>
              <w:rPr>
                <w:rFonts w:ascii="Arial" w:cs="Arial" w:eastAsia="Arial" w:hAnsi="Arial"/>
                <w:sz w:val="18"/>
                <w:szCs w:val="18"/>
                <w:color w:val="auto"/>
              </w:rPr>
              <w:t>Brazil</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Minsur</w:t>
            </w:r>
          </w:p>
        </w:tc>
        <w:tc>
          <w:tcPr>
            <w:tcW w:w="2640" w:type="dxa"/>
            <w:vAlign w:val="bottom"/>
          </w:tcPr>
          <w:p>
            <w:pPr>
              <w:ind w:left="420"/>
              <w:spacing w:after="0"/>
              <w:rPr>
                <w:sz w:val="20"/>
                <w:szCs w:val="20"/>
                <w:color w:val="auto"/>
              </w:rPr>
            </w:pPr>
            <w:r>
              <w:rPr>
                <w:rFonts w:ascii="Arial" w:cs="Arial" w:eastAsia="Arial" w:hAnsi="Arial"/>
                <w:sz w:val="18"/>
                <w:szCs w:val="18"/>
                <w:color w:val="auto"/>
              </w:rPr>
              <w:t>Peru</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Mitsubishi Materials Corporation</w:t>
            </w:r>
          </w:p>
        </w:tc>
        <w:tc>
          <w:tcPr>
            <w:tcW w:w="264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Jiangxi New Nanshan Technology Ltd.</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Operaciones Metalurgicas S.A.</w:t>
            </w:r>
          </w:p>
        </w:tc>
        <w:tc>
          <w:tcPr>
            <w:tcW w:w="2640" w:type="dxa"/>
            <w:vAlign w:val="bottom"/>
          </w:tcPr>
          <w:p>
            <w:pPr>
              <w:ind w:left="420"/>
              <w:spacing w:after="0"/>
              <w:rPr>
                <w:sz w:val="20"/>
                <w:szCs w:val="20"/>
                <w:color w:val="auto"/>
              </w:rPr>
            </w:pPr>
            <w:r>
              <w:rPr>
                <w:rFonts w:ascii="Arial" w:cs="Arial" w:eastAsia="Arial" w:hAnsi="Arial"/>
                <w:sz w:val="18"/>
                <w:szCs w:val="18"/>
                <w:color w:val="auto"/>
                <w:w w:val="93"/>
              </w:rPr>
              <w:t>Bolivia (Plurinational State of)</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PT Artha Cipta Langgeng</w:t>
            </w:r>
          </w:p>
        </w:tc>
        <w:tc>
          <w:tcPr>
            <w:tcW w:w="264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PT Mitra Stania Prima</w:t>
            </w:r>
          </w:p>
        </w:tc>
        <w:tc>
          <w:tcPr>
            <w:tcW w:w="264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PT Prima Timah Utama</w:t>
            </w:r>
          </w:p>
        </w:tc>
        <w:tc>
          <w:tcPr>
            <w:tcW w:w="264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PT Refined Bangka Tin</w:t>
            </w:r>
          </w:p>
        </w:tc>
        <w:tc>
          <w:tcPr>
            <w:tcW w:w="264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PT Timah Tbk Kundur</w:t>
            </w:r>
          </w:p>
        </w:tc>
        <w:tc>
          <w:tcPr>
            <w:tcW w:w="264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PT Timah Tbk Mentok</w:t>
            </w:r>
          </w:p>
        </w:tc>
        <w:tc>
          <w:tcPr>
            <w:tcW w:w="264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Rui Da Hung</w:t>
            </w:r>
          </w:p>
        </w:tc>
        <w:tc>
          <w:tcPr>
            <w:tcW w:w="2640" w:type="dxa"/>
            <w:vAlign w:val="bottom"/>
          </w:tcPr>
          <w:p>
            <w:pPr>
              <w:ind w:left="420"/>
              <w:spacing w:after="0"/>
              <w:rPr>
                <w:sz w:val="20"/>
                <w:szCs w:val="20"/>
                <w:color w:val="auto"/>
              </w:rPr>
            </w:pPr>
            <w:r>
              <w:rPr>
                <w:rFonts w:ascii="Arial" w:cs="Arial" w:eastAsia="Arial" w:hAnsi="Arial"/>
                <w:sz w:val="18"/>
                <w:szCs w:val="18"/>
                <w:color w:val="auto"/>
              </w:rPr>
              <w:t>Taiwan, Province of 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Thaisarco</w:t>
            </w:r>
          </w:p>
        </w:tc>
        <w:tc>
          <w:tcPr>
            <w:tcW w:w="2640" w:type="dxa"/>
            <w:vAlign w:val="bottom"/>
          </w:tcPr>
          <w:p>
            <w:pPr>
              <w:ind w:left="420"/>
              <w:spacing w:after="0"/>
              <w:rPr>
                <w:sz w:val="20"/>
                <w:szCs w:val="20"/>
                <w:color w:val="auto"/>
              </w:rPr>
            </w:pPr>
            <w:r>
              <w:rPr>
                <w:rFonts w:ascii="Arial" w:cs="Arial" w:eastAsia="Arial" w:hAnsi="Arial"/>
                <w:sz w:val="18"/>
                <w:szCs w:val="18"/>
                <w:color w:val="auto"/>
              </w:rPr>
              <w:t>Thailand</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White Solder Metalurgia e Mineracao Ltda.</w:t>
            </w:r>
          </w:p>
        </w:tc>
        <w:tc>
          <w:tcPr>
            <w:tcW w:w="2640" w:type="dxa"/>
            <w:vAlign w:val="bottom"/>
          </w:tcPr>
          <w:p>
            <w:pPr>
              <w:ind w:left="420"/>
              <w:spacing w:after="0"/>
              <w:rPr>
                <w:sz w:val="20"/>
                <w:szCs w:val="20"/>
                <w:color w:val="auto"/>
              </w:rPr>
            </w:pPr>
            <w:r>
              <w:rPr>
                <w:rFonts w:ascii="Arial" w:cs="Arial" w:eastAsia="Arial" w:hAnsi="Arial"/>
                <w:sz w:val="18"/>
                <w:szCs w:val="18"/>
                <w:color w:val="auto"/>
              </w:rPr>
              <w:t>Brazil</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Yunnan Chengfeng Non-ferrous Metals Co., Ltd.</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Yunnan Tin Company Limited</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PT ATD Makmur Mandiri Jaya</w:t>
            </w:r>
          </w:p>
        </w:tc>
        <w:tc>
          <w:tcPr>
            <w:tcW w:w="264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O.M. Manufacturing Philippines, Inc.</w:t>
            </w:r>
          </w:p>
        </w:tc>
        <w:tc>
          <w:tcPr>
            <w:tcW w:w="2640" w:type="dxa"/>
            <w:vAlign w:val="bottom"/>
          </w:tcPr>
          <w:p>
            <w:pPr>
              <w:ind w:left="420"/>
              <w:spacing w:after="0"/>
              <w:rPr>
                <w:sz w:val="20"/>
                <w:szCs w:val="20"/>
                <w:color w:val="auto"/>
              </w:rPr>
            </w:pPr>
            <w:r>
              <w:rPr>
                <w:rFonts w:ascii="Arial" w:cs="Arial" w:eastAsia="Arial" w:hAnsi="Arial"/>
                <w:sz w:val="18"/>
                <w:szCs w:val="18"/>
                <w:color w:val="auto"/>
              </w:rPr>
              <w:t>Philippines</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Metallo Belgium N.V.</w:t>
            </w:r>
          </w:p>
        </w:tc>
        <w:tc>
          <w:tcPr>
            <w:tcW w:w="2640" w:type="dxa"/>
            <w:vAlign w:val="bottom"/>
          </w:tcPr>
          <w:p>
            <w:pPr>
              <w:ind w:left="420"/>
              <w:spacing w:after="0"/>
              <w:rPr>
                <w:sz w:val="20"/>
                <w:szCs w:val="20"/>
                <w:color w:val="auto"/>
              </w:rPr>
            </w:pPr>
            <w:r>
              <w:rPr>
                <w:rFonts w:ascii="Arial" w:cs="Arial" w:eastAsia="Arial" w:hAnsi="Arial"/>
                <w:sz w:val="18"/>
                <w:szCs w:val="18"/>
                <w:color w:val="auto"/>
              </w:rPr>
              <w:t>Belgium</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Thai Nguyen Mining and Metallurgy Co., Ltd.</w:t>
            </w:r>
          </w:p>
        </w:tc>
        <w:tc>
          <w:tcPr>
            <w:tcW w:w="2640" w:type="dxa"/>
            <w:vAlign w:val="bottom"/>
          </w:tcPr>
          <w:p>
            <w:pPr>
              <w:ind w:left="420"/>
              <w:spacing w:after="0"/>
              <w:rPr>
                <w:sz w:val="20"/>
                <w:szCs w:val="20"/>
                <w:color w:val="auto"/>
              </w:rPr>
            </w:pPr>
            <w:r>
              <w:rPr>
                <w:rFonts w:ascii="Arial" w:cs="Arial" w:eastAsia="Arial" w:hAnsi="Arial"/>
                <w:sz w:val="18"/>
                <w:szCs w:val="18"/>
                <w:color w:val="auto"/>
              </w:rPr>
              <w:t>Vietnam</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PT Menara Cipta Mulia</w:t>
            </w:r>
          </w:p>
        </w:tc>
        <w:tc>
          <w:tcPr>
            <w:tcW w:w="2640" w:type="dxa"/>
            <w:vAlign w:val="bottom"/>
          </w:tcPr>
          <w:p>
            <w:pPr>
              <w:ind w:left="420"/>
              <w:spacing w:after="0"/>
              <w:rPr>
                <w:sz w:val="20"/>
                <w:szCs w:val="20"/>
                <w:color w:val="auto"/>
              </w:rPr>
            </w:pPr>
            <w:r>
              <w:rPr>
                <w:rFonts w:ascii="Arial" w:cs="Arial" w:eastAsia="Arial" w:hAnsi="Arial"/>
                <w:sz w:val="18"/>
                <w:szCs w:val="18"/>
                <w:color w:val="auto"/>
              </w:rPr>
              <w:t>Indonesia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Guangdong Hanhe Non-Ferrous Metal Co., Ltd.</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Tin Technology &amp; Refining</w:t>
            </w:r>
          </w:p>
        </w:tc>
        <w:tc>
          <w:tcPr>
            <w:tcW w:w="2640" w:type="dxa"/>
            <w:vAlign w:val="bottom"/>
          </w:tcPr>
          <w:p>
            <w:pPr>
              <w:ind w:left="420"/>
              <w:spacing w:after="0"/>
              <w:rPr>
                <w:sz w:val="20"/>
                <w:szCs w:val="20"/>
                <w:color w:val="auto"/>
              </w:rPr>
            </w:pPr>
            <w:r>
              <w:rPr>
                <w:rFonts w:ascii="Arial" w:cs="Arial" w:eastAsia="Arial" w:hAnsi="Arial"/>
                <w:sz w:val="18"/>
                <w:szCs w:val="18"/>
                <w:color w:val="auto"/>
              </w:rPr>
              <w:t>United States of America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Tin</w:t>
            </w:r>
          </w:p>
        </w:tc>
        <w:tc>
          <w:tcPr>
            <w:tcW w:w="4860" w:type="dxa"/>
            <w:vAlign w:val="bottom"/>
          </w:tcPr>
          <w:p>
            <w:pPr>
              <w:ind w:left="560"/>
              <w:spacing w:after="0"/>
              <w:rPr>
                <w:sz w:val="20"/>
                <w:szCs w:val="20"/>
                <w:color w:val="auto"/>
              </w:rPr>
            </w:pPr>
            <w:r>
              <w:rPr>
                <w:rFonts w:ascii="Arial" w:cs="Arial" w:eastAsia="Arial" w:hAnsi="Arial"/>
                <w:sz w:val="18"/>
                <w:szCs w:val="18"/>
                <w:color w:val="auto"/>
              </w:rPr>
              <w:t>Ma’anshan Weitai Tin Co., Ltd.</w:t>
            </w:r>
          </w:p>
        </w:tc>
        <w:tc>
          <w:tcPr>
            <w:tcW w:w="2640" w:type="dxa"/>
            <w:vAlign w:val="bottom"/>
          </w:tcPr>
          <w:p>
            <w:pPr>
              <w:ind w:left="42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4860" w:type="dxa"/>
            <w:vAlign w:val="bottom"/>
          </w:tcPr>
          <w:p>
            <w:pPr>
              <w:ind w:left="560"/>
              <w:spacing w:after="0"/>
              <w:rPr>
                <w:sz w:val="20"/>
                <w:szCs w:val="20"/>
                <w:color w:val="auto"/>
              </w:rPr>
            </w:pPr>
            <w:r>
              <w:rPr>
                <w:rFonts w:ascii="Arial" w:cs="Arial" w:eastAsia="Arial" w:hAnsi="Arial"/>
                <w:sz w:val="18"/>
                <w:szCs w:val="18"/>
                <w:color w:val="auto"/>
              </w:rPr>
              <w:t>A.L.M.T. Corp.</w:t>
            </w:r>
          </w:p>
        </w:tc>
        <w:tc>
          <w:tcPr>
            <w:tcW w:w="2640" w:type="dxa"/>
            <w:vAlign w:val="bottom"/>
          </w:tcPr>
          <w:p>
            <w:pPr>
              <w:ind w:left="420"/>
              <w:spacing w:after="0"/>
              <w:rPr>
                <w:sz w:val="20"/>
                <w:szCs w:val="20"/>
                <w:color w:val="auto"/>
              </w:rPr>
            </w:pPr>
            <w:r>
              <w:rPr>
                <w:rFonts w:ascii="Arial" w:cs="Arial" w:eastAsia="Arial" w:hAnsi="Arial"/>
                <w:sz w:val="18"/>
                <w:szCs w:val="18"/>
                <w:color w:val="auto"/>
              </w:rPr>
              <w:t>Japan</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4860" w:type="dxa"/>
            <w:vAlign w:val="bottom"/>
          </w:tcPr>
          <w:p>
            <w:pPr>
              <w:ind w:left="560"/>
              <w:spacing w:after="0"/>
              <w:rPr>
                <w:sz w:val="20"/>
                <w:szCs w:val="20"/>
                <w:color w:val="auto"/>
              </w:rPr>
            </w:pPr>
            <w:r>
              <w:rPr>
                <w:rFonts w:ascii="Arial" w:cs="Arial" w:eastAsia="Arial" w:hAnsi="Arial"/>
                <w:sz w:val="18"/>
                <w:szCs w:val="18"/>
                <w:color w:val="auto"/>
              </w:rPr>
              <w:t>Kennametal Huntsville</w:t>
            </w:r>
          </w:p>
        </w:tc>
        <w:tc>
          <w:tcPr>
            <w:tcW w:w="2640" w:type="dxa"/>
            <w:vAlign w:val="bottom"/>
          </w:tcPr>
          <w:p>
            <w:pPr>
              <w:ind w:left="420"/>
              <w:spacing w:after="0"/>
              <w:rPr>
                <w:sz w:val="20"/>
                <w:szCs w:val="20"/>
                <w:color w:val="auto"/>
              </w:rPr>
            </w:pPr>
            <w:r>
              <w:rPr>
                <w:rFonts w:ascii="Arial" w:cs="Arial" w:eastAsia="Arial" w:hAnsi="Arial"/>
                <w:sz w:val="18"/>
                <w:szCs w:val="18"/>
                <w:color w:val="auto"/>
              </w:rPr>
              <w:t>United States of America</w:t>
            </w:r>
          </w:p>
        </w:tc>
      </w:tr>
    </w:tbl>
    <w:p>
      <w:pPr>
        <w:ind w:left="420"/>
        <w:spacing w:after="0"/>
        <w:rPr>
          <w:sz w:val="20"/>
          <w:szCs w:val="20"/>
          <w:color w:val="auto"/>
        </w:rPr>
        <w:sectPr>
          <w:pgSz w:w="11900" w:h="16838" w:orient="portrait"/>
          <w:cols w:equalWidth="0" w:num="1">
            <w:col w:w="10019"/>
          </w:cols>
          <w:pgMar w:left="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4"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019"/>
          </w:cols>
          <w:pgMar w:left="440" w:top="274"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Chongyi Zhangyuan Tungsten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Global Tungsten &amp; Powders Corp.</w:t>
            </w:r>
          </w:p>
        </w:tc>
        <w:tc>
          <w:tcPr>
            <w:tcW w:w="2020" w:type="dxa"/>
            <w:vAlign w:val="bottom"/>
          </w:tcPr>
          <w:p>
            <w:pPr>
              <w:ind w:left="200"/>
              <w:spacing w:after="0"/>
              <w:rPr>
                <w:sz w:val="20"/>
                <w:szCs w:val="20"/>
                <w:color w:val="auto"/>
              </w:rPr>
            </w:pPr>
            <w:r>
              <w:rPr>
                <w:rFonts w:ascii="Arial" w:cs="Arial" w:eastAsia="Arial" w:hAnsi="Arial"/>
                <w:sz w:val="18"/>
                <w:szCs w:val="18"/>
                <w:color w:val="auto"/>
                <w:w w:val="90"/>
              </w:rPr>
              <w:t>United States of America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Hunan Chunchang Nonferrous Metals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Ganzhou Huaxing Tungsten Products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Xiamen Tungsten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310"/>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w w:val="97"/>
              </w:rPr>
              <w:t>Jiangxi Tonggu Non-ferrous Metallurgical &amp; Chemical Co.,</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230"/>
        </w:trPr>
        <w:tc>
          <w:tcPr>
            <w:tcW w:w="1220" w:type="dxa"/>
            <w:vAlign w:val="bottom"/>
          </w:tcPr>
          <w:p>
            <w:pPr>
              <w:spacing w:after="0"/>
              <w:rPr>
                <w:sz w:val="20"/>
                <w:szCs w:val="20"/>
                <w:color w:val="auto"/>
              </w:rPr>
            </w:pPr>
          </w:p>
        </w:tc>
        <w:tc>
          <w:tcPr>
            <w:tcW w:w="5080" w:type="dxa"/>
            <w:vAlign w:val="bottom"/>
          </w:tcPr>
          <w:p>
            <w:pPr>
              <w:ind w:left="560"/>
              <w:spacing w:after="0"/>
              <w:rPr>
                <w:sz w:val="20"/>
                <w:szCs w:val="20"/>
                <w:color w:val="auto"/>
              </w:rPr>
            </w:pPr>
            <w:r>
              <w:rPr>
                <w:rFonts w:ascii="Arial" w:cs="Arial" w:eastAsia="Arial" w:hAnsi="Arial"/>
                <w:sz w:val="18"/>
                <w:szCs w:val="18"/>
                <w:color w:val="auto"/>
              </w:rPr>
              <w:t>Ltd.</w:t>
            </w:r>
          </w:p>
        </w:tc>
        <w:tc>
          <w:tcPr>
            <w:tcW w:w="2020" w:type="dxa"/>
            <w:vAlign w:val="bottom"/>
          </w:tcPr>
          <w:p>
            <w:pPr>
              <w:spacing w:after="0"/>
              <w:rPr>
                <w:sz w:val="20"/>
                <w:szCs w:val="20"/>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Xiamen Tungsten (H.C.)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Ganzhou Seadragon W &amp; Mo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Chenzhou Diamond Tungsten Products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H.C. Starck Tungsten GmbH</w:t>
            </w:r>
          </w:p>
        </w:tc>
        <w:tc>
          <w:tcPr>
            <w:tcW w:w="2020" w:type="dxa"/>
            <w:vAlign w:val="bottom"/>
          </w:tcPr>
          <w:p>
            <w:pPr>
              <w:ind w:left="200"/>
              <w:spacing w:after="0"/>
              <w:rPr>
                <w:sz w:val="20"/>
                <w:szCs w:val="20"/>
                <w:color w:val="auto"/>
              </w:rPr>
            </w:pPr>
            <w:r>
              <w:rPr>
                <w:rFonts w:ascii="Arial" w:cs="Arial" w:eastAsia="Arial" w:hAnsi="Arial"/>
                <w:sz w:val="18"/>
                <w:szCs w:val="18"/>
                <w:color w:val="auto"/>
              </w:rPr>
              <w:t>Germany</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Masan High-Tech Materials</w:t>
            </w:r>
          </w:p>
        </w:tc>
        <w:tc>
          <w:tcPr>
            <w:tcW w:w="2020" w:type="dxa"/>
            <w:vAlign w:val="bottom"/>
          </w:tcPr>
          <w:p>
            <w:pPr>
              <w:ind w:left="200"/>
              <w:spacing w:after="0"/>
              <w:rPr>
                <w:sz w:val="20"/>
                <w:szCs w:val="20"/>
                <w:color w:val="auto"/>
              </w:rPr>
            </w:pPr>
            <w:r>
              <w:rPr>
                <w:rFonts w:ascii="Arial" w:cs="Arial" w:eastAsia="Arial" w:hAnsi="Arial"/>
                <w:sz w:val="18"/>
                <w:szCs w:val="18"/>
                <w:color w:val="auto"/>
              </w:rPr>
              <w:t>Vietnam</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Tungsten</w:t>
            </w:r>
          </w:p>
        </w:tc>
        <w:tc>
          <w:tcPr>
            <w:tcW w:w="5080" w:type="dxa"/>
            <w:vAlign w:val="bottom"/>
          </w:tcPr>
          <w:p>
            <w:pPr>
              <w:ind w:left="560"/>
              <w:spacing w:after="0"/>
              <w:rPr>
                <w:sz w:val="20"/>
                <w:szCs w:val="20"/>
                <w:color w:val="auto"/>
              </w:rPr>
            </w:pPr>
            <w:r>
              <w:rPr>
                <w:rFonts w:ascii="Arial" w:cs="Arial" w:eastAsia="Arial" w:hAnsi="Arial"/>
                <w:sz w:val="18"/>
                <w:szCs w:val="18"/>
                <w:color w:val="auto"/>
              </w:rPr>
              <w:t>Jiangwu H.C. Starck Tungsten Products Co., Ltd.</w:t>
            </w:r>
          </w:p>
        </w:tc>
        <w:tc>
          <w:tcPr>
            <w:tcW w:w="2020" w:type="dxa"/>
            <w:vAlign w:val="bottom"/>
          </w:tcPr>
          <w:p>
            <w:pPr>
              <w:ind w:left="200"/>
              <w:spacing w:after="0"/>
              <w:rPr>
                <w:sz w:val="20"/>
                <w:szCs w:val="20"/>
                <w:color w:val="auto"/>
              </w:rPr>
            </w:pPr>
            <w:r>
              <w:rPr>
                <w:rFonts w:ascii="Arial" w:cs="Arial" w:eastAsia="Arial" w:hAnsi="Arial"/>
                <w:sz w:val="18"/>
                <w:szCs w:val="18"/>
                <w:color w:val="auto"/>
              </w:rPr>
              <w:t>China</w:t>
            </w:r>
          </w:p>
        </w:tc>
      </w:tr>
      <w:tr>
        <w:trPr>
          <w:trHeight w:val="364"/>
        </w:trPr>
        <w:tc>
          <w:tcPr>
            <w:tcW w:w="1220" w:type="dxa"/>
            <w:vAlign w:val="bottom"/>
          </w:tcPr>
          <w:p>
            <w:pPr>
              <w:spacing w:after="0"/>
              <w:rPr>
                <w:sz w:val="24"/>
                <w:szCs w:val="24"/>
                <w:color w:val="auto"/>
              </w:rPr>
            </w:pPr>
          </w:p>
        </w:tc>
        <w:tc>
          <w:tcPr>
            <w:tcW w:w="5080" w:type="dxa"/>
            <w:vAlign w:val="bottom"/>
          </w:tcPr>
          <w:p>
            <w:pPr>
              <w:ind w:left="4240"/>
              <w:spacing w:after="0"/>
              <w:rPr>
                <w:sz w:val="20"/>
                <w:szCs w:val="20"/>
                <w:color w:val="auto"/>
              </w:rPr>
            </w:pPr>
            <w:r>
              <w:rPr>
                <w:rFonts w:ascii="Arial" w:cs="Arial" w:eastAsia="Arial" w:hAnsi="Arial"/>
                <w:sz w:val="18"/>
                <w:szCs w:val="18"/>
                <w:color w:val="auto"/>
              </w:rPr>
              <w:t>7</w:t>
            </w:r>
          </w:p>
        </w:tc>
        <w:tc>
          <w:tcPr>
            <w:tcW w:w="202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2022-05-28T02:22:19Z</dcterms:created>
  <dcterms:modified xsi:type="dcterms:W3CDTF">2022-05-28T02:22:19Z</dcterms:modified>
</cp:coreProperties>
</file>