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July 12,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3900" w:type="dxa"/>
            <w:vAlign w:val="bottom"/>
          </w:tcPr>
          <w:p>
            <w:pPr>
              <w:jc w:val="center"/>
              <w:ind w:right="2138"/>
              <w:spacing w:after="0"/>
              <w:rPr>
                <w:sz w:val="20"/>
                <w:szCs w:val="20"/>
                <w:color w:val="auto"/>
              </w:rPr>
            </w:pPr>
            <w:r>
              <w:rPr>
                <w:rFonts w:ascii="Arial" w:cs="Arial" w:eastAsia="Arial" w:hAnsi="Arial"/>
                <w:sz w:val="18"/>
                <w:szCs w:val="18"/>
                <w:b w:val="1"/>
                <w:bCs w:val="1"/>
                <w:color w:val="auto"/>
                <w:w w:val="91"/>
              </w:rPr>
              <w:t>Delaware</w:t>
            </w:r>
          </w:p>
        </w:tc>
        <w:tc>
          <w:tcPr>
            <w:tcW w:w="2160" w:type="dxa"/>
            <w:vAlign w:val="bottom"/>
          </w:tcPr>
          <w:p>
            <w:pPr>
              <w:ind w:left="460"/>
              <w:spacing w:after="0"/>
              <w:rPr>
                <w:sz w:val="20"/>
                <w:szCs w:val="20"/>
                <w:color w:val="auto"/>
              </w:rPr>
            </w:pPr>
            <w:r>
              <w:rPr>
                <w:rFonts w:ascii="Arial" w:cs="Arial" w:eastAsia="Arial" w:hAnsi="Arial"/>
                <w:sz w:val="18"/>
                <w:szCs w:val="18"/>
                <w:b w:val="1"/>
                <w:bCs w:val="1"/>
                <w:color w:val="auto"/>
              </w:rPr>
              <w:t>001-34791</w:t>
            </w:r>
          </w:p>
        </w:tc>
        <w:tc>
          <w:tcPr>
            <w:tcW w:w="3000" w:type="dxa"/>
            <w:vAlign w:val="bottom"/>
          </w:tcPr>
          <w:p>
            <w:pPr>
              <w:jc w:val="center"/>
              <w:ind w:left="1801"/>
              <w:spacing w:after="0"/>
              <w:rPr>
                <w:sz w:val="20"/>
                <w:szCs w:val="20"/>
                <w:color w:val="auto"/>
              </w:rPr>
            </w:pPr>
            <w:r>
              <w:rPr>
                <w:rFonts w:ascii="Arial" w:cs="Arial" w:eastAsia="Arial" w:hAnsi="Arial"/>
                <w:sz w:val="18"/>
                <w:szCs w:val="18"/>
                <w:b w:val="1"/>
                <w:bCs w:val="1"/>
                <w:color w:val="auto"/>
                <w:w w:val="91"/>
              </w:rPr>
              <w:t>83-0406195</w:t>
            </w:r>
          </w:p>
        </w:tc>
      </w:tr>
      <w:tr>
        <w:trPr>
          <w:trHeight w:val="149"/>
        </w:trPr>
        <w:tc>
          <w:tcPr>
            <w:tcW w:w="3900" w:type="dxa"/>
            <w:vAlign w:val="bottom"/>
          </w:tcPr>
          <w:p>
            <w:pPr>
              <w:jc w:val="center"/>
              <w:ind w:right="211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16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(Commission</w:t>
            </w:r>
          </w:p>
        </w:tc>
        <w:tc>
          <w:tcPr>
            <w:tcW w:w="3000" w:type="dxa"/>
            <w:vAlign w:val="bottom"/>
          </w:tcPr>
          <w:p>
            <w:pPr>
              <w:jc w:val="center"/>
              <w:ind w:left="18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2118"/>
              <w:spacing w:after="0"/>
              <w:rPr>
                <w:sz w:val="20"/>
                <w:szCs w:val="20"/>
                <w:color w:val="auto"/>
              </w:rPr>
            </w:pPr>
            <w:r>
              <w:rPr>
                <w:rFonts w:ascii="Arial" w:cs="Arial" w:eastAsia="Arial" w:hAnsi="Arial"/>
                <w:sz w:val="14"/>
                <w:szCs w:val="14"/>
                <w:b w:val="1"/>
                <w:bCs w:val="1"/>
                <w:color w:val="auto"/>
                <w:w w:val="94"/>
              </w:rPr>
              <w:t>of Incorporation)</w:t>
            </w:r>
          </w:p>
        </w:tc>
        <w:tc>
          <w:tcPr>
            <w:tcW w:w="2160" w:type="dxa"/>
            <w:vAlign w:val="bottom"/>
          </w:tcPr>
          <w:p>
            <w:pPr>
              <w:ind w:left="420"/>
              <w:spacing w:after="0"/>
              <w:rPr>
                <w:sz w:val="20"/>
                <w:szCs w:val="20"/>
                <w:color w:val="auto"/>
              </w:rPr>
            </w:pPr>
            <w:r>
              <w:rPr>
                <w:rFonts w:ascii="Arial" w:cs="Arial" w:eastAsia="Arial" w:hAnsi="Arial"/>
                <w:sz w:val="14"/>
                <w:szCs w:val="14"/>
                <w:b w:val="1"/>
                <w:bCs w:val="1"/>
                <w:color w:val="auto"/>
              </w:rPr>
              <w:t>File Number)</w:t>
            </w:r>
          </w:p>
        </w:tc>
        <w:tc>
          <w:tcPr>
            <w:tcW w:w="3000" w:type="dxa"/>
            <w:vAlign w:val="bottom"/>
          </w:tcPr>
          <w:p>
            <w:pPr>
              <w:jc w:val="center"/>
              <w:ind w:left="180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900" w:type="dxa"/>
            <w:vAlign w:val="bottom"/>
          </w:tcPr>
          <w:p>
            <w:pPr>
              <w:jc w:val="center"/>
              <w:ind w:right="238"/>
              <w:spacing w:after="0"/>
              <w:rPr>
                <w:sz w:val="20"/>
                <w:szCs w:val="20"/>
                <w:color w:val="auto"/>
              </w:rPr>
            </w:pPr>
            <w:r>
              <w:rPr>
                <w:rFonts w:ascii="Arial" w:cs="Arial" w:eastAsia="Arial" w:hAnsi="Arial"/>
                <w:sz w:val="18"/>
                <w:szCs w:val="18"/>
                <w:b w:val="1"/>
                <w:bCs w:val="1"/>
                <w:color w:val="auto"/>
                <w:w w:val="90"/>
              </w:rPr>
              <w:t>c/o MagnaChip Semiconductor S.A.</w:t>
            </w:r>
          </w:p>
        </w:tc>
        <w:tc>
          <w:tcPr>
            <w:tcW w:w="216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16"/>
        </w:trPr>
        <w:tc>
          <w:tcPr>
            <w:tcW w:w="3900" w:type="dxa"/>
            <w:vAlign w:val="bottom"/>
          </w:tcPr>
          <w:p>
            <w:pPr>
              <w:jc w:val="center"/>
              <w:ind w:right="238"/>
              <w:spacing w:after="0"/>
              <w:rPr>
                <w:sz w:val="20"/>
                <w:szCs w:val="20"/>
                <w:color w:val="auto"/>
              </w:rPr>
            </w:pPr>
            <w:r>
              <w:rPr>
                <w:rFonts w:ascii="Arial" w:cs="Arial" w:eastAsia="Arial" w:hAnsi="Arial"/>
                <w:sz w:val="18"/>
                <w:szCs w:val="18"/>
                <w:b w:val="1"/>
                <w:bCs w:val="1"/>
                <w:color w:val="auto"/>
                <w:w w:val="89"/>
              </w:rPr>
              <w:t>1, Allée Scheffer, L-2520</w:t>
            </w:r>
          </w:p>
        </w:tc>
        <w:tc>
          <w:tcPr>
            <w:tcW w:w="21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25"/>
        </w:trPr>
        <w:tc>
          <w:tcPr>
            <w:tcW w:w="3900" w:type="dxa"/>
            <w:vAlign w:val="bottom"/>
          </w:tcPr>
          <w:p>
            <w:pPr>
              <w:jc w:val="center"/>
              <w:ind w:right="238"/>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16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r>
      <w:tr>
        <w:trPr>
          <w:trHeight w:val="186"/>
        </w:trPr>
        <w:tc>
          <w:tcPr>
            <w:tcW w:w="3900" w:type="dxa"/>
            <w:vAlign w:val="bottom"/>
          </w:tcPr>
          <w:p>
            <w:pPr>
              <w:jc w:val="center"/>
              <w:ind w:right="2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160" w:type="dxa"/>
            <w:vAlign w:val="bottom"/>
          </w:tcPr>
          <w:p>
            <w:pPr>
              <w:spacing w:after="0"/>
              <w:rPr>
                <w:sz w:val="16"/>
                <w:szCs w:val="16"/>
                <w:color w:val="auto"/>
              </w:rPr>
            </w:pP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MagnaChip Semiconductor Corporation (the “Company”) held its 2017 Annual Meeting of Stockholders on July 12, 2017. As of the close of business on the record date of May 25, 2017, there were 33,956,021 shares of the Company’s common stock outstanding and entitled to vote at the Annual Meeting. The number of shares of the Company’s common stock present at the meeting, in person or by proxy, was 30,285,503, or 89.2% of the outstanding shares.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At the meeting, the following proposals were submitted to a vote of the Company’s stockholders, with the final voting results indicated below:</w:t>
      </w:r>
    </w:p>
    <w:p>
      <w:pPr>
        <w:spacing w:after="0" w:line="11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u w:val="single" w:color="auto"/>
          <w:color w:val="auto"/>
        </w:rPr>
        <w:t>Proposal 1 – Election of Directors</w:t>
      </w:r>
      <w:r>
        <w:rPr>
          <w:rFonts w:ascii="Arial" w:cs="Arial" w:eastAsia="Arial" w:hAnsi="Arial"/>
          <w:sz w:val="18"/>
          <w:szCs w:val="18"/>
          <w:color w:val="auto"/>
        </w:rPr>
        <w:t>. The Company’s stockholders elected the following seven directors to serve until the 2018 Annual Meetings of Stockholders and until their respective successors are elected and qualified.</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3920" w:type="dxa"/>
            <w:vAlign w:val="bottom"/>
          </w:tcPr>
          <w:p>
            <w:pPr>
              <w:jc w:val="right"/>
              <w:ind w:right="432"/>
              <w:spacing w:after="0"/>
              <w:rPr>
                <w:sz w:val="20"/>
                <w:szCs w:val="20"/>
                <w:color w:val="auto"/>
              </w:rPr>
            </w:pPr>
            <w:r>
              <w:rPr>
                <w:rFonts w:ascii="Arial" w:cs="Arial" w:eastAsia="Arial" w:hAnsi="Arial"/>
                <w:sz w:val="14"/>
                <w:szCs w:val="14"/>
                <w:b w:val="1"/>
                <w:bCs w:val="1"/>
                <w:color w:val="auto"/>
              </w:rPr>
              <w:t>For</w:t>
            </w:r>
          </w:p>
        </w:tc>
        <w:tc>
          <w:tcPr>
            <w:tcW w:w="1000" w:type="dxa"/>
            <w:vAlign w:val="bottom"/>
          </w:tcPr>
          <w:p>
            <w:pPr>
              <w:jc w:val="right"/>
              <w:ind w:right="132"/>
              <w:spacing w:after="0"/>
              <w:rPr>
                <w:sz w:val="20"/>
                <w:szCs w:val="20"/>
                <w:color w:val="auto"/>
              </w:rPr>
            </w:pPr>
            <w:r>
              <w:rPr>
                <w:rFonts w:ascii="Arial" w:cs="Arial" w:eastAsia="Arial" w:hAnsi="Arial"/>
                <w:sz w:val="14"/>
                <w:szCs w:val="14"/>
                <w:b w:val="1"/>
                <w:bCs w:val="1"/>
                <w:color w:val="auto"/>
              </w:rPr>
              <w:t>Withheld</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Broker Non-Votes</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Gary Tanner</w:t>
            </w:r>
          </w:p>
        </w:tc>
        <w:tc>
          <w:tcPr>
            <w:tcW w:w="3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22,617,658</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409,348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7,258,497</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Melvin L. Keating</w:t>
            </w:r>
          </w:p>
        </w:tc>
        <w:tc>
          <w:tcPr>
            <w:tcW w:w="3920" w:type="dxa"/>
            <w:vAlign w:val="bottom"/>
          </w:tcPr>
          <w:p>
            <w:pPr>
              <w:jc w:val="right"/>
              <w:ind w:right="112"/>
              <w:spacing w:after="0"/>
              <w:rPr>
                <w:sz w:val="20"/>
                <w:szCs w:val="20"/>
                <w:color w:val="auto"/>
              </w:rPr>
            </w:pPr>
            <w:r>
              <w:rPr>
                <w:rFonts w:ascii="Arial" w:cs="Arial" w:eastAsia="Arial" w:hAnsi="Arial"/>
                <w:sz w:val="18"/>
                <w:szCs w:val="18"/>
                <w:color w:val="auto"/>
              </w:rPr>
              <w:t>22,638,318</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388,688</w:t>
            </w:r>
          </w:p>
        </w:tc>
        <w:tc>
          <w:tcPr>
            <w:tcW w:w="1340" w:type="dxa"/>
            <w:vAlign w:val="bottom"/>
          </w:tcPr>
          <w:p>
            <w:pPr>
              <w:jc w:val="right"/>
              <w:spacing w:after="0"/>
              <w:rPr>
                <w:sz w:val="20"/>
                <w:szCs w:val="20"/>
                <w:color w:val="auto"/>
              </w:rPr>
            </w:pPr>
            <w:r>
              <w:rPr>
                <w:rFonts w:ascii="Arial" w:cs="Arial" w:eastAsia="Arial" w:hAnsi="Arial"/>
                <w:sz w:val="18"/>
                <w:szCs w:val="18"/>
                <w:color w:val="auto"/>
              </w:rPr>
              <w:t>7,258,497</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Young-Joon Kim</w:t>
            </w:r>
          </w:p>
        </w:tc>
        <w:tc>
          <w:tcPr>
            <w:tcW w:w="3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22,640,363</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386,643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7,258,497</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Randal Klein</w:t>
            </w:r>
          </w:p>
        </w:tc>
        <w:tc>
          <w:tcPr>
            <w:tcW w:w="3920" w:type="dxa"/>
            <w:vAlign w:val="bottom"/>
          </w:tcPr>
          <w:p>
            <w:pPr>
              <w:jc w:val="right"/>
              <w:ind w:right="112"/>
              <w:spacing w:after="0"/>
              <w:rPr>
                <w:sz w:val="20"/>
                <w:szCs w:val="20"/>
                <w:color w:val="auto"/>
              </w:rPr>
            </w:pPr>
            <w:r>
              <w:rPr>
                <w:rFonts w:ascii="Arial" w:cs="Arial" w:eastAsia="Arial" w:hAnsi="Arial"/>
                <w:sz w:val="18"/>
                <w:szCs w:val="18"/>
                <w:color w:val="auto"/>
              </w:rPr>
              <w:t>22,637,908</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389,098</w:t>
            </w:r>
          </w:p>
        </w:tc>
        <w:tc>
          <w:tcPr>
            <w:tcW w:w="1340" w:type="dxa"/>
            <w:vAlign w:val="bottom"/>
          </w:tcPr>
          <w:p>
            <w:pPr>
              <w:jc w:val="right"/>
              <w:spacing w:after="0"/>
              <w:rPr>
                <w:sz w:val="20"/>
                <w:szCs w:val="20"/>
                <w:color w:val="auto"/>
              </w:rPr>
            </w:pPr>
            <w:r>
              <w:rPr>
                <w:rFonts w:ascii="Arial" w:cs="Arial" w:eastAsia="Arial" w:hAnsi="Arial"/>
                <w:sz w:val="18"/>
                <w:szCs w:val="18"/>
                <w:color w:val="auto"/>
              </w:rPr>
              <w:t>7,258,497</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Ilbok Lee</w:t>
            </w:r>
          </w:p>
        </w:tc>
        <w:tc>
          <w:tcPr>
            <w:tcW w:w="3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22,640,273</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386,733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7,258,497</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Camillo Martino</w:t>
            </w:r>
          </w:p>
        </w:tc>
        <w:tc>
          <w:tcPr>
            <w:tcW w:w="3920" w:type="dxa"/>
            <w:vAlign w:val="bottom"/>
          </w:tcPr>
          <w:p>
            <w:pPr>
              <w:jc w:val="right"/>
              <w:ind w:right="112"/>
              <w:spacing w:after="0"/>
              <w:rPr>
                <w:sz w:val="20"/>
                <w:szCs w:val="20"/>
                <w:color w:val="auto"/>
              </w:rPr>
            </w:pPr>
            <w:r>
              <w:rPr>
                <w:rFonts w:ascii="Arial" w:cs="Arial" w:eastAsia="Arial" w:hAnsi="Arial"/>
                <w:sz w:val="18"/>
                <w:szCs w:val="18"/>
                <w:color w:val="auto"/>
              </w:rPr>
              <w:t>22,639,408</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387,598</w:t>
            </w:r>
          </w:p>
        </w:tc>
        <w:tc>
          <w:tcPr>
            <w:tcW w:w="1340" w:type="dxa"/>
            <w:vAlign w:val="bottom"/>
          </w:tcPr>
          <w:p>
            <w:pPr>
              <w:jc w:val="right"/>
              <w:spacing w:after="0"/>
              <w:rPr>
                <w:sz w:val="20"/>
                <w:szCs w:val="20"/>
                <w:color w:val="auto"/>
              </w:rPr>
            </w:pPr>
            <w:r>
              <w:rPr>
                <w:rFonts w:ascii="Arial" w:cs="Arial" w:eastAsia="Arial" w:hAnsi="Arial"/>
                <w:sz w:val="18"/>
                <w:szCs w:val="18"/>
                <w:color w:val="auto"/>
              </w:rPr>
              <w:t>7,258,497</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Nader Tavakoli</w:t>
            </w:r>
          </w:p>
        </w:tc>
        <w:tc>
          <w:tcPr>
            <w:tcW w:w="39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22,638,363</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388,643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7,258,497</w:t>
            </w:r>
          </w:p>
        </w:tc>
      </w:tr>
    </w:tbl>
    <w:p>
      <w:pPr>
        <w:spacing w:after="0" w:line="202" w:lineRule="exact"/>
        <w:rPr>
          <w:sz w:val="20"/>
          <w:szCs w:val="20"/>
          <w:color w:val="auto"/>
        </w:rPr>
      </w:pPr>
    </w:p>
    <w:p>
      <w:pPr>
        <w:ind w:right="940"/>
        <w:spacing w:after="0" w:line="342" w:lineRule="auto"/>
        <w:rPr>
          <w:sz w:val="20"/>
          <w:szCs w:val="20"/>
          <w:color w:val="auto"/>
        </w:rPr>
      </w:pPr>
      <w:r>
        <w:rPr>
          <w:rFonts w:ascii="Arial" w:cs="Arial" w:eastAsia="Arial" w:hAnsi="Arial"/>
          <w:sz w:val="16"/>
          <w:szCs w:val="16"/>
          <w:u w:val="single" w:color="auto"/>
          <w:color w:val="auto"/>
        </w:rPr>
        <w:t>Proposal 2 – Ratification of the Appointment of Samil PricewaterhouseCoopers</w:t>
      </w:r>
      <w:r>
        <w:rPr>
          <w:rFonts w:ascii="Arial" w:cs="Arial" w:eastAsia="Arial" w:hAnsi="Arial"/>
          <w:sz w:val="16"/>
          <w:szCs w:val="16"/>
          <w:color w:val="auto"/>
        </w:rPr>
        <w:t>. The Company’s stockholders ratified the appointment of Samil PricewaterhouseCoopers as the Company’s independent registered public accounting firm for the fiscal year ending December 31, 2017.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00" w:type="dxa"/>
            <w:vAlign w:val="bottom"/>
            <w:gridSpan w:val="2"/>
          </w:tcPr>
          <w:p>
            <w:pPr>
              <w:jc w:val="center"/>
              <w:ind w:right="2580"/>
              <w:spacing w:after="0"/>
              <w:rPr>
                <w:sz w:val="20"/>
                <w:szCs w:val="20"/>
                <w:color w:val="auto"/>
              </w:rPr>
            </w:pPr>
            <w:r>
              <w:rPr>
                <w:rFonts w:ascii="Arial" w:cs="Arial" w:eastAsia="Arial" w:hAnsi="Arial"/>
                <w:sz w:val="14"/>
                <w:szCs w:val="14"/>
                <w:b w:val="1"/>
                <w:bCs w:val="1"/>
                <w:color w:val="auto"/>
                <w:w w:val="97"/>
              </w:rPr>
              <w:t>For</w:t>
            </w:r>
          </w:p>
        </w:tc>
        <w:tc>
          <w:tcPr>
            <w:tcW w:w="1520" w:type="dxa"/>
            <w:vAlign w:val="bottom"/>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Against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Abstained</w:t>
            </w:r>
          </w:p>
        </w:tc>
      </w:tr>
      <w:tr>
        <w:trPr>
          <w:trHeight w:val="20"/>
        </w:trPr>
        <w:tc>
          <w:tcPr>
            <w:tcW w:w="920" w:type="dxa"/>
            <w:vAlign w:val="bottom"/>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920" w:type="dxa"/>
            <w:vAlign w:val="bottom"/>
          </w:tcPr>
          <w:p>
            <w:pPr>
              <w:spacing w:after="0"/>
              <w:rPr>
                <w:sz w:val="17"/>
                <w:szCs w:val="17"/>
                <w:color w:val="auto"/>
              </w:rPr>
            </w:pPr>
          </w:p>
        </w:tc>
        <w:tc>
          <w:tcPr>
            <w:tcW w:w="4840" w:type="dxa"/>
            <w:vAlign w:val="bottom"/>
            <w:gridSpan w:val="3"/>
            <w:shd w:val="clear" w:color="auto" w:fill="CCEEFF"/>
          </w:tcPr>
          <w:p>
            <w:pPr>
              <w:jc w:val="right"/>
              <w:ind w:right="2280"/>
              <w:spacing w:after="0" w:line="203" w:lineRule="exact"/>
              <w:rPr>
                <w:sz w:val="20"/>
                <w:szCs w:val="20"/>
                <w:color w:val="auto"/>
              </w:rPr>
            </w:pPr>
            <w:r>
              <w:rPr>
                <w:rFonts w:ascii="Arial" w:cs="Arial" w:eastAsia="Arial" w:hAnsi="Arial"/>
                <w:sz w:val="18"/>
                <w:szCs w:val="18"/>
                <w:color w:val="auto"/>
              </w:rPr>
              <w:t>29,888,496</w:t>
            </w:r>
          </w:p>
        </w:tc>
        <w:tc>
          <w:tcPr>
            <w:tcW w:w="4040" w:type="dxa"/>
            <w:vAlign w:val="bottom"/>
            <w:gridSpan w:val="3"/>
            <w:shd w:val="clear" w:color="auto" w:fill="CCEEFF"/>
          </w:tcPr>
          <w:p>
            <w:pPr>
              <w:ind w:left="1500"/>
              <w:spacing w:after="0" w:line="203" w:lineRule="exact"/>
              <w:rPr>
                <w:sz w:val="20"/>
                <w:szCs w:val="20"/>
                <w:color w:val="auto"/>
              </w:rPr>
            </w:pPr>
            <w:r>
              <w:rPr>
                <w:rFonts w:ascii="Arial" w:cs="Arial" w:eastAsia="Arial" w:hAnsi="Arial"/>
                <w:sz w:val="18"/>
                <w:szCs w:val="18"/>
                <w:color w:val="auto"/>
              </w:rPr>
              <w:t>64,858</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332,149</w:t>
            </w:r>
          </w:p>
        </w:tc>
        <w:tc>
          <w:tcPr>
            <w:tcW w:w="60" w:type="dxa"/>
            <w:vAlign w:val="bottom"/>
            <w:shd w:val="clear" w:color="auto" w:fill="CCEEFF"/>
          </w:tcPr>
          <w:p>
            <w:pPr>
              <w:spacing w:after="0"/>
              <w:rPr>
                <w:sz w:val="17"/>
                <w:szCs w:val="17"/>
                <w:color w:val="auto"/>
              </w:rPr>
            </w:pPr>
          </w:p>
        </w:tc>
      </w:tr>
      <w:tr>
        <w:trPr>
          <w:trHeight w:val="432"/>
        </w:trPr>
        <w:tc>
          <w:tcPr>
            <w:tcW w:w="5760" w:type="dxa"/>
            <w:vAlign w:val="bottom"/>
            <w:gridSpan w:val="4"/>
          </w:tcPr>
          <w:p>
            <w:pPr>
              <w:spacing w:after="0"/>
              <w:rPr>
                <w:sz w:val="20"/>
                <w:szCs w:val="20"/>
                <w:color w:val="auto"/>
              </w:rPr>
            </w:pPr>
            <w:r>
              <w:rPr>
                <w:rFonts w:ascii="Arial" w:cs="Arial" w:eastAsia="Arial" w:hAnsi="Arial"/>
                <w:sz w:val="18"/>
                <w:szCs w:val="18"/>
                <w:color w:val="auto"/>
              </w:rPr>
              <w:t>There were no broker non-votes with respect to Proposal 2.</w:t>
            </w:r>
          </w:p>
        </w:tc>
        <w:tc>
          <w:tcPr>
            <w:tcW w:w="1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20"/>
          </w:cols>
          <w:pgMar w:left="240" w:top="27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720" w:type="dxa"/>
            <w:vAlign w:val="bottom"/>
            <w:gridSpan w:val="2"/>
          </w:tcPr>
          <w:p>
            <w:pPr>
              <w:ind w:left="2200"/>
              <w:spacing w:after="0"/>
              <w:rPr>
                <w:sz w:val="20"/>
                <w:szCs w:val="20"/>
                <w:color w:val="auto"/>
              </w:rPr>
            </w:pPr>
            <w:r>
              <w:rPr>
                <w:rFonts w:ascii="Arial" w:cs="Arial" w:eastAsia="Arial" w:hAnsi="Arial"/>
                <w:sz w:val="18"/>
                <w:szCs w:val="18"/>
                <w:color w:val="auto"/>
              </w:rPr>
              <w:t>MAGNACHIP SEMICONDUCTOR CORPORATION</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Dated: July 14, 2017</w:t>
            </w:r>
          </w:p>
        </w:tc>
        <w:tc>
          <w:tcPr>
            <w:tcW w:w="7720" w:type="dxa"/>
            <w:vAlign w:val="bottom"/>
            <w:gridSpan w:val="2"/>
          </w:tcPr>
          <w:p>
            <w:pPr>
              <w:ind w:left="2200"/>
              <w:spacing w:after="0"/>
              <w:rPr>
                <w:sz w:val="20"/>
                <w:szCs w:val="20"/>
                <w:color w:val="auto"/>
              </w:rPr>
            </w:pPr>
            <w:r>
              <w:rPr>
                <w:rFonts w:ascii="Arial" w:cs="Arial" w:eastAsia="Arial" w:hAnsi="Arial"/>
                <w:sz w:val="18"/>
                <w:szCs w:val="18"/>
                <w:color w:val="auto"/>
              </w:rPr>
              <w:t>By:  /s/ Theodore Kim</w:t>
            </w:r>
          </w:p>
        </w:tc>
      </w:tr>
      <w:tr>
        <w:trPr>
          <w:trHeight w:val="195"/>
        </w:trPr>
        <w:tc>
          <w:tcPr>
            <w:tcW w:w="37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Theodore Kim</w:t>
            </w:r>
          </w:p>
        </w:tc>
      </w:tr>
      <w:tr>
        <w:trPr>
          <w:trHeight w:val="216"/>
        </w:trPr>
        <w:tc>
          <w:tcPr>
            <w:tcW w:w="37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w w:val="92"/>
              </w:rPr>
              <w:t>Chief Compliance Officer, Executive Vice President, General Counsel</w:t>
            </w:r>
          </w:p>
        </w:tc>
      </w:tr>
      <w:tr>
        <w:trPr>
          <w:trHeight w:val="230"/>
        </w:trPr>
        <w:tc>
          <w:tcPr>
            <w:tcW w:w="37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and Secretary</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2019-12-06T23:55:13Z</dcterms:created>
  <dcterms:modified xsi:type="dcterms:W3CDTF">2019-12-06T23:55:13Z</dcterms:modified>
</cp:coreProperties>
</file>