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660" w:firstLine="8"/>
        <w:spacing w:after="0" w:line="224" w:lineRule="exact"/>
        <w:tabs>
          <w:tab w:leader="none" w:pos="56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9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2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Value Opportunities Fund Holdings,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 (2)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its capacity as the direct owner of 2,849,858 shares of common stock, par value $0.50 per share of the Issuer (“Common Stock”).</w:t>
      </w:r>
    </w:p>
    <w:p>
      <w:pPr>
        <w:spacing w:after="0" w:line="252" w:lineRule="exact"/>
        <w:rPr>
          <w:rFonts w:ascii="Arial" w:cs="Arial" w:eastAsia="Arial" w:hAnsi="Arial"/>
          <w:sz w:val="18"/>
          <w:szCs w:val="18"/>
          <w:color w:val="auto"/>
        </w:rPr>
      </w:pPr>
    </w:p>
    <w:p>
      <w:pPr>
        <w:ind w:left="560" w:right="20" w:hanging="552"/>
        <w:spacing w:after="0" w:line="342" w:lineRule="auto"/>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calculations of percentage ownership herein are based on a total of 42,589,315 shares of Common Stock issued and outstanding as of March 31, 2023, as disclosed on the Issuer's Current Report on Form 8-K, filed with the Securities and Exchange Commission on May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3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Value Opportunities Fund GP,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Cayman Islands</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4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Value Opportunities Fund GP Ltd.</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Cayman Islands</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5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Fund GP I,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Solely in its capacity as the sole shareholder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6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I,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8"/>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7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OCM Holdings I,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8"/>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8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Holdings,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9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Management,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Solely in its capacity as the sole director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10 of 24</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7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Management GP,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11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Atlas OCM Holdings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Solely in its capacity as the sole managing member of Oaktree Capital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12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Group,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Oaktree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13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Group Holdings GP,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B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14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Brookfield Corporation</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A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15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Brookfield Asset Management ULC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British Columbia, Canada</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A units of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16 of 24</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BAM Partners Trust</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2,849,858 (1)</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2,849,858 (1)</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Solely in its capacity as the sole owner of Class B Limited Voting Shares of Brookfield Corporation (f/k/a Brookfield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1640" w:type="dxa"/>
            <w:vAlign w:val="bottom"/>
          </w:tcPr>
          <w:p>
            <w:pPr>
              <w:spacing w:after="0"/>
              <w:rPr>
                <w:sz w:val="21"/>
                <w:szCs w:val="21"/>
                <w:color w:val="auto"/>
              </w:rPr>
            </w:pPr>
          </w:p>
        </w:tc>
        <w:tc>
          <w:tcPr>
            <w:tcW w:w="5080" w:type="dxa"/>
            <w:vAlign w:val="bottom"/>
            <w:tcBorders>
              <w:right w:val="single" w:sz="8" w:color="auto"/>
            </w:tcBorders>
          </w:tcPr>
          <w:p>
            <w:pPr>
              <w:ind w:left="102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17 of 24</w:t>
            </w:r>
          </w:p>
        </w:tc>
      </w:tr>
      <w:tr>
        <w:trPr>
          <w:trHeight w:val="648"/>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2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(a)Name of Issuer:</w:t>
            </w:r>
          </w:p>
        </w:tc>
        <w:tc>
          <w:tcPr>
            <w:tcW w:w="50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3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name of the issuer is MagnaChip Semiconductor Corporation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w:t>
      </w:r>
    </w:p>
    <w:p>
      <w:pPr>
        <w:spacing w:after="0" w:line="154" w:lineRule="exact"/>
        <w:rPr>
          <w:sz w:val="20"/>
          <w:szCs w:val="20"/>
          <w:color w:val="auto"/>
        </w:rPr>
      </w:pPr>
    </w:p>
    <w:p>
      <w:pPr>
        <w:ind w:left="1700" w:hanging="569"/>
        <w:spacing w:after="0"/>
        <w:tabs>
          <w:tab w:leader="none" w:pos="1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61" w:lineRule="exact"/>
        <w:rPr>
          <w:rFonts w:ascii="Arial" w:cs="Arial" w:eastAsia="Arial" w:hAnsi="Arial"/>
          <w:sz w:val="18"/>
          <w:szCs w:val="18"/>
          <w:b w:val="1"/>
          <w:bCs w:val="1"/>
          <w:color w:val="auto"/>
        </w:rPr>
      </w:pPr>
    </w:p>
    <w:p>
      <w:pPr>
        <w:ind w:left="17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Issuer’s principal executive offices are located at c/o MagnaChip Semiconductor S.A., 1, Allée Scheffer, L-2520, Luxembourg, Grand Duchy of Luxembourg.</w:t>
      </w:r>
    </w:p>
    <w:p>
      <w:pPr>
        <w:spacing w:after="0" w:line="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(a)-(c) Name of Person Filing; Address of Principal Business Office; and Citizenship</w:t>
      </w:r>
    </w:p>
    <w:p>
      <w:pPr>
        <w:spacing w:after="0" w:line="162" w:lineRule="exact"/>
        <w:rPr>
          <w:sz w:val="20"/>
          <w:szCs w:val="20"/>
          <w:color w:val="auto"/>
        </w:rPr>
      </w:pPr>
    </w:p>
    <w:p>
      <w:pPr>
        <w:ind w:left="1140" w:right="620"/>
        <w:spacing w:after="0" w:line="277" w:lineRule="auto"/>
        <w:rPr>
          <w:sz w:val="20"/>
          <w:szCs w:val="20"/>
          <w:color w:val="auto"/>
        </w:rPr>
      </w:pPr>
      <w:r>
        <w:rPr>
          <w:rFonts w:ascii="Arial" w:cs="Arial" w:eastAsia="Arial" w:hAnsi="Arial"/>
          <w:sz w:val="18"/>
          <w:szCs w:val="18"/>
          <w:color w:val="auto"/>
        </w:rPr>
        <w:t>This Schedule 13G is filed jointly by each of the following persons (collectively,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 pursuant to a joint filing agreement attached hereto as Exhibit 1:</w:t>
      </w:r>
    </w:p>
    <w:p>
      <w:pPr>
        <w:spacing w:after="0" w:line="103" w:lineRule="exact"/>
        <w:rPr>
          <w:sz w:val="20"/>
          <w:szCs w:val="20"/>
          <w:color w:val="auto"/>
        </w:rPr>
      </w:pPr>
    </w:p>
    <w:p>
      <w:pPr>
        <w:ind w:left="1700" w:right="260" w:hanging="569"/>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Oaktree Value Opportunities Fund Holdings, L.P., a Delaware limited partnership (“</w:t>
      </w:r>
      <w:r>
        <w:rPr>
          <w:rFonts w:ascii="Arial" w:cs="Arial" w:eastAsia="Arial" w:hAnsi="Arial"/>
          <w:sz w:val="18"/>
          <w:szCs w:val="18"/>
          <w:b w:val="1"/>
          <w:bCs w:val="1"/>
          <w:i w:val="1"/>
          <w:iCs w:val="1"/>
          <w:color w:val="auto"/>
        </w:rPr>
        <w:t>VOF Holdings</w:t>
      </w:r>
      <w:r>
        <w:rPr>
          <w:rFonts w:ascii="Arial" w:cs="Arial" w:eastAsia="Arial" w:hAnsi="Arial"/>
          <w:sz w:val="18"/>
          <w:szCs w:val="18"/>
          <w:color w:val="auto"/>
        </w:rPr>
        <w:t>”), in its capacity as the direct owner of 2,849,858 shares of Common Stock;</w:t>
      </w:r>
    </w:p>
    <w:p>
      <w:pPr>
        <w:spacing w:after="0" w:line="102" w:lineRule="exact"/>
        <w:rPr>
          <w:rFonts w:ascii="Arial" w:cs="Arial" w:eastAsia="Arial" w:hAnsi="Arial"/>
          <w:sz w:val="18"/>
          <w:szCs w:val="18"/>
          <w:color w:val="auto"/>
        </w:rPr>
      </w:pPr>
    </w:p>
    <w:p>
      <w:pPr>
        <w:ind w:left="1700" w:right="20" w:hanging="569"/>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Oaktree Value Opportunities Fund GP, L.P., a Cayman Islands limited partnership (“</w:t>
      </w:r>
      <w:r>
        <w:rPr>
          <w:rFonts w:ascii="Arial" w:cs="Arial" w:eastAsia="Arial" w:hAnsi="Arial"/>
          <w:sz w:val="18"/>
          <w:szCs w:val="18"/>
          <w:b w:val="1"/>
          <w:bCs w:val="1"/>
          <w:i w:val="1"/>
          <w:iCs w:val="1"/>
          <w:color w:val="auto"/>
        </w:rPr>
        <w:t>VOF GP</w:t>
      </w:r>
      <w:r>
        <w:rPr>
          <w:rFonts w:ascii="Arial" w:cs="Arial" w:eastAsia="Arial" w:hAnsi="Arial"/>
          <w:sz w:val="18"/>
          <w:szCs w:val="18"/>
          <w:color w:val="auto"/>
        </w:rPr>
        <w:t>”), in its capacity as the general partner of VOF Holdings;</w:t>
      </w:r>
    </w:p>
    <w:p>
      <w:pPr>
        <w:spacing w:after="0" w:line="102" w:lineRule="exact"/>
        <w:rPr>
          <w:rFonts w:ascii="Arial" w:cs="Arial" w:eastAsia="Arial" w:hAnsi="Arial"/>
          <w:sz w:val="18"/>
          <w:szCs w:val="18"/>
          <w:color w:val="auto"/>
        </w:rPr>
      </w:pPr>
    </w:p>
    <w:p>
      <w:pPr>
        <w:ind w:left="1700" w:right="220" w:hanging="569"/>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Oaktree Value Opportunities Fund GP Ltd., a Cayman Islands exempted company (“</w:t>
      </w:r>
      <w:r>
        <w:rPr>
          <w:rFonts w:ascii="Arial" w:cs="Arial" w:eastAsia="Arial" w:hAnsi="Arial"/>
          <w:sz w:val="18"/>
          <w:szCs w:val="18"/>
          <w:b w:val="1"/>
          <w:bCs w:val="1"/>
          <w:i w:val="1"/>
          <w:iCs w:val="1"/>
          <w:color w:val="auto"/>
        </w:rPr>
        <w:t>VOF GP Ltd.</w:t>
      </w:r>
      <w:r>
        <w:rPr>
          <w:rFonts w:ascii="Arial" w:cs="Arial" w:eastAsia="Arial" w:hAnsi="Arial"/>
          <w:sz w:val="18"/>
          <w:szCs w:val="18"/>
          <w:color w:val="auto"/>
        </w:rPr>
        <w:t>”), in its capacity as the general partner of VOF GP;</w:t>
      </w:r>
    </w:p>
    <w:p>
      <w:pPr>
        <w:spacing w:after="0" w:line="102" w:lineRule="exact"/>
        <w:rPr>
          <w:rFonts w:ascii="Arial" w:cs="Arial" w:eastAsia="Arial" w:hAnsi="Arial"/>
          <w:sz w:val="18"/>
          <w:szCs w:val="18"/>
          <w:color w:val="auto"/>
        </w:rPr>
      </w:pPr>
    </w:p>
    <w:p>
      <w:pPr>
        <w:ind w:left="1700" w:hanging="569"/>
        <w:spacing w:after="0"/>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Oaktree Fund GP I, L.P., a Delaware limited partnership (“</w:t>
      </w:r>
      <w:r>
        <w:rPr>
          <w:rFonts w:ascii="Arial" w:cs="Arial" w:eastAsia="Arial" w:hAnsi="Arial"/>
          <w:sz w:val="17"/>
          <w:szCs w:val="17"/>
          <w:b w:val="1"/>
          <w:bCs w:val="1"/>
          <w:i w:val="1"/>
          <w:iCs w:val="1"/>
          <w:color w:val="auto"/>
        </w:rPr>
        <w:t>GP I</w:t>
      </w:r>
      <w:r>
        <w:rPr>
          <w:rFonts w:ascii="Arial" w:cs="Arial" w:eastAsia="Arial" w:hAnsi="Arial"/>
          <w:sz w:val="17"/>
          <w:szCs w:val="17"/>
          <w:color w:val="auto"/>
        </w:rPr>
        <w:t>”), in its capacity as the sole shareholder of VOF GP Ltd.;</w:t>
      </w:r>
    </w:p>
    <w:p>
      <w:pPr>
        <w:spacing w:after="0" w:line="169" w:lineRule="exact"/>
        <w:rPr>
          <w:rFonts w:ascii="Arial" w:cs="Arial" w:eastAsia="Arial" w:hAnsi="Arial"/>
          <w:sz w:val="17"/>
          <w:szCs w:val="17"/>
          <w:color w:val="auto"/>
        </w:rPr>
      </w:pPr>
    </w:p>
    <w:p>
      <w:pPr>
        <w:ind w:left="1700" w:hanging="569"/>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Oaktree Capital I, L.P., a Delaware limited partnership (“</w:t>
      </w:r>
      <w:r>
        <w:rPr>
          <w:rFonts w:ascii="Arial" w:cs="Arial" w:eastAsia="Arial" w:hAnsi="Arial"/>
          <w:sz w:val="18"/>
          <w:szCs w:val="18"/>
          <w:b w:val="1"/>
          <w:bCs w:val="1"/>
          <w:i w:val="1"/>
          <w:iCs w:val="1"/>
          <w:color w:val="auto"/>
        </w:rPr>
        <w:t>Capital I</w:t>
      </w:r>
      <w:r>
        <w:rPr>
          <w:rFonts w:ascii="Arial" w:cs="Arial" w:eastAsia="Arial" w:hAnsi="Arial"/>
          <w:sz w:val="18"/>
          <w:szCs w:val="18"/>
          <w:color w:val="auto"/>
        </w:rPr>
        <w:t>”), in its capacity as the general partner of GP I;</w:t>
      </w:r>
    </w:p>
    <w:p>
      <w:pPr>
        <w:spacing w:after="0" w:line="157" w:lineRule="exact"/>
        <w:rPr>
          <w:rFonts w:ascii="Arial" w:cs="Arial" w:eastAsia="Arial" w:hAnsi="Arial"/>
          <w:sz w:val="18"/>
          <w:szCs w:val="18"/>
          <w:color w:val="auto"/>
        </w:rPr>
      </w:pPr>
    </w:p>
    <w:p>
      <w:pPr>
        <w:ind w:left="1700" w:hanging="569"/>
        <w:spacing w:after="0"/>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OCM Holdings I, LLC, a Delaware limited liability company (“</w:t>
      </w:r>
      <w:r>
        <w:rPr>
          <w:rFonts w:ascii="Arial" w:cs="Arial" w:eastAsia="Arial" w:hAnsi="Arial"/>
          <w:sz w:val="17"/>
          <w:szCs w:val="17"/>
          <w:b w:val="1"/>
          <w:bCs w:val="1"/>
          <w:i w:val="1"/>
          <w:iCs w:val="1"/>
          <w:color w:val="auto"/>
        </w:rPr>
        <w:t>Holdings I</w:t>
      </w:r>
      <w:r>
        <w:rPr>
          <w:rFonts w:ascii="Arial" w:cs="Arial" w:eastAsia="Arial" w:hAnsi="Arial"/>
          <w:sz w:val="17"/>
          <w:szCs w:val="17"/>
          <w:color w:val="auto"/>
        </w:rPr>
        <w:t>”), in its capacity as the general partner of Capital I;</w:t>
      </w:r>
    </w:p>
    <w:p>
      <w:pPr>
        <w:spacing w:after="0" w:line="169" w:lineRule="exact"/>
        <w:rPr>
          <w:rFonts w:ascii="Arial" w:cs="Arial" w:eastAsia="Arial" w:hAnsi="Arial"/>
          <w:sz w:val="17"/>
          <w:szCs w:val="17"/>
          <w:color w:val="auto"/>
        </w:rPr>
      </w:pPr>
    </w:p>
    <w:p>
      <w:pPr>
        <w:ind w:left="1700" w:hanging="569"/>
        <w:spacing w:after="0"/>
        <w:tabs>
          <w:tab w:leader="none" w:pos="1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Oaktree Holdings, LLC, a Delaware limited liability company (“</w:t>
      </w:r>
      <w:r>
        <w:rPr>
          <w:rFonts w:ascii="Arial" w:cs="Arial" w:eastAsia="Arial" w:hAnsi="Arial"/>
          <w:sz w:val="16"/>
          <w:szCs w:val="16"/>
          <w:b w:val="1"/>
          <w:bCs w:val="1"/>
          <w:i w:val="1"/>
          <w:iCs w:val="1"/>
          <w:color w:val="auto"/>
        </w:rPr>
        <w:t>Holdings</w:t>
      </w:r>
      <w:r>
        <w:rPr>
          <w:rFonts w:ascii="Arial" w:cs="Arial" w:eastAsia="Arial" w:hAnsi="Arial"/>
          <w:sz w:val="16"/>
          <w:szCs w:val="16"/>
          <w:color w:val="auto"/>
        </w:rPr>
        <w:t>”) in its capacity as the managing member of Holdings I;</w:t>
      </w:r>
    </w:p>
    <w:p>
      <w:pPr>
        <w:spacing w:after="0" w:line="180" w:lineRule="exact"/>
        <w:rPr>
          <w:rFonts w:ascii="Arial" w:cs="Arial" w:eastAsia="Arial" w:hAnsi="Arial"/>
          <w:sz w:val="16"/>
          <w:szCs w:val="16"/>
          <w:color w:val="auto"/>
        </w:rPr>
      </w:pPr>
    </w:p>
    <w:p>
      <w:pPr>
        <w:ind w:left="1700" w:right="80" w:hanging="569"/>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Oaktree Capital Management, L.P., a Delaware limited partnership (“</w:t>
      </w: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 in its capacity as the sole director of VOF GP Ltd.;</w:t>
      </w:r>
    </w:p>
    <w:p>
      <w:pPr>
        <w:spacing w:after="0" w:line="102" w:lineRule="exact"/>
        <w:rPr>
          <w:rFonts w:ascii="Arial" w:cs="Arial" w:eastAsia="Arial" w:hAnsi="Arial"/>
          <w:sz w:val="18"/>
          <w:szCs w:val="18"/>
          <w:color w:val="auto"/>
        </w:rPr>
      </w:pPr>
    </w:p>
    <w:p>
      <w:pPr>
        <w:ind w:left="1700" w:right="260" w:hanging="569"/>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Oaktree Capital Management GP, LLC, a Delaware limited liability company (“</w:t>
      </w:r>
      <w:r>
        <w:rPr>
          <w:rFonts w:ascii="Arial" w:cs="Arial" w:eastAsia="Arial" w:hAnsi="Arial"/>
          <w:sz w:val="18"/>
          <w:szCs w:val="18"/>
          <w:b w:val="1"/>
          <w:bCs w:val="1"/>
          <w:i w:val="1"/>
          <w:iCs w:val="1"/>
          <w:color w:val="auto"/>
        </w:rPr>
        <w:t>Management GP</w:t>
      </w:r>
      <w:r>
        <w:rPr>
          <w:rFonts w:ascii="Arial" w:cs="Arial" w:eastAsia="Arial" w:hAnsi="Arial"/>
          <w:sz w:val="18"/>
          <w:szCs w:val="18"/>
          <w:color w:val="auto"/>
        </w:rPr>
        <w:t>”), in its capacity as the general partner of Management;</w:t>
      </w:r>
    </w:p>
    <w:p>
      <w:pPr>
        <w:spacing w:after="0" w:line="102" w:lineRule="exact"/>
        <w:rPr>
          <w:rFonts w:ascii="Arial" w:cs="Arial" w:eastAsia="Arial" w:hAnsi="Arial"/>
          <w:sz w:val="18"/>
          <w:szCs w:val="18"/>
          <w:color w:val="auto"/>
        </w:rPr>
      </w:pPr>
    </w:p>
    <w:p>
      <w:pPr>
        <w:ind w:left="1700" w:right="680" w:hanging="569"/>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Atlas OCM Holdings LLC, a Delaware limited liability company (“</w:t>
      </w:r>
      <w:r>
        <w:rPr>
          <w:rFonts w:ascii="Arial" w:cs="Arial" w:eastAsia="Arial" w:hAnsi="Arial"/>
          <w:sz w:val="18"/>
          <w:szCs w:val="18"/>
          <w:b w:val="1"/>
          <w:bCs w:val="1"/>
          <w:i w:val="1"/>
          <w:iCs w:val="1"/>
          <w:color w:val="auto"/>
        </w:rPr>
        <w:t>Atlas</w:t>
      </w:r>
      <w:r>
        <w:rPr>
          <w:rFonts w:ascii="Arial" w:cs="Arial" w:eastAsia="Arial" w:hAnsi="Arial"/>
          <w:sz w:val="18"/>
          <w:szCs w:val="18"/>
          <w:color w:val="auto"/>
        </w:rPr>
        <w:t>”), in its capacity as the sole managing member of Management GP;</w:t>
      </w:r>
    </w:p>
    <w:p>
      <w:pPr>
        <w:spacing w:after="0" w:line="102" w:lineRule="exact"/>
        <w:rPr>
          <w:rFonts w:ascii="Arial" w:cs="Arial" w:eastAsia="Arial" w:hAnsi="Arial"/>
          <w:sz w:val="18"/>
          <w:szCs w:val="18"/>
          <w:color w:val="auto"/>
        </w:rPr>
      </w:pPr>
    </w:p>
    <w:p>
      <w:pPr>
        <w:ind w:left="1700" w:hanging="569"/>
        <w:spacing w:after="0"/>
        <w:tabs>
          <w:tab w:leader="none" w:pos="1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Oaktree Capital Group, LLC, a Delaware limited liability company (“</w:t>
      </w:r>
      <w:r>
        <w:rPr>
          <w:rFonts w:ascii="Arial" w:cs="Arial" w:eastAsia="Arial" w:hAnsi="Arial"/>
          <w:sz w:val="16"/>
          <w:szCs w:val="16"/>
          <w:b w:val="1"/>
          <w:bCs w:val="1"/>
          <w:i w:val="1"/>
          <w:iCs w:val="1"/>
          <w:color w:val="auto"/>
        </w:rPr>
        <w:t>OCG</w:t>
      </w:r>
      <w:r>
        <w:rPr>
          <w:rFonts w:ascii="Arial" w:cs="Arial" w:eastAsia="Arial" w:hAnsi="Arial"/>
          <w:sz w:val="16"/>
          <w:szCs w:val="16"/>
          <w:color w:val="auto"/>
        </w:rPr>
        <w:t>”), in its capacity as the managing member of Holdings.;</w:t>
      </w:r>
    </w:p>
    <w:p>
      <w:pPr>
        <w:spacing w:after="0" w:line="180" w:lineRule="exact"/>
        <w:rPr>
          <w:rFonts w:ascii="Arial" w:cs="Arial" w:eastAsia="Arial" w:hAnsi="Arial"/>
          <w:sz w:val="16"/>
          <w:szCs w:val="16"/>
          <w:color w:val="auto"/>
        </w:rPr>
      </w:pPr>
    </w:p>
    <w:p>
      <w:pPr>
        <w:ind w:left="1700" w:right="480" w:hanging="569"/>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Oaktree Capital Group Holdings GP, LLC, a Delaware limited liability company (“</w:t>
      </w:r>
      <w:r>
        <w:rPr>
          <w:rFonts w:ascii="Arial" w:cs="Arial" w:eastAsia="Arial" w:hAnsi="Arial"/>
          <w:sz w:val="18"/>
          <w:szCs w:val="18"/>
          <w:b w:val="1"/>
          <w:bCs w:val="1"/>
          <w:i w:val="1"/>
          <w:iCs w:val="1"/>
          <w:color w:val="auto"/>
        </w:rPr>
        <w:t>OCGH GP</w:t>
      </w:r>
      <w:r>
        <w:rPr>
          <w:rFonts w:ascii="Arial" w:cs="Arial" w:eastAsia="Arial" w:hAnsi="Arial"/>
          <w:sz w:val="18"/>
          <w:szCs w:val="18"/>
          <w:color w:val="auto"/>
        </w:rPr>
        <w:t>”), in its capacity as the indirect owner of the class B units of each of OCG and Atlas;</w:t>
      </w:r>
    </w:p>
    <w:p>
      <w:pPr>
        <w:spacing w:after="0" w:line="102" w:lineRule="exact"/>
        <w:rPr>
          <w:rFonts w:ascii="Arial" w:cs="Arial" w:eastAsia="Arial" w:hAnsi="Arial"/>
          <w:sz w:val="18"/>
          <w:szCs w:val="18"/>
          <w:color w:val="auto"/>
        </w:rPr>
      </w:pPr>
    </w:p>
    <w:p>
      <w:pPr>
        <w:ind w:left="1700" w:right="160" w:hanging="569"/>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Brookfield Corporation, a Canadian corporation (“</w:t>
      </w:r>
      <w:r>
        <w:rPr>
          <w:rFonts w:ascii="Arial" w:cs="Arial" w:eastAsia="Arial" w:hAnsi="Arial"/>
          <w:sz w:val="18"/>
          <w:szCs w:val="18"/>
          <w:b w:val="1"/>
          <w:bCs w:val="1"/>
          <w:i w:val="1"/>
          <w:iCs w:val="1"/>
          <w:color w:val="auto"/>
        </w:rPr>
        <w:t>Brookfield</w:t>
      </w:r>
      <w:r>
        <w:rPr>
          <w:rFonts w:ascii="Arial" w:cs="Arial" w:eastAsia="Arial" w:hAnsi="Arial"/>
          <w:sz w:val="18"/>
          <w:szCs w:val="18"/>
          <w:color w:val="auto"/>
        </w:rPr>
        <w:t>”), in its capacity as the indirect owner of the class A units of each of OCG and Atlas;</w:t>
      </w:r>
    </w:p>
    <w:p>
      <w:pPr>
        <w:spacing w:after="0" w:line="102" w:lineRule="exact"/>
        <w:rPr>
          <w:rFonts w:ascii="Arial" w:cs="Arial" w:eastAsia="Arial" w:hAnsi="Arial"/>
          <w:sz w:val="18"/>
          <w:szCs w:val="18"/>
          <w:color w:val="auto"/>
        </w:rPr>
      </w:pPr>
    </w:p>
    <w:p>
      <w:pPr>
        <w:ind w:left="1700" w:right="260" w:hanging="569"/>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Brookfield Asset Management ULC, a British Columbia corporation (“</w:t>
      </w:r>
      <w:r>
        <w:rPr>
          <w:rFonts w:ascii="Arial" w:cs="Arial" w:eastAsia="Arial" w:hAnsi="Arial"/>
          <w:sz w:val="18"/>
          <w:szCs w:val="18"/>
          <w:b w:val="1"/>
          <w:bCs w:val="1"/>
          <w:i w:val="1"/>
          <w:iCs w:val="1"/>
          <w:color w:val="auto"/>
        </w:rPr>
        <w:t>Brookfield ULC</w:t>
      </w:r>
      <w:r>
        <w:rPr>
          <w:rFonts w:ascii="Arial" w:cs="Arial" w:eastAsia="Arial" w:hAnsi="Arial"/>
          <w:sz w:val="18"/>
          <w:szCs w:val="18"/>
          <w:color w:val="auto"/>
        </w:rPr>
        <w:t>”), in its capacity as the indirect owner of class A units of Atlas OCM, in its capacity as such; and</w:t>
      </w:r>
    </w:p>
    <w:p>
      <w:pPr>
        <w:spacing w:after="0" w:line="102" w:lineRule="exact"/>
        <w:rPr>
          <w:rFonts w:ascii="Arial" w:cs="Arial" w:eastAsia="Arial" w:hAnsi="Arial"/>
          <w:sz w:val="18"/>
          <w:szCs w:val="18"/>
          <w:color w:val="auto"/>
        </w:rPr>
      </w:pPr>
    </w:p>
    <w:p>
      <w:pPr>
        <w:ind w:left="1700" w:right="280" w:hanging="569"/>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BAM Partners Trust, a trust formed under the laws of Ontario (“</w:t>
      </w:r>
      <w:r>
        <w:rPr>
          <w:rFonts w:ascii="Arial" w:cs="Arial" w:eastAsia="Arial" w:hAnsi="Arial"/>
          <w:sz w:val="18"/>
          <w:szCs w:val="18"/>
          <w:b w:val="1"/>
          <w:bCs w:val="1"/>
          <w:i w:val="1"/>
          <w:iCs w:val="1"/>
          <w:color w:val="auto"/>
        </w:rPr>
        <w:t>BAM Partnership</w:t>
      </w:r>
      <w:r>
        <w:rPr>
          <w:rFonts w:ascii="Arial" w:cs="Arial" w:eastAsia="Arial" w:hAnsi="Arial"/>
          <w:sz w:val="18"/>
          <w:szCs w:val="18"/>
          <w:color w:val="auto"/>
        </w:rPr>
        <w:t>”), in its capacity as the sole owner of Class B Limited Voting Shares of Brookfield.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principal business address of each of the Reporting Persons is 333 S. Grand Avenue, 28th Floor, Los Angeles, CA 90071.</w:t>
      </w:r>
    </w:p>
    <w:p>
      <w:pPr>
        <w:spacing w:after="0" w:line="154" w:lineRule="exact"/>
        <w:rPr>
          <w:sz w:val="20"/>
          <w:szCs w:val="20"/>
          <w:color w:val="auto"/>
        </w:rPr>
      </w:pPr>
    </w:p>
    <w:p>
      <w:pPr>
        <w:ind w:left="1700" w:hanging="569"/>
        <w:spacing w:after="0"/>
        <w:tabs>
          <w:tab w:leader="none" w:pos="17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61" w:lineRule="exact"/>
        <w:rPr>
          <w:rFonts w:ascii="Arial" w:cs="Arial" w:eastAsia="Arial" w:hAnsi="Arial"/>
          <w:sz w:val="18"/>
          <w:szCs w:val="18"/>
          <w:b w:val="1"/>
          <w:bCs w:val="1"/>
          <w:color w:val="auto"/>
        </w:rPr>
      </w:pPr>
    </w:p>
    <w:p>
      <w:pPr>
        <w:ind w:left="1700"/>
        <w:spacing w:after="0"/>
        <w:rPr>
          <w:rFonts w:ascii="Arial" w:cs="Arial" w:eastAsia="Arial" w:hAnsi="Arial"/>
          <w:sz w:val="18"/>
          <w:szCs w:val="18"/>
          <w:b w:val="1"/>
          <w:bCs w:val="1"/>
          <w:color w:val="auto"/>
        </w:rPr>
      </w:pPr>
      <w:r>
        <w:rPr>
          <w:rFonts w:ascii="Arial" w:cs="Arial" w:eastAsia="Arial" w:hAnsi="Arial"/>
          <w:sz w:val="18"/>
          <w:szCs w:val="18"/>
          <w:color w:val="auto"/>
        </w:rPr>
        <w:t>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53" w:lineRule="exact"/>
        <w:rPr>
          <w:rFonts w:ascii="Arial" w:cs="Arial" w:eastAsia="Arial" w:hAnsi="Arial"/>
          <w:sz w:val="18"/>
          <w:szCs w:val="18"/>
          <w:b w:val="1"/>
          <w:bCs w:val="1"/>
          <w:color w:val="auto"/>
        </w:rPr>
      </w:pPr>
    </w:p>
    <w:p>
      <w:pPr>
        <w:ind w:left="1700" w:hanging="569"/>
        <w:spacing w:after="0"/>
        <w:tabs>
          <w:tab w:leader="none" w:pos="17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18 of 24</w:t>
            </w:r>
          </w:p>
        </w:tc>
      </w:tr>
    </w:tbl>
    <w:p>
      <w:pPr>
        <w:spacing w:after="0" w:line="200" w:lineRule="exact"/>
        <w:rPr>
          <w:sz w:val="20"/>
          <w:szCs w:val="20"/>
          <w:color w:val="auto"/>
        </w:rPr>
      </w:pPr>
    </w:p>
    <w:p>
      <w:pPr>
        <w:spacing w:after="0" w:line="214" w:lineRule="exact"/>
        <w:rPr>
          <w:sz w:val="20"/>
          <w:szCs w:val="20"/>
          <w:color w:val="auto"/>
        </w:rPr>
      </w:pPr>
    </w:p>
    <w:p>
      <w:pPr>
        <w:ind w:left="1140" w:right="740" w:hanging="1122"/>
        <w:spacing w:after="0" w:line="282" w:lineRule="auto"/>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SS.240.13D-1(B) OR 240.13D-2(B) OR (C), CHECK WHETHER THE PERSON FILING IS A:</w:t>
      </w:r>
    </w:p>
    <w:p>
      <w:pPr>
        <w:spacing w:after="0" w:line="193" w:lineRule="exact"/>
        <w:rPr>
          <w:sz w:val="20"/>
          <w:szCs w:val="20"/>
          <w:color w:val="auto"/>
        </w:rPr>
      </w:pPr>
    </w:p>
    <w:p>
      <w:pPr>
        <w:ind w:left="1700" w:hanging="569"/>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[__] Broker or dealer registered under Section 15 of the Act (15 U.S.C. 78o)</w:t>
      </w:r>
    </w:p>
    <w:p>
      <w:pPr>
        <w:spacing w:after="0" w:line="36" w:lineRule="exact"/>
        <w:rPr>
          <w:rFonts w:ascii="Arial" w:cs="Arial" w:eastAsia="Arial" w:hAnsi="Arial"/>
          <w:sz w:val="18"/>
          <w:szCs w:val="18"/>
          <w:color w:val="auto"/>
        </w:rPr>
      </w:pPr>
    </w:p>
    <w:p>
      <w:pPr>
        <w:ind w:left="1700" w:hanging="569"/>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[__] Bank as defined in Section 3(a)(6) of the Act (15 U.S.C. 78c)</w:t>
      </w:r>
    </w:p>
    <w:p>
      <w:pPr>
        <w:spacing w:after="0" w:line="36" w:lineRule="exact"/>
        <w:rPr>
          <w:rFonts w:ascii="Arial" w:cs="Arial" w:eastAsia="Arial" w:hAnsi="Arial"/>
          <w:sz w:val="18"/>
          <w:szCs w:val="18"/>
          <w:color w:val="auto"/>
        </w:rPr>
      </w:pPr>
    </w:p>
    <w:p>
      <w:pPr>
        <w:ind w:left="1700" w:hanging="569"/>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[__] Insurance company as defined in Section 3(a)(19) of the Act (15 U.S.C. 78c)</w:t>
      </w:r>
    </w:p>
    <w:p>
      <w:pPr>
        <w:spacing w:after="0" w:line="36" w:lineRule="exact"/>
        <w:rPr>
          <w:rFonts w:ascii="Arial" w:cs="Arial" w:eastAsia="Arial" w:hAnsi="Arial"/>
          <w:sz w:val="18"/>
          <w:szCs w:val="18"/>
          <w:color w:val="auto"/>
        </w:rPr>
      </w:pPr>
    </w:p>
    <w:p>
      <w:pPr>
        <w:ind w:left="1700" w:hanging="569"/>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[__] Investment company registered under Section 8 of the Investment Company Act of 1940 (15 U.S.C. 80a-8)</w:t>
      </w:r>
    </w:p>
    <w:p>
      <w:pPr>
        <w:spacing w:after="0" w:line="36" w:lineRule="exact"/>
        <w:rPr>
          <w:rFonts w:ascii="Arial" w:cs="Arial" w:eastAsia="Arial" w:hAnsi="Arial"/>
          <w:sz w:val="18"/>
          <w:szCs w:val="18"/>
          <w:color w:val="auto"/>
        </w:rPr>
      </w:pPr>
    </w:p>
    <w:p>
      <w:pPr>
        <w:ind w:left="1700" w:hanging="569"/>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[__] An investment adviser in accordance with ss.240.13d-1(b)(1)(ii)(E)</w:t>
      </w:r>
    </w:p>
    <w:p>
      <w:pPr>
        <w:spacing w:after="0" w:line="36" w:lineRule="exact"/>
        <w:rPr>
          <w:rFonts w:ascii="Arial" w:cs="Arial" w:eastAsia="Arial" w:hAnsi="Arial"/>
          <w:sz w:val="18"/>
          <w:szCs w:val="18"/>
          <w:color w:val="auto"/>
        </w:rPr>
      </w:pPr>
    </w:p>
    <w:p>
      <w:pPr>
        <w:ind w:left="1700" w:hanging="569"/>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[__] An employee benefit plan or endowment fund in accordance with ss.240.13d-1(b)(1)(ii)(F)</w:t>
      </w:r>
    </w:p>
    <w:p>
      <w:pPr>
        <w:spacing w:after="0" w:line="36" w:lineRule="exact"/>
        <w:rPr>
          <w:rFonts w:ascii="Arial" w:cs="Arial" w:eastAsia="Arial" w:hAnsi="Arial"/>
          <w:sz w:val="18"/>
          <w:szCs w:val="18"/>
          <w:color w:val="auto"/>
        </w:rPr>
      </w:pPr>
    </w:p>
    <w:p>
      <w:pPr>
        <w:ind w:left="1700" w:hanging="569"/>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[__] A Parent holding company or control person in accordance with ss.240.13d-1(b)(1)(ii)(G)</w:t>
      </w:r>
    </w:p>
    <w:p>
      <w:pPr>
        <w:spacing w:after="0" w:line="36" w:lineRule="exact"/>
        <w:rPr>
          <w:rFonts w:ascii="Arial" w:cs="Arial" w:eastAsia="Arial" w:hAnsi="Arial"/>
          <w:sz w:val="18"/>
          <w:szCs w:val="18"/>
          <w:color w:val="auto"/>
        </w:rPr>
      </w:pPr>
    </w:p>
    <w:p>
      <w:pPr>
        <w:ind w:left="1700" w:hanging="569"/>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[__] A savings associations as defined in Section 3(b) of the Federal Deposit Insurance Act (12 U.S.C. 1813)</w:t>
      </w:r>
    </w:p>
    <w:p>
      <w:pPr>
        <w:spacing w:after="0" w:line="36" w:lineRule="exact"/>
        <w:rPr>
          <w:rFonts w:ascii="Arial" w:cs="Arial" w:eastAsia="Arial" w:hAnsi="Arial"/>
          <w:sz w:val="18"/>
          <w:szCs w:val="18"/>
          <w:color w:val="auto"/>
        </w:rPr>
      </w:pPr>
    </w:p>
    <w:p>
      <w:pPr>
        <w:ind w:left="1700" w:right="680" w:hanging="569"/>
        <w:spacing w:after="0" w:line="258"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[__] A church plan that is excluded from the definition of an investment company under section 3(c)(14) of the Investment Company Act of 1940 (15 U.S.C. 80a-3)</w:t>
      </w:r>
    </w:p>
    <w:p>
      <w:pPr>
        <w:spacing w:after="0" w:line="1" w:lineRule="exact"/>
        <w:rPr>
          <w:rFonts w:ascii="Arial" w:cs="Arial" w:eastAsia="Arial" w:hAnsi="Arial"/>
          <w:sz w:val="18"/>
          <w:szCs w:val="18"/>
          <w:color w:val="auto"/>
        </w:rPr>
      </w:pPr>
    </w:p>
    <w:p>
      <w:pPr>
        <w:ind w:left="1700" w:hanging="569"/>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[__] A non-U.S. institution in accordance with §240.13d-1(b)(1)(ii)(J);</w:t>
      </w:r>
    </w:p>
    <w:p>
      <w:pPr>
        <w:spacing w:after="0" w:line="21" w:lineRule="exact"/>
        <w:rPr>
          <w:rFonts w:ascii="Arial" w:cs="Arial" w:eastAsia="Arial" w:hAnsi="Arial"/>
          <w:sz w:val="18"/>
          <w:szCs w:val="18"/>
          <w:color w:val="auto"/>
        </w:rPr>
      </w:pPr>
    </w:p>
    <w:p>
      <w:pPr>
        <w:ind w:left="1700" w:hanging="569"/>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[__] Group, in accordance with §240.13d-1(b)(1)(ii)(J).</w:t>
      </w:r>
    </w:p>
    <w:p>
      <w:pPr>
        <w:spacing w:after="0" w:line="2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25" w:lineRule="exact"/>
        <w:rPr>
          <w:sz w:val="20"/>
          <w:szCs w:val="20"/>
          <w:color w:val="auto"/>
        </w:rPr>
      </w:pPr>
    </w:p>
    <w:p>
      <w:pPr>
        <w:ind w:left="1140" w:right="240"/>
        <w:spacing w:after="0" w:line="282" w:lineRule="auto"/>
        <w:rPr>
          <w:sz w:val="20"/>
          <w:szCs w:val="20"/>
          <w:color w:val="auto"/>
        </w:rPr>
      </w:pPr>
      <w:r>
        <w:rPr>
          <w:rFonts w:ascii="Arial" w:cs="Arial" w:eastAsia="Arial" w:hAnsi="Arial"/>
          <w:sz w:val="18"/>
          <w:szCs w:val="18"/>
          <w:b w:val="1"/>
          <w:bCs w:val="1"/>
          <w:color w:val="auto"/>
        </w:rPr>
        <w:t>(a)-(c) Amount beneficially owned, percent of class, number of shares as to which each person has sole or shared power to vote or direct the vote; sole or shared power to dispose or direct the disposition of:</w:t>
      </w:r>
    </w:p>
    <w:p>
      <w:pPr>
        <w:spacing w:after="0" w:line="166" w:lineRule="exact"/>
        <w:rPr>
          <w:sz w:val="20"/>
          <w:szCs w:val="20"/>
          <w:color w:val="auto"/>
        </w:rPr>
      </w:pPr>
    </w:p>
    <w:p>
      <w:pPr>
        <w:ind w:left="1140" w:right="620"/>
        <w:spacing w:after="0" w:line="277" w:lineRule="auto"/>
        <w:rPr>
          <w:sz w:val="20"/>
          <w:szCs w:val="20"/>
          <w:color w:val="auto"/>
        </w:rPr>
      </w:pPr>
      <w:r>
        <w:rPr>
          <w:rFonts w:ascii="Arial" w:cs="Arial" w:eastAsia="Arial" w:hAnsi="Arial"/>
          <w:sz w:val="18"/>
          <w:szCs w:val="18"/>
          <w:color w:val="auto"/>
        </w:rPr>
        <w:t>The responses of the Reporting Persons to Rows 5, 6, 7, 8, 9 and 11 in each of their respective cover pages to this Schedule 13G are incorporated herein by reference.</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VOF Holdings directly holds 2,849,858 shares of the Issuer’s Common Stock.</w:t>
      </w:r>
    </w:p>
    <w:p>
      <w:pPr>
        <w:spacing w:after="0" w:line="225" w:lineRule="exact"/>
        <w:rPr>
          <w:sz w:val="20"/>
          <w:szCs w:val="20"/>
          <w:color w:val="auto"/>
        </w:rPr>
      </w:pPr>
    </w:p>
    <w:p>
      <w:pPr>
        <w:ind w:left="1140" w:right="300"/>
        <w:spacing w:after="0" w:line="263" w:lineRule="auto"/>
        <w:rPr>
          <w:sz w:val="20"/>
          <w:szCs w:val="20"/>
          <w:color w:val="auto"/>
        </w:rPr>
      </w:pPr>
      <w:r>
        <w:rPr>
          <w:rFonts w:ascii="Arial" w:cs="Arial" w:eastAsia="Arial" w:hAnsi="Arial"/>
          <w:sz w:val="18"/>
          <w:szCs w:val="18"/>
          <w:color w:val="auto"/>
        </w:rPr>
        <w:t>VOF GP, in its capacity as the general partner of VOF Holdings, has the ability to direct the management of VOF Holdings’ business, including the power to vote and dispose of securities held by VOF Holdings; therefore, VOF GP may be deemed to beneficially own the shares of the Issuer’s Common Stock deemed held by VOF Holdings.</w:t>
      </w:r>
    </w:p>
    <w:p>
      <w:pPr>
        <w:spacing w:after="0" w:line="184" w:lineRule="exact"/>
        <w:rPr>
          <w:sz w:val="20"/>
          <w:szCs w:val="20"/>
          <w:color w:val="auto"/>
        </w:rPr>
      </w:pPr>
    </w:p>
    <w:p>
      <w:pPr>
        <w:ind w:left="1140" w:right="20"/>
        <w:spacing w:after="0" w:line="311" w:lineRule="auto"/>
        <w:rPr>
          <w:sz w:val="20"/>
          <w:szCs w:val="20"/>
          <w:color w:val="auto"/>
        </w:rPr>
      </w:pPr>
      <w:r>
        <w:rPr>
          <w:rFonts w:ascii="Arial" w:cs="Arial" w:eastAsia="Arial" w:hAnsi="Arial"/>
          <w:sz w:val="16"/>
          <w:szCs w:val="16"/>
          <w:color w:val="auto"/>
        </w:rPr>
        <w:t>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the Issuer’s Common Stock deemed held by VOF Holdings.</w:t>
      </w:r>
    </w:p>
    <w:p>
      <w:pPr>
        <w:spacing w:after="0" w:line="149" w:lineRule="exact"/>
        <w:rPr>
          <w:sz w:val="20"/>
          <w:szCs w:val="20"/>
          <w:color w:val="auto"/>
        </w:rPr>
      </w:pPr>
    </w:p>
    <w:p>
      <w:pPr>
        <w:ind w:left="1140" w:right="120"/>
        <w:spacing w:after="0" w:line="259" w:lineRule="auto"/>
        <w:rPr>
          <w:sz w:val="20"/>
          <w:szCs w:val="20"/>
          <w:color w:val="auto"/>
        </w:rPr>
      </w:pPr>
      <w:r>
        <w:rPr>
          <w:rFonts w:ascii="Arial" w:cs="Arial" w:eastAsia="Arial" w:hAnsi="Arial"/>
          <w:sz w:val="18"/>
          <w:szCs w:val="18"/>
          <w:color w:val="auto"/>
        </w:rPr>
        <w:t>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the Issuer’s Common Stock deemed held by VOF Holdings.</w:t>
      </w:r>
    </w:p>
    <w:p>
      <w:pPr>
        <w:spacing w:after="0" w:line="187" w:lineRule="exact"/>
        <w:rPr>
          <w:sz w:val="20"/>
          <w:szCs w:val="20"/>
          <w:color w:val="auto"/>
        </w:rPr>
      </w:pPr>
    </w:p>
    <w:p>
      <w:pPr>
        <w:jc w:val="both"/>
        <w:ind w:left="1140" w:right="220"/>
        <w:spacing w:after="0" w:line="286" w:lineRule="auto"/>
        <w:rPr>
          <w:sz w:val="20"/>
          <w:szCs w:val="20"/>
          <w:color w:val="auto"/>
        </w:rPr>
      </w:pPr>
      <w:r>
        <w:rPr>
          <w:rFonts w:ascii="Arial" w:cs="Arial" w:eastAsia="Arial" w:hAnsi="Arial"/>
          <w:sz w:val="17"/>
          <w:szCs w:val="17"/>
          <w:color w:val="auto"/>
        </w:rPr>
        <w:t>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the Issuer’s Common Stock deemed held by VOF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8" w:name="page19"/>
    <w:bookmarkEnd w:id="18"/>
    <w:p>
      <w:pPr>
        <w:spacing w:after="0"/>
        <w:tabs>
          <w:tab w:leader="none" w:pos="484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19 of 24</w:t>
      </w:r>
    </w:p>
    <w:p>
      <w:pPr>
        <w:sectPr>
          <w:pgSz w:w="11900" w:h="16838" w:orient="portrait"/>
          <w:cols w:equalWidth="0" w:num="1">
            <w:col w:w="11140"/>
          </w:cols>
          <w:pgMar w:left="400" w:top="823"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both"/>
        <w:ind w:left="1060" w:right="100"/>
        <w:spacing w:after="0" w:line="311" w:lineRule="auto"/>
        <w:rPr>
          <w:sz w:val="20"/>
          <w:szCs w:val="20"/>
          <w:color w:val="auto"/>
        </w:rPr>
      </w:pPr>
      <w:r>
        <w:rPr>
          <w:rFonts w:ascii="Arial" w:cs="Arial" w:eastAsia="Arial" w:hAnsi="Arial"/>
          <w:sz w:val="16"/>
          <w:szCs w:val="16"/>
          <w:color w:val="auto"/>
        </w:rPr>
        <w:t>Holdings I, in its capacity as the general partner of Capital I, has the ability to direct the management of Capital I’s business, including the power to direct the decisions of Capital I regarding the vote and disposition of securities held by VOF Holdings; therefore, Holdings I may be deemed to have indirect beneficial ownership of the shares of the Issuer’s Common Stock deemed held by VOF Holdings.</w:t>
      </w:r>
    </w:p>
    <w:p>
      <w:pPr>
        <w:spacing w:after="0" w:line="149" w:lineRule="exact"/>
        <w:rPr>
          <w:sz w:val="20"/>
          <w:szCs w:val="20"/>
          <w:color w:val="auto"/>
        </w:rPr>
      </w:pPr>
    </w:p>
    <w:p>
      <w:pPr>
        <w:ind w:left="1060" w:right="40"/>
        <w:spacing w:after="0" w:line="311" w:lineRule="auto"/>
        <w:rPr>
          <w:sz w:val="20"/>
          <w:szCs w:val="20"/>
          <w:color w:val="auto"/>
        </w:rPr>
      </w:pPr>
      <w:r>
        <w:rPr>
          <w:rFonts w:ascii="Arial" w:cs="Arial" w:eastAsia="Arial" w:hAnsi="Arial"/>
          <w:sz w:val="16"/>
          <w:szCs w:val="16"/>
          <w:color w:val="auto"/>
        </w:rPr>
        <w:t>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the Issuer’s Common Stock deemed held by VOF Holdings.</w:t>
      </w:r>
    </w:p>
    <w:p>
      <w:pPr>
        <w:spacing w:after="0" w:line="149" w:lineRule="exact"/>
        <w:rPr>
          <w:sz w:val="20"/>
          <w:szCs w:val="20"/>
          <w:color w:val="auto"/>
        </w:rPr>
      </w:pPr>
    </w:p>
    <w:p>
      <w:pPr>
        <w:ind w:left="1060" w:right="240"/>
        <w:spacing w:after="0" w:line="259" w:lineRule="auto"/>
        <w:rPr>
          <w:sz w:val="20"/>
          <w:szCs w:val="20"/>
          <w:color w:val="auto"/>
        </w:rPr>
      </w:pPr>
      <w:r>
        <w:rPr>
          <w:rFonts w:ascii="Arial" w:cs="Arial" w:eastAsia="Arial" w:hAnsi="Arial"/>
          <w:sz w:val="18"/>
          <w:szCs w:val="18"/>
          <w:color w:val="auto"/>
        </w:rPr>
        <w:t>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the Issuer’s Common Stock deemed held by VOF Holdings.</w:t>
      </w:r>
    </w:p>
    <w:p>
      <w:pPr>
        <w:spacing w:after="0" w:line="187" w:lineRule="exact"/>
        <w:rPr>
          <w:sz w:val="20"/>
          <w:szCs w:val="20"/>
          <w:color w:val="auto"/>
        </w:rPr>
      </w:pPr>
    </w:p>
    <w:p>
      <w:pPr>
        <w:ind w:left="1060" w:right="80"/>
        <w:spacing w:after="0" w:line="286" w:lineRule="auto"/>
        <w:rPr>
          <w:sz w:val="20"/>
          <w:szCs w:val="20"/>
          <w:color w:val="auto"/>
        </w:rPr>
      </w:pPr>
      <w:r>
        <w:rPr>
          <w:rFonts w:ascii="Arial" w:cs="Arial" w:eastAsia="Arial" w:hAnsi="Arial"/>
          <w:sz w:val="17"/>
          <w:szCs w:val="17"/>
          <w:color w:val="auto"/>
        </w:rPr>
        <w:t>Management GP, in its capacity as the general partner of Management, has the ability to direct the management of Management’s business, including the power to vote and dispose of securities held by VOF Holdings; therefore, Management GP may be deemed to have indirect beneficial ownership of the shares of the Issuer’s Common Stock deemed held by VOF Holdings.</w:t>
      </w:r>
    </w:p>
    <w:p>
      <w:pPr>
        <w:spacing w:after="0" w:line="165" w:lineRule="exact"/>
        <w:rPr>
          <w:sz w:val="20"/>
          <w:szCs w:val="20"/>
          <w:color w:val="auto"/>
        </w:rPr>
      </w:pPr>
    </w:p>
    <w:p>
      <w:pPr>
        <w:jc w:val="both"/>
        <w:ind w:left="1060" w:right="460"/>
        <w:spacing w:after="0" w:line="311" w:lineRule="auto"/>
        <w:rPr>
          <w:sz w:val="20"/>
          <w:szCs w:val="20"/>
          <w:color w:val="auto"/>
        </w:rPr>
      </w:pPr>
      <w:r>
        <w:rPr>
          <w:rFonts w:ascii="Arial" w:cs="Arial" w:eastAsia="Arial" w:hAnsi="Arial"/>
          <w:sz w:val="16"/>
          <w:szCs w:val="16"/>
          <w:color w:val="auto"/>
        </w:rPr>
        <w:t>Atlas, in its capacity as the sole managing member of Management GP, has the ability to direct the management of Management GP’s business, including the power to direct the decisions of Management GP regarding the vote and disposition of securities held by VOF Holdings; therefore, Atlas may be deemed to have indirect beneficial ownership of the Shares held by VOF Holdings.</w:t>
      </w:r>
    </w:p>
    <w:p>
      <w:pPr>
        <w:spacing w:after="0" w:line="149" w:lineRule="exact"/>
        <w:rPr>
          <w:sz w:val="20"/>
          <w:szCs w:val="20"/>
          <w:color w:val="auto"/>
        </w:rPr>
      </w:pPr>
    </w:p>
    <w:p>
      <w:pPr>
        <w:ind w:left="1060" w:right="120"/>
        <w:spacing w:after="0" w:line="296" w:lineRule="auto"/>
        <w:rPr>
          <w:sz w:val="20"/>
          <w:szCs w:val="20"/>
          <w:color w:val="auto"/>
        </w:rPr>
      </w:pPr>
      <w:r>
        <w:rPr>
          <w:rFonts w:ascii="Arial" w:cs="Arial" w:eastAsia="Arial" w:hAnsi="Arial"/>
          <w:sz w:val="16"/>
          <w:szCs w:val="16"/>
          <w:color w:val="auto"/>
        </w:rPr>
        <w:t>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the Issuer’s Common Stock deemed held by VOF Holdings.</w:t>
      </w:r>
    </w:p>
    <w:p>
      <w:pPr>
        <w:spacing w:after="0" w:line="161" w:lineRule="exact"/>
        <w:rPr>
          <w:sz w:val="20"/>
          <w:szCs w:val="20"/>
          <w:color w:val="auto"/>
        </w:rPr>
      </w:pPr>
    </w:p>
    <w:p>
      <w:pPr>
        <w:ind w:left="1060" w:right="80"/>
        <w:spacing w:after="0" w:line="259" w:lineRule="auto"/>
        <w:rPr>
          <w:sz w:val="20"/>
          <w:szCs w:val="20"/>
          <w:color w:val="auto"/>
        </w:rPr>
      </w:pPr>
      <w:r>
        <w:rPr>
          <w:rFonts w:ascii="Arial" w:cs="Arial" w:eastAsia="Arial" w:hAnsi="Arial"/>
          <w:sz w:val="18"/>
          <w:szCs w:val="18"/>
          <w:color w:val="auto"/>
        </w:rPr>
        <w:t>OCGH GP, in its capacity as the indirect owner of the class B units of each of OCG and Atlas, has the ability to appoint and remove certain directors of OCG and Atlas and, as such, may indirectly control the decisions of OCG and Atlas regarding the vote and disposition of securities held by VOF Holdings; therefore, OCGH GP may be deemed to have indirect beneficial ownership of the Shares held by VOF Holdings.</w:t>
      </w:r>
    </w:p>
    <w:p>
      <w:pPr>
        <w:spacing w:after="0" w:line="187" w:lineRule="exact"/>
        <w:rPr>
          <w:sz w:val="20"/>
          <w:szCs w:val="20"/>
          <w:color w:val="auto"/>
        </w:rPr>
      </w:pPr>
    </w:p>
    <w:p>
      <w:pPr>
        <w:ind w:left="1060" w:right="60"/>
        <w:spacing w:after="0" w:line="291" w:lineRule="auto"/>
        <w:rPr>
          <w:sz w:val="20"/>
          <w:szCs w:val="20"/>
          <w:color w:val="auto"/>
        </w:rPr>
      </w:pPr>
      <w:r>
        <w:rPr>
          <w:rFonts w:ascii="Arial" w:cs="Arial" w:eastAsia="Arial" w:hAnsi="Arial"/>
          <w:sz w:val="16"/>
          <w:szCs w:val="16"/>
          <w:color w:val="auto"/>
        </w:rPr>
        <w:t xml:space="preserve">On December 9, 2022, Brookfield Corporation (f/k/a Brookfield Asset Management Inc.) completed a plan of arrangement pursuant to the </w:t>
      </w:r>
      <w:r>
        <w:rPr>
          <w:rFonts w:ascii="Arial" w:cs="Arial" w:eastAsia="Arial" w:hAnsi="Arial"/>
          <w:sz w:val="16"/>
          <w:szCs w:val="16"/>
          <w:i w:val="1"/>
          <w:iCs w:val="1"/>
          <w:color w:val="auto"/>
        </w:rPr>
        <w:t xml:space="preserve">Business Corporations Act </w:t>
      </w:r>
      <w:r>
        <w:rPr>
          <w:rFonts w:ascii="Arial" w:cs="Arial" w:eastAsia="Arial" w:hAnsi="Arial"/>
          <w:sz w:val="16"/>
          <w:szCs w:val="16"/>
          <w:color w:val="auto"/>
        </w:rPr>
        <w:t>(Ontario) (the “Arrangement”) pursuant to which, among other things, Brookfield's historical asset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was transferred to Brookfield Asset Management ULC (“Brookfield ULC”). Following the Brookfield Arrangement, Brookfield ULC is deemed a beneficial owner of the shares directly or indirectly held by Atlas OCM Holdings, and accordingly, has been added as a reporting person in this Schedule 13D. Schedule A hereto sets forth the directors and officers of Brookfield ULC as of the date hereof. Brookfield is deemed a beneficial owner of the reported shares directly or indirectly held by OCG and Holdings, and as a result of its 75% interest in Brookfield ULC, Brookfield is also deemed a beneficial owner of the reported shares beneficially owned by Brookfield ULC.</w:t>
      </w:r>
    </w:p>
    <w:p>
      <w:pPr>
        <w:spacing w:after="0" w:line="166" w:lineRule="exact"/>
        <w:rPr>
          <w:sz w:val="20"/>
          <w:szCs w:val="20"/>
          <w:color w:val="auto"/>
        </w:rPr>
      </w:pPr>
    </w:p>
    <w:p>
      <w:pPr>
        <w:ind w:left="1060" w:right="60"/>
        <w:spacing w:after="0" w:line="259" w:lineRule="auto"/>
        <w:rPr>
          <w:sz w:val="20"/>
          <w:szCs w:val="20"/>
          <w:color w:val="auto"/>
        </w:rPr>
      </w:pPr>
      <w:r>
        <w:rPr>
          <w:rFonts w:ascii="Arial" w:cs="Arial" w:eastAsia="Arial" w:hAnsi="Arial"/>
          <w:sz w:val="18"/>
          <w:szCs w:val="18"/>
          <w:color w:val="auto"/>
        </w:rPr>
        <w:t>Brookfield,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therefore Brookfield may be deemed to have indirect beneficial ownership of the Shares held by VOF Holdings.</w:t>
      </w:r>
    </w:p>
    <w:p>
      <w:pPr>
        <w:spacing w:after="0" w:line="187" w:lineRule="exact"/>
        <w:rPr>
          <w:sz w:val="20"/>
          <w:szCs w:val="20"/>
          <w:color w:val="auto"/>
        </w:rPr>
      </w:pPr>
    </w:p>
    <w:p>
      <w:pPr>
        <w:ind w:left="1060" w:right="200"/>
        <w:spacing w:after="0" w:line="259" w:lineRule="auto"/>
        <w:rPr>
          <w:sz w:val="20"/>
          <w:szCs w:val="20"/>
          <w:color w:val="auto"/>
        </w:rPr>
      </w:pPr>
      <w:r>
        <w:rPr>
          <w:rFonts w:ascii="Arial" w:cs="Arial" w:eastAsia="Arial" w:hAnsi="Arial"/>
          <w:sz w:val="18"/>
          <w:szCs w:val="18"/>
          <w:color w:val="auto"/>
        </w:rPr>
        <w:t>BAM Partnership, in its capacity as the sole owner of Class B Limited Voting Shares of Brookfield, has the ability to appoint and remove certain directors of Brookfield and, as such, may indirectly control the decisions of Brookfield regarding the vote and disposition of securities held by VOF Holdings; therefore BAM Partnership may be deemed to have indirect beneficial ownership of the Shares held by VOF Holdings.</w:t>
      </w:r>
    </w:p>
    <w:p>
      <w:pPr>
        <w:spacing w:after="0" w:line="187" w:lineRule="exact"/>
        <w:rPr>
          <w:sz w:val="20"/>
          <w:szCs w:val="20"/>
          <w:color w:val="auto"/>
        </w:rPr>
      </w:pPr>
    </w:p>
    <w:p>
      <w:pPr>
        <w:ind w:left="1060" w:right="40"/>
        <w:spacing w:after="0" w:line="279" w:lineRule="auto"/>
        <w:rPr>
          <w:sz w:val="20"/>
          <w:szCs w:val="20"/>
          <w:color w:val="auto"/>
        </w:rPr>
      </w:pPr>
      <w:r>
        <w:rPr>
          <w:rFonts w:ascii="Arial" w:cs="Arial" w:eastAsia="Arial" w:hAnsi="Arial"/>
          <w:sz w:val="17"/>
          <w:szCs w:val="17"/>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shares of Common Stock, and except to the extent of its pecuniary interest, such beneficial ownership is expressly disclaimed by each Reporting Person.</w:t>
      </w:r>
    </w:p>
    <w:p>
      <w:pPr>
        <w:spacing w:after="0" w:line="171" w:lineRule="exact"/>
        <w:rPr>
          <w:sz w:val="20"/>
          <w:szCs w:val="20"/>
          <w:color w:val="auto"/>
        </w:rPr>
      </w:pPr>
    </w:p>
    <w:p>
      <w:pPr>
        <w:jc w:val="both"/>
        <w:ind w:left="1060" w:right="220"/>
        <w:spacing w:after="0" w:line="263" w:lineRule="auto"/>
        <w:rPr>
          <w:sz w:val="20"/>
          <w:szCs w:val="20"/>
          <w:color w:val="auto"/>
        </w:rPr>
      </w:pPr>
      <w:r>
        <w:rPr>
          <w:rFonts w:ascii="Arial" w:cs="Arial" w:eastAsia="Arial" w:hAnsi="Arial"/>
          <w:sz w:val="18"/>
          <w:szCs w:val="18"/>
          <w:color w:val="auto"/>
        </w:rPr>
        <w:t>All calculations of percentage ownership herein are based on a total of 42,589,315 shares of Common Stock issued and outstanding as of March 31, 2023, as disclosed on the Issuer's Current Report on Form 8-K, filed with the Securities and Exchange Commission on May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331470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00" w:top="823" w:right="359" w:bottom="1440" w:gutter="0" w:footer="0" w:header="0"/>
          <w:type w:val="continuous"/>
        </w:sectPr>
      </w:pPr>
    </w:p>
    <w:bookmarkStart w:id="19" w:name="page20"/>
    <w:bookmarkEnd w:id="19"/>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20 of 24</w:t>
            </w:r>
          </w:p>
        </w:tc>
      </w:tr>
      <w:tr>
        <w:trPr>
          <w:trHeight w:val="648"/>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10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240" w:type="dxa"/>
            <w:vAlign w:val="bottom"/>
          </w:tcPr>
          <w:p>
            <w:pPr>
              <w:spacing w:after="0"/>
              <w:rPr>
                <w:sz w:val="24"/>
                <w:szCs w:val="24"/>
                <w:color w:val="auto"/>
              </w:rPr>
            </w:pPr>
          </w:p>
        </w:tc>
      </w:tr>
    </w:tbl>
    <w:p>
      <w:pPr>
        <w:spacing w:after="0" w:line="134" w:lineRule="exact"/>
        <w:rPr>
          <w:sz w:val="20"/>
          <w:szCs w:val="20"/>
          <w:color w:val="auto"/>
        </w:rPr>
      </w:pPr>
    </w:p>
    <w:p>
      <w:pPr>
        <w:ind w:left="1140" w:right="80"/>
        <w:spacing w:after="0" w:line="238"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0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1140" w:right="1000" w:hanging="1122"/>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9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CERTIFICATIONS.</w:t>
      </w:r>
    </w:p>
    <w:p>
      <w:pPr>
        <w:spacing w:after="0" w:line="162" w:lineRule="exact"/>
        <w:rPr>
          <w:sz w:val="20"/>
          <w:szCs w:val="20"/>
          <w:color w:val="auto"/>
        </w:rPr>
      </w:pPr>
    </w:p>
    <w:p>
      <w:pPr>
        <w:ind w:left="1140" w:right="1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21 of 24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2023</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OAKTREE VALUE OPPORTUNITIES FUND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HOLDINGS, L.P.</w:t>
      </w:r>
    </w:p>
    <w:p>
      <w:pPr>
        <w:spacing w:after="0" w:line="143"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w w:val="97"/>
              </w:rPr>
              <w:t>Oaktree Value Opportunities Fund GP,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w w:val="99"/>
              </w:rPr>
              <w:t>Oaktree Value Opportunities Fund GP Ltd.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Director</w:t>
            </w:r>
          </w:p>
        </w:tc>
      </w:tr>
      <w:tr>
        <w:trPr>
          <w:trHeight w:val="36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80" w:type="dxa"/>
            <w:vAlign w:val="bottom"/>
          </w:tcPr>
          <w:p>
            <w:pPr>
              <w:spacing w:after="0" w:line="195" w:lineRule="exact"/>
              <w:rPr>
                <w:sz w:val="20"/>
                <w:szCs w:val="20"/>
                <w:color w:val="auto"/>
              </w:rPr>
            </w:pPr>
            <w:r>
              <w:rPr>
                <w:rFonts w:ascii="Arial" w:cs="Arial" w:eastAsia="Arial" w:hAnsi="Arial"/>
                <w:sz w:val="18"/>
                <w:szCs w:val="18"/>
                <w:color w:val="auto"/>
              </w:rPr>
              <w:t>Henry Orren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OAKTREE VALUE OPPORTUNITIES FUND GP,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L.P.</w:t>
      </w:r>
    </w:p>
    <w:p>
      <w:pPr>
        <w:spacing w:after="0" w:line="143"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w w:val="99"/>
              </w:rPr>
              <w:t>Oaktree Value Opportunities Fund GP Ltd.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Director</w:t>
            </w:r>
          </w:p>
        </w:tc>
      </w:tr>
      <w:tr>
        <w:trPr>
          <w:trHeight w:val="36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80" w:type="dxa"/>
            <w:vAlign w:val="bottom"/>
          </w:tcPr>
          <w:p>
            <w:pPr>
              <w:spacing w:after="0" w:line="195" w:lineRule="exact"/>
              <w:rPr>
                <w:sz w:val="20"/>
                <w:szCs w:val="20"/>
                <w:color w:val="auto"/>
              </w:rPr>
            </w:pPr>
            <w:r>
              <w:rPr>
                <w:rFonts w:ascii="Arial" w:cs="Arial" w:eastAsia="Arial" w:hAnsi="Arial"/>
                <w:sz w:val="18"/>
                <w:szCs w:val="18"/>
                <w:color w:val="auto"/>
              </w:rPr>
              <w:t>Henry Orren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OAKTREE VALUE OPPORTUNITIES FUND GP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LTD.</w:t>
      </w:r>
    </w:p>
    <w:p>
      <w:pPr>
        <w:spacing w:after="0" w:line="14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Capital Management, L.P.</w:t>
      </w:r>
    </w:p>
    <w:p>
      <w:pPr>
        <w:spacing w:after="0" w:line="2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14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143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1" w:name="page22"/>
    <w:bookmarkEnd w:id="21"/>
    <w:p>
      <w:pPr>
        <w:spacing w:after="0"/>
        <w:tabs>
          <w:tab w:leader="none" w:pos="484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22 of 24</w:t>
      </w:r>
    </w:p>
    <w:p>
      <w:pPr>
        <w:sectPr>
          <w:pgSz w:w="11900" w:h="16838" w:orient="portrait"/>
          <w:cols w:equalWidth="0" w:num="1">
            <w:col w:w="11140"/>
          </w:cols>
          <w:pgMar w:left="400" w:top="823"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OAKTREE FUND GP I, L.P.</w:t>
      </w:r>
    </w:p>
    <w:p>
      <w:pPr>
        <w:spacing w:after="0" w:line="158"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14605</wp:posOffset>
            </wp:positionV>
            <wp:extent cx="2143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OAKTREE CAPITAL I, L.P.</w:t>
      </w:r>
    </w:p>
    <w:p>
      <w:pPr>
        <w:spacing w:after="0" w:line="158"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14605</wp:posOffset>
            </wp:positionV>
            <wp:extent cx="2143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OCM HOLDINGS I, LLC</w:t>
      </w:r>
    </w:p>
    <w:p>
      <w:pPr>
        <w:spacing w:after="0" w:line="158"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14605</wp:posOffset>
            </wp:positionV>
            <wp:extent cx="2143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OAKTREE HOLDINGS, LLC</w:t>
      </w:r>
    </w:p>
    <w:p>
      <w:pPr>
        <w:spacing w:after="0" w:line="158"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14605</wp:posOffset>
            </wp:positionV>
            <wp:extent cx="2143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OAKTREE CAPITAL MANAGEMENT, L.P.</w:t>
      </w:r>
    </w:p>
    <w:p>
      <w:pPr>
        <w:spacing w:after="0" w:line="158"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14605</wp:posOffset>
            </wp:positionV>
            <wp:extent cx="2143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OAKTREE CAPITAL MANAGEMENT GP, LLC</w:t>
      </w:r>
    </w:p>
    <w:p>
      <w:pPr>
        <w:spacing w:after="0" w:line="16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Atlas OCM Holdings, LLC</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14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14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14605</wp:posOffset>
            </wp:positionV>
            <wp:extent cx="2143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443230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00" w:top="823" w:right="359" w:bottom="1440" w:gutter="0" w:footer="0" w:header="0"/>
          <w:type w:val="continuous"/>
        </w:sectPr>
      </w:pPr>
    </w:p>
    <w:bookmarkStart w:id="22" w:name="page23"/>
    <w:bookmarkEnd w:id="22"/>
    <w:p>
      <w:pPr>
        <w:spacing w:after="0"/>
        <w:tabs>
          <w:tab w:leader="none" w:pos="484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23 of 24</w:t>
      </w:r>
    </w:p>
    <w:p>
      <w:pPr>
        <w:sectPr>
          <w:pgSz w:w="11900" w:h="16838" w:orient="portrait"/>
          <w:cols w:equalWidth="0" w:num="1">
            <w:col w:w="11140"/>
          </w:cols>
          <w:pgMar w:left="400" w:top="823"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ATLAS OCM HOLDINGS, LLC</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211"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14605</wp:posOffset>
            </wp:positionV>
            <wp:extent cx="2143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OAKTREE CAPITAL GROUP, LLC</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14605</wp:posOffset>
            </wp:positionV>
            <wp:extent cx="21431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OAKTREE CAPITAL GROUP HOLDINGS GP, LLC</w:t>
      </w:r>
    </w:p>
    <w:p>
      <w:pPr>
        <w:spacing w:after="0" w:line="237"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14605</wp:posOffset>
            </wp:positionV>
            <wp:extent cx="2143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BROOKFIELD CORPORATION</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14605</wp:posOffset>
            </wp:positionV>
            <wp:extent cx="2143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Swati Mandava</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 Legal &amp; Regulatory</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BROOKFIELD ASSET MANAGEMENT ULC</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14605</wp:posOffset>
            </wp:positionV>
            <wp:extent cx="2143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Kathy Sarpash</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 Legal &amp; Regulatory</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BAM PARTNERS TRUST</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BAM Class B Partners Inc.</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Trustee</w:t>
      </w:r>
    </w:p>
    <w:p>
      <w:pPr>
        <w:spacing w:after="0" w:line="211"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14605</wp:posOffset>
            </wp:positionV>
            <wp:extent cx="2143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Kathy Sarpash</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348615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00" w:top="823" w:right="359" w:bottom="1440" w:gutter="0" w:footer="0" w:header="0"/>
          <w:type w:val="continuous"/>
        </w:sectPr>
      </w:pPr>
    </w:p>
    <w:bookmarkStart w:id="23" w:name="page24"/>
    <w:bookmarkEnd w:id="23"/>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24 of 24</w:t>
            </w:r>
          </w:p>
        </w:tc>
      </w:tr>
    </w:tbl>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Pursuant to Rule 13d-1(k)(1) promulgated under the Securities Exchange Act of 1934, as amended, each of the undersigned acknowledges and agrees that the foregoing statement on this Schedule 13G is filed on behalf of the undersigned and that all subsequent amendments to this statement on Schedule 13G shall be filed on behalf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he or it knows or has reason to believe that such information is inaccurate.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2023</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OAKTREE VALUE OPPORTUNITIES FUND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HOLDINGS, L.P.</w:t>
      </w:r>
    </w:p>
    <w:p>
      <w:pPr>
        <w:spacing w:after="0" w:line="143"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w w:val="97"/>
              </w:rPr>
              <w:t>Oaktree Value Opportunities Fund GP,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w w:val="99"/>
              </w:rPr>
              <w:t>Oaktree Value Opportunities Fund GP Ltd.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Director</w:t>
            </w:r>
          </w:p>
        </w:tc>
      </w:tr>
      <w:tr>
        <w:trPr>
          <w:trHeight w:val="36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80" w:type="dxa"/>
            <w:vAlign w:val="bottom"/>
          </w:tcPr>
          <w:p>
            <w:pPr>
              <w:spacing w:after="0" w:line="195" w:lineRule="exact"/>
              <w:rPr>
                <w:sz w:val="20"/>
                <w:szCs w:val="20"/>
                <w:color w:val="auto"/>
              </w:rPr>
            </w:pPr>
            <w:r>
              <w:rPr>
                <w:rFonts w:ascii="Arial" w:cs="Arial" w:eastAsia="Arial" w:hAnsi="Arial"/>
                <w:sz w:val="18"/>
                <w:szCs w:val="18"/>
                <w:color w:val="auto"/>
              </w:rPr>
              <w:t>Henry Orren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OAKTREE VALUE OPPORTUNITIES FUND GP,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L.P.</w:t>
      </w:r>
    </w:p>
    <w:p>
      <w:pPr>
        <w:spacing w:after="0" w:line="143"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w w:val="99"/>
              </w:rPr>
              <w:t>Oaktree Value Opportunities Fund GP Ltd.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Director</w:t>
            </w:r>
          </w:p>
        </w:tc>
      </w:tr>
      <w:tr>
        <w:trPr>
          <w:trHeight w:val="36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80" w:type="dxa"/>
            <w:vAlign w:val="bottom"/>
          </w:tcPr>
          <w:p>
            <w:pPr>
              <w:spacing w:after="0" w:line="195" w:lineRule="exact"/>
              <w:rPr>
                <w:sz w:val="20"/>
                <w:szCs w:val="20"/>
                <w:color w:val="auto"/>
              </w:rPr>
            </w:pPr>
            <w:r>
              <w:rPr>
                <w:rFonts w:ascii="Arial" w:cs="Arial" w:eastAsia="Arial" w:hAnsi="Arial"/>
                <w:sz w:val="18"/>
                <w:szCs w:val="18"/>
                <w:color w:val="auto"/>
              </w:rPr>
              <w:t>Henry Orren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OAKTREE VALUE OPPORTUNITIES FUND GP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LTD.</w:t>
      </w:r>
    </w:p>
    <w:p>
      <w:pPr>
        <w:sectPr>
          <w:pgSz w:w="11900" w:h="16838" w:orient="portrait"/>
          <w:cols w:equalWidth="0" w:num="1">
            <w:col w:w="11240"/>
          </w:cols>
          <w:pgMar w:left="320" w:top="796" w:right="339" w:bottom="1440" w:gutter="0" w:footer="0" w:header="0"/>
        </w:sectPr>
      </w:pPr>
    </w:p>
    <w:p>
      <w:pPr>
        <w:spacing w:after="0" w:line="14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43" w:lineRule="exact"/>
        <w:rPr>
          <w:sz w:val="20"/>
          <w:szCs w:val="20"/>
          <w:color w:val="auto"/>
        </w:rPr>
      </w:pPr>
    </w:p>
    <w:p>
      <w:pPr>
        <w:sectPr>
          <w:pgSz w:w="11900" w:h="16838" w:orient="portrait"/>
          <w:cols w:equalWidth="0" w:num="2">
            <w:col w:w="6440" w:space="300"/>
            <w:col w:w="4500"/>
          </w:cols>
          <w:pgMar w:left="320" w:top="796" w:right="339" w:bottom="1440" w:gutter="0" w:footer="0" w:header="0"/>
          <w:type w:val="continuous"/>
        </w:sectPr>
      </w:pPr>
    </w:p>
    <w:p>
      <w:pPr>
        <w:ind w:left="618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143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5" w:name="page26"/>
    <w:bookmarkEnd w:id="25"/>
    <w:p>
      <w:pPr>
        <w:ind w:left="5060"/>
        <w:spacing w:after="0"/>
        <w:rPr>
          <w:sz w:val="20"/>
          <w:szCs w:val="20"/>
          <w:color w:val="auto"/>
        </w:rPr>
      </w:pPr>
      <w:r>
        <w:rPr>
          <w:rFonts w:ascii="Arial" w:cs="Arial" w:eastAsia="Arial" w:hAnsi="Arial"/>
          <w:sz w:val="18"/>
          <w:szCs w:val="18"/>
          <w:color w:val="auto"/>
        </w:rPr>
        <w:t>OAKTREE FUND GP I, L.P.</w:t>
      </w:r>
    </w:p>
    <w:p>
      <w:pPr>
        <w:spacing w:after="0" w:line="158"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1431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OAKTREE CAPITAL I, L.P.</w:t>
      </w:r>
    </w:p>
    <w:p>
      <w:pPr>
        <w:spacing w:after="0" w:line="158"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1431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OCM HOLDINGS I, LLC</w:t>
      </w:r>
    </w:p>
    <w:p>
      <w:pPr>
        <w:spacing w:after="0" w:line="158"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143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OAKTREE HOLDINGS, LLC</w:t>
      </w:r>
    </w:p>
    <w:p>
      <w:pPr>
        <w:spacing w:after="0" w:line="158"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143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OAKTREE CAPITAL MANAGEMENT, L.P.</w:t>
      </w:r>
    </w:p>
    <w:p>
      <w:pPr>
        <w:spacing w:after="0" w:line="158"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143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OAKTREE CAPITAL MANAGEMENT GP, LLC</w:t>
      </w:r>
    </w:p>
    <w:p>
      <w:pPr>
        <w:sectPr>
          <w:pgSz w:w="11900" w:h="16838" w:orient="portrait"/>
          <w:cols w:equalWidth="0" w:num="1">
            <w:col w:w="9019"/>
          </w:cols>
          <w:pgMar w:left="1440" w:top="800" w:right="1440" w:bottom="1440" w:gutter="0" w:footer="0" w:header="0"/>
        </w:sectPr>
      </w:pP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419"/>
        <w:spacing w:after="0" w:line="277" w:lineRule="auto"/>
        <w:rPr>
          <w:sz w:val="20"/>
          <w:szCs w:val="20"/>
          <w:color w:val="auto"/>
        </w:rPr>
      </w:pPr>
      <w:r>
        <w:rPr>
          <w:rFonts w:ascii="Arial" w:cs="Arial" w:eastAsia="Arial" w:hAnsi="Arial"/>
          <w:sz w:val="18"/>
          <w:szCs w:val="18"/>
          <w:color w:val="auto"/>
        </w:rPr>
        <w:t>Atlas OCM Holdings, LLC Managing Member</w:t>
      </w:r>
    </w:p>
    <w:p>
      <w:pPr>
        <w:spacing w:after="0" w:line="103" w:lineRule="exact"/>
        <w:rPr>
          <w:sz w:val="20"/>
          <w:szCs w:val="20"/>
          <w:color w:val="auto"/>
        </w:rPr>
      </w:pPr>
    </w:p>
    <w:p>
      <w:pPr>
        <w:sectPr>
          <w:pgSz w:w="11900" w:h="16838" w:orient="portrait"/>
          <w:cols w:equalWidth="0" w:num="2">
            <w:col w:w="5320" w:space="300"/>
            <w:col w:w="3399"/>
          </w:cols>
          <w:pgMar w:left="1440" w:top="800" w:right="1440" w:bottom="1440" w:gutter="0" w:footer="0" w:header="0"/>
          <w:type w:val="continuous"/>
        </w:sectPr>
      </w:pPr>
    </w:p>
    <w:p>
      <w:pPr>
        <w:ind w:left="506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ind w:right="1299"/>
        <w:spacing w:after="0" w:line="277" w:lineRule="auto"/>
        <w:rPr>
          <w:sz w:val="20"/>
          <w:szCs w:val="20"/>
          <w:color w:val="auto"/>
        </w:rPr>
      </w:pPr>
      <w:r>
        <w:rPr>
          <w:rFonts w:ascii="Arial" w:cs="Arial" w:eastAsia="Arial" w:hAnsi="Arial"/>
          <w:sz w:val="18"/>
          <w:szCs w:val="18"/>
          <w:color w:val="auto"/>
        </w:rPr>
        <w:t>Oaktree New Holdings, LLC Member</w:t>
      </w:r>
    </w:p>
    <w:p>
      <w:pPr>
        <w:spacing w:after="0" w:line="103" w:lineRule="exact"/>
        <w:rPr>
          <w:sz w:val="20"/>
          <w:szCs w:val="20"/>
          <w:color w:val="auto"/>
        </w:rPr>
      </w:pPr>
    </w:p>
    <w:p>
      <w:pPr>
        <w:sectPr>
          <w:pgSz w:w="11900" w:h="16838" w:orient="portrait"/>
          <w:cols w:equalWidth="0" w:num="2">
            <w:col w:w="5320" w:space="300"/>
            <w:col w:w="3399"/>
          </w:cols>
          <w:pgMar w:left="1440" w:top="800" w:right="1440" w:bottom="1440" w:gutter="0" w:footer="0" w:header="0"/>
          <w:type w:val="continuous"/>
        </w:sect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1431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type w:val="continuous"/>
        </w:sectPr>
      </w:pPr>
    </w:p>
    <w:bookmarkStart w:id="26" w:name="page27"/>
    <w:bookmarkEnd w:id="26"/>
    <w:p>
      <w:pPr>
        <w:ind w:left="5060"/>
        <w:spacing w:after="0"/>
        <w:rPr>
          <w:sz w:val="20"/>
          <w:szCs w:val="20"/>
          <w:color w:val="auto"/>
        </w:rPr>
      </w:pPr>
      <w:r>
        <w:rPr>
          <w:rFonts w:ascii="Arial" w:cs="Arial" w:eastAsia="Arial" w:hAnsi="Arial"/>
          <w:sz w:val="17"/>
          <w:szCs w:val="17"/>
          <w:color w:val="auto"/>
        </w:rPr>
        <w:t>ATLAS OCM HOLDINGS, LLC</w:t>
      </w:r>
    </w:p>
    <w:p>
      <w:pPr>
        <w:sectPr>
          <w:pgSz w:w="11900" w:h="16838" w:orient="portrait"/>
          <w:cols w:equalWidth="0" w:num="1">
            <w:col w:w="9019"/>
          </w:cols>
          <w:pgMar w:left="1440" w:top="800" w:right="1440" w:bottom="1440" w:gutter="0" w:footer="0" w:header="0"/>
        </w:sect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1299"/>
        <w:spacing w:after="0" w:line="277" w:lineRule="auto"/>
        <w:rPr>
          <w:sz w:val="20"/>
          <w:szCs w:val="20"/>
          <w:color w:val="auto"/>
        </w:rPr>
      </w:pPr>
      <w:r>
        <w:rPr>
          <w:rFonts w:ascii="Arial" w:cs="Arial" w:eastAsia="Arial" w:hAnsi="Arial"/>
          <w:sz w:val="18"/>
          <w:szCs w:val="18"/>
          <w:color w:val="auto"/>
        </w:rPr>
        <w:t>Oaktree New Holdings, LLC Member</w:t>
      </w:r>
    </w:p>
    <w:p>
      <w:pPr>
        <w:spacing w:after="0" w:line="170" w:lineRule="exact"/>
        <w:rPr>
          <w:sz w:val="20"/>
          <w:szCs w:val="20"/>
          <w:color w:val="auto"/>
        </w:rPr>
      </w:pPr>
    </w:p>
    <w:p>
      <w:pPr>
        <w:sectPr>
          <w:pgSz w:w="11900" w:h="16838" w:orient="portrait"/>
          <w:cols w:equalWidth="0" w:num="2">
            <w:col w:w="5320" w:space="300"/>
            <w:col w:w="3399"/>
          </w:cols>
          <w:pgMar w:left="1440" w:top="800" w:right="1440" w:bottom="1440" w:gutter="0" w:footer="0" w:header="0"/>
          <w:type w:val="continuous"/>
        </w:sect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1431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OAKTREE CAPITAL GROUP, LLC</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143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OAKTREE CAPITAL GROUP HOLDINGS GP, LLC</w:t>
      </w:r>
    </w:p>
    <w:p>
      <w:pPr>
        <w:spacing w:after="0" w:line="23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143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BROOKFIELD CORPORATION</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143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Swati Mandava</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 Legal &amp; Regulatory</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BROOKFIELD ASSET MANAGEMENT ULC</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143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Kathy Sarpash</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 Legal &amp; Regulatory</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BAM PARTNERS TRUST</w:t>
      </w:r>
    </w:p>
    <w:p>
      <w:pPr>
        <w:sectPr>
          <w:pgSz w:w="11900" w:h="16838" w:orient="portrait"/>
          <w:cols w:equalWidth="0" w:num="1">
            <w:col w:w="9019"/>
          </w:cols>
          <w:pgMar w:left="1440" w:top="800" w:right="1440" w:bottom="1440" w:gutter="0" w:footer="0" w:header="0"/>
          <w:type w:val="continuous"/>
        </w:sectPr>
      </w:pP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BAM Class B Partners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ectPr>
          <w:pgSz w:w="11900" w:h="16838" w:orient="portrait"/>
          <w:cols w:equalWidth="0" w:num="2">
            <w:col w:w="5320" w:space="300"/>
            <w:col w:w="3399"/>
          </w:cols>
          <w:pgMar w:left="1440" w:top="800" w:right="1440" w:bottom="1440" w:gutter="0" w:footer="0" w:header="0"/>
          <w:type w:val="continuous"/>
        </w:sectPr>
      </w:pPr>
    </w:p>
    <w:p>
      <w:pPr>
        <w:spacing w:after="0" w:line="11"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29210</wp:posOffset>
            </wp:positionV>
            <wp:extent cx="2143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Kathy Sarpash</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382905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80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2"/>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lowerLetter"/>
      <w:start w:val="4"/>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2023-05-15T15:03:23Z</dcterms:created>
  <dcterms:modified xsi:type="dcterms:W3CDTF">2023-05-15T15:03:23Z</dcterms:modified>
</cp:coreProperties>
</file>