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Park Shin Young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11" w:lineRule="auto"/>
        <w:rPr>
          <w:sz w:val="20"/>
          <w:szCs w:val="20"/>
          <w:color w:val="auto"/>
        </w:rPr>
      </w:pPr>
      <w:r>
        <w:rPr>
          <w:rFonts w:ascii="Times New Roman" w:cs="Times New Roman" w:eastAsia="Times New Roman" w:hAnsi="Times New Roman"/>
          <w:sz w:val="17"/>
          <w:szCs w:val="17"/>
          <w:color w:val="0000FF"/>
        </w:rPr>
        <w:t>C/O MAGNACHIP SEMICONDUCTOR, LTD., 108, YEOUI-DAERO, YEONGDEUNGPO-GU</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ind w:left="9"/>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MAGNACHIP SEMICONDUCTOR Corp</w:t>
        </w:r>
      </w:hyperlink>
    </w:p>
    <w:p>
      <w:pPr>
        <w:ind w:left="129" w:hanging="129"/>
        <w:spacing w:after="0"/>
        <w:tabs>
          <w:tab w:leader="none" w:pos="129"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0000FF"/>
        </w:rPr>
        <w:t xml:space="preserve">MX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ind w:left="9"/>
        <w:spacing w:after="0"/>
        <w:rPr>
          <w:sz w:val="20"/>
          <w:szCs w:val="20"/>
          <w:color w:val="auto"/>
        </w:rPr>
      </w:pPr>
      <w:r>
        <w:rPr>
          <w:rFonts w:ascii="Times New Roman" w:cs="Times New Roman" w:eastAsia="Times New Roman" w:hAnsi="Times New Roman"/>
          <w:sz w:val="17"/>
          <w:szCs w:val="17"/>
          <w:color w:val="0000FF"/>
        </w:rPr>
        <w:t>03/12/2023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jc w:val="center"/>
        <w:ind w:right="195"/>
        <w:spacing w:after="0"/>
        <w:rPr>
          <w:sz w:val="20"/>
          <w:szCs w:val="20"/>
          <w:color w:val="auto"/>
        </w:rPr>
      </w:pPr>
      <w:r>
        <w:rPr>
          <w:rFonts w:ascii="Times New Roman" w:cs="Times New Roman" w:eastAsia="Times New Roman" w:hAnsi="Times New Roman"/>
          <w:sz w:val="17"/>
          <w:szCs w:val="17"/>
          <w:color w:val="0000FF"/>
        </w:rPr>
        <w:t>See Remarks</w:t>
      </w:r>
    </w:p>
    <w:p>
      <w:pPr>
        <w:spacing w:after="0" w:line="445" w:lineRule="exact"/>
        <w:rPr>
          <w:sz w:val="24"/>
          <w:szCs w:val="24"/>
          <w:color w:val="auto"/>
        </w:rPr>
      </w:pPr>
    </w:p>
    <w:p>
      <w:pPr>
        <w:sectPr>
          <w:pgSz w:w="11900" w:h="16838" w:orient="portrait"/>
          <w:cols w:equalWidth="0" w:num="3">
            <w:col w:w="3540" w:space="371"/>
            <w:col w:w="3649" w:space="1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3540" w:type="dxa"/>
            <w:vAlign w:val="bottom"/>
            <w:gridSpan w:val="6"/>
          </w:tcPr>
          <w:p>
            <w:pPr>
              <w:ind w:left="140"/>
              <w:spacing w:after="0" w:line="114" w:lineRule="exact"/>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2"/>
                <w:szCs w:val="12"/>
                <w:color w:val="auto"/>
              </w:rPr>
            </w:pPr>
          </w:p>
        </w:tc>
        <w:tc>
          <w:tcPr>
            <w:tcW w:w="3520" w:type="dxa"/>
            <w:vAlign w:val="bottom"/>
            <w:gridSpan w:val="9"/>
          </w:tcPr>
          <w:p>
            <w:pPr>
              <w:ind w:left="180"/>
              <w:spacing w:after="0" w:line="11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SEOUL</w:t>
            </w:r>
          </w:p>
        </w:tc>
        <w:tc>
          <w:tcPr>
            <w:tcW w:w="860" w:type="dxa"/>
            <w:vAlign w:val="bottom"/>
            <w:vMerge w:val="restart"/>
          </w:tcPr>
          <w:p>
            <w:pPr>
              <w:ind w:left="600"/>
              <w:spacing w:after="0"/>
              <w:rPr>
                <w:sz w:val="20"/>
                <w:szCs w:val="20"/>
                <w:color w:val="auto"/>
              </w:rPr>
            </w:pPr>
            <w:r>
              <w:rPr>
                <w:rFonts w:ascii="Times New Roman" w:cs="Times New Roman" w:eastAsia="Times New Roman" w:hAnsi="Times New Roman"/>
                <w:sz w:val="17"/>
                <w:szCs w:val="17"/>
                <w:color w:val="0000FF"/>
              </w:rPr>
              <w:t>M5</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07335</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03/12/2023</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1,521</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5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9.39</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77,935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72"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the withholding by the Issuer of 1,521 shares of common stock to satisfy tax withholding obligations incurred by the Reporting Person upon the vesting of 3,333 shares of common stock originally awarded to the Reporting Person on March 12, 2020.</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Financial Officer</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Theodore Kim, Attorney-</w:t>
            </w:r>
          </w:p>
        </w:tc>
        <w:tc>
          <w:tcPr>
            <w:tcW w:w="10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03/14/2023</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05443" TargetMode="External"/><Relationship Id="rId13"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2023-03-14T15:45:12Z</dcterms:created>
  <dcterms:modified xsi:type="dcterms:W3CDTF">2023-03-14T15:45:12Z</dcterms:modified>
</cp:coreProperties>
</file>