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WASHINGTON, D.C. 20549</w:t>
      </w:r>
    </w:p>
    <w:p>
      <w:pPr>
        <w:spacing w:after="0" w:line="164"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198" w:lineRule="exact"/>
        <w:rPr>
          <w:sz w:val="24"/>
          <w:szCs w:val="24"/>
          <w:color w:val="auto"/>
        </w:rPr>
      </w:pPr>
    </w:p>
    <w:p>
      <w:pPr>
        <w:jc w:val="center"/>
        <w:ind w:right="-300"/>
        <w:spacing w:after="0"/>
        <w:rPr>
          <w:sz w:val="20"/>
          <w:szCs w:val="20"/>
          <w:color w:val="auto"/>
        </w:rPr>
      </w:pPr>
      <w:r>
        <w:rPr>
          <w:rFonts w:ascii="Arial" w:cs="Arial" w:eastAsia="Arial" w:hAnsi="Arial"/>
          <w:sz w:val="22"/>
          <w:szCs w:val="22"/>
          <w:b w:val="1"/>
          <w:bCs w:val="1"/>
          <w:color w:val="auto"/>
        </w:rPr>
        <w:t>(Rule 14a-101)</w:t>
      </w:r>
    </w:p>
    <w:p>
      <w:pPr>
        <w:spacing w:after="0" w:line="12" w:lineRule="exact"/>
        <w:rPr>
          <w:sz w:val="24"/>
          <w:szCs w:val="24"/>
          <w:color w:val="auto"/>
        </w:rPr>
      </w:pPr>
    </w:p>
    <w:p>
      <w:pPr>
        <w:ind w:left="3100"/>
        <w:spacing w:after="0"/>
        <w:rPr>
          <w:sz w:val="20"/>
          <w:szCs w:val="20"/>
          <w:color w:val="auto"/>
        </w:rPr>
      </w:pPr>
      <w:r>
        <w:rPr>
          <w:rFonts w:ascii="Arial" w:cs="Arial" w:eastAsia="Arial" w:hAnsi="Arial"/>
          <w:sz w:val="23"/>
          <w:szCs w:val="23"/>
          <w:b w:val="1"/>
          <w:bCs w:val="1"/>
          <w:color w:val="auto"/>
        </w:rPr>
        <w:t>SCHEDULE 14A INFORMATION</w:t>
      </w:r>
    </w:p>
    <w:p>
      <w:pPr>
        <w:spacing w:after="0" w:line="101"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Securities Exchange Act of 1934</w:t>
      </w:r>
    </w:p>
    <w:p>
      <w:pPr>
        <w:spacing w:after="0" w:line="151" w:lineRule="exact"/>
        <w:rPr>
          <w:sz w:val="24"/>
          <w:szCs w:val="24"/>
          <w:color w:val="auto"/>
        </w:rPr>
      </w:pPr>
    </w:p>
    <w:p>
      <w:pPr>
        <w:spacing w:after="0" w:line="207" w:lineRule="exact"/>
        <w:tabs>
          <w:tab w:leader="none" w:pos="34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09" w:lineRule="exact"/>
        <w:rPr>
          <w:sz w:val="24"/>
          <w:szCs w:val="24"/>
          <w:color w:val="auto"/>
        </w:rPr>
      </w:pPr>
    </w:p>
    <w:p>
      <w:pPr>
        <w:jc w:val="center"/>
        <w:ind w:right="-340"/>
        <w:spacing w:after="0"/>
        <w:rPr>
          <w:sz w:val="20"/>
          <w:szCs w:val="20"/>
          <w:color w:val="auto"/>
        </w:rPr>
      </w:pPr>
      <w:r>
        <w:rPr>
          <w:rFonts w:ascii="Arial" w:cs="Arial" w:eastAsia="Arial" w:hAnsi="Arial"/>
          <w:sz w:val="39"/>
          <w:szCs w:val="39"/>
          <w:b w:val="1"/>
          <w:bCs w:val="1"/>
          <w:color w:val="auto"/>
        </w:rPr>
        <w:t>Magnachip Semiconductor Corporation</w:t>
      </w:r>
    </w:p>
    <w:p>
      <w:pPr>
        <w:spacing w:after="0" w:line="184"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41"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383540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186055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246380</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92075</wp:posOffset>
            </wp:positionV>
            <wp:extent cx="230568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194" w:lineRule="exact"/>
        <w:rPr>
          <w:sz w:val="20"/>
          <w:szCs w:val="20"/>
          <w:color w:val="auto"/>
        </w:rPr>
      </w:pPr>
    </w:p>
    <w:p>
      <w:pPr>
        <w:jc w:val="center"/>
        <w:ind w:left="1800" w:right="1840"/>
        <w:spacing w:after="0" w:line="266" w:lineRule="auto"/>
        <w:rPr>
          <w:sz w:val="20"/>
          <w:szCs w:val="20"/>
          <w:color w:val="auto"/>
        </w:rPr>
      </w:pPr>
      <w:r>
        <w:rPr>
          <w:rFonts w:ascii="Arial" w:cs="Arial" w:eastAsia="Arial" w:hAnsi="Arial"/>
          <w:sz w:val="18"/>
          <w:szCs w:val="18"/>
          <w:b w:val="1"/>
          <w:bCs w:val="1"/>
          <w:color w:val="auto"/>
        </w:rPr>
        <w:t>c/o Magnachip Semiconductor, Ltd. 15F, 76 Jikji-daero 436beon-gil, Heungdeok-gu Cheongju-si, Chungcheongbuk-do, Republic of Korea 28581</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You are invited to attend the Annual Meeting of Stockholders of Magnachip Semiconductor Corporation to be held on May 18, 2023, at 8:00 p.m. Eastern Daylight Time.</w:t>
      </w:r>
    </w:p>
    <w:p>
      <w:pPr>
        <w:spacing w:after="0" w:line="62"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 xml:space="preserve">We are pleased to announce that this year’s Annual Meeting will again be held completely virtually via live interactive webcast on the Internet. You will be able to attend, vote and submit your questions during the meeting at </w:t>
      </w:r>
      <w:r>
        <w:rPr>
          <w:rFonts w:ascii="Arial" w:cs="Arial" w:eastAsia="Arial" w:hAnsi="Arial"/>
          <w:sz w:val="17"/>
          <w:szCs w:val="17"/>
          <w:i w:val="1"/>
          <w:iCs w:val="1"/>
          <w:color w:val="auto"/>
        </w:rPr>
        <w:t>www.virtualshareholdermeeting.com/MX2023</w:t>
      </w:r>
      <w:r>
        <w:rPr>
          <w:rFonts w:ascii="Arial" w:cs="Arial" w:eastAsia="Arial" w:hAnsi="Arial"/>
          <w:sz w:val="17"/>
          <w:szCs w:val="17"/>
          <w:color w:val="auto"/>
        </w:rPr>
        <w:t>. We have enclosed the notice of our Annual Meeting of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together with this Proxy Statement, a proxy and an envelope for returning the proxy.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are asked to act upon proposals to:</w:t>
      </w:r>
    </w:p>
    <w:p>
      <w:pPr>
        <w:spacing w:after="0" w:line="117" w:lineRule="exact"/>
        <w:rPr>
          <w:sz w:val="20"/>
          <w:szCs w:val="20"/>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 the six director nominees named in the Proxy Statement to our Board of Directors;</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an advisory (non-binding) vote on the compensation of our named executive officers as described in this Proxy Statement;</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ratify the appointment of Samil PricewaterhouseCoopers as our independent registered public accounting firm for the fiscal year ending December 31, 2023;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our Amended and Restated 2020 Equity and Incentive Compensation Plan.</w:t>
      </w:r>
    </w:p>
    <w:p>
      <w:pPr>
        <w:spacing w:after="0" w:line="117" w:lineRule="exact"/>
        <w:rPr>
          <w:sz w:val="20"/>
          <w:szCs w:val="20"/>
          <w:color w:val="auto"/>
        </w:rPr>
      </w:pPr>
    </w:p>
    <w:p>
      <w:pPr>
        <w:ind w:left="300" w:right="639" w:firstLine="360"/>
        <w:spacing w:after="0" w:line="275" w:lineRule="auto"/>
        <w:rPr>
          <w:sz w:val="20"/>
          <w:szCs w:val="20"/>
          <w:color w:val="auto"/>
        </w:rPr>
      </w:pPr>
      <w:r>
        <w:rPr>
          <w:rFonts w:ascii="Arial" w:cs="Arial" w:eastAsia="Arial" w:hAnsi="Arial"/>
          <w:sz w:val="17"/>
          <w:szCs w:val="17"/>
          <w:color w:val="auto"/>
        </w:rPr>
        <w:t>Your Board of Directors unanimously recommends that you vote “FOR” each nominee for director that the Board of Directors has selected, “FOR” the approval of the compensation of our named executive officers as described in the Proxy Statement, “FOR” the appointment of Samil PricewaterhouseCoopers as our independent registered public accounting firm for the fiscal year ending December 31, 2023, and “FOR” the approval of our Amended and Restated 2020 Equity and Incentive Compensation Plan.</w:t>
      </w:r>
    </w:p>
    <w:p>
      <w:pPr>
        <w:spacing w:after="0" w:line="68"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Please carefully review the Proxy Statement and then complete and sign your proxy and return it promptly. If you attend the virtual meeting and decide to vote during the meeting, you may withdraw your proxy by voting at the meeting.</w:t>
      </w:r>
    </w:p>
    <w:p>
      <w:pPr>
        <w:spacing w:after="0" w:line="76" w:lineRule="exact"/>
        <w:rPr>
          <w:sz w:val="20"/>
          <w:szCs w:val="20"/>
          <w:color w:val="auto"/>
        </w:rPr>
      </w:pPr>
    </w:p>
    <w:p>
      <w:pPr>
        <w:jc w:val="both"/>
        <w:ind w:left="300" w:right="519" w:firstLine="360"/>
        <w:spacing w:after="0" w:line="263" w:lineRule="auto"/>
        <w:rPr>
          <w:sz w:val="20"/>
          <w:szCs w:val="20"/>
          <w:color w:val="auto"/>
        </w:rPr>
      </w:pPr>
      <w:r>
        <w:rPr>
          <w:rFonts w:ascii="Arial" w:cs="Arial" w:eastAsia="Arial" w:hAnsi="Arial"/>
          <w:sz w:val="18"/>
          <w:szCs w:val="18"/>
          <w:color w:val="auto"/>
        </w:rPr>
        <w:t>Your time and attention to this letter and the accompanying Proxy Statement and proxy are appreciated. Your vote is important. Please take the time to read the enclosed Proxy Statement and cast your vote via proxy or at the Annual Meeting of Stockholders.</w:t>
      </w:r>
    </w:p>
    <w:p>
      <w:pPr>
        <w:spacing w:after="0" w:line="14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57785</wp:posOffset>
            </wp:positionV>
            <wp:extent cx="2606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Young-Joon Kim</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w:t>
      </w:r>
    </w:p>
    <w:p>
      <w:pPr>
        <w:spacing w:after="0" w:line="10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160655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92075</wp:posOffset>
            </wp:positionV>
            <wp:extent cx="230568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056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194" w:lineRule="exact"/>
        <w:rPr>
          <w:sz w:val="20"/>
          <w:szCs w:val="20"/>
          <w:color w:val="auto"/>
        </w:rPr>
      </w:pPr>
    </w:p>
    <w:p>
      <w:pPr>
        <w:jc w:val="center"/>
        <w:ind w:left="1760" w:right="1880"/>
        <w:spacing w:after="0" w:line="261" w:lineRule="auto"/>
        <w:rPr>
          <w:sz w:val="20"/>
          <w:szCs w:val="20"/>
          <w:color w:val="auto"/>
        </w:rPr>
      </w:pPr>
      <w:r>
        <w:rPr>
          <w:rFonts w:ascii="Arial" w:cs="Arial" w:eastAsia="Arial" w:hAnsi="Arial"/>
          <w:sz w:val="18"/>
          <w:szCs w:val="18"/>
          <w:b w:val="1"/>
          <w:bCs w:val="1"/>
          <w:color w:val="auto"/>
        </w:rPr>
        <w:t>Magnachip Semiconductor Corporation c/o Magnachip Semiconductor, Ltd. 15F, 76 Jikji-daero 436beon-gil, Heungdeok-gu Cheongju-si, Chungcheongbuk-do, Republic of Korea 28581</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18, 2023</w:t>
      </w:r>
    </w:p>
    <w:p>
      <w:pPr>
        <w:spacing w:after="0" w:line="103"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Annual Meeting of Stockholders of Magnachip Semiconductor Corporation, a Delaware corporation, will be held on Thursday, May 18, 2023, at 8:00 p.m. Eastern Daylight Time, via live interactive webcast on the Internet, for the following purposes:</w:t>
      </w:r>
    </w:p>
    <w:p>
      <w:pPr>
        <w:spacing w:after="0" w:line="76" w:lineRule="exact"/>
        <w:rPr>
          <w:sz w:val="20"/>
          <w:szCs w:val="20"/>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six director nominees named in the Proxy Statement to our Board of Directors;</w:t>
      </w:r>
    </w:p>
    <w:p>
      <w:pPr>
        <w:spacing w:after="0" w:line="117" w:lineRule="exact"/>
        <w:rPr>
          <w:rFonts w:ascii="Arial" w:cs="Arial" w:eastAsia="Arial" w:hAnsi="Arial"/>
          <w:sz w:val="18"/>
          <w:szCs w:val="18"/>
          <w:color w:val="auto"/>
        </w:rPr>
      </w:pPr>
    </w:p>
    <w:p>
      <w:pPr>
        <w:ind w:left="1000" w:right="9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(non-binding) vote on the compensation of our named executive officers as described in the Proxy Statement;</w:t>
      </w:r>
    </w:p>
    <w:p>
      <w:pPr>
        <w:spacing w:after="0" w:line="62" w:lineRule="exact"/>
        <w:rPr>
          <w:rFonts w:ascii="Arial" w:cs="Arial" w:eastAsia="Arial" w:hAnsi="Arial"/>
          <w:sz w:val="18"/>
          <w:szCs w:val="18"/>
          <w:color w:val="auto"/>
        </w:rPr>
      </w:pPr>
    </w:p>
    <w:p>
      <w:pPr>
        <w:ind w:left="1000" w:right="107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Samil PricewaterhouseCoopers as our independent registered public accounting firm for the fiscal year ending December 31, 2023;</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our Amended and Restated 2020 Equity and Incentive Compensation Plan;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17"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 xml:space="preserve">Holders of record of our common stock at the close of business on Thursday, April 6, 2023, are entitled to vote at the meeting. A list of stockholders entitled to vote will be available for inspection by stockholders of record for any purpose germane to the Annual Meeting during ordinary business hours at our corporate offices located at Magnachip Semiconductor Corporation, c/o Magnachip Semiconductor, Ltd., 15F, 76 Jikji-daero 436beon-gil, Heungdeok-gu, Cheongju-si, Chungcheongbuk-do, Republic of Korea 28581, for a period of ten days immediately prior to the Annual Meeting. If you are a stockholder of record and would like to view this stockholder list, please contact Investor Relations Department at investor.relations@magnachip.com and arrangements will be made to review the records in person during the ten days prior to the Annual Meeting. Additionally, such list of stockholders will be made available for viewing electronically during the Annual Meeting, and instructions to access such list will be available on the date of the Annual Meeting at </w:t>
      </w:r>
      <w:r>
        <w:rPr>
          <w:rFonts w:ascii="Arial" w:cs="Arial" w:eastAsia="Arial" w:hAnsi="Arial"/>
          <w:sz w:val="16"/>
          <w:szCs w:val="16"/>
          <w:i w:val="1"/>
          <w:iCs w:val="1"/>
          <w:color w:val="auto"/>
        </w:rPr>
        <w:t>www.virtualshareholdermeeting.com/MX2023.</w:t>
      </w:r>
    </w:p>
    <w:p>
      <w:pPr>
        <w:spacing w:after="0" w:line="1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57785</wp:posOffset>
            </wp:positionV>
            <wp:extent cx="2606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Theodore Kim</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Chief Compliance Officer, Executive Vice President,</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General Counsel and Secretary</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Annual Meeting of Stockholders to Be Held on May 18, 2023</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The 2023 Proxy Statement and 2022 Annual Report are available, free of charge, at </w:t>
      </w:r>
      <w:r>
        <w:rPr>
          <w:rFonts w:ascii="Arial" w:cs="Arial" w:eastAsia="Arial" w:hAnsi="Arial"/>
          <w:sz w:val="16"/>
          <w:szCs w:val="16"/>
          <w:b w:val="1"/>
          <w:bCs w:val="1"/>
          <w:i w:val="1"/>
          <w:iCs w:val="1"/>
          <w:color w:val="auto"/>
        </w:rPr>
        <w:t>www.proxyvote.com.</w:t>
      </w:r>
    </w:p>
    <w:p>
      <w:pPr>
        <w:spacing w:after="0" w:line="140" w:lineRule="exact"/>
        <w:rPr>
          <w:sz w:val="20"/>
          <w:szCs w:val="20"/>
          <w:color w:val="auto"/>
        </w:rPr>
      </w:pPr>
    </w:p>
    <w:p>
      <w:pPr>
        <w:ind w:left="300" w:right="399" w:firstLine="360"/>
        <w:spacing w:after="0" w:line="281" w:lineRule="auto"/>
        <w:rPr>
          <w:sz w:val="20"/>
          <w:szCs w:val="20"/>
          <w:color w:val="auto"/>
        </w:rPr>
      </w:pPr>
      <w:r>
        <w:rPr>
          <w:rFonts w:ascii="Arial" w:cs="Arial" w:eastAsia="Arial" w:hAnsi="Arial"/>
          <w:sz w:val="17"/>
          <w:szCs w:val="17"/>
          <w:b w:val="1"/>
          <w:bCs w:val="1"/>
          <w:color w:val="auto"/>
        </w:rPr>
        <w:t>Magnachip Semiconductor Corporation’s Annual Report for the year ended December 31, 2022 is being mailed to stockholders concurrently with the 2023 Proxy Statement. The Annual Report contains financial and other information about Magnachip Semiconductor Corporation, but is not incorporated into the Proxy Statement and is not deemed to be a part of the proxy soliciting materials.</w:t>
      </w:r>
    </w:p>
    <w:p>
      <w:pPr>
        <w:spacing w:after="0" w:line="57" w:lineRule="exact"/>
        <w:rPr>
          <w:sz w:val="20"/>
          <w:szCs w:val="20"/>
          <w:color w:val="auto"/>
        </w:rPr>
      </w:pPr>
    </w:p>
    <w:p>
      <w:pPr>
        <w:ind w:left="300" w:right="359" w:firstLine="360"/>
        <w:spacing w:after="0" w:line="294" w:lineRule="auto"/>
        <w:rPr>
          <w:sz w:val="20"/>
          <w:szCs w:val="20"/>
          <w:color w:val="auto"/>
        </w:rPr>
      </w:pPr>
      <w:r>
        <w:rPr>
          <w:rFonts w:ascii="Arial" w:cs="Arial" w:eastAsia="Arial" w:hAnsi="Arial"/>
          <w:sz w:val="16"/>
          <w:szCs w:val="16"/>
          <w:b w:val="1"/>
          <w:bCs w:val="1"/>
          <w:color w:val="auto"/>
        </w:rPr>
        <w:t xml:space="preserve">Even if you expect to attend the Annual Meeting, please promptly complete, sign, date and mail the enclosed proxy card. A self-addressed envelope is enclosed for your convenience. No postage is required if mailed in the United States. Alternatively, if you are a holder of record of our common stock on the record date, you may vote your shares electronically either over the internet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 xml:space="preserve"> or by touch-tone telephone at 1-800-690-6903. Stockholders who attend the Annual Meeting may revoke their proxies and vote during the meeting at </w:t>
      </w:r>
      <w:r>
        <w:rPr>
          <w:rFonts w:ascii="Arial" w:cs="Arial" w:eastAsia="Arial" w:hAnsi="Arial"/>
          <w:sz w:val="16"/>
          <w:szCs w:val="16"/>
          <w:b w:val="1"/>
          <w:bCs w:val="1"/>
          <w:i w:val="1"/>
          <w:iCs w:val="1"/>
          <w:color w:val="auto"/>
        </w:rPr>
        <w:t>www.virtualshareholdermeeting.com/MX2023</w:t>
      </w:r>
      <w:r>
        <w:rPr>
          <w:rFonts w:ascii="Arial" w:cs="Arial" w:eastAsia="Arial" w:hAnsi="Arial"/>
          <w:sz w:val="16"/>
          <w:szCs w:val="16"/>
          <w:b w:val="1"/>
          <w:bCs w:val="1"/>
          <w:color w:val="auto"/>
        </w:rPr>
        <w:t xml:space="preserve"> if they so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95885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44"/>
            <w:shd w:val="clear" w:color="auto" w:fill="CCEEFF"/>
          </w:tcPr>
          <w:p>
            <w:pPr>
              <w:spacing w:after="0"/>
              <w:rPr>
                <w:sz w:val="20"/>
                <w:szCs w:val="20"/>
                <w:color w:val="auto"/>
              </w:rPr>
            </w:pPr>
            <w:r>
              <w:rPr>
                <w:rFonts w:ascii="Arial" w:cs="Arial" w:eastAsia="Arial" w:hAnsi="Arial"/>
                <w:sz w:val="18"/>
                <w:szCs w:val="18"/>
                <w:color w:val="0000EE"/>
              </w:rPr>
              <w:t>GENERAL INFORMATION</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4"/>
          </w:tcPr>
          <w:p>
            <w:pPr>
              <w:spacing w:after="0"/>
              <w:rPr>
                <w:sz w:val="20"/>
                <w:szCs w:val="20"/>
                <w:color w:val="auto"/>
              </w:rPr>
            </w:pPr>
            <w:r>
              <w:rPr>
                <w:rFonts w:ascii="Arial" w:cs="Arial" w:eastAsia="Arial" w:hAnsi="Arial"/>
                <w:sz w:val="18"/>
                <w:szCs w:val="18"/>
                <w:color w:val="0000EE"/>
              </w:rPr>
              <w:t>PROPOSAL ONE: ELECTION OF DIRECTORS</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5</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44"/>
            <w:shd w:val="clear" w:color="auto" w:fill="CCEEFF"/>
          </w:tcPr>
          <w:p>
            <w:pPr>
              <w:spacing w:after="0"/>
              <w:rPr>
                <w:sz w:val="20"/>
                <w:szCs w:val="20"/>
                <w:color w:val="auto"/>
              </w:rPr>
            </w:pPr>
            <w:r>
              <w:rPr>
                <w:rFonts w:ascii="Arial" w:cs="Arial" w:eastAsia="Arial" w:hAnsi="Arial"/>
                <w:sz w:val="18"/>
                <w:szCs w:val="18"/>
                <w:color w:val="0000EE"/>
              </w:rPr>
              <w:t>THE BOARD OF DIRECTORS AND CORPORATE GOVERNANCE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8</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Director Independence</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8</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Board Meetings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8</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Attendance at Annual Meeting</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8</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Committees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8</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Board Leadership Structure</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10</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Board Role in Risk Oversight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11</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Director Orientation and Continuing Education</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12</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Code of Business Conduct and Ethics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12</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Report of the Audit Committee</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12</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Communications with Directors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13</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Human Capital Management</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13</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2022 Director Compensation</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15</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Compensation Committee Interlocks and Insider Participation</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17</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44"/>
            <w:shd w:val="clear" w:color="auto" w:fill="CCEEFF"/>
          </w:tcPr>
          <w:p>
            <w:pPr>
              <w:spacing w:after="0"/>
              <w:rPr>
                <w:sz w:val="20"/>
                <w:szCs w:val="20"/>
                <w:color w:val="auto"/>
              </w:rPr>
            </w:pPr>
            <w:r>
              <w:rPr>
                <w:rFonts w:ascii="Arial" w:cs="Arial" w:eastAsia="Arial" w:hAnsi="Arial"/>
                <w:sz w:val="18"/>
                <w:szCs w:val="18"/>
                <w:color w:val="0000EE"/>
              </w:rPr>
              <w:t>EXECUTIVE COMPENSATION</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18</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Compensation Discussion and Analysis</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18</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44"/>
            <w:shd w:val="clear" w:color="auto" w:fill="CCEEFF"/>
          </w:tcPr>
          <w:p>
            <w:pPr>
              <w:spacing w:after="0"/>
              <w:rPr>
                <w:sz w:val="20"/>
                <w:szCs w:val="20"/>
                <w:color w:val="auto"/>
              </w:rPr>
            </w:pPr>
            <w:r>
              <w:rPr>
                <w:rFonts w:ascii="Arial" w:cs="Arial" w:eastAsia="Arial" w:hAnsi="Arial"/>
                <w:sz w:val="18"/>
                <w:szCs w:val="18"/>
                <w:color w:val="0000EE"/>
              </w:rPr>
              <w:t>COMPENSATION COMMITTEE REPORT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32</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Summary Compensation Table</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33</w:t>
            </w:r>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Grants of Plan-Based Awards Table for Fiscal Year 2022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34</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Outstanding Equity Awards at Fiscal Year End 2022</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35</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Option Exercises and Stock Vested</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37</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Pension Benefits for the Fiscal Year Ended December 31, 2022</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37</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Nonqualified Deferred Compensation</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38</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Potential Payments Upon Termination or Change in Control</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38</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Equity Compensation Plan Information</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43</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Equity Compensation Plan Summary</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43</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Pay Versus Performance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46</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4"/>
          </w:tcPr>
          <w:p>
            <w:pPr>
              <w:spacing w:after="0"/>
              <w:rPr>
                <w:sz w:val="20"/>
                <w:szCs w:val="20"/>
                <w:color w:val="auto"/>
              </w:rPr>
            </w:pPr>
            <w:r>
              <w:rPr>
                <w:rFonts w:ascii="Arial" w:cs="Arial" w:eastAsia="Arial" w:hAnsi="Arial"/>
                <w:sz w:val="18"/>
                <w:szCs w:val="18"/>
                <w:color w:val="0000EE"/>
              </w:rPr>
              <w:t>CERTAIN RELATIONSHIPS AND RELATED TRANSACTIONS</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50</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Related Person Transactions Policy</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50</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4"/>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51</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120" w:type="dxa"/>
            <w:vAlign w:val="bottom"/>
            <w:tcBorders>
              <w:bottom w:val="single" w:sz="8" w:color="0000EE"/>
            </w:tcBorders>
            <w:gridSpan w:val="42"/>
            <w:shd w:val="clear" w:color="auto" w:fill="CCEEFF"/>
          </w:tcPr>
          <w:p>
            <w:pPr>
              <w:spacing w:after="0"/>
              <w:rPr>
                <w:sz w:val="20"/>
                <w:szCs w:val="20"/>
                <w:color w:val="auto"/>
              </w:rPr>
            </w:pPr>
            <w:r>
              <w:rPr>
                <w:rFonts w:ascii="Arial" w:cs="Arial" w:eastAsia="Arial" w:hAnsi="Arial"/>
                <w:sz w:val="18"/>
                <w:szCs w:val="18"/>
                <w:color w:val="0000EE"/>
                <w:w w:val="95"/>
              </w:rPr>
              <w:t>PROPOSAL TWO: ADVISORY (NON-BINDING) VOTE ON THE COMPENSATION OF OUR</w:t>
            </w:r>
          </w:p>
        </w:tc>
        <w:tc>
          <w:tcPr>
            <w:tcW w:w="10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7940" w:type="dxa"/>
            <w:vAlign w:val="bottom"/>
            <w:gridSpan w:val="43"/>
            <w:shd w:val="clear" w:color="auto" w:fill="CCEEFF"/>
          </w:tcPr>
          <w:p>
            <w:pPr>
              <w:spacing w:after="0" w:line="196" w:lineRule="exact"/>
              <w:rPr>
                <w:sz w:val="20"/>
                <w:szCs w:val="20"/>
                <w:color w:val="auto"/>
              </w:rPr>
            </w:pPr>
            <w:r>
              <w:rPr>
                <w:rFonts w:ascii="Arial" w:cs="Arial" w:eastAsia="Arial" w:hAnsi="Arial"/>
                <w:sz w:val="18"/>
                <w:szCs w:val="18"/>
                <w:color w:val="0000EE"/>
              </w:rPr>
              <w:t>NAMED EXECUTIVE OFFICERS AS DESCRIBED IN THIS PROXY STATEMENT</w:t>
            </w:r>
          </w:p>
        </w:tc>
        <w:tc>
          <w:tcPr>
            <w:tcW w:w="2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rPr>
              <w:t>53</w:t>
            </w:r>
          </w:p>
        </w:tc>
        <w:tc>
          <w:tcPr>
            <w:tcW w:w="20" w:type="dxa"/>
            <w:vAlign w:val="bottom"/>
            <w:shd w:val="clear" w:color="auto" w:fill="CCEEFF"/>
          </w:tcPr>
          <w:p>
            <w:pPr>
              <w:spacing w:after="0"/>
              <w:rPr>
                <w:sz w:val="17"/>
                <w:szCs w:val="17"/>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580" w:type="dxa"/>
            <w:vAlign w:val="bottom"/>
            <w:tcBorders>
              <w:bottom w:val="single" w:sz="8" w:color="0000EE"/>
            </w:tcBorders>
            <w:gridSpan w:val="43"/>
          </w:tcPr>
          <w:p>
            <w:pPr>
              <w:spacing w:after="0"/>
              <w:rPr>
                <w:sz w:val="20"/>
                <w:szCs w:val="20"/>
                <w:color w:val="auto"/>
              </w:rPr>
            </w:pPr>
            <w:r>
              <w:rPr>
                <w:rFonts w:ascii="Arial" w:cs="Arial" w:eastAsia="Arial" w:hAnsi="Arial"/>
                <w:sz w:val="18"/>
                <w:szCs w:val="18"/>
                <w:color w:val="0000EE"/>
                <w:w w:val="94"/>
              </w:rPr>
              <w:t>PROPOSAL THREE: RATIFICATION OF APPOINTMENT OF OUR INDEPENDENT REGISTERED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43"/>
          </w:tcPr>
          <w:p>
            <w:pPr>
              <w:spacing w:after="0" w:line="196" w:lineRule="exact"/>
              <w:rPr>
                <w:sz w:val="20"/>
                <w:szCs w:val="20"/>
                <w:color w:val="auto"/>
              </w:rPr>
            </w:pPr>
            <w:r>
              <w:rPr>
                <w:rFonts w:ascii="Arial" w:cs="Arial" w:eastAsia="Arial" w:hAnsi="Arial"/>
                <w:sz w:val="18"/>
                <w:szCs w:val="18"/>
                <w:color w:val="0000EE"/>
              </w:rPr>
              <w:t>PUBLIC ACCOUNTING FIRM FOR THE FISCAL YEAR ENDING DECEMBER 31, 2023</w:t>
            </w: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54</w:t>
            </w:r>
          </w:p>
        </w:tc>
        <w:tc>
          <w:tcPr>
            <w:tcW w:w="20" w:type="dxa"/>
            <w:vAlign w:val="bottom"/>
          </w:tcPr>
          <w:p>
            <w:pPr>
              <w:spacing w:after="0"/>
              <w:rPr>
                <w:sz w:val="17"/>
                <w:szCs w:val="17"/>
                <w:color w:val="auto"/>
              </w:rPr>
            </w:pPr>
          </w:p>
        </w:tc>
      </w:tr>
      <w:tr>
        <w:trPr>
          <w:trHeight w:val="74"/>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Arial" w:cs="Arial" w:eastAsia="Arial" w:hAnsi="Arial"/>
                <w:sz w:val="18"/>
                <w:szCs w:val="18"/>
                <w:color w:val="0000EE"/>
              </w:rPr>
              <w:t>Fees Paid to Independent Registered Public Accounting Firm</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54</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Arial" w:cs="Arial" w:eastAsia="Arial" w:hAnsi="Arial"/>
                <w:sz w:val="18"/>
                <w:szCs w:val="18"/>
                <w:color w:val="0000EE"/>
              </w:rPr>
              <w:t>Policy and Procedure for Approval of Audit and Permitted Non-Audit Services</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54</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44"/>
            <w:shd w:val="clear" w:color="auto" w:fill="CCEEFF"/>
          </w:tcPr>
          <w:p>
            <w:pPr>
              <w:spacing w:after="0"/>
              <w:rPr>
                <w:sz w:val="20"/>
                <w:szCs w:val="20"/>
                <w:color w:val="auto"/>
              </w:rPr>
            </w:pPr>
            <w:r>
              <w:rPr>
                <w:rFonts w:ascii="Arial" w:cs="Arial" w:eastAsia="Arial" w:hAnsi="Arial"/>
                <w:sz w:val="18"/>
                <w:szCs w:val="18"/>
                <w:color w:val="0000EE"/>
              </w:rPr>
              <w:t>PROPOSAL FOUR: APPROVAL OF OUR AMENDED AND RESTATED 2020 EQUITY AND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40" w:type="dxa"/>
            <w:vAlign w:val="bottom"/>
            <w:tcBorders>
              <w:top w:val="single" w:sz="8" w:color="0000EE"/>
            </w:tcBorders>
            <w:gridSpan w:val="40"/>
            <w:shd w:val="clear" w:color="auto" w:fill="CCEEFF"/>
          </w:tcPr>
          <w:p>
            <w:pPr>
              <w:spacing w:after="0" w:line="196" w:lineRule="exact"/>
              <w:rPr>
                <w:sz w:val="20"/>
                <w:szCs w:val="20"/>
                <w:color w:val="auto"/>
              </w:rPr>
            </w:pPr>
            <w:r>
              <w:rPr>
                <w:rFonts w:ascii="Arial" w:cs="Arial" w:eastAsia="Arial" w:hAnsi="Arial"/>
                <w:sz w:val="18"/>
                <w:szCs w:val="18"/>
                <w:color w:val="0000EE"/>
              </w:rPr>
              <w:t>INCENTIVE COMPENSATION PLAN</w:t>
            </w:r>
          </w:p>
        </w:tc>
        <w:tc>
          <w:tcPr>
            <w:tcW w:w="1100" w:type="dxa"/>
            <w:vAlign w:val="bottom"/>
            <w:tcBorders>
              <w:top w:val="single" w:sz="8" w:color="CCEEFF"/>
            </w:tcBorders>
            <w:gridSpan w:val="3"/>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rPr>
              <w:t>55</w:t>
            </w:r>
          </w:p>
        </w:tc>
        <w:tc>
          <w:tcPr>
            <w:tcW w:w="20" w:type="dxa"/>
            <w:vAlign w:val="bottom"/>
            <w:tcBorders>
              <w:top w:val="single" w:sz="8" w:color="CCEEFF"/>
            </w:tcBorders>
            <w:shd w:val="clear" w:color="auto" w:fill="CCEEFF"/>
          </w:tcPr>
          <w:p>
            <w:pPr>
              <w:spacing w:after="0"/>
              <w:rPr>
                <w:sz w:val="17"/>
                <w:szCs w:val="17"/>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4"/>
          </w:tcPr>
          <w:p>
            <w:pPr>
              <w:spacing w:after="0"/>
              <w:rPr>
                <w:sz w:val="20"/>
                <w:szCs w:val="20"/>
                <w:color w:val="auto"/>
              </w:rPr>
            </w:pPr>
            <w:r>
              <w:rPr>
                <w:rFonts w:ascii="Arial" w:cs="Arial" w:eastAsia="Arial" w:hAnsi="Arial"/>
                <w:sz w:val="18"/>
                <w:szCs w:val="18"/>
                <w:color w:val="0000EE"/>
              </w:rPr>
              <w:t>STOCKHOLDER PROPOSALS FOR 2024 ANNUAL MEETING</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68</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44"/>
            <w:shd w:val="clear" w:color="auto" w:fill="CCEEFF"/>
          </w:tcPr>
          <w:p>
            <w:pPr>
              <w:spacing w:after="0"/>
              <w:rPr>
                <w:sz w:val="20"/>
                <w:szCs w:val="20"/>
                <w:color w:val="auto"/>
              </w:rPr>
            </w:pPr>
            <w:r>
              <w:rPr>
                <w:rFonts w:ascii="Arial" w:cs="Arial" w:eastAsia="Arial" w:hAnsi="Arial"/>
                <w:sz w:val="18"/>
                <w:szCs w:val="18"/>
                <w:color w:val="0000EE"/>
              </w:rPr>
              <w:t>SOLICITATION OF PROXIES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68</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4"/>
          </w:tcPr>
          <w:p>
            <w:pPr>
              <w:spacing w:after="0"/>
              <w:rPr>
                <w:sz w:val="20"/>
                <w:szCs w:val="20"/>
                <w:color w:val="auto"/>
              </w:rPr>
            </w:pPr>
            <w:r>
              <w:rPr>
                <w:rFonts w:ascii="Arial" w:cs="Arial" w:eastAsia="Arial" w:hAnsi="Arial"/>
                <w:sz w:val="18"/>
                <w:szCs w:val="18"/>
                <w:color w:val="0000EE"/>
              </w:rPr>
              <w:t>OTHER MATTERS</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69</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44"/>
            <w:shd w:val="clear" w:color="auto" w:fill="CCEEFF"/>
          </w:tcPr>
          <w:p>
            <w:pPr>
              <w:spacing w:after="0"/>
              <w:rPr>
                <w:sz w:val="20"/>
                <w:szCs w:val="20"/>
                <w:color w:val="auto"/>
              </w:rPr>
            </w:pPr>
            <w:r>
              <w:rPr>
                <w:rFonts w:ascii="Arial" w:cs="Arial" w:eastAsia="Arial" w:hAnsi="Arial"/>
                <w:sz w:val="18"/>
                <w:szCs w:val="18"/>
                <w:color w:val="0000EE"/>
              </w:rPr>
              <w:t>APPENDIX A</w:t>
            </w:r>
          </w:p>
        </w:tc>
        <w:tc>
          <w:tcPr>
            <w:tcW w:w="300" w:type="dxa"/>
            <w:vAlign w:val="bottom"/>
            <w:gridSpan w:val="4"/>
            <w:shd w:val="clear" w:color="auto" w:fill="CCEEFF"/>
          </w:tcPr>
          <w:p>
            <w:pPr>
              <w:spacing w:after="0"/>
              <w:rPr>
                <w:sz w:val="20"/>
                <w:szCs w:val="20"/>
                <w:color w:val="auto"/>
              </w:rPr>
            </w:pPr>
            <w:r>
              <w:rPr>
                <w:rFonts w:ascii="Arial" w:cs="Arial" w:eastAsia="Arial" w:hAnsi="Arial"/>
                <w:sz w:val="18"/>
                <w:szCs w:val="18"/>
                <w:color w:val="0000EE"/>
                <w:w w:val="99"/>
              </w:rPr>
              <w:t>A-1</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-8863330</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713" w:gutter="0" w:footer="0" w:header="0"/>
        </w:sectPr>
      </w:pPr>
    </w:p>
    <w:bookmarkStart w:id="5" w:name="page6"/>
    <w:bookmarkEnd w:id="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left="1780" w:right="1860"/>
        <w:spacing w:after="0" w:line="261" w:lineRule="auto"/>
        <w:rPr>
          <w:sz w:val="20"/>
          <w:szCs w:val="20"/>
          <w:color w:val="auto"/>
        </w:rPr>
      </w:pPr>
      <w:r>
        <w:rPr>
          <w:rFonts w:ascii="Arial" w:cs="Arial" w:eastAsia="Arial" w:hAnsi="Arial"/>
          <w:sz w:val="18"/>
          <w:szCs w:val="18"/>
          <w:b w:val="1"/>
          <w:bCs w:val="1"/>
          <w:color w:val="auto"/>
        </w:rPr>
        <w:t>Magnachip Semiconductor Corporation c/o Magnachip Semiconductor, Ltd. 15F, 76 Jikji-daero 436beon-gil, Heungdeok-gu Cheongju-si, Chungcheongbuk-do, Republic of Korea 28581</w:t>
      </w:r>
    </w:p>
    <w:p>
      <w:pPr>
        <w:spacing w:after="0" w:line="31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ANNUAL MEETING OF STOCKHOLDERS TO BE HELD ON MAY 18, 2023</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GENERAL INFORMATION</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117" w:lineRule="exact"/>
        <w:rPr>
          <w:sz w:val="20"/>
          <w:szCs w:val="20"/>
          <w:color w:val="auto"/>
        </w:rPr>
      </w:pPr>
    </w:p>
    <w:p>
      <w:pPr>
        <w:ind w:left="300" w:right="399" w:firstLine="360"/>
        <w:spacing w:after="0" w:line="289" w:lineRule="auto"/>
        <w:rPr>
          <w:sz w:val="20"/>
          <w:szCs w:val="20"/>
          <w:color w:val="auto"/>
        </w:rPr>
      </w:pPr>
      <w:r>
        <w:rPr>
          <w:rFonts w:ascii="Arial" w:cs="Arial" w:eastAsia="Arial" w:hAnsi="Arial"/>
          <w:sz w:val="16"/>
          <w:szCs w:val="16"/>
          <w:color w:val="auto"/>
        </w:rPr>
        <w:t xml:space="preserve">We sent you these proxy materials because the Board of Directors (the “Board”) of Magnachip Semiconductor Corporation (the “Company,” “Magnachip,” “we,” “us” and “our”) is soliciting your proxy to vote at the 2023 Annual Meeting of Stockholders (the “Annual Meeting”) and at any postponements or adjournments of the Annual Meeting. The Annual Meeting will be held virtually via live interactive webcast on the Internet on May 18, 2023, at 8:00 p.m. Eastern Daylight Time. If you held shares of our common stock, par value of $0.01 per share (the “Common Stock”), on April 6, 2023 (the “Record Date”), you are invited to attend the Annual Meeting at </w:t>
      </w:r>
      <w:r>
        <w:rPr>
          <w:rFonts w:ascii="Arial" w:cs="Arial" w:eastAsia="Arial" w:hAnsi="Arial"/>
          <w:sz w:val="16"/>
          <w:szCs w:val="16"/>
          <w:i w:val="1"/>
          <w:iCs w:val="1"/>
          <w:color w:val="auto"/>
        </w:rPr>
        <w:t xml:space="preserve">www.virtualshareholdermeeting.com/MX2023 </w:t>
      </w:r>
      <w:r>
        <w:rPr>
          <w:rFonts w:ascii="Arial" w:cs="Arial" w:eastAsia="Arial" w:hAnsi="Arial"/>
          <w:sz w:val="16"/>
          <w:szCs w:val="16"/>
          <w:color w:val="auto"/>
        </w:rPr>
        <w:t>and vote on the proposals described below under the heading “What</w:t>
      </w:r>
      <w:r>
        <w:rPr>
          <w:rFonts w:ascii="Arial" w:cs="Arial" w:eastAsia="Arial" w:hAnsi="Arial"/>
          <w:sz w:val="16"/>
          <w:szCs w:val="16"/>
          <w:i w:val="1"/>
          <w:iCs w:val="1"/>
          <w:color w:val="auto"/>
        </w:rPr>
        <w:t xml:space="preserve"> </w:t>
      </w:r>
      <w:r>
        <w:rPr>
          <w:rFonts w:ascii="Arial" w:cs="Arial" w:eastAsia="Arial" w:hAnsi="Arial"/>
          <w:sz w:val="16"/>
          <w:szCs w:val="16"/>
          <w:color w:val="auto"/>
        </w:rPr>
        <w:t>am I voting on?” However, you do not need to attend the Annual Meeting to vote your shares. Instead, you may complete, sign, date and return the enclosed proxy card. You may also vote over the Internet or by telephone.</w:t>
      </w:r>
    </w:p>
    <w:p>
      <w:pPr>
        <w:spacing w:after="0" w:line="58"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The Notice of Annual Meeting of Stockholders, the Proxy Statement, the enclosed proxy card and our Annual Report on Form 10-K for the fiscal year ended December 31, 2022 are being mailed to stockholders commencing on or about April 17, 2023.</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four proposals scheduled to be voted on at the Annual Meeting:</w:t>
      </w:r>
    </w:p>
    <w:p>
      <w:pPr>
        <w:spacing w:after="0" w:line="117" w:lineRule="exact"/>
        <w:rPr>
          <w:sz w:val="20"/>
          <w:szCs w:val="20"/>
          <w:color w:val="auto"/>
        </w:rPr>
      </w:pPr>
    </w:p>
    <w:p>
      <w:pPr>
        <w:ind w:left="1000" w:right="759" w:hanging="348"/>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Election of the six director nominees specified in this Proxy Statement to serve until the 2024 annual meeting of stockholders and until their respective successors are elected and qualified;</w:t>
      </w:r>
    </w:p>
    <w:p>
      <w:pPr>
        <w:spacing w:after="0" w:line="38" w:lineRule="exact"/>
        <w:rPr>
          <w:rFonts w:ascii="Arial" w:cs="Arial" w:eastAsia="Arial" w:hAnsi="Arial"/>
          <w:sz w:val="17"/>
          <w:szCs w:val="17"/>
          <w:color w:val="auto"/>
        </w:rPr>
      </w:pPr>
    </w:p>
    <w:p>
      <w:pPr>
        <w:ind w:left="1000" w:right="75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on an advisory (non-binding) basis of the compensation of our named executive officers as described in this Proxy Statement;</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appointment of Samil PricewaterhouseCoopers as our independent registered public accountants for the fiscal year ending December 31, 2023;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our Amended and Restated 2020 Equity and Incentive Compensation Plan.</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recommends that you vote your shares:</w:t>
      </w:r>
    </w:p>
    <w:p>
      <w:pPr>
        <w:spacing w:after="0" w:line="117" w:lineRule="exact"/>
        <w:rPr>
          <w:sz w:val="20"/>
          <w:szCs w:val="20"/>
          <w:color w:val="auto"/>
        </w:rPr>
      </w:pPr>
    </w:p>
    <w:p>
      <w:pPr>
        <w:ind w:left="300" w:right="459" w:firstLine="360"/>
        <w:spacing w:after="0" w:line="308" w:lineRule="auto"/>
        <w:rPr>
          <w:sz w:val="20"/>
          <w:szCs w:val="20"/>
          <w:color w:val="auto"/>
        </w:rPr>
      </w:pPr>
      <w:r>
        <w:rPr>
          <w:rFonts w:ascii="Arial" w:cs="Arial" w:eastAsia="Arial" w:hAnsi="Arial"/>
          <w:sz w:val="17"/>
          <w:szCs w:val="17"/>
          <w:color w:val="auto"/>
        </w:rPr>
        <w:t>“FOR” the election of each of the six director nominees named in this Proxy Statement to hold office until the 2024 annual meeting of stockholders and until their respective successors are elected and qualified;</w:t>
      </w:r>
    </w:p>
    <w:p>
      <w:pPr>
        <w:spacing w:after="0" w:line="38"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“FOR” the approval on an advisory (non-binding) basis of the compensation of the named executive officers as described in this Proxy Statement;</w:t>
      </w:r>
    </w:p>
    <w:p>
      <w:pPr>
        <w:spacing w:after="0" w:line="62" w:lineRule="exact"/>
        <w:rPr>
          <w:sz w:val="20"/>
          <w:szCs w:val="20"/>
          <w:color w:val="auto"/>
        </w:rPr>
      </w:pPr>
    </w:p>
    <w:p>
      <w:pPr>
        <w:ind w:left="300" w:right="699" w:firstLine="360"/>
        <w:spacing w:after="0" w:line="277" w:lineRule="auto"/>
        <w:rPr>
          <w:sz w:val="20"/>
          <w:szCs w:val="20"/>
          <w:color w:val="auto"/>
        </w:rPr>
      </w:pPr>
      <w:r>
        <w:rPr>
          <w:rFonts w:ascii="Arial" w:cs="Arial" w:eastAsia="Arial" w:hAnsi="Arial"/>
          <w:sz w:val="18"/>
          <w:szCs w:val="18"/>
          <w:color w:val="auto"/>
        </w:rPr>
        <w:t>“FOR” the ratification of the appointment of Samil PricewaterhouseCoopers as our independent registered public accountants for the fiscal year ending December 31, 2023; and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approval of our Amended and Restated 2020 Equity and Incentive Compensation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Who can vote at the Annual Meeting?</w:t>
      </w:r>
    </w:p>
    <w:p>
      <w:pPr>
        <w:spacing w:after="0" w:line="117"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If you were a holder of record of the Company’s Common Stock as of the close of business on April 6, 2023, the Record Date for the Annual Meeting, you may vote your shares at the Annual Meeting. As of the Record Date, there were 42,514,556 shares of Magnachip Common Stock outstanding, excluding treasury shares. Company treasury shares will not be voted. Each stockholder has one vote for each share of Common Stock held as of the Record Date.</w:t>
      </w:r>
    </w:p>
    <w:p>
      <w:pPr>
        <w:spacing w:after="0" w:line="80"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 xml:space="preserve">If, on the Record Date, your shares were held in an account at a broker, bank, or other financial institution (we will refer to those organizations collectively as “broker”), then you are the beneficial owner of shares held in “street name” and these proxy materials are being forwarded to you by that broker. The broker holding your account is considered the stockholder of record for purposes of voting at the Annual Meeting. As the beneficial owner, you have the right to direct your broker on how to vote the shares in your account. As a beneficial owner, you are invited to attend the Annual Meeting via the Internet at </w:t>
      </w:r>
      <w:r>
        <w:rPr>
          <w:rFonts w:ascii="Arial" w:cs="Arial" w:eastAsia="Arial" w:hAnsi="Arial"/>
          <w:sz w:val="17"/>
          <w:szCs w:val="17"/>
          <w:i w:val="1"/>
          <w:iCs w:val="1"/>
          <w:color w:val="auto"/>
        </w:rPr>
        <w:t>www.virtualshareholdermeeting.com/MX2023</w:t>
      </w:r>
      <w:r>
        <w:rPr>
          <w:rFonts w:ascii="Arial" w:cs="Arial" w:eastAsia="Arial" w:hAnsi="Arial"/>
          <w:sz w:val="17"/>
          <w:szCs w:val="17"/>
          <w:color w:val="auto"/>
        </w:rPr>
        <w:t>. However, since you are not a stockholder of record, you may not vote your shares at the Annual Meeting unless you request and obtain a valid proxy from your broker.</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How can I attend the Annual Meeting?</w:t>
      </w:r>
    </w:p>
    <w:p>
      <w:pPr>
        <w:spacing w:after="0" w:line="117"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 xml:space="preserve">If you are a stockholder of record or a beneficial owner as of April 6, 2023, you are invited to attend the Annual Meeting live via the Internet at </w:t>
      </w:r>
      <w:r>
        <w:rPr>
          <w:rFonts w:ascii="Arial" w:cs="Arial" w:eastAsia="Arial" w:hAnsi="Arial"/>
          <w:sz w:val="17"/>
          <w:szCs w:val="17"/>
          <w:i w:val="1"/>
          <w:iCs w:val="1"/>
          <w:color w:val="auto"/>
        </w:rPr>
        <w:t>www.virtualshareholdermeeting.com/MX2023</w:t>
      </w:r>
      <w:r>
        <w:rPr>
          <w:rFonts w:ascii="Arial" w:cs="Arial" w:eastAsia="Arial" w:hAnsi="Arial"/>
          <w:sz w:val="17"/>
          <w:szCs w:val="17"/>
          <w:color w:val="auto"/>
        </w:rPr>
        <w:t xml:space="preserve">. You must have your Control Number listed on the enclosed proxy card to enter the meeting. The webcast starts at 8:00 p.m. Eastern Daylight Time. You may vote and submit questions while attending the meeting on the Internet. Instructions on how to attend and participate in the Annual Meeting via the Internet, including how to demonstrate proof of stock ownership, are posted at </w:t>
      </w:r>
      <w:r>
        <w:rPr>
          <w:rFonts w:ascii="Arial" w:cs="Arial" w:eastAsia="Arial" w:hAnsi="Arial"/>
          <w:sz w:val="17"/>
          <w:szCs w:val="17"/>
          <w:i w:val="1"/>
          <w:iCs w:val="1"/>
          <w:color w:val="auto"/>
        </w:rPr>
        <w:t>www.virtualshareholdermeeting.com/MX2023</w:t>
      </w:r>
      <w:r>
        <w:rPr>
          <w:rFonts w:ascii="Arial" w:cs="Arial" w:eastAsia="Arial" w:hAnsi="Arial"/>
          <w:sz w:val="17"/>
          <w:szCs w:val="17"/>
          <w:color w:val="auto"/>
        </w:rPr>
        <w:t>. The audio broadcast will be archived on that website for one year.</w:t>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What if I return the proxy card to the Company but do not make specific choices?</w:t>
      </w:r>
    </w:p>
    <w:p>
      <w:pPr>
        <w:spacing w:after="0" w:line="117"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If you return a signed, dated, proxy card to the Company without making any voting selections, the named proxies will vote your shares (1) “FOR” the election of each of the six director nominees named in this Proxy Statement to hold office until the 2024 annual meeting of stockholders and until their respective successors are elected and qualified; (2) “FOR” the approval on an advisory (non-binding) basis of the compensation of our named executive officers as disclosed in this Proxy Statement; (3) “FOR” the ratification of the appointment of Samil PricewaterhouseCoopers as our independent registered public accountants for the fiscal year ending December 31, 2023; and (4) “FOR” the approval of our Amended and Restated 2020 Equity and Incentive Compensation Plan.</w:t>
      </w:r>
    </w:p>
    <w:p>
      <w:pPr>
        <w:spacing w:after="0" w:line="58"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The Company does not expect that any matters other than the election of directors and the other proposals described in this Proxy Statement will be brought before the Annual Meeting. The persons appointed as proxies will vote in their discretion on any other matters that may properly come before the Annual Meeting or any postponements or adjournments thereof, including any vote to postpone or adjourn the Annual Meeting.</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How many shares must be present or represented to conduct business at the Annual Meeting?</w:t>
      </w:r>
    </w:p>
    <w:p>
      <w:pPr>
        <w:spacing w:after="0" w:line="129"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A quorum of stockholders is necessary to hold a valid annual meeting. A quorum will be present if the holders of at least a majority of the total number of shares of Common Stock entitled to vote are present, in person or by proxy, at the Annual Meeting. There were 42,514,556 shares of our Common Stock outstanding and entitled to vote on the Record Date. Therefore, a quorum will be present if 21,257,279 shares of our Common Stock are present in person or represented by executed proxies timely received by us at the Annual Meeting. Abstentions and shares represented by broker non-votes are counted for the purpose of determining whether a quorum is present. If there are insufficient votes to constitute a quorum at the time of the Annual Meeting, we may adjourn the Annual Meeting to solicit additional proxies.</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How are votes counted and what is a broker non-vote?</w:t>
      </w:r>
    </w:p>
    <w:p>
      <w:pPr>
        <w:spacing w:after="0" w:line="117" w:lineRule="exact"/>
        <w:rPr>
          <w:sz w:val="20"/>
          <w:szCs w:val="20"/>
          <w:color w:val="auto"/>
        </w:rPr>
      </w:pPr>
    </w:p>
    <w:p>
      <w:pPr>
        <w:ind w:left="300" w:right="379" w:firstLine="360"/>
        <w:spacing w:after="0" w:line="308" w:lineRule="auto"/>
        <w:rPr>
          <w:sz w:val="20"/>
          <w:szCs w:val="20"/>
          <w:color w:val="auto"/>
        </w:rPr>
      </w:pPr>
      <w:r>
        <w:rPr>
          <w:rFonts w:ascii="Arial" w:cs="Arial" w:eastAsia="Arial" w:hAnsi="Arial"/>
          <w:sz w:val="17"/>
          <w:szCs w:val="17"/>
          <w:color w:val="auto"/>
        </w:rPr>
        <w:t>Votes will be counted by the inspector of election appointed for the Annual Meeting, who will separately count “FOR,” “AGAINST,” “WITHHOLD,” abstentions and broker non-votes. A “broker non-vote” occurs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when your broker submits a proxy card for your shares of Common Stock held in street name, but does not vote on a particular proposal because the broker has not received voting instructions from you and does not have the authority to vote on that matter without instructions. Under the rules that govern brokers who are voting shares held in street name, brokers have the discretion to vote those shares on routine matters but not on non-routine matters. For purposes of these rules, the only routine matter in this Proxy Statement is Proposal Three—the ratification of our independent registered public accounting firm for the fiscal year ending December 31, 2023. Non-routine matters in this Proxy Statement are Proposal One—the election of directors, Proposal Two—the advisory (non-binding) vote on the compensation of our named executive officers as described in this Proxy Statement, and Proposal Four—the approval of our Amended and Restated 2020 Equity and Incentive Compensation Plan. Therefore, if you hold your shares in street name and do not provide voting instructions to your broker, your broker does not have discretion to vote your shares on any proposal at the Annual Meeting other than Proposal Three—the ratification of our independent registered public accounting firm for the fiscal year ending December 31, 2023. However, your shares will be considered present at the Annual Meeting for purposes of determining the existence of a quorum.</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What is the voting requirement to approve each of the proposals?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One—Election of Directors</w:t>
      </w:r>
    </w:p>
    <w:p>
      <w:pPr>
        <w:spacing w:after="0" w:line="117"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The election of director nominees requires a plurality vote of the shares present in person or represented by proxy at the Annual Meeting and entitled to vote in the election of directors. The director nominees receiving the highest number of “FOR” votes cast by the holders of our Common Stock entitled to vote at the Annual Meeting will be elected. Accordingly, “WITHHOLD” votes and broker non-votes will have no effect on the outcome of the election of directors. Stockholders have no right to cumulative voting as to any matters, including the election of directors.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Two—Advisory (Non-Binding) Vote on the Compensation of our Named Executive Officers</w:t>
      </w:r>
    </w:p>
    <w:p>
      <w:pPr>
        <w:spacing w:after="0" w:line="117"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The proposal to approve on an advisory (non-binding) basis the compensation of our named executive officers as described in this Proxy Statement requires the affirmative vote of a majority of the shares present in person or represented by proxy at the Annual Meeting and entitled to vote on such proposal. Abstentions will be included in the number of shares present and entitled to vote and will therefore have the same effect as a vote “AGAINST” the proposal. Broker non-votes will not be included in calculating the number of votes entitled to vote on this proposal and will therefore have no effect on the outcome of this proposal.</w:t>
      </w:r>
    </w:p>
    <w:p>
      <w:pPr>
        <w:spacing w:after="0" w:line="178" w:lineRule="exact"/>
        <w:rPr>
          <w:sz w:val="20"/>
          <w:szCs w:val="20"/>
          <w:color w:val="auto"/>
        </w:rPr>
      </w:pPr>
    </w:p>
    <w:p>
      <w:pPr>
        <w:ind w:left="660" w:right="299"/>
        <w:spacing w:after="0" w:line="277" w:lineRule="auto"/>
        <w:rPr>
          <w:sz w:val="20"/>
          <w:szCs w:val="20"/>
          <w:color w:val="auto"/>
        </w:rPr>
      </w:pPr>
      <w:r>
        <w:rPr>
          <w:rFonts w:ascii="Arial" w:cs="Arial" w:eastAsia="Arial" w:hAnsi="Arial"/>
          <w:sz w:val="18"/>
          <w:szCs w:val="18"/>
          <w:i w:val="1"/>
          <w:iCs w:val="1"/>
          <w:color w:val="auto"/>
        </w:rPr>
        <w:t>Proposal Three—Ratification of the Appointment of our Independent Registered Public Accounting Firm for the Fiscal Year Ending December 31, 2023</w:t>
      </w:r>
    </w:p>
    <w:p>
      <w:pPr>
        <w:spacing w:after="0" w:line="62"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proposal to ratify the appointment of Samil PricewaterhouseCoopers requires the affirmative vote of a majority of the shares present in person or represented by proxy at the Annual Meeting and entitled to vote on such proposal. Abstentions will be included in the number of shares present and entitled to vote and will therefore have the same effect as a vote “AGAINST” this proposal. Brokers have discretionary authority to vote uninstructed shares on this proposal.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Proposal Four—Approval of our Amended and Restated 2020 Equity and Incentive Compensation Plan.</w:t>
      </w:r>
    </w:p>
    <w:p>
      <w:pPr>
        <w:spacing w:after="0" w:line="129"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The proposal to approve our Amended and Restated 2020 Equity and Incentive Compensation Plan requires the affirmative vote of a majority of the shares present in person or represented by proxy at the Annual Meeting and entitled to vote on such proposal. Abstentions will be included in the number of shares present and entitled to vote and will therefore have the same effect as a vote “AGAINST” this proposal. Broker non-votes will not be included in calculating the number of votes entitled to vote on this proposal and will therefore have no effect on the outcome of this proposal.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How do I vote my shares of Magnachip Common Stock?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Stockholders may vote shares of our Common Stock using any of the following means:</w:t>
      </w:r>
    </w:p>
    <w:p>
      <w:pPr>
        <w:spacing w:after="0" w:line="117"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i w:val="1"/>
          <w:iCs w:val="1"/>
          <w:color w:val="auto"/>
        </w:rPr>
        <w:t xml:space="preserve">Voting by Proxy Cards. </w:t>
      </w:r>
      <w:r>
        <w:rPr>
          <w:rFonts w:ascii="Arial" w:cs="Arial" w:eastAsia="Arial" w:hAnsi="Arial"/>
          <w:sz w:val="18"/>
          <w:szCs w:val="18"/>
          <w:color w:val="auto"/>
        </w:rPr>
        <w:t>A registered stockholder may vote shares until voting is completed at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by returning a duly completed and executed proxy card in the postage-paid envelope included. All proxy cards received by us that have been properly signed and have not been revoked will be voted in accordance with the instructions contained in the proxy cards. For your mailed proxy card to be counted, we must receive it prior to the close of business on May 17,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i w:val="1"/>
          <w:iCs w:val="1"/>
          <w:color w:val="auto"/>
        </w:rPr>
        <w:t xml:space="preserve">Voting by Telephone or Internet. </w:t>
      </w:r>
      <w:r>
        <w:rPr>
          <w:rFonts w:ascii="Arial" w:cs="Arial" w:eastAsia="Arial" w:hAnsi="Arial"/>
          <w:sz w:val="17"/>
          <w:szCs w:val="17"/>
          <w:color w:val="auto"/>
        </w:rPr>
        <w:t>A registered stockholder may vote shares until 11:59 p.m. Eastern Daylight</w:t>
      </w:r>
      <w:r>
        <w:rPr>
          <w:rFonts w:ascii="Arial" w:cs="Arial" w:eastAsia="Arial" w:hAnsi="Arial"/>
          <w:sz w:val="17"/>
          <w:szCs w:val="17"/>
          <w:i w:val="1"/>
          <w:iCs w:val="1"/>
          <w:color w:val="auto"/>
        </w:rPr>
        <w:t xml:space="preserve"> </w:t>
      </w:r>
      <w:r>
        <w:rPr>
          <w:rFonts w:ascii="Arial" w:cs="Arial" w:eastAsia="Arial" w:hAnsi="Arial"/>
          <w:sz w:val="17"/>
          <w:szCs w:val="17"/>
          <w:color w:val="auto"/>
        </w:rPr>
        <w:t>Time on May 17, 2023 by calling the toll-free number indicated on the proxy card and following the recorded instructions or by accessing the website indicated on the proxy card and following the instructions provided. When a stockholder votes by telephone or Internet, his, her or its vote is recorded immediately.</w:t>
      </w:r>
    </w:p>
    <w:p>
      <w:pPr>
        <w:spacing w:after="0" w:line="63" w:lineRule="exact"/>
        <w:rPr>
          <w:sz w:val="20"/>
          <w:szCs w:val="20"/>
          <w:color w:val="auto"/>
        </w:rPr>
      </w:pPr>
    </w:p>
    <w:p>
      <w:pPr>
        <w:ind w:left="300" w:right="379" w:firstLine="360"/>
        <w:spacing w:after="0" w:line="271" w:lineRule="auto"/>
        <w:rPr>
          <w:sz w:val="20"/>
          <w:szCs w:val="20"/>
          <w:color w:val="auto"/>
        </w:rPr>
      </w:pPr>
      <w:r>
        <w:rPr>
          <w:rFonts w:ascii="Arial" w:cs="Arial" w:eastAsia="Arial" w:hAnsi="Arial"/>
          <w:sz w:val="17"/>
          <w:szCs w:val="17"/>
          <w:i w:val="1"/>
          <w:iCs w:val="1"/>
          <w:color w:val="auto"/>
        </w:rPr>
        <w:t xml:space="preserve">Voting by Internet During the Annual Meeting. </w:t>
      </w:r>
      <w:r>
        <w:rPr>
          <w:rFonts w:ascii="Arial" w:cs="Arial" w:eastAsia="Arial" w:hAnsi="Arial"/>
          <w:sz w:val="17"/>
          <w:szCs w:val="17"/>
          <w:color w:val="auto"/>
        </w:rPr>
        <w:t>Instructions on how to attend and vote at the meeting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described at </w:t>
      </w:r>
      <w:r>
        <w:rPr>
          <w:rFonts w:ascii="Arial" w:cs="Arial" w:eastAsia="Arial" w:hAnsi="Arial"/>
          <w:sz w:val="17"/>
          <w:szCs w:val="17"/>
          <w:i w:val="1"/>
          <w:iCs w:val="1"/>
          <w:color w:val="auto"/>
        </w:rPr>
        <w:t>www.virtualshareholdermeeting.com/MX2023</w:t>
      </w:r>
      <w:r>
        <w:rPr>
          <w:rFonts w:ascii="Arial" w:cs="Arial" w:eastAsia="Arial" w:hAnsi="Arial"/>
          <w:sz w:val="17"/>
          <w:szCs w:val="17"/>
          <w:color w:val="auto"/>
        </w:rPr>
        <w:t xml:space="preserve">. If a stockholder attends the Annual Meeting and votes his, her or its shares during the meeting via the voting instructions described at </w:t>
      </w:r>
      <w:r>
        <w:rPr>
          <w:rFonts w:ascii="Arial" w:cs="Arial" w:eastAsia="Arial" w:hAnsi="Arial"/>
          <w:sz w:val="17"/>
          <w:szCs w:val="17"/>
          <w:i w:val="1"/>
          <w:iCs w:val="1"/>
          <w:color w:val="auto"/>
        </w:rPr>
        <w:t xml:space="preserve">www.virtualshareholdermeeting.com/MX2023, </w:t>
      </w:r>
      <w:r>
        <w:rPr>
          <w:rFonts w:ascii="Arial" w:cs="Arial" w:eastAsia="Arial" w:hAnsi="Arial"/>
          <w:sz w:val="17"/>
          <w:szCs w:val="17"/>
          <w:color w:val="auto"/>
        </w:rPr>
        <w:t>then any previous votes that were submitted by the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by Internet, telephone or mail, will be superseded by the vote that such stockholder casts during the Annual Meeting. Further, if the shares are held of record by a broker and a stockholder wishes to vote at the Annual Meeting, he, she or it must obtain a proxy issued in his, her or its name from the record holder in accordance with the materials and instructions for voting provided by his, her or its broker.</w:t>
      </w:r>
    </w:p>
    <w:p>
      <w:pPr>
        <w:spacing w:after="0" w:line="70"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i w:val="1"/>
          <w:iCs w:val="1"/>
          <w:color w:val="auto"/>
        </w:rPr>
        <w:t xml:space="preserve">Voting by “Street Name” Stockholders. </w:t>
      </w:r>
      <w:r>
        <w:rPr>
          <w:rFonts w:ascii="Arial" w:cs="Arial" w:eastAsia="Arial" w:hAnsi="Arial"/>
          <w:sz w:val="18"/>
          <w:szCs w:val="18"/>
          <w:color w:val="auto"/>
        </w:rPr>
        <w:t>If stockholders hold shares in “street name,” then those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vote in accordance with the materials and instructions for voting the shares provided by their broker. If “street name” stockholders wish to vote shares at the Annual Meeting, then they must obtain proxies from their broker in order to vote their shares at the Annual Meeting in accordance with the materials and instructions for voting provided by his, her or its broker. If a “street name” stockholder does not vote by proxy or otherwise give voting instructions to their broker, such shares will not be voted by the broker for Proposal One, Two or Four at the Annual Meeting.</w:t>
      </w:r>
    </w:p>
    <w:p>
      <w:pPr>
        <w:spacing w:after="0" w:line="87"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i w:val="1"/>
          <w:iCs w:val="1"/>
          <w:color w:val="auto"/>
        </w:rPr>
        <w:t xml:space="preserve">Changing Votes. </w:t>
      </w:r>
      <w:r>
        <w:rPr>
          <w:rFonts w:ascii="Arial" w:cs="Arial" w:eastAsia="Arial" w:hAnsi="Arial"/>
          <w:sz w:val="17"/>
          <w:szCs w:val="17"/>
          <w:color w:val="auto"/>
        </w:rPr>
        <w:t>A stockholder may change his, her or its vote at any time before it is voted at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Meeting by (1) delivering a proxy revocation or another duly executed proxy bearing a later date to Magnachip Semiconductor Corporation, c/o Magnachip Semiconductor, Ltd., 15F, 76 Jikji-daero 436beon-gil, Heungdeok-gu, Cheongju-si, Chungcheongbuk-do, Republic of Korea 28581, Attention: Secretary, which revocation or later-dated proxy is received by us prior to the close of business on May 17, 2023; (2) voting again by telephone or Internet in the manner described above prior to 11:59 p.m., Eastern Daylight Time, on May 17, 2023; or (3) attending the Annual Meeting and voting via the Internet during the meeting using the procedures described at </w:t>
      </w:r>
      <w:r>
        <w:rPr>
          <w:rFonts w:ascii="Arial" w:cs="Arial" w:eastAsia="Arial" w:hAnsi="Arial"/>
          <w:sz w:val="17"/>
          <w:szCs w:val="17"/>
          <w:i w:val="1"/>
          <w:iCs w:val="1"/>
          <w:color w:val="auto"/>
        </w:rPr>
        <w:t>www.virtualshareholdermeeting.com/MX2023</w:t>
      </w:r>
      <w:r>
        <w:rPr>
          <w:rFonts w:ascii="Arial" w:cs="Arial" w:eastAsia="Arial" w:hAnsi="Arial"/>
          <w:sz w:val="17"/>
          <w:szCs w:val="17"/>
          <w:color w:val="auto"/>
        </w:rPr>
        <w:t>. Attending the Annual Meeting via the Internet will not revoke a</w:t>
      </w:r>
      <w:r>
        <w:rPr>
          <w:rFonts w:ascii="Arial" w:cs="Arial" w:eastAsia="Arial" w:hAnsi="Arial"/>
          <w:sz w:val="17"/>
          <w:szCs w:val="17"/>
          <w:i w:val="1"/>
          <w:iCs w:val="1"/>
          <w:color w:val="auto"/>
        </w:rPr>
        <w:t xml:space="preserve"> </w:t>
      </w:r>
      <w:r>
        <w:rPr>
          <w:rFonts w:ascii="Arial" w:cs="Arial" w:eastAsia="Arial" w:hAnsi="Arial"/>
          <w:sz w:val="17"/>
          <w:szCs w:val="17"/>
          <w:color w:val="auto"/>
        </w:rPr>
        <w:t>proxy unless the stockholder actually votes via the Internet during the meeting. “Street name” stockholders who wish to revoke or change their votes after returning voting instructions to their broker may do so in accordance with the materials and instructions provided by their broker or by contacting such broker to effect the revocation or change of vote.</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How can I find out the results of the Annual Meeting?</w:t>
      </w:r>
    </w:p>
    <w:p>
      <w:pPr>
        <w:spacing w:after="0" w:line="117"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 xml:space="preserve">Preliminary voting results will be announced at the Annual Meeting. We will publish final results in a Current Report on Form 8-K that we expect to file with the Securities and Exchange Commission (the “SEC”) within four business days of the Annual Meeting. After the Form 8-K is filed, you may obtain a copy by visiting the investor relations section of our website or </w:t>
      </w:r>
      <w:r>
        <w:rPr>
          <w:rFonts w:ascii="Arial" w:cs="Arial" w:eastAsia="Arial" w:hAnsi="Arial"/>
          <w:sz w:val="17"/>
          <w:szCs w:val="17"/>
          <w:i w:val="1"/>
          <w:iCs w:val="1"/>
          <w:color w:val="auto"/>
        </w:rPr>
        <w:t>www.magnachip.com</w:t>
      </w:r>
      <w:r>
        <w:rPr>
          <w:rFonts w:ascii="Arial" w:cs="Arial" w:eastAsia="Arial" w:hAnsi="Arial"/>
          <w:sz w:val="17"/>
          <w:szCs w:val="17"/>
          <w:color w:val="auto"/>
        </w:rPr>
        <w:t xml:space="preserve"> or by writing to Magnachip Semiconductor Corporation, c/o Magnachip Semiconductor, Ltd., 15F, 76 Jikji-daero 436beon-gil, Heungdeok-gu, Cheongju-si, Chungcheongbuk-do, Republic of Korea 28581, Attention: Secretary.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ELECTION OF DIRECTORS</w:t>
      </w:r>
    </w:p>
    <w:p>
      <w:pPr>
        <w:spacing w:after="0" w:line="103"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The members of our Board are elected to one-year terms, with each director to serve until such director’s successor is elected and qualified or until such director’s earlier resignation or removal. We have six authorized members on our Board. The number of directors may be changed by our Board from time to time by resolution of a majority of the authorized directors, or by amendment of our bylaws by the affirmative vote of 66-2/3% of the outstanding voting stock of the Company, voting together as a single class.</w:t>
      </w:r>
    </w:p>
    <w:p>
      <w:pPr>
        <w:spacing w:after="0" w:line="68" w:lineRule="exact"/>
        <w:rPr>
          <w:sz w:val="20"/>
          <w:szCs w:val="20"/>
          <w:color w:val="auto"/>
        </w:rPr>
      </w:pPr>
    </w:p>
    <w:p>
      <w:pPr>
        <w:ind w:left="300" w:right="619" w:firstLine="360"/>
        <w:spacing w:after="0" w:line="263" w:lineRule="auto"/>
        <w:rPr>
          <w:sz w:val="20"/>
          <w:szCs w:val="20"/>
          <w:color w:val="auto"/>
        </w:rPr>
      </w:pPr>
      <w:r>
        <w:rPr>
          <w:rFonts w:ascii="Arial" w:cs="Arial" w:eastAsia="Arial" w:hAnsi="Arial"/>
          <w:sz w:val="18"/>
          <w:szCs w:val="18"/>
          <w:color w:val="auto"/>
        </w:rPr>
        <w:t>At the Annual Meeting, six directors are to be elected to hold office for a one-year term and until their successors are elected and qualified. The nominees to the Board are Mr. Camillo Martino, Ms. Kyo-Hwa Chung, Mr. Melvin L. Keating, Mr. Young-Joon Kim, Dr. Ilbok Lee and Mr. Gary Tanner.</w:t>
      </w:r>
    </w:p>
    <w:p>
      <w:pPr>
        <w:spacing w:after="0" w:line="76"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Information regarding the nominees and each continuing director is set forth below. Each of the nominees listed in the Proxy Statement has agreed to serve as a director if elected. If for some unforeseen reason a nominee becomes unwilling or unable to serve, proxies will be voted for a substitute nominee selected by the Board.</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our director nominees: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80" w:type="dxa"/>
            <w:vAlign w:val="bottom"/>
          </w:tcPr>
          <w:p>
            <w:pPr>
              <w:spacing w:after="0"/>
              <w:rPr>
                <w:sz w:val="16"/>
                <w:szCs w:val="16"/>
                <w:color w:val="auto"/>
              </w:rPr>
            </w:pPr>
          </w:p>
        </w:tc>
        <w:tc>
          <w:tcPr>
            <w:tcW w:w="5020" w:type="dxa"/>
            <w:vAlign w:val="bottom"/>
          </w:tcPr>
          <w:p>
            <w:pPr>
              <w:ind w:left="226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r>
      <w:tr>
        <w:trPr>
          <w:trHeight w:val="263"/>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Camillo Martino</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 Non-Executive Chairman of the Board, Chair of the</w:t>
            </w:r>
          </w:p>
        </w:tc>
      </w:tr>
      <w:tr>
        <w:trPr>
          <w:trHeight w:val="216"/>
        </w:trPr>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Compensation Committee and Member of the Audit Committee and</w:t>
            </w:r>
          </w:p>
        </w:tc>
      </w:tr>
      <w:tr>
        <w:trPr>
          <w:trHeight w:val="264"/>
        </w:trPr>
        <w:tc>
          <w:tcPr>
            <w:tcW w:w="2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the Nominating and Corporate Governance Committee</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Kyo-Hwa (Liz) Chung</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Director, Member of the Compensation Committee</w:t>
            </w:r>
          </w:p>
        </w:tc>
      </w:tr>
      <w:tr>
        <w:trPr>
          <w:trHeight w:val="54"/>
        </w:trPr>
        <w:tc>
          <w:tcPr>
            <w:tcW w:w="2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20" w:type="dxa"/>
            <w:vAlign w:val="bottom"/>
          </w:tcPr>
          <w:p>
            <w:pPr>
              <w:spacing w:after="0"/>
              <w:rPr>
                <w:sz w:val="4"/>
                <w:szCs w:val="4"/>
                <w:color w:val="auto"/>
              </w:rPr>
            </w:pPr>
          </w:p>
        </w:tc>
      </w:tr>
      <w:tr>
        <w:trPr>
          <w:trHeight w:val="25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Keating</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 Chair of the Audit Committee and Member of the</w:t>
            </w:r>
          </w:p>
        </w:tc>
      </w:tr>
      <w:tr>
        <w:trPr>
          <w:trHeight w:val="264"/>
        </w:trPr>
        <w:tc>
          <w:tcPr>
            <w:tcW w:w="2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Nominating and Corporate Governance Committee</w:t>
            </w: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Young-Joon (YJ) Kim</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Director, Member of the Risk Committee and Chief Executive</w:t>
            </w:r>
          </w:p>
        </w:tc>
      </w:tr>
      <w:tr>
        <w:trPr>
          <w:trHeight w:val="230"/>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Officer</w:t>
            </w:r>
          </w:p>
        </w:tc>
      </w:tr>
      <w:tr>
        <w:trPr>
          <w:trHeight w:val="54"/>
        </w:trPr>
        <w:tc>
          <w:tcPr>
            <w:tcW w:w="2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20" w:type="dxa"/>
            <w:vAlign w:val="bottom"/>
          </w:tcPr>
          <w:p>
            <w:pPr>
              <w:spacing w:after="0"/>
              <w:rPr>
                <w:sz w:val="4"/>
                <w:szCs w:val="4"/>
                <w:color w:val="auto"/>
              </w:rPr>
            </w:pPr>
          </w:p>
        </w:tc>
      </w:tr>
      <w:tr>
        <w:trPr>
          <w:trHeight w:val="25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5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 Chair of the Nominating and Corporate Governance</w:t>
            </w:r>
          </w:p>
        </w:tc>
      </w:tr>
      <w:tr>
        <w:trPr>
          <w:trHeight w:val="264"/>
        </w:trPr>
        <w:tc>
          <w:tcPr>
            <w:tcW w:w="2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Committee and Member of the Risk Committee</w:t>
            </w: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100" w:type="dxa"/>
            <w:vAlign w:val="bottom"/>
            <w:gridSpan w:val="2"/>
          </w:tcPr>
          <w:p>
            <w:pPr>
              <w:ind w:left="80"/>
              <w:spacing w:after="0"/>
              <w:rPr>
                <w:sz w:val="20"/>
                <w:szCs w:val="20"/>
                <w:color w:val="auto"/>
              </w:rPr>
            </w:pPr>
            <w:r>
              <w:rPr>
                <w:rFonts w:ascii="Arial" w:cs="Arial" w:eastAsia="Arial" w:hAnsi="Arial"/>
                <w:sz w:val="18"/>
                <w:szCs w:val="18"/>
                <w:color w:val="auto"/>
                <w:w w:val="99"/>
              </w:rPr>
              <w:t>Director, Chair of the Risk Committee and Member of the Audit</w:t>
            </w:r>
          </w:p>
        </w:tc>
      </w:tr>
      <w:tr>
        <w:trPr>
          <w:trHeight w:val="230"/>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00" w:type="dxa"/>
            <w:vAlign w:val="bottom"/>
            <w:gridSpan w:val="2"/>
          </w:tcPr>
          <w:p>
            <w:pPr>
              <w:ind w:left="80"/>
              <w:spacing w:after="0"/>
              <w:rPr>
                <w:sz w:val="20"/>
                <w:szCs w:val="20"/>
                <w:color w:val="auto"/>
              </w:rPr>
            </w:pPr>
            <w:r>
              <w:rPr>
                <w:rFonts w:ascii="Arial" w:cs="Arial" w:eastAsia="Arial" w:hAnsi="Arial"/>
                <w:sz w:val="18"/>
                <w:szCs w:val="18"/>
                <w:color w:val="auto"/>
              </w:rPr>
              <w:t>Committee and the Compensation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-2039620</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-2039620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b w:val="1"/>
          <w:bCs w:val="1"/>
          <w:i w:val="1"/>
          <w:iCs w:val="1"/>
          <w:color w:val="auto"/>
        </w:rPr>
        <w:t xml:space="preserve">Camillo Martino, Non-Executive Chairman of the Board, Chair of the Compensation Committee and Member of the Audit Committee and the Nominating and Corporate Governance Committee. </w:t>
      </w:r>
      <w:r>
        <w:rPr>
          <w:rFonts w:ascii="Arial" w:cs="Arial" w:eastAsia="Arial" w:hAnsi="Arial"/>
          <w:sz w:val="16"/>
          <w:szCs w:val="16"/>
          <w:color w:val="auto"/>
        </w:rPr>
        <w:t>Mr. Martino became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Non-Executive Chairman of the Board in June 2020 and director in August 2016. Mr. Martino currently also serves as a member of the board of directors for CXApp (formerly, KINS Technology Group) and Sensera Limited. Mr. Martino also serves as a member of the board of directors at multiple privately-held companies, including VVDN Technologies and Sakuu Corporation. Mr. Martino previously served as a director of Cypress Semiconductor from June 2017 through to April 2020 and was also the Chief Executive Officer of Silicon Image Inc. from January 2010 until the completion of its sale to Lattice Semiconductor Corporation in March 2015. From January 2008 to December 2009, Mr. Martino served as Chief Operating Officer of SAI Technology Inc., where he also served as a director from June 2006 to November 2010. From July 2005 to June 2007, Mr. Martino served as a director, the President and Chief Executive Officer of Cornice Inc. From August 2001 to July 2005, Mr. Martino served as the Executive Vice President and Chief Operating Officer at Zoran Corporation. Prior to that, Mr. Martino held multiple positions with National Semiconductor Corporation for a total of nearly 14 years, and in four different countries. Mr. Martino holds a Bachelor of Applied Science degree from the University of Melbourne and a Graduate Diploma from Monash University in Australia. Our Board has concluded that Mr. Martino should serve on the Board based upon his extensive experience advising technology companies.</w:t>
      </w:r>
    </w:p>
    <w:p>
      <w:pPr>
        <w:spacing w:after="0" w:line="68"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b w:val="1"/>
          <w:bCs w:val="1"/>
          <w:i w:val="1"/>
          <w:iCs w:val="1"/>
          <w:color w:val="auto"/>
        </w:rPr>
        <w:t xml:space="preserve">Kyo-Hwa (Liz) Chung, Director, Member of the Compensation Committee. </w:t>
      </w:r>
      <w:r>
        <w:rPr>
          <w:rFonts w:ascii="Arial" w:cs="Arial" w:eastAsia="Arial" w:hAnsi="Arial"/>
          <w:sz w:val="17"/>
          <w:szCs w:val="17"/>
          <w:color w:val="auto"/>
        </w:rPr>
        <w:t>Ms. Chung was appointed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in July 2020 and to the Compensation Committee of the Board on January 5, 2022. Ms. Chung currently serves as the Director of Legal for Netflix Services Korea, a position she has held since April 2021. In March 2022, she was appointed as an outside director of NCSoft Corporation, a Korean video game developer and publisher listed on the Korea Exchange. Prior to Netflix Services Korea, Ms. Chung served as the Head of Corporate, External and Legal Affairs for Microsoft Korea from November 2018 until March 2021. Ms. Chung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71" w:lineRule="auto"/>
        <w:rPr>
          <w:sz w:val="20"/>
          <w:szCs w:val="20"/>
          <w:color w:val="auto"/>
        </w:rPr>
      </w:pPr>
      <w:r>
        <w:rPr>
          <w:rFonts w:ascii="Arial" w:cs="Arial" w:eastAsia="Arial" w:hAnsi="Arial"/>
          <w:sz w:val="17"/>
          <w:szCs w:val="17"/>
          <w:color w:val="auto"/>
        </w:rPr>
        <w:t>was with the Korean law firm Kim &amp; Chang, from April 2003 until November 2018, most recently as a partner focusing on the areas of international disputes, government investigations and crisis management. During September 2008 to March 2009, Ms. Chung was engaged with the international law firm Skadden, Arps, Slate, Meagher &amp; Flom LLP, as a visiting attorney at its New York office. Ms. Chung served as a judge on the Seoul Administrative Court from 2001 to 2003 and the Seoul Central District Court from 1999 to 2001. Ms. Chung received an LLM degree from Harvard Law School in 2008 and a Bachelor of Law degree from Korea University in 1996. Ms. Chung is licensed to practice law in Korea and New York. Our Board has concluded that Ms. Chung should serve on the Board based upon her extensive experience advising technology companies.</w:t>
      </w:r>
    </w:p>
    <w:p>
      <w:pPr>
        <w:spacing w:after="0" w:line="70" w:lineRule="exact"/>
        <w:rPr>
          <w:sz w:val="20"/>
          <w:szCs w:val="20"/>
          <w:color w:val="auto"/>
        </w:rPr>
      </w:pPr>
    </w:p>
    <w:p>
      <w:pPr>
        <w:ind w:left="300" w:right="479" w:firstLine="360"/>
        <w:spacing w:after="0" w:line="283" w:lineRule="auto"/>
        <w:rPr>
          <w:sz w:val="20"/>
          <w:szCs w:val="20"/>
          <w:color w:val="auto"/>
        </w:rPr>
      </w:pPr>
      <w:r>
        <w:rPr>
          <w:rFonts w:ascii="Arial" w:cs="Arial" w:eastAsia="Arial" w:hAnsi="Arial"/>
          <w:sz w:val="16"/>
          <w:szCs w:val="16"/>
          <w:b w:val="1"/>
          <w:bCs w:val="1"/>
          <w:i w:val="1"/>
          <w:iCs w:val="1"/>
          <w:color w:val="auto"/>
        </w:rPr>
        <w:t xml:space="preserve">Melvin L. Keating, Director, Chair of the Audit Committee and Member of the Nominating and Corporate Governance Committee. </w:t>
      </w:r>
      <w:r>
        <w:rPr>
          <w:rFonts w:ascii="Arial" w:cs="Arial" w:eastAsia="Arial" w:hAnsi="Arial"/>
          <w:sz w:val="16"/>
          <w:szCs w:val="16"/>
          <w:color w:val="auto"/>
        </w:rPr>
        <w:t>Mr. Keating became our director in August 2016. Mr. Keating has served as a consultant,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providing investment advice and other services to private equity firms and corporations, since November 2008. In addition, since September 2015, Mr. Keating serves as a director of Agilysys Inc., a leading technology company that provides innovative software for point-of-sale (POS), property management, inventory and procurement, workforce management, analytics, document management and mobile and wireless solutions and services to the hospitality industry. Previously, Mr. Keating served on the boards of directors of the following public companies: SPS Commerce, Inc. (2018-2019); Vitamin Shoppe, Inc. (2018-2019); Red Lion Hotels Corporation (2010-2017); and Harte Hanks, Inc. (2017-2020). Additionally, he also served on the boards of many other technology hardware companies, including, Tower Semiconductor; White Electronics; Integral Systems; and API Technologies.</w:t>
      </w:r>
    </w:p>
    <w:p>
      <w:pPr>
        <w:spacing w:after="0" w:line="5" w:lineRule="exact"/>
        <w:rPr>
          <w:sz w:val="20"/>
          <w:szCs w:val="20"/>
          <w:color w:val="auto"/>
        </w:rPr>
      </w:pPr>
    </w:p>
    <w:p>
      <w:pPr>
        <w:ind w:left="300" w:right="299"/>
        <w:spacing w:after="0" w:line="273" w:lineRule="auto"/>
        <w:rPr>
          <w:sz w:val="20"/>
          <w:szCs w:val="20"/>
          <w:color w:val="auto"/>
        </w:rPr>
      </w:pPr>
      <w:r>
        <w:rPr>
          <w:rFonts w:ascii="Arial" w:cs="Arial" w:eastAsia="Arial" w:hAnsi="Arial"/>
          <w:sz w:val="17"/>
          <w:szCs w:val="17"/>
          <w:color w:val="auto"/>
        </w:rPr>
        <w:t>Mr. Keating holds a B.A. degree in Art History from Rutgers University (where he was a Henry Rutgers Scholar), an M.S. in Accounting (where he was a Shell Oil Fellow) and an M.B.A. in Finance (where he was a Benjamin Franklin Fellow) both from the Wharton School of the University of Pennsylvania. Our Board has concluded that Mr. Keating should serve on the Board based upon his extensive experience advising technology companies.</w:t>
      </w:r>
    </w:p>
    <w:p>
      <w:pPr>
        <w:spacing w:after="0" w:line="68" w:lineRule="exact"/>
        <w:rPr>
          <w:sz w:val="20"/>
          <w:szCs w:val="20"/>
          <w:color w:val="auto"/>
        </w:rPr>
      </w:pPr>
    </w:p>
    <w:p>
      <w:pPr>
        <w:ind w:left="300" w:right="339" w:firstLine="360"/>
        <w:spacing w:after="0" w:line="267" w:lineRule="auto"/>
        <w:rPr>
          <w:sz w:val="20"/>
          <w:szCs w:val="20"/>
          <w:color w:val="auto"/>
        </w:rPr>
      </w:pPr>
      <w:r>
        <w:rPr>
          <w:rFonts w:ascii="Arial" w:cs="Arial" w:eastAsia="Arial" w:hAnsi="Arial"/>
          <w:sz w:val="17"/>
          <w:szCs w:val="17"/>
          <w:b w:val="1"/>
          <w:bCs w:val="1"/>
          <w:i w:val="1"/>
          <w:iCs w:val="1"/>
          <w:color w:val="auto"/>
        </w:rPr>
        <w:t xml:space="preserve">Young-Joon (YJ) Kim, Director, Member of the Risk Committee and Chief Executive Officer. </w:t>
      </w:r>
      <w:r>
        <w:rPr>
          <w:rFonts w:ascii="Arial" w:cs="Arial" w:eastAsia="Arial" w:hAnsi="Arial"/>
          <w:sz w:val="17"/>
          <w:szCs w:val="17"/>
          <w:color w:val="auto"/>
        </w:rPr>
        <w:t>Mr. YJ Kim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became our Chief Executive Officer in May 2015 and has also served as a director on our Board since that time. In February 2020, Mr. Kim assumed the additional role of General Manager of the Display business to capitalize on attractive growth opportunities in OLED display and other relevant emerging markets. He also served as the acting General Manager of Foundry Services Group from January 2019 until the completion of the sale of the Foundry Services Group and the factory in Cheongju (“Fab 4”) on September 1, 2020. Mr. Kim joined our company in May 2013 and served as our Executive Vice President and General Manager, Display Solutions Division. He was promoted to Interim Chief Executive Officer in May 2014. Prior to joining our company, Mr. Kim held a variety of senior management roles at several global semiconductor firms. His past roles include marketing, engineering, product development and strategic planning, and his product expertise includes microprocessors, network processors, multi-core processors, FLASH, EPROM, analog, mixed-signal, sensors, 3G/4G/5G base stations,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in 1988.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w:t>
      </w:r>
    </w:p>
    <w:p>
      <w:pPr>
        <w:spacing w:after="0" w:line="76" w:lineRule="exact"/>
        <w:rPr>
          <w:sz w:val="20"/>
          <w:szCs w:val="20"/>
          <w:color w:val="auto"/>
        </w:rPr>
      </w:pPr>
    </w:p>
    <w:p>
      <w:pPr>
        <w:ind w:left="300" w:right="419" w:firstLine="360"/>
        <w:spacing w:after="0" w:line="289" w:lineRule="auto"/>
        <w:rPr>
          <w:sz w:val="20"/>
          <w:szCs w:val="20"/>
          <w:color w:val="auto"/>
        </w:rPr>
      </w:pPr>
      <w:r>
        <w:rPr>
          <w:rFonts w:ascii="Arial" w:cs="Arial" w:eastAsia="Arial" w:hAnsi="Arial"/>
          <w:sz w:val="16"/>
          <w:szCs w:val="16"/>
          <w:b w:val="1"/>
          <w:bCs w:val="1"/>
          <w:i w:val="1"/>
          <w:iCs w:val="1"/>
          <w:color w:val="auto"/>
        </w:rPr>
        <w:t xml:space="preserve">Ilbok Lee, Director, Chair of the Nominating and Corporate Governance Committee and Member of the Risk Committee. </w:t>
      </w:r>
      <w:r>
        <w:rPr>
          <w:rFonts w:ascii="Arial" w:cs="Arial" w:eastAsia="Arial" w:hAnsi="Arial"/>
          <w:sz w:val="16"/>
          <w:szCs w:val="16"/>
          <w:color w:val="auto"/>
        </w:rPr>
        <w:t>Dr. Lee has been our director since August 2011. Dr. Lee was an advisor/consultant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Configurable Mixed-signal Business Unit of Dialog Semiconductor, Inc., which acquired Silego Technology Inc., a semiconductor company from October 2017 to December 2018. Dr. Lee served as Executive Chairman of Silego from August 2016 to October 2017. Dr. Lee served as Silego’s Chairman of the Board from March 2015 to August 2016 and as Silego’s Chief Executive Officer from Silego’s inception in October 2001 until August 2016. From April 1999 to September 2001, Dr. Lee served as Senior Vice President and General Manager of the Timing Division at Cypress Semiconductor Corp., a public semiconductor company, and from May 1992 to March 1999 served as President and Chief Executive Officer of IC Works, Inc., a semiconductor company 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39"/>
        <w:spacing w:after="0" w:line="271" w:lineRule="auto"/>
        <w:rPr>
          <w:sz w:val="20"/>
          <w:szCs w:val="20"/>
          <w:color w:val="auto"/>
        </w:rPr>
      </w:pPr>
      <w:r>
        <w:rPr>
          <w:rFonts w:ascii="Arial" w:cs="Arial" w:eastAsia="Arial" w:hAnsi="Arial"/>
          <w:sz w:val="17"/>
          <w:szCs w:val="17"/>
          <w:color w:val="auto"/>
        </w:rPr>
        <w:t>co-founded that was acquired by Cypress in 2001. Dr. Lee co-founded Samsung Semiconductor, Inc. (U.S.A.) in July 1983 and served in various positions at the Company, including President and Chief Executive Officer, until May 1992. Prior to Samsung, Dr. Lee served in various technical and managerial positions at Intel and National Semiconductor. Dr. Lee served as a member of the board of directors for Sierra Monolithic, a privately held semiconductor company, from 2002 through 2009. Dr. Lee also served on the board of directors of two public companies: ESS Technology and V3 Semiconductor. Dr. Lee received a Ph.D. and M.S.E.E. from the University of Minnesota and a B.S.E.E. from Seoul National University. Our Board has concluded that Dr. Lee should serve on our Board based upon his extensive experience in the semiconductor industry.</w:t>
      </w:r>
    </w:p>
    <w:p>
      <w:pPr>
        <w:spacing w:after="0" w:line="70" w:lineRule="exact"/>
        <w:rPr>
          <w:sz w:val="20"/>
          <w:szCs w:val="20"/>
          <w:color w:val="auto"/>
        </w:rPr>
      </w:pPr>
    </w:p>
    <w:p>
      <w:pPr>
        <w:ind w:left="300" w:right="659" w:firstLine="360"/>
        <w:spacing w:after="0" w:line="285" w:lineRule="auto"/>
        <w:rPr>
          <w:sz w:val="20"/>
          <w:szCs w:val="20"/>
          <w:color w:val="auto"/>
        </w:rPr>
      </w:pPr>
      <w:r>
        <w:rPr>
          <w:rFonts w:ascii="Arial" w:cs="Arial" w:eastAsia="Arial" w:hAnsi="Arial"/>
          <w:sz w:val="16"/>
          <w:szCs w:val="16"/>
          <w:b w:val="1"/>
          <w:bCs w:val="1"/>
          <w:i w:val="1"/>
          <w:iCs w:val="1"/>
          <w:color w:val="auto"/>
        </w:rPr>
        <w:t xml:space="preserve">Gary Tanner, Director, Chair of the Risk Committee and Member of the Audit Committee and the Compensation Committee. </w:t>
      </w:r>
      <w:r>
        <w:rPr>
          <w:rFonts w:ascii="Arial" w:cs="Arial" w:eastAsia="Arial" w:hAnsi="Arial"/>
          <w:sz w:val="16"/>
          <w:szCs w:val="16"/>
          <w:color w:val="auto"/>
        </w:rPr>
        <w:t>Mr. Tanner became our director in August 2015. Mr. Tanner also served as our Non-Executive Chairman of the Board from September 2016 to November 2018. Mr. Tanner served as a director of Winstek Semiconductor Corp. which is listed on the Taiwan Stock Exchange (OTC) from September 2015 until November 2017 when majority ownership of Winstek Semiconductor was acquired by Siguard Corporation.</w:t>
      </w:r>
    </w:p>
    <w:p>
      <w:pPr>
        <w:spacing w:after="0" w:line="2" w:lineRule="exact"/>
        <w:rPr>
          <w:sz w:val="20"/>
          <w:szCs w:val="20"/>
          <w:color w:val="auto"/>
        </w:rPr>
      </w:pPr>
    </w:p>
    <w:p>
      <w:pPr>
        <w:ind w:left="300" w:right="319"/>
        <w:spacing w:after="0" w:line="267" w:lineRule="auto"/>
        <w:rPr>
          <w:sz w:val="20"/>
          <w:szCs w:val="20"/>
          <w:color w:val="auto"/>
        </w:rPr>
      </w:pPr>
      <w:r>
        <w:rPr>
          <w:rFonts w:ascii="Arial" w:cs="Arial" w:eastAsia="Arial" w:hAnsi="Arial"/>
          <w:sz w:val="17"/>
          <w:szCs w:val="17"/>
          <w:color w:val="auto"/>
        </w:rPr>
        <w:t>Mr. Tanner served as Executive Vice President and Chief Operations Officer of International Rectifier Corporation from January 2013 to July 2015. Mr. Tanner also served as a director at STATS ChipPac Ltd. from July 2012 until August 2015. Prior to joining International Rectifier Corporation, Mr. Tanner was the principal in GWT Consulting and Investments LLC, a firm that provided consulting services to International Rectifier Corporation from January through December 2012. Mr. Tanner previously served as Chief Executive Officer at Zarlink Semiconductor, Inc. (“Zarlink”), from May 2011 to October 2011, at which point Zarlink was acquired by Microsemi Corporation. Prior to his role as Chief Executive Officer of Zarlink, from November 2009 to May 2011, Mr. Tanner served as Chief Operating Officer at that company. Mr. Tanner joined Zarlink in August 2007 as Senior Vice President of Worldwide Operations via the acquisition of Legerity, Inc., where Mr. Tanner served as the Vice President of Operations from November 2002 until August 2007. Before Legerity and Zarlink, Mr. Tanner worked for nine years at Intel Corporation, where he held various positions managing domestic and international manufacturing operations. Prior to Intel, Mr. Tanner held various management positions in fab operations at National Semiconductor, Texas Instruments and NCR Corporation. Our Board has concluded that Mr. Tanner should serve on the Board based upon his extensive experience in the semiconductor industry.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THE BOARD OF DIRECTORS AND CORPORATE GOVERNANCE</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300" w:right="419" w:firstLine="360"/>
        <w:spacing w:after="0" w:line="279" w:lineRule="auto"/>
        <w:rPr>
          <w:sz w:val="20"/>
          <w:szCs w:val="20"/>
          <w:color w:val="auto"/>
        </w:rPr>
      </w:pPr>
      <w:r>
        <w:rPr>
          <w:rFonts w:ascii="Arial" w:cs="Arial" w:eastAsia="Arial" w:hAnsi="Arial"/>
          <w:sz w:val="17"/>
          <w:szCs w:val="17"/>
          <w:color w:val="auto"/>
        </w:rPr>
        <w:t>The Board reviews the independence of each director annually. In determining the independence of our directors, our Board considered Section 303A of the NYSE listing standards and broadly considered the materiality of each director’s relationship with us. Based upon the foregoing criteria, our Board has determined that the following directors are independent: Mr. Martino, Ms. Chung, Mr. Keating, Dr. Lee and Mr. Tanner.</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Meetings</w:t>
      </w:r>
    </w:p>
    <w:p>
      <w:pPr>
        <w:spacing w:after="0" w:line="121" w:lineRule="exact"/>
        <w:rPr>
          <w:sz w:val="20"/>
          <w:szCs w:val="20"/>
          <w:color w:val="auto"/>
        </w:rPr>
      </w:pPr>
    </w:p>
    <w:p>
      <w:pPr>
        <w:jc w:val="both"/>
        <w:ind w:left="300" w:right="539" w:firstLine="360"/>
        <w:spacing w:after="0" w:line="342" w:lineRule="auto"/>
        <w:rPr>
          <w:sz w:val="20"/>
          <w:szCs w:val="20"/>
          <w:color w:val="auto"/>
        </w:rPr>
      </w:pPr>
      <w:r>
        <w:rPr>
          <w:rFonts w:ascii="Arial" w:cs="Arial" w:eastAsia="Arial" w:hAnsi="Arial"/>
          <w:sz w:val="16"/>
          <w:szCs w:val="16"/>
          <w:color w:val="auto"/>
        </w:rPr>
        <w:t>The Board held 14 meetings during fiscal year 2022. None of the directors attended fewer than 92 percent of the aggregate number of Board meetings and meetings of committees of the Board on which each of them served.</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Attendance at Annual Meeting</w:t>
      </w:r>
    </w:p>
    <w:p>
      <w:pPr>
        <w:spacing w:after="0" w:line="121"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The Company’s Corporate Governance Guidelines as currently in effect provide that all directors shall make every effort to attend the Company’s annual meeting of stockholders. In 2022, all of our directors attended our Annual Meeting of Stockholders.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Committees</w:t>
      </w:r>
    </w:p>
    <w:p>
      <w:pPr>
        <w:spacing w:after="0" w:line="121"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The Board has four standing committees: the Audit Committee, the Compensation Committee, the Nominating and Corporate Governance Committee, and the Risk Committee. The Board establishes ad hoc committees from time to time on an as-needed basis. As announced in the Company’s Current Report on Form 8-K on August 8, 2022, the Board activated the Strategic Review Committee, consisting of Mr. Keating, as Chair, Dr. Lee, Mr. Martino and Mr. Tanner, to assist the Board in reviewing, considering, exploring and evaluating strategic alternatives that may be available to the Company to maximize shareholder value.</w:t>
      </w:r>
    </w:p>
    <w:p>
      <w:pPr>
        <w:spacing w:after="0" w:line="70"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 xml:space="preserve">The Board has adopted written charters for the Audit Committee, the Compensation Committee, the Nominating and Corporate Governance Committee and the Risk Committee. These charters, as well as our Code of Business Conduct and Ethics and our Corporate Governance Guidelines, are posted and available on our website at </w:t>
      </w:r>
      <w:r>
        <w:rPr>
          <w:rFonts w:ascii="Arial" w:cs="Arial" w:eastAsia="Arial" w:hAnsi="Arial"/>
          <w:sz w:val="17"/>
          <w:szCs w:val="17"/>
          <w:i w:val="1"/>
          <w:iCs w:val="1"/>
          <w:color w:val="auto"/>
        </w:rPr>
        <w:t>https://investors.magnachip.com/corporate-governance/highlights</w:t>
      </w:r>
      <w:r>
        <w:rPr>
          <w:rFonts w:ascii="Arial" w:cs="Arial" w:eastAsia="Arial" w:hAnsi="Arial"/>
          <w:sz w:val="17"/>
          <w:szCs w:val="17"/>
          <w:color w:val="auto"/>
        </w:rPr>
        <w:t>. The information on or accessible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website is not a part of or incorporated by reference into this Proxy Statement.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Our Audit Committee consists of Mr. Keating, as Chair, Mr. Martino and Mr. Tanner. Our Board has determined that Mr. Keating is an audit committee financial expert as defined in Item 407(d)(5) of Regulation S-K promulgated under the Securities Act of 1933, as amended. Our Board has also determined that each of Mr. Keating, Mr. Martino and Mr. Tanner is independent as that term is defined in Section 303A of the New York Stock Exchange (“NYSE”) listing standards and Rule 10A-3 promulgated under the Exchange Act of 1934, as amended (the “Exchange Act”).</w:t>
      </w:r>
    </w:p>
    <w:p>
      <w:pPr>
        <w:spacing w:after="0" w:line="84"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The Audit Committee held 10 meetings in fiscal year 2022. The primary purpose of the Audit Committee is to assist our Board in fulfilling its oversight responsibilities by reviewing and reporting to the Board on the integrity of the financial reports and other financial information provided by the Company to the public, the SEC and any other governmental regulatory body, and on the Company’s compliance with other legal and regulatory requirements. The Audit Committee is responsible for the appointment, retention, review and oversight of the Company’s independent auditor, and the review and oversight of the Company’s internal financial reporting, policies and processes. The Audit Committee is also responsible for reviewing related party transactions, risk management, and legal and ethics compliance.</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300" w:right="579" w:firstLine="360"/>
        <w:spacing w:after="0" w:line="263" w:lineRule="auto"/>
        <w:rPr>
          <w:sz w:val="20"/>
          <w:szCs w:val="20"/>
          <w:color w:val="auto"/>
        </w:rPr>
      </w:pPr>
      <w:r>
        <w:rPr>
          <w:rFonts w:ascii="Arial" w:cs="Arial" w:eastAsia="Arial" w:hAnsi="Arial"/>
          <w:sz w:val="18"/>
          <w:szCs w:val="18"/>
          <w:color w:val="auto"/>
        </w:rPr>
        <w:t>Our Compensation Committee consists of Mr. Martino, as Chair, Ms. Chung and Mr. Tanner. Our Board has determined that each of Mr. Martino, Ms. Chung and Mr. Tanner is independent under applicable NYSE listing standards.</w:t>
      </w:r>
    </w:p>
    <w:p>
      <w:pPr>
        <w:spacing w:after="0" w:line="76" w:lineRule="exact"/>
        <w:rPr>
          <w:sz w:val="20"/>
          <w:szCs w:val="20"/>
          <w:color w:val="auto"/>
        </w:rPr>
      </w:pPr>
    </w:p>
    <w:p>
      <w:pPr>
        <w:ind w:left="300" w:right="739" w:firstLine="360"/>
        <w:spacing w:after="0" w:line="342" w:lineRule="auto"/>
        <w:rPr>
          <w:sz w:val="20"/>
          <w:szCs w:val="20"/>
          <w:color w:val="auto"/>
        </w:rPr>
      </w:pPr>
      <w:r>
        <w:rPr>
          <w:rFonts w:ascii="Arial" w:cs="Arial" w:eastAsia="Arial" w:hAnsi="Arial"/>
          <w:sz w:val="16"/>
          <w:szCs w:val="16"/>
          <w:color w:val="auto"/>
        </w:rPr>
        <w:t>The Compensation Committee held 7 meetings in 2022. The Compensation Committee has the overall responsibility for evaluating and approving our executive officer and director compensation plans, policies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619"/>
        <w:spacing w:after="0" w:line="311" w:lineRule="auto"/>
        <w:rPr>
          <w:sz w:val="20"/>
          <w:szCs w:val="20"/>
          <w:color w:val="auto"/>
        </w:rPr>
      </w:pPr>
      <w:r>
        <w:rPr>
          <w:rFonts w:ascii="Arial" w:cs="Arial" w:eastAsia="Arial" w:hAnsi="Arial"/>
          <w:sz w:val="16"/>
          <w:szCs w:val="16"/>
          <w:color w:val="auto"/>
        </w:rPr>
        <w:t>programs, as well as all equity-based compensation plans and policies. In March 2016, the Board created the Employee Equity Committee and delegated to it the authority to determine the recipients, amounts and timing of awards under the Company’s equity-based compensation plans within the parameters established by the Board.</w:t>
      </w:r>
    </w:p>
    <w:p>
      <w:pPr>
        <w:spacing w:after="0" w:line="41"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On April 13, 2023, the Board adopted the amended and restated Charter of the Compensation Committee, assigning to the Compensation Committee the responsibility of periodically reviewing and advising the Board concerning the Company’s human capital strategies, initiatives and programs with respect to the Company’s culture, talent, recruitment, retention, employee engagement, and employee diversity, equity and inclusion efforts.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Nominating and Corporate Governance Committee consists of Dr. Lee, as Chair, Mr. Keating and</w:t>
      </w:r>
    </w:p>
    <w:p>
      <w:pPr>
        <w:spacing w:after="0" w:line="35" w:lineRule="exact"/>
        <w:rPr>
          <w:sz w:val="20"/>
          <w:szCs w:val="20"/>
          <w:color w:val="auto"/>
        </w:rPr>
      </w:pPr>
    </w:p>
    <w:p>
      <w:pPr>
        <w:ind w:left="300" w:right="659"/>
        <w:spacing w:after="0" w:line="260" w:lineRule="auto"/>
        <w:rPr>
          <w:sz w:val="20"/>
          <w:szCs w:val="20"/>
          <w:color w:val="auto"/>
        </w:rPr>
      </w:pPr>
      <w:r>
        <w:rPr>
          <w:rFonts w:ascii="Arial" w:cs="Arial" w:eastAsia="Arial" w:hAnsi="Arial"/>
          <w:sz w:val="18"/>
          <w:szCs w:val="18"/>
          <w:color w:val="auto"/>
        </w:rPr>
        <w:t>Mr. Martino. Our Board has determined that each of Dr. Lee, Mr. Keating and Mr. Martino is independent under applicable NYSE listing standards.</w:t>
      </w:r>
    </w:p>
    <w:p>
      <w:pPr>
        <w:spacing w:after="0" w:line="77"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The Nominating and Corporate Governance Committee held 5 meetings in 2022. The Nominating and Corporate Governance Committee identifies individuals qualified to become Board members, recommends director nominees, recommends Board members for committee membership, develops and recommends corporate governance principles and practices and director orientation and continuing education, oversees the evaluation of our Board and its committees and formulates a description of the skills and attributes of desirable Board members. The Nominating and Corporate Governance Committee will also consider candidates recommended by our stockholders so long as the proper procedures are followed.</w:t>
      </w:r>
    </w:p>
    <w:p>
      <w:pPr>
        <w:spacing w:after="0" w:line="69"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Our bylaws provide that stockholders seeking to nominate candidates for election as directors at an annual meeting must provide timely notice of such nominations in writing. To be timely, a stockholder’s notice generally must be received in writing at the Company’s offices at Magnachip Semiconductor Corporation, c/o Magnachip Semiconductor, Ltd., 15F, 76 Jikji-daero 436beon-gil, Heungdeok-gu, Cheongju-si, Chungcheongbuk-do, Republic of Korea 28581, Attention: Secretary, not earlier than the close of business on the 120th day, nor later than the close of business on the 90th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the 90th day prior to the annual meeting or the 10th day following the date on which public announcement of the date of such meeting is first made. A stockholder’s notice must set forth, among other things;</w:t>
      </w:r>
    </w:p>
    <w:p>
      <w:pPr>
        <w:spacing w:after="0" w:line="71" w:lineRule="exact"/>
        <w:rPr>
          <w:sz w:val="20"/>
          <w:szCs w:val="20"/>
          <w:color w:val="auto"/>
        </w:rPr>
      </w:pPr>
    </w:p>
    <w:p>
      <w:pPr>
        <w:ind w:left="1000" w:right="31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and address of the stockholder who intends to make the nomination, and the names and addresses of the beneficial owners, if any, on whose behalf the nomination is being made and of the person or persons to be nominated;</w:t>
      </w:r>
    </w:p>
    <w:p>
      <w:pPr>
        <w:spacing w:after="0" w:line="75" w:lineRule="exact"/>
        <w:rPr>
          <w:rFonts w:ascii="Arial" w:cs="Arial" w:eastAsia="Arial" w:hAnsi="Arial"/>
          <w:sz w:val="18"/>
          <w:szCs w:val="18"/>
          <w:color w:val="auto"/>
        </w:rPr>
      </w:pPr>
    </w:p>
    <w:p>
      <w:pPr>
        <w:jc w:val="both"/>
        <w:ind w:left="1000" w:right="41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stock of the Company entitled to vote for the election of Directors on the date of such notice and intends to appear in person or by proxy at the meeting to nominate the person or persons specified in the notice;</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information regarding the ownership and other interests of the stockholder or such other beneficial owner;</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or such beneficial owner and each nominee and any other person or persons (naming such person or persons) pursuant to which the nomination or nominations are to be made by the stockholder;</w:t>
      </w:r>
    </w:p>
    <w:p>
      <w:pPr>
        <w:spacing w:after="0" w:line="75" w:lineRule="exact"/>
        <w:rPr>
          <w:rFonts w:ascii="Arial" w:cs="Arial" w:eastAsia="Arial" w:hAnsi="Arial"/>
          <w:sz w:val="18"/>
          <w:szCs w:val="18"/>
          <w:color w:val="auto"/>
        </w:rPr>
      </w:pPr>
    </w:p>
    <w:p>
      <w:pPr>
        <w:ind w:left="1000" w:right="439" w:hanging="348"/>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years, and any other material relationships, between or among such stockholder and such other beneficial owner, if any, and their respective affiliates and associates and each proposed nominee;</w:t>
      </w:r>
    </w:p>
    <w:p>
      <w:pPr>
        <w:spacing w:after="0" w:line="78"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other information regarding each nominee proposed by such stockholder as would be required to be included in a Proxy Statement filed pursuant to the proxy rules of the SEC;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consent of each nominee to serve as a director of the Company if so elected.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39" w:firstLine="360"/>
        <w:spacing w:after="0" w:line="255" w:lineRule="auto"/>
        <w:rPr>
          <w:sz w:val="20"/>
          <w:szCs w:val="20"/>
          <w:color w:val="auto"/>
        </w:rPr>
      </w:pPr>
      <w:r>
        <w:rPr>
          <w:rFonts w:ascii="Arial" w:cs="Arial" w:eastAsia="Arial" w:hAnsi="Arial"/>
          <w:sz w:val="18"/>
          <w:szCs w:val="18"/>
          <w:color w:val="auto"/>
        </w:rPr>
        <w:t>A stockholder must also comply with all other applicable requirements of the Exchange Act and the rules and regulations under the Exchange Act with respect to matters relating to nominations of candidates for directors. The preceding is a summary of the stockholder nomination procedures set forth in our bylaws as currently in effect, and we refer our stockholders to the full text of Section 2.15 of our bylaws and such other applicable provisions of our bylaws as in effect from time to time for the specific requirements of such director nomination procedures by stockholders.</w:t>
      </w:r>
    </w:p>
    <w:p>
      <w:pPr>
        <w:spacing w:after="0" w:line="84"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In addition to the formal procedures set forth in our bylaws for the nomination of directors by stockholders, the Nominating and Corporate Governance Committee has adopted a Policy Regarding Director Nominations pursuant to which it may from time to time evaluate candidates for nomination as director that come to its attention through incumbent directors, management, stockholders or third parties. Such informal recommendations by stockholders should be directed to the attention of the Nominating and Corporate Governance Committee as set forth below under “—Communications with Directors.” The Nominating and Corporate Governance Committee has and may in the future, if it deems appropriate under the circumstances, engage a third-party search firm to assist in identifying qualified candidates.</w:t>
      </w:r>
    </w:p>
    <w:p>
      <w:pPr>
        <w:spacing w:after="0" w:line="70"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The Nominating and Corporate Governance Committee seeks director candidates who possess high quality business and professional experience, possess the highest personal and professional ethics, integrity and values, and who have an inquisitive and objective perspective and mature judgment. Director candidates must also be committed to representing the best interests of our stockholders and have sufficient time available in the judgment of the Nominating and Corporate Governance Committee to perform all Board and committee responsibilities. The Nominating and Corporate Governance Committee has no formal policy on diversity in identifying potential director candidates, but does regularly assess the needs of the Board for various skills, background and business experience in determining if the Board requires additional candidates for nomination.</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Committee</w:t>
      </w:r>
    </w:p>
    <w:p>
      <w:pPr>
        <w:spacing w:after="0" w:line="117" w:lineRule="exact"/>
        <w:rPr>
          <w:sz w:val="20"/>
          <w:szCs w:val="20"/>
          <w:color w:val="auto"/>
        </w:rPr>
      </w:pPr>
    </w:p>
    <w:p>
      <w:pPr>
        <w:ind w:left="300" w:right="399" w:firstLine="360"/>
        <w:spacing w:after="0" w:line="271" w:lineRule="auto"/>
        <w:rPr>
          <w:sz w:val="20"/>
          <w:szCs w:val="20"/>
          <w:color w:val="auto"/>
        </w:rPr>
      </w:pPr>
      <w:r>
        <w:rPr>
          <w:rFonts w:ascii="Arial" w:cs="Arial" w:eastAsia="Arial" w:hAnsi="Arial"/>
          <w:sz w:val="17"/>
          <w:szCs w:val="17"/>
          <w:color w:val="auto"/>
        </w:rPr>
        <w:t>Our Risk Committee consists of Mr. Tanner, as Chair, Mr. YJ Kim and Dr. Lee. The Risk Committee held 5 meetings in 2022. The Risk Committee assists the Board in its oversight of the Company’s management of key risks, as well as the guidelines, policies and processes for monitoring and mitigating such risks. The Risk Committee’s primary responsibility is to oversee and approve the implementation of Company-wide risk and crisis management best practices. Other responsibilities of the Risk Committee include providing input to management in identifying, assessing, mitigating and monitoring enterprise-wide risks the Company faces, including cybersecurity risks, and reviewing the Company’s business practices, compliance activities and enterprise risk management and making recommendations to the Board related to such review.</w:t>
      </w:r>
    </w:p>
    <w:p>
      <w:pPr>
        <w:spacing w:after="0" w:line="70"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On February 10, 2023, the Board adopted the amended and restated Charter of the Risk Committee, assigning to the Risk Committee the responsibility of overseeing the Company’s corporate objectives, goals, strategies and initiatives relating to, and attending risks associated with, environmental, social and governance (“ESG”) matters, including corporate social responsibility, sustainability, public policy and other related matters (“ESG Matters”). Accordingly, our Risk Committee has been engaged in reviewing and assessing our capabilities in compliance with ESG standards and regulations and working with the Company to improve disclosure and transparency relating to the Company’s ESG profile.</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Separation of Chairperson and Chief Executive Officer</w:t>
      </w:r>
    </w:p>
    <w:p>
      <w:pPr>
        <w:spacing w:after="0" w:line="117"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Our Corporate Governance Guidelines state that the Board shall elect its Chairperson and appoint the Company’s Chief Executive Officer according to its view of what is best for the Company at any given time. The Board does not believe there should be a fixed rule as to whether the offices of Chairperson and Chief Executive Officer should be vested in the same person or two different persons, or whether the Chairperson should be an employee of the Company or should be elected from among the non-employee directors. The needs of the Company and the individuals available to play these roles may dictate different outcomes at different times, and the Board believes that retaining flexibility in these decisions is in the best interest of the Company.</w:t>
      </w:r>
    </w:p>
    <w:p>
      <w:pPr>
        <w:spacing w:after="0" w:line="58"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Currently, Mr. Martino serves as the Company’s Chairman of the Board, and Mr. YJ Kim serves as the Company’s Chief Executive Officer. The Board may, however, make changes to its leadership structure in the future as it deems appropriate.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Lead Director</w:t>
      </w:r>
    </w:p>
    <w:p>
      <w:pPr>
        <w:spacing w:after="0" w:line="117"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In the event that positions of Chairperson and Chief Executive Officer are held by the same person, on an annual basis the independent members of the Board will select a lead director from the independent directors then serving on the Board (the “Lead Director”). As a general matter, there will be no Lead Director if the positions of Chairperson and CEO are not held by the same person and the Chairperson is an independent director. The length of service as Lead Director is subject to the Board’s discretion, but will be a minimum of one year. The Lead Director has the authority to call meetings of the independent directors.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Executive Sessions of the Board</w:t>
      </w:r>
    </w:p>
    <w:p>
      <w:pPr>
        <w:spacing w:after="0" w:line="117"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The Company’s non-management directors meet at regularly scheduled Board meetings in executive session without management present. In 2022, the Chairman of the Board presided over the meetings of the non-employee directors. In addition, in accordance with our Corporate Governance Guidelines, the independent members of the Board meet at least twice a year in executive session, with the Chairperson setting the agenda and presiding over such meetings.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Presiding Director</w:t>
      </w:r>
    </w:p>
    <w:p>
      <w:pPr>
        <w:spacing w:after="0" w:line="117"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In accordance with our Corporate Governance Guidelines, the presiding director of the Board is the Chairman of the Board, if present, or in such person’s absence and if applicable, the Lead Director, or in such person’s absence, the Audit Committee Chairman, or in such person’s absence, the independent director present who has the most seniority on the Board. The presiding director presides at all meetings of the Board and is responsible for chairing the Board’s executive sessions.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Role in Risk Oversight</w:t>
      </w:r>
    </w:p>
    <w:p>
      <w:pPr>
        <w:spacing w:after="0" w:line="121"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Our Board is responsible for overseeing our management of risk. The Board created a Risk Committee to assist in overseeing management’s identification and evaluation of key enterprise risks to the Company, as well as guidelines, policies and processes for monitoring and mitigating such risks. In particular, the Risk Committee focuses on strategic enterprise risks, including risks associated with intellectual property; business operations and disaster recovery capabilities; and data security, privacy, technology and information security policies, procedures, and internal controls, including those related to cybersecurity and cyber incident responses and reporting procedures.</w:t>
      </w:r>
    </w:p>
    <w:p>
      <w:pPr>
        <w:spacing w:after="0" w:line="56" w:lineRule="exact"/>
        <w:rPr>
          <w:sz w:val="20"/>
          <w:szCs w:val="20"/>
          <w:color w:val="auto"/>
        </w:rPr>
      </w:pPr>
    </w:p>
    <w:p>
      <w:pPr>
        <w:ind w:left="300" w:right="639" w:firstLine="360"/>
        <w:spacing w:after="0" w:line="296" w:lineRule="auto"/>
        <w:rPr>
          <w:sz w:val="20"/>
          <w:szCs w:val="20"/>
          <w:color w:val="auto"/>
        </w:rPr>
      </w:pPr>
      <w:r>
        <w:rPr>
          <w:rFonts w:ascii="Arial" w:cs="Arial" w:eastAsia="Arial" w:hAnsi="Arial"/>
          <w:sz w:val="16"/>
          <w:szCs w:val="16"/>
          <w:color w:val="auto"/>
        </w:rPr>
        <w:t>Our Board also fully understands its duties to navigate the challenges presented by climate change, social injustice, inequality, and numerous other issues that are fundamental to the success and sustainability of the Company. We are committed to sustainable business practices to advance our long-term ambitions as well as to mitigate business risks. Our Risk Committee oversees the Company’s objectives, goals, strategies and initiatives relating to ESG Matters and the related impacts and risks related thereto.</w:t>
      </w:r>
    </w:p>
    <w:p>
      <w:pPr>
        <w:spacing w:after="0" w:line="53"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Company management reports on a quarterly basis to the Risk Committee their assessment of key enterprise risks across multiple categories and mitigation plans for those that fail to meet relevant tolerance standards established from time to time. During quarterly Risk Committee meetings, the members of the Risk Committee review management’s assessment report and discuss with management measures to be implemented to better control against existing risks and identify emerging risks. For example, the Risk Committee may consider replacing specific existing risk categories, adding new risk categories, or adjusting the tolerance standards of risks to preemptively respond to changes in the Company’s business and the environment in which we operate.</w:t>
      </w:r>
    </w:p>
    <w:p>
      <w:pPr>
        <w:spacing w:after="0" w:line="58"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The Risk Committee works closely with Theodore Kim, our Chief Compliance Officer, who was appointed by our Chief Executive Officer as the Company’s Risk Officer, with respect to the above-described oversight. In this capacity, Mr. Kim reports directly to the Risk Committee, the Board as a whole and the Company’s Chief Executive Officer. The Risk Committee may discuss certain risks with the Audit Committee or the Board if certain material disclosure issues arise. The Risk Committee and the Company have engaged outside experts from time to time to obtain assistance with the identification and mitigation of key risks.</w:t>
      </w:r>
    </w:p>
    <w:p>
      <w:pPr>
        <w:spacing w:after="0" w:line="70"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Our Audit Committee also has certain statutory, regulatory and other responsibilities with respect to oversight of risk assessment and risk management. Specifically, the Audit Committee is responsible for overseeing policies with respect to financial risk assessment and those other items specifically set forth in our Audit Committee charter. The Risk Committee coordinates with the Audit Committee as necessary and appropriate to enable the Audit Committee to perform its responsibilities.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599" w:firstLine="360"/>
        <w:spacing w:after="0" w:line="311" w:lineRule="auto"/>
        <w:rPr>
          <w:sz w:val="20"/>
          <w:szCs w:val="20"/>
          <w:color w:val="auto"/>
        </w:rPr>
      </w:pPr>
      <w:r>
        <w:rPr>
          <w:rFonts w:ascii="Arial" w:cs="Arial" w:eastAsia="Arial" w:hAnsi="Arial"/>
          <w:sz w:val="16"/>
          <w:szCs w:val="16"/>
          <w:color w:val="auto"/>
        </w:rPr>
        <w:t>The Board’s other independent committees also oversee risks associated with their respective areas of responsibility. For example, the Compensation Committee considers the risks to our business associated with our compensation policies and practices, with respect to both executive compensation and compensation generally.</w:t>
      </w:r>
    </w:p>
    <w:p>
      <w:pPr>
        <w:spacing w:after="0" w:line="41"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8"/>
          <w:szCs w:val="18"/>
          <w:color w:val="auto"/>
        </w:rPr>
        <w:t>Our Board believes that our compensation programs are designed such that they will not incentivize unnecessary risk taking. The base salary component of our compensation program is a fixed amount and does not depend on performance. Payout levels under our cash incentive program are generally capped and payout opportunities may generally be achieved on a straight-line interpolation basis between threshold and target levels, and between the target and maximum levels. Our equity awards are limited by the terms of our equity plans to not more than a fixed maximum amount specified in the plan, and are subject to vesting to align the long-term interests of our executive officers with those of our stockholders. Our Board adopted a clawback policy to provide for the recoupment of certain executive compensation in the event of an accounting restatement resulting from the Company’s material noncompliance with financial reporting requirements under the federal securities laws. See “Executive Compensation—Compensation Discussion and Analysis—</w:t>
      </w:r>
      <w:r>
        <w:rPr>
          <w:rFonts w:ascii="Arial" w:cs="Arial" w:eastAsia="Arial" w:hAnsi="Arial"/>
          <w:sz w:val="18"/>
          <w:szCs w:val="18"/>
          <w:i w:val="1"/>
          <w:iCs w:val="1"/>
          <w:color w:val="auto"/>
        </w:rPr>
        <w:t>Clawback Policy</w:t>
      </w:r>
      <w:r>
        <w:rPr>
          <w:rFonts w:ascii="Arial" w:cs="Arial" w:eastAsia="Arial" w:hAnsi="Arial"/>
          <w:sz w:val="18"/>
          <w:szCs w:val="18"/>
          <w:color w:val="auto"/>
        </w:rPr>
        <w:t>” contained elsewhere in this Proxy Statement.</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121"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Our Nominating and Corporate Governance Committee oversees the orientation process for new members of our Board to ensure that they are familiar with the Company’s operations, financial matters, corporate governance practices and other key policies and practices through the preparation and review of background material and management meetings as appropriate. In addition, our Nominating and Corporate Governance Committee seeks to identify and encourage training and continuing education opportunities for all directors in order to improve both our Board and its committees’ performance. Senior management assist in identifying and advising our directors about opportunities for continuing education, including conferences provided by independent third parties. In furtherance of these efforts, the Company maintains membership for each Company director in the National Association of Corporate Directors (NACD), which provides corporate governance resources, education, information, and research on leading Board practices.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300" w:right="399" w:firstLine="360"/>
        <w:spacing w:after="0" w:line="272" w:lineRule="auto"/>
        <w:rPr>
          <w:sz w:val="20"/>
          <w:szCs w:val="20"/>
          <w:color w:val="auto"/>
        </w:rPr>
      </w:pPr>
      <w:r>
        <w:rPr>
          <w:rFonts w:ascii="Arial" w:cs="Arial" w:eastAsia="Arial" w:hAnsi="Arial"/>
          <w:sz w:val="17"/>
          <w:szCs w:val="17"/>
          <w:color w:val="auto"/>
        </w:rPr>
        <w:t xml:space="preserve">We have adopted a Code of Business Conduct and Ethics that applies to all of our directors, officers and employees. We will provide a copy of our Code of Business Conduct and Ethics without charge to any person upon written request made to our Secretary at Magnachip Semiconductor Corporation, c/o Magnachip Semiconductor, Ltd., 15F, 76 Jikji-daero 436beon-gil, Heungdeok-gu, Cheongju-si, Chungcheongbuk-do, Republic of Korea 28581. Our Code of Business Conduct and Ethics is also available on our website at </w:t>
      </w:r>
      <w:r>
        <w:rPr>
          <w:rFonts w:ascii="Arial" w:cs="Arial" w:eastAsia="Arial" w:hAnsi="Arial"/>
          <w:sz w:val="17"/>
          <w:szCs w:val="17"/>
          <w:i w:val="1"/>
          <w:iCs w:val="1"/>
          <w:color w:val="auto"/>
        </w:rPr>
        <w:t>https://investors.magnachip.com/corporate-governance/highlights</w:t>
      </w:r>
      <w:r>
        <w:rPr>
          <w:rFonts w:ascii="Arial" w:cs="Arial" w:eastAsia="Arial" w:hAnsi="Arial"/>
          <w:sz w:val="17"/>
          <w:szCs w:val="17"/>
          <w:color w:val="auto"/>
        </w:rPr>
        <w:t>. We will disclose any waivers or amendments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provisions of our Code of Business Conduct and Ethics on our website.</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The Audit Committee has reviewed and discussed with our management and Samil PricewaterhouseCoopers, our independent registered public accounting firm, our audited financial statements contained in our Annual Report to Stockholders for the year ended December 31, 2022. The Audit Committee has also discussed with our independent registered public accounting firm the matters required to be discussed under Public Company Accounting Oversight Board standards.</w:t>
      </w:r>
    </w:p>
    <w:p>
      <w:pPr>
        <w:spacing w:after="0" w:line="80" w:lineRule="exact"/>
        <w:rPr>
          <w:sz w:val="20"/>
          <w:szCs w:val="20"/>
          <w:color w:val="auto"/>
        </w:rPr>
      </w:pPr>
    </w:p>
    <w:p>
      <w:pPr>
        <w:ind w:left="300" w:right="459" w:firstLine="360"/>
        <w:spacing w:after="0" w:line="259" w:lineRule="auto"/>
        <w:rPr>
          <w:sz w:val="20"/>
          <w:szCs w:val="20"/>
          <w:color w:val="auto"/>
        </w:rPr>
      </w:pPr>
      <w:r>
        <w:rPr>
          <w:rFonts w:ascii="Arial" w:cs="Arial" w:eastAsia="Arial" w:hAnsi="Arial"/>
          <w:sz w:val="18"/>
          <w:szCs w:val="18"/>
          <w:color w:val="auto"/>
        </w:rPr>
        <w:t>The Audit Committee has received and reviewed the written disclosures and the letter from Samil PricewaterhouseCoopers required by applicable requirements of the Public Company Accounting Oversight Board regarding Samil PricewaterhouseCoopers’s communications with the Audit Committee concerning independence, and has discussed with Samil PricewaterhouseCoopers its independence.</w:t>
      </w:r>
    </w:p>
    <w:p>
      <w:pPr>
        <w:spacing w:after="0" w:line="79" w:lineRule="exact"/>
        <w:rPr>
          <w:sz w:val="20"/>
          <w:szCs w:val="20"/>
          <w:color w:val="auto"/>
        </w:rPr>
      </w:pPr>
    </w:p>
    <w:p>
      <w:pPr>
        <w:ind w:left="300" w:right="319" w:firstLine="360"/>
        <w:spacing w:after="0" w:line="311"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(and the Board subsequently approved the recommendation) that the audited financial statements be included in our Annual Report on Form 10-K for the fiscal year ended December 31, 2022 filed with the SEC on February 22, 2023.</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Melvin L. Keating, 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Camillo Martino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Gary Tanner</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color w:val="auto"/>
        </w:rPr>
        <w:t>A stockholder or other interested party who wishes to communicate directly with the Board, a committee of the Board, the non-management or independent directors as a group, or with the Chairman of the Board or any other individual director, regarding matters related to the Company should send the communication to:</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660" w:right="3659"/>
        <w:spacing w:after="0" w:line="250" w:lineRule="auto"/>
        <w:rPr>
          <w:sz w:val="20"/>
          <w:szCs w:val="20"/>
          <w:color w:val="auto"/>
        </w:rPr>
      </w:pPr>
      <w:r>
        <w:rPr>
          <w:rFonts w:ascii="Arial" w:cs="Arial" w:eastAsia="Arial" w:hAnsi="Arial"/>
          <w:sz w:val="18"/>
          <w:szCs w:val="18"/>
          <w:color w:val="auto"/>
        </w:rPr>
        <w:t>or Chairman, individual director, committee or group of directors Magnachip Semiconductor Corporation c/o Magnachip Semiconductor, Ltd.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15F, 76 Jikji-daero 436beon-gil, Heungdeok-gu</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Cheongju-si, Chungcheongbuk-do, Republic of Korea 28581</w:t>
      </w:r>
    </w:p>
    <w:p>
      <w:pPr>
        <w:spacing w:after="0" w:line="103" w:lineRule="exact"/>
        <w:rPr>
          <w:sz w:val="20"/>
          <w:szCs w:val="20"/>
          <w:color w:val="auto"/>
        </w:rPr>
      </w:pPr>
    </w:p>
    <w:p>
      <w:pPr>
        <w:ind w:left="300" w:right="479" w:firstLine="360"/>
        <w:spacing w:after="0" w:line="301" w:lineRule="auto"/>
        <w:rPr>
          <w:sz w:val="20"/>
          <w:szCs w:val="20"/>
          <w:color w:val="auto"/>
        </w:rPr>
      </w:pPr>
      <w:r>
        <w:rPr>
          <w:rFonts w:ascii="Arial" w:cs="Arial" w:eastAsia="Arial" w:hAnsi="Arial"/>
          <w:sz w:val="16"/>
          <w:szCs w:val="16"/>
          <w:color w:val="auto"/>
        </w:rPr>
        <w:t>We will forward all stockholder and other interested party correspondence about the Company to the Board, a committee of the Board, the non-management or independent directors as a group, or an individual director, as appropriate. Please note that we will not forward communications that are spam, junk mail or mass mailings, resumes and other forms of job inquiries, surveys and business solicitations or advertisements.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Our Company strives to accelerate the advancement of technology to empower the makers of tomorrow, and we recognize that it is our employees who make this happen. Our goal is to enable our employees to leverage their extensive expertise in engineering, design and process to accelerate the advancement of our technology, allowing us to compete globally and to be leaders in our industry. To that end, we are committed to fostering employee talent, cultivating a culture and environment that is open, productive and fair, in which all of our employees feel safe, valued, and respected and in which our employees are empowered to achieve their full potential.</w:t>
      </w:r>
    </w:p>
    <w:p>
      <w:pPr>
        <w:spacing w:after="0" w:line="56" w:lineRule="exact"/>
        <w:rPr>
          <w:sz w:val="20"/>
          <w:szCs w:val="20"/>
          <w:color w:val="auto"/>
        </w:rPr>
      </w:pPr>
    </w:p>
    <w:p>
      <w:pPr>
        <w:ind w:left="300" w:right="399" w:firstLine="360"/>
        <w:spacing w:after="0" w:line="272" w:lineRule="auto"/>
        <w:rPr>
          <w:sz w:val="20"/>
          <w:szCs w:val="20"/>
          <w:color w:val="auto"/>
        </w:rPr>
      </w:pPr>
      <w:r>
        <w:rPr>
          <w:rFonts w:ascii="Arial" w:cs="Arial" w:eastAsia="Arial" w:hAnsi="Arial"/>
          <w:sz w:val="17"/>
          <w:szCs w:val="17"/>
          <w:color w:val="auto"/>
        </w:rPr>
        <w:t>We understand that our success across a broad range of human capital related areas of focus at all levels of our organization is important to serving the long-term interests of our stockholders, and we have been working to improve our disclosure and transparency on this topic, to ensure that our strategy and approach to human capital management is communicated to our stockholders effectively. In addition to the disclosure contained within this Proxy Statement, information regarding our approach to human capital management, including related policies and programs, is highlighted in the “Human Capital” section of our 2022 Annual Report, which accompanies this Proxy Statement, and the “About Us” section of our website.</w:t>
      </w:r>
    </w:p>
    <w:p>
      <w:pPr>
        <w:spacing w:after="0" w:line="69"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As a global semiconductor company headquartered in Korea, our Company, including our Board and our employee workforce, is reflective of the broader population of the country in which we are based. Our worldwide workforce consisted of 897 employees (full- and part-time) as of December 31, 2022, of which 866 are located in Korea. Of our worldwide workforce, 202 were involved in sales, marketing, general and administrative, 222 in research and development (including 87 with advanced degrees), 44 in quality, reliability and assurance, and 429 in manufacturing (comprised of 46 in engineering and 383 in operations, maintenance and others). Because we are headquartered in Korea, we are not subject to EEO-1 (Equal Employment Opportunity) reporting.</w:t>
      </w:r>
    </w:p>
    <w:p>
      <w:pPr>
        <w:spacing w:after="0" w:line="58" w:lineRule="exact"/>
        <w:rPr>
          <w:sz w:val="20"/>
          <w:szCs w:val="20"/>
          <w:color w:val="auto"/>
        </w:rPr>
      </w:pPr>
    </w:p>
    <w:p>
      <w:pPr>
        <w:jc w:val="both"/>
        <w:ind w:left="300" w:right="399" w:firstLine="360"/>
        <w:spacing w:after="0" w:line="286" w:lineRule="auto"/>
        <w:rPr>
          <w:sz w:val="20"/>
          <w:szCs w:val="20"/>
          <w:color w:val="auto"/>
        </w:rPr>
      </w:pPr>
      <w:r>
        <w:rPr>
          <w:rFonts w:ascii="Arial" w:cs="Arial" w:eastAsia="Arial" w:hAnsi="Arial"/>
          <w:sz w:val="16"/>
          <w:szCs w:val="16"/>
          <w:color w:val="auto"/>
        </w:rPr>
        <w:t>As a global competitor, we believe that our success is tied to our ability to attract and retain talent at all levels of our organization, including our Board, that is reflective of our employees, our communities of operation and our customers. As a result, we place great importance on inclusion and diversity within the workplace, we aim to create a workplace where all employees feel valued and respected, and we promote the culture of more female voices.</w:t>
      </w:r>
    </w:p>
    <w:p>
      <w:pPr>
        <w:spacing w:after="0" w:line="1" w:lineRule="exact"/>
        <w:rPr>
          <w:sz w:val="20"/>
          <w:szCs w:val="20"/>
          <w:color w:val="auto"/>
        </w:rPr>
      </w:pPr>
    </w:p>
    <w:p>
      <w:pPr>
        <w:jc w:val="both"/>
        <w:ind w:left="300" w:right="599"/>
        <w:spacing w:after="0" w:line="255" w:lineRule="auto"/>
        <w:rPr>
          <w:sz w:val="20"/>
          <w:szCs w:val="20"/>
          <w:color w:val="auto"/>
        </w:rPr>
      </w:pPr>
      <w:r>
        <w:rPr>
          <w:rFonts w:ascii="Arial" w:cs="Arial" w:eastAsia="Arial" w:hAnsi="Arial"/>
          <w:sz w:val="18"/>
          <w:szCs w:val="18"/>
          <w:color w:val="auto"/>
        </w:rPr>
        <w:t>Currently, women represent approximately 22% of our executive management team, comprised of the CEO, the CFO, the CCO and the respective heads of Worldwide Sales, Display, Power, Manufacturing, Corporate Strategy and Human Resources.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59" w:firstLine="360"/>
        <w:spacing w:after="0" w:line="296" w:lineRule="auto"/>
        <w:rPr>
          <w:sz w:val="20"/>
          <w:szCs w:val="20"/>
          <w:color w:val="auto"/>
        </w:rPr>
      </w:pPr>
      <w:r>
        <w:rPr>
          <w:rFonts w:ascii="Arial" w:cs="Arial" w:eastAsia="Arial" w:hAnsi="Arial"/>
          <w:sz w:val="16"/>
          <w:szCs w:val="16"/>
          <w:color w:val="auto"/>
        </w:rPr>
        <w:t>The market in which we compete is constantly evolving, which requires continuous innovation and agility to remain competitive, and requires us to attract and retain a highly skilled workforce. We compete based on design experience, manufacturing capabilities, the ability to satisfy customer needs from the design phase through the shipping of a completed product, length of design cycle and quality of technical support and sales personnel. Some of our human capital management related policies and programs supporting our workforce are highlighted below.</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Competitive Compensation and Pay Equity</w:t>
      </w:r>
    </w:p>
    <w:p>
      <w:pPr>
        <w:spacing w:after="0" w:line="117" w:lineRule="exact"/>
        <w:rPr>
          <w:sz w:val="20"/>
          <w:szCs w:val="20"/>
          <w:color w:val="auto"/>
        </w:rPr>
      </w:pPr>
    </w:p>
    <w:p>
      <w:pPr>
        <w:jc w:val="both"/>
        <w:ind w:left="1000" w:right="63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periodically evaluate market practices for compensation and benefits, including with respect to job function, role and responsibility, job level and region, and regularly review whether our compensation levels and distribution methods are fair and equitable.</w:t>
      </w:r>
    </w:p>
    <w:p>
      <w:pPr>
        <w:spacing w:after="0" w:line="75" w:lineRule="exact"/>
        <w:rPr>
          <w:rFonts w:ascii="Arial" w:cs="Arial" w:eastAsia="Arial" w:hAnsi="Arial"/>
          <w:sz w:val="18"/>
          <w:szCs w:val="18"/>
          <w:color w:val="auto"/>
        </w:rPr>
      </w:pPr>
    </w:p>
    <w:p>
      <w:pPr>
        <w:ind w:left="1000" w:right="43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offer cash and equity-based compensation programs to incentivize achievement of our short-term financial, operational and strategic goals, as well as long-term value creation, and to attract and retain the highly skilled workforce necessary for our success.</w:t>
      </w:r>
    </w:p>
    <w:p>
      <w:pPr>
        <w:spacing w:after="0" w:line="75" w:lineRule="exact"/>
        <w:rPr>
          <w:rFonts w:ascii="Arial" w:cs="Arial" w:eastAsia="Arial" w:hAnsi="Arial"/>
          <w:sz w:val="18"/>
          <w:szCs w:val="18"/>
          <w:color w:val="auto"/>
        </w:rPr>
      </w:pPr>
    </w:p>
    <w:p>
      <w:pPr>
        <w:ind w:left="1000" w:right="379" w:hanging="348"/>
        <w:spacing w:after="0" w:line="275"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offer various employee benefits under the company philosophy that ensuring employees enjoy a happier life with their families is as critical as promoting their own health and well-being. Consistent with local practice, all employees have access to annual health examination programs. Employees also have access to other benefits, as applicable, such as health examination for spouse, personal pensions, housing assistance, medical reimbursement plans and educational assistance programs.</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Growth and Development</w:t>
      </w:r>
    </w:p>
    <w:p>
      <w:pPr>
        <w:spacing w:after="0" w:line="117" w:lineRule="exact"/>
        <w:rPr>
          <w:sz w:val="20"/>
          <w:szCs w:val="20"/>
          <w:color w:val="auto"/>
        </w:rPr>
      </w:pPr>
    </w:p>
    <w:p>
      <w:pPr>
        <w:ind w:left="1000" w:right="439" w:hanging="348"/>
        <w:spacing w:after="0" w:line="259"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Talent pipeline development strategy</w:t>
      </w:r>
      <w:r>
        <w:rPr>
          <w:rFonts w:ascii="Arial" w:cs="Arial" w:eastAsia="Arial" w:hAnsi="Arial"/>
          <w:sz w:val="18"/>
          <w:szCs w:val="18"/>
          <w:color w:val="auto"/>
        </w:rPr>
        <w:t>: We have adopted a structured approach to identifying, training, mentoring and developing talented individuals within the organization, with the goal of ensuring a steady supply of skilled and competent employees to fill key roles now and in the future, in order to achieve our long-term strategic goals and drive long-term stockholder value.</w:t>
      </w:r>
    </w:p>
    <w:p>
      <w:pPr>
        <w:spacing w:after="0" w:line="78"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Graduate traineeship/apprenticeship program</w:t>
      </w:r>
      <w:r>
        <w:rPr>
          <w:rFonts w:ascii="Arial" w:cs="Arial" w:eastAsia="Arial" w:hAnsi="Arial"/>
          <w:sz w:val="18"/>
          <w:szCs w:val="18"/>
          <w:color w:val="auto"/>
        </w:rPr>
        <w:t>: Designed for recent university graduates who are looking to gain practical work experience in their chosen field, our program involves a combination of classroom training and on-the-job learning, where trainees work alongside experienced professionals to gain hands-on experience.</w:t>
      </w:r>
    </w:p>
    <w:p>
      <w:pPr>
        <w:spacing w:after="0" w:line="78" w:lineRule="exact"/>
        <w:rPr>
          <w:rFonts w:ascii="Arial" w:cs="Arial" w:eastAsia="Arial" w:hAnsi="Arial"/>
          <w:sz w:val="18"/>
          <w:szCs w:val="18"/>
          <w:color w:val="auto"/>
        </w:rPr>
      </w:pPr>
    </w:p>
    <w:p>
      <w:pPr>
        <w:ind w:left="1000" w:right="459" w:hanging="348"/>
        <w:spacing w:after="0" w:line="296"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Specialized staff training programs</w:t>
      </w:r>
      <w:r>
        <w:rPr>
          <w:rFonts w:ascii="Arial" w:cs="Arial" w:eastAsia="Arial" w:hAnsi="Arial"/>
          <w:sz w:val="16"/>
          <w:szCs w:val="16"/>
          <w:color w:val="auto"/>
        </w:rPr>
        <w:t>: We offer step-by-step training courses specifically designed for the semiconductor industry to help employees build their job expertise through partnership with educational institutions focused on education and research in semiconductors, with the goal of training future experts in the industry. We also offer soft skills training for non-technical competencies that are essential for job success, including communication, teamwork and problem-solving.</w:t>
      </w:r>
    </w:p>
    <w:p>
      <w:pPr>
        <w:spacing w:after="0" w:line="53" w:lineRule="exact"/>
        <w:rPr>
          <w:rFonts w:ascii="Arial" w:cs="Arial" w:eastAsia="Arial" w:hAnsi="Arial"/>
          <w:sz w:val="16"/>
          <w:szCs w:val="16"/>
          <w:color w:val="auto"/>
        </w:rPr>
      </w:pPr>
    </w:p>
    <w:p>
      <w:pPr>
        <w:ind w:left="1000" w:right="29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Regular performance appraisal and feedback</w:t>
      </w:r>
      <w:r>
        <w:rPr>
          <w:rFonts w:ascii="Arial" w:cs="Arial" w:eastAsia="Arial" w:hAnsi="Arial"/>
          <w:sz w:val="18"/>
          <w:szCs w:val="18"/>
          <w:color w:val="auto"/>
        </w:rPr>
        <w:t>: Performance appraisal and feedback processes are conducted annually using the MBO (Management by Objectives) method for employees' development, growth and performance improvement.</w:t>
      </w:r>
    </w:p>
    <w:p>
      <w:pPr>
        <w:spacing w:after="0" w:line="75" w:lineRule="exact"/>
        <w:rPr>
          <w:rFonts w:ascii="Arial" w:cs="Arial" w:eastAsia="Arial" w:hAnsi="Arial"/>
          <w:sz w:val="18"/>
          <w:szCs w:val="18"/>
          <w:color w:val="auto"/>
        </w:rPr>
      </w:pPr>
    </w:p>
    <w:p>
      <w:pPr>
        <w:ind w:left="1020" w:right="439"/>
        <w:spacing w:after="0" w:line="263" w:lineRule="auto"/>
        <w:rPr>
          <w:rFonts w:ascii="Arial" w:cs="Arial" w:eastAsia="Arial" w:hAnsi="Arial"/>
          <w:sz w:val="18"/>
          <w:szCs w:val="18"/>
          <w:color w:val="auto"/>
        </w:rPr>
      </w:pPr>
      <w:r>
        <w:rPr>
          <w:rFonts w:ascii="Arial" w:cs="Arial" w:eastAsia="Arial" w:hAnsi="Arial"/>
          <w:sz w:val="18"/>
          <w:szCs w:val="18"/>
          <w:color w:val="auto"/>
        </w:rPr>
        <w:t>As part of our strategy for employee retention, training and advancement at all levels, through our annual performance review process we evaluate all employees with the intent to capture employee potential, based on considerations related to three primary factors:</w:t>
      </w:r>
    </w:p>
    <w:p>
      <w:pPr>
        <w:spacing w:after="0" w:line="75" w:lineRule="exact"/>
        <w:rPr>
          <w:rFonts w:ascii="Arial" w:cs="Arial" w:eastAsia="Arial" w:hAnsi="Arial"/>
          <w:sz w:val="18"/>
          <w:szCs w:val="18"/>
          <w:color w:val="auto"/>
        </w:rPr>
      </w:pPr>
    </w:p>
    <w:p>
      <w:pPr>
        <w:ind w:left="1720" w:hanging="348"/>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Aspiration (advancement, training and development and overall job satisfaction);</w:t>
      </w:r>
    </w:p>
    <w:p>
      <w:pPr>
        <w:spacing w:after="0" w:line="117" w:lineRule="exact"/>
        <w:rPr>
          <w:rFonts w:ascii="Arial" w:cs="Arial" w:eastAsia="Arial" w:hAnsi="Arial"/>
          <w:sz w:val="18"/>
          <w:szCs w:val="18"/>
          <w:color w:val="auto"/>
        </w:rPr>
      </w:pPr>
    </w:p>
    <w:p>
      <w:pPr>
        <w:ind w:left="1720" w:hanging="348"/>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Engagement (retention and emotional commitment to the organization); and</w:t>
      </w:r>
    </w:p>
    <w:p>
      <w:pPr>
        <w:spacing w:after="0" w:line="117" w:lineRule="exact"/>
        <w:rPr>
          <w:rFonts w:ascii="Arial" w:cs="Arial" w:eastAsia="Arial" w:hAnsi="Arial"/>
          <w:sz w:val="18"/>
          <w:szCs w:val="18"/>
          <w:color w:val="auto"/>
        </w:rPr>
      </w:pPr>
    </w:p>
    <w:p>
      <w:pPr>
        <w:ind w:left="1720" w:hanging="348"/>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Ability (including job performance, emotional intelligence and interpersonal skills).</w:t>
      </w:r>
    </w:p>
    <w:p>
      <w:pPr>
        <w:spacing w:after="0" w:line="117" w:lineRule="exact"/>
        <w:rPr>
          <w:sz w:val="20"/>
          <w:szCs w:val="20"/>
          <w:color w:val="auto"/>
        </w:rPr>
      </w:pPr>
    </w:p>
    <w:p>
      <w:pPr>
        <w:jc w:val="both"/>
        <w:ind w:left="1020" w:right="359"/>
        <w:spacing w:after="0" w:line="342" w:lineRule="auto"/>
        <w:rPr>
          <w:sz w:val="20"/>
          <w:szCs w:val="20"/>
          <w:color w:val="auto"/>
        </w:rPr>
      </w:pPr>
      <w:r>
        <w:rPr>
          <w:rFonts w:ascii="Arial" w:cs="Arial" w:eastAsia="Arial" w:hAnsi="Arial"/>
          <w:sz w:val="16"/>
          <w:szCs w:val="16"/>
          <w:color w:val="auto"/>
        </w:rPr>
        <w:t>Managers are also encouraged to deliver informal feedback throughout the year, to ensure that employees have an opportunity to improve their performance and are aware of training or development opportunities.</w:t>
      </w:r>
    </w:p>
    <w:p>
      <w:pPr>
        <w:spacing w:after="0" w:line="16" w:lineRule="exact"/>
        <w:rPr>
          <w:sz w:val="20"/>
          <w:szCs w:val="20"/>
          <w:color w:val="auto"/>
        </w:rPr>
      </w:pPr>
    </w:p>
    <w:p>
      <w:pPr>
        <w:ind w:left="1000" w:right="539" w:hanging="348"/>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R&amp;D reward program</w:t>
      </w:r>
      <w:r>
        <w:rPr>
          <w:rFonts w:ascii="Arial" w:cs="Arial" w:eastAsia="Arial" w:hAnsi="Arial"/>
          <w:sz w:val="18"/>
          <w:szCs w:val="18"/>
          <w:color w:val="auto"/>
        </w:rPr>
        <w:t>: To ensure R&amp;D technical professionals continue to advance their skills and knowledge, we have technology committees that attend regular seminars and conduct periodic research. We have a reward program for exemplary research.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Culture and Employee Engagement</w:t>
      </w:r>
    </w:p>
    <w:p>
      <w:pPr>
        <w:spacing w:after="0" w:line="117" w:lineRule="exact"/>
        <w:rPr>
          <w:sz w:val="20"/>
          <w:szCs w:val="20"/>
          <w:color w:val="auto"/>
        </w:rPr>
      </w:pPr>
    </w:p>
    <w:p>
      <w:pPr>
        <w:ind w:left="1000" w:right="399" w:hanging="348"/>
        <w:spacing w:after="0" w:line="275"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Engagement and satisfaction surveys</w:t>
      </w:r>
      <w:r>
        <w:rPr>
          <w:rFonts w:ascii="Arial" w:cs="Arial" w:eastAsia="Arial" w:hAnsi="Arial"/>
          <w:sz w:val="17"/>
          <w:szCs w:val="17"/>
          <w:color w:val="auto"/>
        </w:rPr>
        <w:t>: Employee surveys are conducted regularly to gain valuable insight into how employees feel about their job, their work environment and the Company as a whole. Areas surveyed include opportunities for employee engagement, job satisfaction, communication, work-life balance and compensation. Survey results are communicated to both management and employees, and we develop action plans to address any areas identified as needing improvement.</w:t>
      </w:r>
    </w:p>
    <w:p>
      <w:pPr>
        <w:spacing w:after="0" w:line="68" w:lineRule="exact"/>
        <w:rPr>
          <w:rFonts w:ascii="Arial" w:cs="Arial" w:eastAsia="Arial" w:hAnsi="Arial"/>
          <w:sz w:val="17"/>
          <w:szCs w:val="17"/>
          <w:color w:val="auto"/>
        </w:rPr>
      </w:pPr>
    </w:p>
    <w:p>
      <w:pPr>
        <w:ind w:left="1000" w:right="339" w:hanging="348"/>
        <w:spacing w:after="0" w:line="269"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Grievance reporting and escalation procedures</w:t>
      </w:r>
      <w:r>
        <w:rPr>
          <w:rFonts w:ascii="Arial" w:cs="Arial" w:eastAsia="Arial" w:hAnsi="Arial"/>
          <w:sz w:val="17"/>
          <w:szCs w:val="17"/>
          <w:color w:val="auto"/>
        </w:rPr>
        <w:t>: We are committed to promoting open and honest lines of communication, and we strive to provide a work environment where every employee believes that they can raise concerns without fear of retaliation. To ensure that each employee feels comfortable raising questions and concerns, we provide an online reporting tool, which can be found in the Ethics and Compliance section of our website. Reporting and escalation procedures have been adopted to address and resolve complaints or grievances raised by employees in a structured and systematic manner. Procedures are followed in a predetermined sequence to ensure that each grievance is addressed in a fair, consistent and timely manner, and that all parties involved are treated with respect. We do not tolerate retaliation against anyone who discloses actual or suspected ethical, legal or regulatory violations in good faith. Our hotline is available to anyone, including employees, contractors, customers, suppliers, who wishes to report potential misconduct. All submissions will be treated confidentially, and may be provided anonymously where permitted by law.</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Safety</w:t>
      </w:r>
    </w:p>
    <w:p>
      <w:pPr>
        <w:spacing w:after="0" w:line="121"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We appreciate the fact that our employees constitute one of the most critical assets of Magnachip, and therefore, their safety and wellness are key factors to our success. We have a dedicated Environmental Health &amp; Safety (“EHS”) team that establishes and reviews internal EHS regulations based on international agreements as well as local laws and regulations. Our EHS team is also responsible for identifying, evaluating and improving EHS issues within the overall manufacturing process to ensure a safe and comfortable work environment. Magnachip has implemented and maintains an Occupational Health and Safety Management System as well as an Environmental Management System. Our sites are certified to the internationally recognized ISO 45001 and ISO 14001 standards.</w:t>
      </w:r>
    </w:p>
    <w:p>
      <w:pPr>
        <w:spacing w:after="0" w:line="58" w:lineRule="exact"/>
        <w:rPr>
          <w:sz w:val="20"/>
          <w:szCs w:val="20"/>
          <w:color w:val="auto"/>
        </w:rPr>
      </w:pPr>
    </w:p>
    <w:p>
      <w:pPr>
        <w:ind w:left="300" w:right="299" w:firstLine="360"/>
        <w:spacing w:after="0" w:line="289" w:lineRule="auto"/>
        <w:rPr>
          <w:sz w:val="20"/>
          <w:szCs w:val="20"/>
          <w:color w:val="auto"/>
        </w:rPr>
      </w:pPr>
      <w:r>
        <w:rPr>
          <w:rFonts w:ascii="Arial" w:cs="Arial" w:eastAsia="Arial" w:hAnsi="Arial"/>
          <w:sz w:val="16"/>
          <w:szCs w:val="16"/>
          <w:color w:val="auto"/>
        </w:rPr>
        <w:t>In January 2021, the Korean legislature enacted the Serious Accident Punishment Act (“SAPA”), which imposes criminal liability on individuals and entities responsible for “serious accidents,” including industrial accidents that cause death, serious injury or occupational illness. SAPA essentially requires enterprises to establish relevant standards and measures to ensure a certain level of operational safety, including the health and safety of all employees. SAPA went into effect in January 2022, and in connection therewith, we appointed Mr. Seunghoon Lee as the Chief Safety Officer of our Korean operating subsidiary, who then formed a dedicated team to evaluate, improve and monitor the policies, practices, standards and systems relating to health and safety to ensure compliance with SAPA. Mr. Lee, who has over 35 years of manufacturing and industrial EHS experience at Magnachip, concurrently serves as the Chief of Manufacturing of our Korean operating subsidiary.</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Policy Statement</w:t>
      </w:r>
    </w:p>
    <w:p>
      <w:pPr>
        <w:spacing w:after="0" w:line="121" w:lineRule="exact"/>
        <w:rPr>
          <w:sz w:val="20"/>
          <w:szCs w:val="20"/>
          <w:color w:val="auto"/>
        </w:rPr>
      </w:pPr>
    </w:p>
    <w:p>
      <w:pPr>
        <w:jc w:val="both"/>
        <w:ind w:left="300" w:right="359" w:firstLine="360"/>
        <w:spacing w:after="0" w:line="259" w:lineRule="auto"/>
        <w:rPr>
          <w:sz w:val="20"/>
          <w:szCs w:val="20"/>
          <w:color w:val="auto"/>
        </w:rPr>
      </w:pPr>
      <w:r>
        <w:rPr>
          <w:rFonts w:ascii="Arial" w:cs="Arial" w:eastAsia="Arial" w:hAnsi="Arial"/>
          <w:sz w:val="18"/>
          <w:szCs w:val="18"/>
          <w:color w:val="auto"/>
        </w:rPr>
        <w:t>Magnachip adheres to human rights and labor standards of international labor organizations, such as the United Nations and the International Labor Organization. Magnachip prohibits all forms of discrimination based on gender, race, nationality, religion and age to ensure that all employees work in a safe and fair environment. These values are embedded in our policies:</w:t>
      </w:r>
    </w:p>
    <w:p>
      <w:pPr>
        <w:spacing w:after="0" w:line="79"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 and Ethical Management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Equal Employment Policy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Training and Education Policy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2022 Director Compensation</w:t>
      </w:r>
    </w:p>
    <w:p>
      <w:pPr>
        <w:spacing w:after="0" w:line="121" w:lineRule="exact"/>
        <w:rPr>
          <w:sz w:val="20"/>
          <w:szCs w:val="20"/>
          <w:color w:val="auto"/>
        </w:rPr>
      </w:pPr>
    </w:p>
    <w:p>
      <w:pPr>
        <w:ind w:left="300" w:right="579" w:firstLine="360"/>
        <w:spacing w:after="0" w:line="311" w:lineRule="auto"/>
        <w:rPr>
          <w:sz w:val="20"/>
          <w:szCs w:val="20"/>
          <w:color w:val="auto"/>
        </w:rPr>
      </w:pPr>
      <w:r>
        <w:rPr>
          <w:rFonts w:ascii="Arial" w:cs="Arial" w:eastAsia="Arial" w:hAnsi="Arial"/>
          <w:sz w:val="16"/>
          <w:szCs w:val="16"/>
          <w:color w:val="auto"/>
        </w:rPr>
        <w:t>Each of our non-employee directors was eligible to earn a quarterly cash retainer, additional fees based on committee service and equity awards in 2022 pursuant to our director compensation policy, which is described in further detail below. All such cash fees are paid quarterly in advance. A non-employee director who joins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59"/>
        <w:spacing w:after="0" w:line="279" w:lineRule="auto"/>
        <w:rPr>
          <w:sz w:val="20"/>
          <w:szCs w:val="20"/>
          <w:color w:val="auto"/>
        </w:rPr>
      </w:pPr>
      <w:r>
        <w:rPr>
          <w:rFonts w:ascii="Arial" w:cs="Arial" w:eastAsia="Arial" w:hAnsi="Arial"/>
          <w:sz w:val="17"/>
          <w:szCs w:val="17"/>
          <w:color w:val="auto"/>
        </w:rPr>
        <w:t>Board after the beginning of a quarter receives a prorated cash retainer reflecting his or her actual period of Board and committee service for such quarter and a non-employee director who joins the Board after the beginning of the Company’s annual director service period receives a pro-rated equity award reflecting his or her actual period of Board and committee service during such annual service period.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Compensation</w:t>
      </w:r>
    </w:p>
    <w:p>
      <w:pPr>
        <w:spacing w:after="0" w:line="117"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In 2022, our non-employee directors were eligible to receive the following types of cash compensation for their services on the Board.</w:t>
      </w:r>
    </w:p>
    <w:p>
      <w:pPr>
        <w:spacing w:after="0" w:line="62"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Board Service Retainer (all non-employee directors): $18,750</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Chair Service Fees: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Chairperson of the Board: $18,750</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Chair of our Audit Committee: $6,250</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Chair of our Compensation Committee: $3,750</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Chair of our Nominating and Corporate Governance Committee: $2,500</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Chair of our Risk Committee: $2,500</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Committee Member (non-Chair) Service Fees: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Audit Committee: $3,750</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Compensation Committee: $2,500</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Nominating and Corporate Governance Committee: $1,250</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Risk Committee: $1,250.</w:t>
      </w:r>
    </w:p>
    <w:p>
      <w:pPr>
        <w:spacing w:after="0" w:line="117"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Our director compensation policy also provides that the Lead Director of the Board, if any, would receive an additional cash fee of $11,250 per quarter. No Lead Director was appointed for 2022.</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In 2022, our non-employee directors were also eligible to receive the following types of equity awards for their service on the Board:</w:t>
      </w:r>
    </w:p>
    <w:p>
      <w:pPr>
        <w:spacing w:after="0" w:line="62" w:lineRule="exact"/>
        <w:rPr>
          <w:sz w:val="20"/>
          <w:szCs w:val="20"/>
          <w:color w:val="auto"/>
        </w:rPr>
      </w:pPr>
    </w:p>
    <w:p>
      <w:pPr>
        <w:ind w:left="1000" w:right="319" w:hanging="348"/>
        <w:spacing w:after="0" w:line="284"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Annual Equity Awards</w:t>
      </w:r>
      <w:r>
        <w:rPr>
          <w:rFonts w:ascii="Arial" w:cs="Arial" w:eastAsia="Arial" w:hAnsi="Arial"/>
          <w:sz w:val="16"/>
          <w:szCs w:val="16"/>
          <w:color w:val="auto"/>
        </w:rPr>
        <w:t>: Each non-employee director was eligible to receive a restricted stock unit (“RSU”)</w:t>
      </w:r>
      <w:r>
        <w:rPr>
          <w:rFonts w:ascii="Arial" w:cs="Arial" w:eastAsia="Arial" w:hAnsi="Arial"/>
          <w:sz w:val="16"/>
          <w:szCs w:val="16"/>
          <w:i w:val="1"/>
          <w:iCs w:val="1"/>
          <w:color w:val="auto"/>
        </w:rPr>
        <w:t xml:space="preserve"> </w:t>
      </w:r>
      <w:r>
        <w:rPr>
          <w:rFonts w:ascii="Arial" w:cs="Arial" w:eastAsia="Arial" w:hAnsi="Arial"/>
          <w:sz w:val="16"/>
          <w:szCs w:val="16"/>
          <w:color w:val="auto"/>
        </w:rPr>
        <w:t>award having a grant date fair value equal to $165,000. In addition, each non-employee director was eligible to receive an RSU award having a grant date fair value equal to $20,000 for such director’s service as the Chair of the Board’s Audit Committee, Compensation Committee, Nominating and Corporate Governance Committee or Risk Committee, as applicable; and an RSU award having a grant date fair value equal to $10,000 for such director’s service as a non-Chair member of the Board’s Audit Committee, Compensation Committee, Nominating and Corporate Governance Committee or Risk Committee, as applicable. Each RSU award vests in full on the earlier of (x) the first anniversary of the date of grant, and</w:t>
      </w:r>
    </w:p>
    <w:p>
      <w:pPr>
        <w:ind w:left="1000" w:right="479"/>
        <w:spacing w:after="0" w:line="253" w:lineRule="auto"/>
        <w:rPr>
          <w:rFonts w:ascii="Arial" w:cs="Arial" w:eastAsia="Arial" w:hAnsi="Arial"/>
          <w:sz w:val="16"/>
          <w:szCs w:val="16"/>
          <w:color w:val="auto"/>
        </w:rPr>
      </w:pPr>
      <w:r>
        <w:rPr>
          <w:rFonts w:ascii="Arial" w:cs="Arial" w:eastAsia="Arial" w:hAnsi="Arial"/>
          <w:sz w:val="18"/>
          <w:szCs w:val="18"/>
          <w:color w:val="auto"/>
        </w:rPr>
        <w:t>(y) the meeting date of the Annual Meeting of Stockholders that occurs in the year following the year in which the RSU is granted, with such grants being made on the earlier of (A) the meeting date of the Company’s Annual Meeting of Stockholders for such year and (B) August 31 of such year. Vested RSUs settle as soon as administratively practicable following the date the non-employee director’s service terminates for any reason.</w:t>
      </w:r>
    </w:p>
    <w:p>
      <w:pPr>
        <w:spacing w:after="0" w:line="82" w:lineRule="exact"/>
        <w:rPr>
          <w:rFonts w:ascii="Arial" w:cs="Arial" w:eastAsia="Arial" w:hAnsi="Arial"/>
          <w:sz w:val="16"/>
          <w:szCs w:val="16"/>
          <w:color w:val="auto"/>
        </w:rPr>
      </w:pPr>
    </w:p>
    <w:p>
      <w:pPr>
        <w:ind w:left="1000" w:right="359" w:hanging="348"/>
        <w:spacing w:after="0" w:line="254"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Initial Equity Awards</w:t>
      </w:r>
      <w:r>
        <w:rPr>
          <w:rFonts w:ascii="Arial" w:cs="Arial" w:eastAsia="Arial" w:hAnsi="Arial"/>
          <w:sz w:val="18"/>
          <w:szCs w:val="18"/>
          <w:color w:val="auto"/>
        </w:rPr>
        <w:t>: If a non-employee director’s initial appointment to the Board or a Board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occurs other than at an Annual Meeting of Stockholders, such director will be granted pro-rated RSU awards having an aggregate grant date fair value equal to (x) the applicable grant date fair value amount for applicable Board or committee membership described above, multiplied by (y) the quotient obtained by dividing the number of days elapsed from the date of initial appointment to the date of the Company’s next Annual Meeting of Stockholders (or, if earlier, August 31 of such year), by 365, with such grants to vest in full on the date of the Company’s next Annual Meeting of Stockholders (or, if earlier, August 31 of such year).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All non-employee director equity awards will be granted under the Company’s equity incentive plan in effect at the time of such grants. Non-employee directors are subject to our Stock Ownership Policy, as described under the heading “Stock Ownership Guidelines”.</w:t>
      </w:r>
    </w:p>
    <w:p>
      <w:pPr>
        <w:spacing w:after="0" w:line="76"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The following table sets forth the total compensation earned by our non-employee directors during the year ended December 31, 2022. Mr. YJ Kim, our Chief Executive Officer, does not earn any fees for his service on the Board.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Director Compensation Table</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Fees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Earned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or Paid</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in Cash</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(1)</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auto"/>
                <w:w w:val="84"/>
                <w:vertAlign w:val="subscript"/>
              </w:rPr>
              <w:t>($)</w:t>
            </w:r>
            <w:r>
              <w:rPr>
                <w:rFonts w:ascii="Arial" w:cs="Arial" w:eastAsia="Arial" w:hAnsi="Arial"/>
                <w:sz w:val="12"/>
                <w:szCs w:val="12"/>
                <w:b w:val="1"/>
                <w:bCs w:val="1"/>
                <w:color w:val="auto"/>
                <w:w w:val="84"/>
              </w:rPr>
              <w:t>(2)(3)</w:t>
            </w:r>
          </w:p>
        </w:tc>
        <w:tc>
          <w:tcPr>
            <w:tcW w:w="14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311"/>
        </w:trPr>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Liz Chung</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84,889</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171,253</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256,142</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18"/>
                <w:szCs w:val="18"/>
                <w:color w:val="auto"/>
              </w:rPr>
              <w:t>Melvin Keating</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105,000</w:t>
            </w:r>
          </w:p>
        </w:tc>
        <w:tc>
          <w:tcPr>
            <w:tcW w:w="1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183,500</w:t>
            </w:r>
          </w:p>
        </w:tc>
        <w:tc>
          <w:tcPr>
            <w:tcW w:w="140" w:type="dxa"/>
            <w:vAlign w:val="bottom"/>
          </w:tcPr>
          <w:p>
            <w:pPr>
              <w:spacing w:after="0"/>
              <w:rPr>
                <w:sz w:val="23"/>
                <w:szCs w:val="23"/>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288,500</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Ilbok Lee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183,500</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273,500</w:t>
            </w:r>
          </w:p>
        </w:tc>
        <w:tc>
          <w:tcPr>
            <w:tcW w:w="0" w:type="dxa"/>
            <w:vAlign w:val="bottom"/>
          </w:tcPr>
          <w:p>
            <w:pPr>
              <w:spacing w:after="0"/>
              <w:rPr>
                <w:sz w:val="1"/>
                <w:szCs w:val="1"/>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18"/>
                <w:szCs w:val="18"/>
                <w:color w:val="auto"/>
              </w:rPr>
              <w:t>Camillo Martino</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185,000</w:t>
            </w:r>
          </w:p>
        </w:tc>
        <w:tc>
          <w:tcPr>
            <w:tcW w:w="1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192,920</w:t>
            </w:r>
          </w:p>
        </w:tc>
        <w:tc>
          <w:tcPr>
            <w:tcW w:w="140" w:type="dxa"/>
            <w:vAlign w:val="bottom"/>
          </w:tcPr>
          <w:p>
            <w:pPr>
              <w:spacing w:after="0"/>
              <w:rPr>
                <w:sz w:val="23"/>
                <w:szCs w:val="23"/>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377,920</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Tanner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110,000</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192,920</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302,920</w:t>
            </w:r>
          </w:p>
        </w:tc>
        <w:tc>
          <w:tcPr>
            <w:tcW w:w="0" w:type="dxa"/>
            <w:vAlign w:val="bottom"/>
          </w:tcPr>
          <w:p>
            <w:pPr>
              <w:spacing w:after="0"/>
              <w:rPr>
                <w:sz w:val="1"/>
                <w:szCs w:val="1"/>
                <w:color w:val="auto"/>
              </w:rPr>
            </w:pPr>
          </w:p>
        </w:tc>
      </w:tr>
      <w:tr>
        <w:trPr>
          <w:trHeight w:val="54"/>
        </w:trPr>
        <w:tc>
          <w:tcPr>
            <w:tcW w:w="51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-1045210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-1045210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-1045210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-1045210</wp:posOffset>
            </wp:positionV>
            <wp:extent cx="93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the amount of cash compensation earned in 2022 for Board service and committee service as described in the table below.</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3220" w:type="dxa"/>
            <w:vAlign w:val="bottom"/>
          </w:tcPr>
          <w:p>
            <w:pPr>
              <w:jc w:val="center"/>
              <w:ind w:left="2386"/>
              <w:spacing w:after="0"/>
              <w:rPr>
                <w:sz w:val="20"/>
                <w:szCs w:val="20"/>
                <w:color w:val="auto"/>
              </w:rPr>
            </w:pPr>
            <w:r>
              <w:rPr>
                <w:rFonts w:ascii="Arial" w:cs="Arial" w:eastAsia="Arial" w:hAnsi="Arial"/>
                <w:sz w:val="14"/>
                <w:szCs w:val="14"/>
                <w:b w:val="1"/>
                <w:bCs w:val="1"/>
                <w:color w:val="auto"/>
                <w:w w:val="93"/>
              </w:rPr>
              <w:t>Board</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Chair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20" w:type="dxa"/>
            <w:vAlign w:val="bottom"/>
          </w:tcPr>
          <w:p>
            <w:pPr>
              <w:jc w:val="center"/>
              <w:ind w:left="2366"/>
              <w:spacing w:after="0" w:line="149" w:lineRule="exact"/>
              <w:rPr>
                <w:sz w:val="20"/>
                <w:szCs w:val="20"/>
                <w:color w:val="auto"/>
              </w:rPr>
            </w:pPr>
            <w:r>
              <w:rPr>
                <w:rFonts w:ascii="Arial" w:cs="Arial" w:eastAsia="Arial" w:hAnsi="Arial"/>
                <w:sz w:val="4"/>
                <w:szCs w:val="4"/>
                <w:color w:val="auto"/>
              </w:rPr>
              <w:t xml:space="preserve">​   ​    </w:t>
            </w:r>
            <w:r>
              <w:rPr>
                <w:rFonts w:ascii="Arial" w:cs="Arial" w:eastAsia="Arial" w:hAnsi="Arial"/>
                <w:sz w:val="14"/>
                <w:szCs w:val="14"/>
                <w:b w:val="1"/>
                <w:bCs w:val="1"/>
                <w:color w:val="auto"/>
              </w:rPr>
              <w:t>Retainer</w:t>
            </w:r>
            <w:r>
              <w:rPr>
                <w:rFonts w:ascii="Arial" w:cs="Arial" w:eastAsia="Arial" w:hAnsi="Arial"/>
                <w:sz w:val="4"/>
                <w:szCs w:val="4"/>
                <w:color w:val="auto"/>
              </w:rPr>
              <w:t>​   ​</w:t>
            </w: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 xml:space="preserve">Service </w:t>
            </w:r>
            <w:r>
              <w:rPr>
                <w:rFonts w:ascii="Arial" w:cs="Arial" w:eastAsia="Arial" w:hAnsi="Arial"/>
                <w:sz w:val="3"/>
                <w:szCs w:val="3"/>
                <w:color w:val="auto"/>
              </w:rPr>
              <w:t>​   ​</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660" w:type="dxa"/>
            <w:vAlign w:val="bottom"/>
          </w:tcPr>
          <w:p>
            <w:pPr>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186"/>
        </w:trPr>
        <w:tc>
          <w:tcPr>
            <w:tcW w:w="2800" w:type="dxa"/>
            <w:vAlign w:val="bottom"/>
            <w:vMerge w:val="continue"/>
          </w:tcPr>
          <w:p>
            <w:pPr>
              <w:spacing w:after="0"/>
              <w:rPr>
                <w:sz w:val="16"/>
                <w:szCs w:val="16"/>
                <w:color w:val="auto"/>
              </w:rPr>
            </w:pPr>
          </w:p>
        </w:tc>
        <w:tc>
          <w:tcPr>
            <w:tcW w:w="3220" w:type="dxa"/>
            <w:vAlign w:val="bottom"/>
          </w:tcPr>
          <w:p>
            <w:pPr>
              <w:jc w:val="center"/>
              <w:ind w:left="2426"/>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Fees ($)</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Fees ($)</w:t>
            </w: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33655</wp:posOffset>
            </wp:positionV>
            <wp:extent cx="511746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17465" cy="17970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1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Liz Chung</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Melvin Keating</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Ilbok Lee</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Camillo Martino</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Gary Tanner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6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34" w:lineRule="exact"/>
        <w:rPr>
          <w:sz w:val="20"/>
          <w:szCs w:val="20"/>
          <w:color w:val="auto"/>
        </w:rPr>
      </w:pPr>
    </w:p>
    <w:p>
      <w:pPr>
        <w:spacing w:after="0"/>
        <w:tabs>
          <w:tab w:leader="none" w:pos="6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83820</wp:posOffset>
            </wp:positionV>
            <wp:extent cx="5117465"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17465" cy="163195"/>
                    </a:xfrm>
                    <a:prstGeom prst="rect">
                      <a:avLst/>
                    </a:prstGeom>
                    <a:noFill/>
                  </pic:spPr>
                </pic:pic>
              </a:graphicData>
            </a:graphic>
          </wp:anchor>
        </w:drawing>
      </w:r>
    </w:p>
    <w:p>
      <w:pPr>
        <w:spacing w:after="0" w:line="214" w:lineRule="exact"/>
        <w:rPr>
          <w:sz w:val="20"/>
          <w:szCs w:val="20"/>
          <w:color w:val="auto"/>
        </w:rPr>
      </w:pPr>
    </w:p>
    <w:p>
      <w:pPr>
        <w:spacing w:after="0"/>
        <w:tabs>
          <w:tab w:leader="none" w:pos="6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34" w:lineRule="exact"/>
        <w:rPr>
          <w:sz w:val="20"/>
          <w:szCs w:val="20"/>
          <w:color w:val="auto"/>
        </w:rPr>
      </w:pPr>
    </w:p>
    <w:p>
      <w:pPr>
        <w:spacing w:after="0"/>
        <w:tabs>
          <w:tab w:leader="none" w:pos="6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83820</wp:posOffset>
            </wp:positionV>
            <wp:extent cx="511746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17465" cy="162560"/>
                    </a:xfrm>
                    <a:prstGeom prst="rect">
                      <a:avLst/>
                    </a:prstGeom>
                    <a:noFill/>
                  </pic:spPr>
                </pic:pic>
              </a:graphicData>
            </a:graphic>
          </wp:anchor>
        </w:drawing>
      </w:r>
    </w:p>
    <w:p>
      <w:pPr>
        <w:spacing w:after="0" w:line="214" w:lineRule="exact"/>
        <w:rPr>
          <w:sz w:val="20"/>
          <w:szCs w:val="20"/>
          <w:color w:val="auto"/>
        </w:rPr>
      </w:pPr>
    </w:p>
    <w:p>
      <w:pPr>
        <w:spacing w:after="0"/>
        <w:tabs>
          <w:tab w:leader="none" w:pos="6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jc w:val="right"/>
              <w:spacing w:after="0"/>
              <w:rPr>
                <w:sz w:val="20"/>
                <w:szCs w:val="20"/>
                <w:color w:val="auto"/>
              </w:rPr>
            </w:pPr>
            <w:r>
              <w:rPr>
                <w:rFonts w:ascii="Arial" w:cs="Arial" w:eastAsia="Arial" w:hAnsi="Arial"/>
                <w:sz w:val="14"/>
                <w:szCs w:val="14"/>
                <w:color w:val="auto"/>
                <w:w w:val="88"/>
              </w:rPr>
              <w:t>75,000</w:t>
            </w:r>
          </w:p>
        </w:tc>
        <w:tc>
          <w:tcPr>
            <w:tcW w:w="80" w:type="dxa"/>
            <w:vAlign w:val="bottom"/>
          </w:tcPr>
          <w:p>
            <w:pPr>
              <w:ind w:left="4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9,889</w:t>
            </w:r>
          </w:p>
        </w:tc>
      </w:tr>
      <w:tr>
        <w:trPr>
          <w:trHeight w:val="256"/>
        </w:trPr>
        <w:tc>
          <w:tcPr>
            <w:tcW w:w="440" w:type="dxa"/>
            <w:vAlign w:val="bottom"/>
          </w:tcPr>
          <w:p>
            <w:pPr>
              <w:jc w:val="right"/>
              <w:spacing w:after="0"/>
              <w:rPr>
                <w:sz w:val="20"/>
                <w:szCs w:val="20"/>
                <w:color w:val="auto"/>
              </w:rPr>
            </w:pPr>
            <w:r>
              <w:rPr>
                <w:rFonts w:ascii="Arial" w:cs="Arial" w:eastAsia="Arial" w:hAnsi="Arial"/>
                <w:sz w:val="14"/>
                <w:szCs w:val="14"/>
                <w:color w:val="auto"/>
                <w:w w:val="88"/>
              </w:rPr>
              <w:t>75,000</w:t>
            </w:r>
          </w:p>
        </w:tc>
        <w:tc>
          <w:tcPr>
            <w:tcW w:w="80" w:type="dxa"/>
            <w:vAlign w:val="bottom"/>
          </w:tcPr>
          <w:p>
            <w:pPr>
              <w:ind w:left="4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57"/>
        </w:trPr>
        <w:tc>
          <w:tcPr>
            <w:tcW w:w="440" w:type="dxa"/>
            <w:vAlign w:val="bottom"/>
          </w:tcPr>
          <w:p>
            <w:pPr>
              <w:jc w:val="right"/>
              <w:spacing w:after="0"/>
              <w:rPr>
                <w:sz w:val="20"/>
                <w:szCs w:val="20"/>
                <w:color w:val="auto"/>
              </w:rPr>
            </w:pPr>
            <w:r>
              <w:rPr>
                <w:rFonts w:ascii="Arial" w:cs="Arial" w:eastAsia="Arial" w:hAnsi="Arial"/>
                <w:sz w:val="14"/>
                <w:szCs w:val="14"/>
                <w:color w:val="auto"/>
                <w:w w:val="88"/>
              </w:rPr>
              <w:t>75,000</w:t>
            </w:r>
          </w:p>
        </w:tc>
        <w:tc>
          <w:tcPr>
            <w:tcW w:w="80" w:type="dxa"/>
            <w:vAlign w:val="bottom"/>
          </w:tcPr>
          <w:p>
            <w:pPr>
              <w:ind w:left="4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3"/>
              </w:rPr>
              <w:t>10,000</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56"/>
        </w:trPr>
        <w:tc>
          <w:tcPr>
            <w:tcW w:w="440" w:type="dxa"/>
            <w:vAlign w:val="bottom"/>
          </w:tcPr>
          <w:p>
            <w:pPr>
              <w:jc w:val="right"/>
              <w:spacing w:after="0"/>
              <w:rPr>
                <w:sz w:val="20"/>
                <w:szCs w:val="20"/>
                <w:color w:val="auto"/>
              </w:rPr>
            </w:pPr>
            <w:r>
              <w:rPr>
                <w:rFonts w:ascii="Arial" w:cs="Arial" w:eastAsia="Arial" w:hAnsi="Arial"/>
                <w:sz w:val="14"/>
                <w:szCs w:val="14"/>
                <w:color w:val="auto"/>
                <w:w w:val="88"/>
              </w:rPr>
              <w:t>75,000</w:t>
            </w:r>
          </w:p>
        </w:tc>
        <w:tc>
          <w:tcPr>
            <w:tcW w:w="80" w:type="dxa"/>
            <w:vAlign w:val="bottom"/>
          </w:tcPr>
          <w:p>
            <w:pPr>
              <w:ind w:left="4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3"/>
              </w:rPr>
              <w:t>90,000</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20,000</w:t>
            </w:r>
          </w:p>
        </w:tc>
      </w:tr>
      <w:tr>
        <w:trPr>
          <w:trHeight w:val="257"/>
        </w:trPr>
        <w:tc>
          <w:tcPr>
            <w:tcW w:w="440" w:type="dxa"/>
            <w:vAlign w:val="bottom"/>
          </w:tcPr>
          <w:p>
            <w:pPr>
              <w:jc w:val="right"/>
              <w:spacing w:after="0"/>
              <w:rPr>
                <w:sz w:val="20"/>
                <w:szCs w:val="20"/>
                <w:color w:val="auto"/>
              </w:rPr>
            </w:pPr>
            <w:r>
              <w:rPr>
                <w:rFonts w:ascii="Arial" w:cs="Arial" w:eastAsia="Arial" w:hAnsi="Arial"/>
                <w:sz w:val="14"/>
                <w:szCs w:val="14"/>
                <w:color w:val="auto"/>
                <w:w w:val="88"/>
              </w:rPr>
              <w:t>75,000</w:t>
            </w:r>
          </w:p>
        </w:tc>
        <w:tc>
          <w:tcPr>
            <w:tcW w:w="80" w:type="dxa"/>
            <w:vAlign w:val="bottom"/>
          </w:tcPr>
          <w:p>
            <w:pPr>
              <w:ind w:left="40"/>
              <w:spacing w:after="0"/>
              <w:rPr>
                <w:sz w:val="20"/>
                <w:szCs w:val="20"/>
                <w:color w:val="auto"/>
              </w:rPr>
            </w:pPr>
            <w:r>
              <w:rPr>
                <w:rFonts w:ascii="Arial" w:cs="Arial" w:eastAsia="Arial" w:hAnsi="Arial"/>
                <w:sz w:val="4"/>
                <w:szCs w:val="4"/>
                <w:color w:val="auto"/>
              </w:rPr>
              <w:t>​</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3"/>
              </w:rPr>
              <w:t>10,000</w:t>
            </w:r>
          </w:p>
        </w:tc>
        <w:tc>
          <w:tcPr>
            <w:tcW w:w="6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25,000</w:t>
            </w:r>
          </w:p>
        </w:tc>
      </w:tr>
    </w:tbl>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tabs>
          <w:tab w:leader="none" w:pos="4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4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4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4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4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right"/>
        <w:ind w:right="359"/>
        <w:spacing w:after="0"/>
        <w:rPr>
          <w:sz w:val="20"/>
          <w:szCs w:val="20"/>
          <w:color w:val="auto"/>
        </w:rPr>
      </w:pPr>
      <w:r>
        <w:rPr>
          <w:rFonts w:ascii="Arial" w:cs="Arial" w:eastAsia="Arial" w:hAnsi="Arial"/>
          <w:sz w:val="14"/>
          <w:szCs w:val="14"/>
          <w:color w:val="auto"/>
        </w:rPr>
        <w:t>84,889</w:t>
      </w:r>
    </w:p>
    <w:p>
      <w:pPr>
        <w:spacing w:after="0" w:line="96" w:lineRule="exact"/>
        <w:rPr>
          <w:sz w:val="20"/>
          <w:szCs w:val="20"/>
          <w:color w:val="auto"/>
        </w:rPr>
      </w:pPr>
    </w:p>
    <w:p>
      <w:pPr>
        <w:jc w:val="right"/>
        <w:ind w:right="339"/>
        <w:spacing w:after="0"/>
        <w:rPr>
          <w:sz w:val="20"/>
          <w:szCs w:val="20"/>
          <w:color w:val="auto"/>
        </w:rPr>
      </w:pPr>
      <w:r>
        <w:rPr>
          <w:rFonts w:ascii="Arial" w:cs="Arial" w:eastAsia="Arial" w:hAnsi="Arial"/>
          <w:sz w:val="13"/>
          <w:szCs w:val="13"/>
          <w:color w:val="auto"/>
        </w:rPr>
        <w:t>105,000</w:t>
      </w:r>
    </w:p>
    <w:p>
      <w:pPr>
        <w:spacing w:after="0" w:line="107" w:lineRule="exact"/>
        <w:rPr>
          <w:sz w:val="20"/>
          <w:szCs w:val="20"/>
          <w:color w:val="auto"/>
        </w:rPr>
      </w:pPr>
    </w:p>
    <w:p>
      <w:pPr>
        <w:jc w:val="right"/>
        <w:ind w:right="359"/>
        <w:spacing w:after="0"/>
        <w:rPr>
          <w:sz w:val="20"/>
          <w:szCs w:val="20"/>
          <w:color w:val="auto"/>
        </w:rPr>
      </w:pPr>
      <w:r>
        <w:rPr>
          <w:rFonts w:ascii="Arial" w:cs="Arial" w:eastAsia="Arial" w:hAnsi="Arial"/>
          <w:sz w:val="14"/>
          <w:szCs w:val="14"/>
          <w:color w:val="auto"/>
        </w:rPr>
        <w:t>90,000</w:t>
      </w:r>
    </w:p>
    <w:p>
      <w:pPr>
        <w:spacing w:after="0" w:line="96" w:lineRule="exact"/>
        <w:rPr>
          <w:sz w:val="20"/>
          <w:szCs w:val="20"/>
          <w:color w:val="auto"/>
        </w:rPr>
      </w:pPr>
    </w:p>
    <w:p>
      <w:pPr>
        <w:jc w:val="right"/>
        <w:ind w:right="339"/>
        <w:spacing w:after="0"/>
        <w:rPr>
          <w:sz w:val="20"/>
          <w:szCs w:val="20"/>
          <w:color w:val="auto"/>
        </w:rPr>
      </w:pPr>
      <w:r>
        <w:rPr>
          <w:rFonts w:ascii="Arial" w:cs="Arial" w:eastAsia="Arial" w:hAnsi="Arial"/>
          <w:sz w:val="13"/>
          <w:szCs w:val="13"/>
          <w:color w:val="auto"/>
        </w:rPr>
        <w:t>185,000</w:t>
      </w:r>
    </w:p>
    <w:p>
      <w:pPr>
        <w:spacing w:after="0" w:line="107" w:lineRule="exact"/>
        <w:rPr>
          <w:sz w:val="20"/>
          <w:szCs w:val="20"/>
          <w:color w:val="auto"/>
        </w:rPr>
      </w:pPr>
    </w:p>
    <w:p>
      <w:pPr>
        <w:jc w:val="right"/>
        <w:ind w:right="359"/>
        <w:spacing w:after="0"/>
        <w:rPr>
          <w:sz w:val="20"/>
          <w:szCs w:val="20"/>
          <w:color w:val="auto"/>
        </w:rPr>
      </w:pPr>
      <w:r>
        <w:rPr>
          <w:rFonts w:ascii="Arial" w:cs="Arial" w:eastAsia="Arial" w:hAnsi="Arial"/>
          <w:sz w:val="12"/>
          <w:szCs w:val="12"/>
          <w:color w:val="auto"/>
        </w:rPr>
        <w:t>110,000</w:t>
      </w:r>
    </w:p>
    <w:p>
      <w:pPr>
        <w:spacing w:after="0" w:line="118" w:lineRule="exact"/>
        <w:rPr>
          <w:sz w:val="20"/>
          <w:szCs w:val="20"/>
          <w:color w:val="auto"/>
        </w:rPr>
      </w:pPr>
    </w:p>
    <w:p>
      <w:pPr>
        <w:sectPr>
          <w:pgSz w:w="11900" w:h="16838" w:orient="portrait"/>
          <w:cols w:equalWidth="0" w:num="5">
            <w:col w:w="5180" w:space="720"/>
            <w:col w:w="80" w:space="120"/>
            <w:col w:w="1780" w:space="160"/>
            <w:col w:w="80" w:space="80"/>
            <w:col w:w="819"/>
          </w:cols>
          <w:pgMar w:left="1440" w:top="265" w:right="1440" w:bottom="1440" w:gutter="0" w:footer="0" w:header="0"/>
          <w:type w:val="continuous"/>
        </w:sectPr>
      </w:pPr>
    </w:p>
    <w:p>
      <w:pPr>
        <w:ind w:left="640" w:right="479" w:hanging="348"/>
        <w:spacing w:after="0" w:line="255" w:lineRule="auto"/>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amounts reported represent the aggregate grant date fair value of the RSUs awarded to the directors, calculated in accordance with FASB ASC Topic 718. Such aggregate grant date fair values do not take into account any estimated forfeitures related to service vesting conditions. The amounts reported in this column reflect the accounting cost for these RSUs and do not correspond to the actual economic value that may be received by the directors upon vesting and/or settlement of the RSUs.</w:t>
      </w:r>
    </w:p>
    <w:p>
      <w:pPr>
        <w:spacing w:after="0" w:line="12" w:lineRule="exact"/>
        <w:rPr>
          <w:rFonts w:ascii="Arial" w:cs="Arial" w:eastAsia="Arial" w:hAnsi="Arial"/>
          <w:sz w:val="13"/>
          <w:szCs w:val="13"/>
          <w:color w:val="auto"/>
        </w:rPr>
      </w:pPr>
    </w:p>
    <w:p>
      <w:pPr>
        <w:ind w:left="640" w:hanging="348"/>
        <w:spacing w:after="0"/>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As of December 31, 2022, the number of outstanding stock options and RSU awards held by our non-employee directors who served during</w:t>
      </w:r>
    </w:p>
    <w:p>
      <w:pPr>
        <w:spacing w:after="0" w:line="11" w:lineRule="exact"/>
        <w:rPr>
          <w:rFonts w:ascii="Arial" w:cs="Arial" w:eastAsia="Arial" w:hAnsi="Arial"/>
          <w:sz w:val="13"/>
          <w:szCs w:val="13"/>
          <w:color w:val="auto"/>
        </w:rPr>
      </w:pPr>
    </w:p>
    <w:p>
      <w:pPr>
        <w:ind w:left="640"/>
        <w:spacing w:after="0"/>
        <w:rPr>
          <w:rFonts w:ascii="Arial" w:cs="Arial" w:eastAsia="Arial" w:hAnsi="Arial"/>
          <w:sz w:val="13"/>
          <w:szCs w:val="13"/>
          <w:color w:val="auto"/>
        </w:rPr>
      </w:pPr>
      <w:r>
        <w:rPr>
          <w:rFonts w:ascii="Arial" w:cs="Arial" w:eastAsia="Arial" w:hAnsi="Arial"/>
          <w:sz w:val="14"/>
          <w:szCs w:val="14"/>
          <w:color w:val="auto"/>
        </w:rPr>
        <w:t>2022 were as follows: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600" w:type="dxa"/>
            <w:vAlign w:val="bottom"/>
            <w:gridSpan w:val="2"/>
          </w:tcPr>
          <w:p>
            <w:pPr>
              <w:ind w:left="2540"/>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RSUs (#)</w:t>
            </w:r>
            <w:r>
              <w:rPr>
                <w:rFonts w:ascii="Arial" w:cs="Arial" w:eastAsia="Arial" w:hAnsi="Arial"/>
                <w:sz w:val="3"/>
                <w:szCs w:val="3"/>
                <w:color w:val="auto"/>
                <w:w w:val="95"/>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1"/>
              </w:rPr>
              <w:t>Stock Options (#)</w:t>
            </w:r>
          </w:p>
        </w:tc>
      </w:tr>
      <w:tr>
        <w:trPr>
          <w:trHeight w:val="52"/>
        </w:trPr>
        <w:tc>
          <w:tcPr>
            <w:tcW w:w="35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Liz Chung</w:t>
            </w:r>
          </w:p>
        </w:tc>
        <w:tc>
          <w:tcPr>
            <w:tcW w:w="2600" w:type="dxa"/>
            <w:vAlign w:val="bottom"/>
            <w:tcBorders>
              <w:bottom w:val="single" w:sz="8" w:color="CCEEFF"/>
            </w:tcBorders>
            <w:gridSpan w:val="2"/>
            <w:shd w:val="clear" w:color="auto" w:fill="CCEEFF"/>
          </w:tcPr>
          <w:p>
            <w:pPr>
              <w:ind w:left="2540"/>
              <w:spacing w:after="0"/>
              <w:rPr>
                <w:sz w:val="20"/>
                <w:szCs w:val="20"/>
                <w:color w:val="auto"/>
              </w:rPr>
            </w:pPr>
            <w:r>
              <w:rPr>
                <w:rFonts w:ascii="Arial" w:cs="Arial" w:eastAsia="Arial" w:hAnsi="Arial"/>
                <w:sz w:val="4"/>
                <w:szCs w:val="4"/>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4"/>
                <w:szCs w:val="4"/>
                <w:color w:val="auto"/>
              </w:rPr>
              <w:t>​</w:t>
            </w:r>
          </w:p>
        </w:tc>
        <w:tc>
          <w:tcPr>
            <w:tcW w:w="52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w w:val="93"/>
              </w:rPr>
              <w:t>25,236</w:t>
            </w:r>
          </w:p>
        </w:tc>
        <w:tc>
          <w:tcPr>
            <w:tcW w:w="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4"/>
                <w:szCs w:val="4"/>
                <w:color w:val="auto"/>
              </w:rPr>
              <w:t>​</w:t>
            </w:r>
          </w:p>
        </w:tc>
        <w:tc>
          <w:tcPr>
            <w:tcW w:w="110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r>
      <w:tr>
        <w:trPr>
          <w:trHeight w:val="218"/>
        </w:trPr>
        <w:tc>
          <w:tcPr>
            <w:tcW w:w="3500" w:type="dxa"/>
            <w:vAlign w:val="bottom"/>
          </w:tcPr>
          <w:p>
            <w:pPr>
              <w:spacing w:after="0"/>
              <w:rPr>
                <w:sz w:val="20"/>
                <w:szCs w:val="20"/>
                <w:color w:val="auto"/>
              </w:rPr>
            </w:pPr>
            <w:r>
              <w:rPr>
                <w:rFonts w:ascii="Arial" w:cs="Arial" w:eastAsia="Arial" w:hAnsi="Arial"/>
                <w:sz w:val="14"/>
                <w:szCs w:val="14"/>
                <w:color w:val="auto"/>
              </w:rPr>
              <w:t>Melvin Keating</w:t>
            </w:r>
          </w:p>
        </w:tc>
        <w:tc>
          <w:tcPr>
            <w:tcW w:w="2600" w:type="dxa"/>
            <w:vAlign w:val="bottom"/>
            <w:gridSpan w:val="2"/>
          </w:tcPr>
          <w:p>
            <w:pPr>
              <w:ind w:left="2540"/>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520" w:type="dxa"/>
            <w:vAlign w:val="bottom"/>
          </w:tcPr>
          <w:p>
            <w:pPr>
              <w:jc w:val="center"/>
              <w:ind w:left="8"/>
              <w:spacing w:after="0"/>
              <w:rPr>
                <w:sz w:val="20"/>
                <w:szCs w:val="20"/>
                <w:color w:val="auto"/>
              </w:rPr>
            </w:pPr>
            <w:r>
              <w:rPr>
                <w:rFonts w:ascii="Arial" w:cs="Arial" w:eastAsia="Arial" w:hAnsi="Arial"/>
                <w:sz w:val="14"/>
                <w:szCs w:val="14"/>
                <w:color w:val="auto"/>
                <w:w w:val="93"/>
              </w:rPr>
              <w:t>93,688</w:t>
            </w:r>
          </w:p>
        </w:tc>
        <w:tc>
          <w:tcPr>
            <w:tcW w:w="80" w:type="dxa"/>
            <w:vAlign w:val="bottom"/>
            <w:gridSpan w:val="2"/>
          </w:tcPr>
          <w:p>
            <w:pPr>
              <w:jc w:val="right"/>
              <w:ind w:right="40"/>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49,737</w:t>
            </w:r>
          </w:p>
        </w:tc>
      </w:tr>
      <w:tr>
        <w:trPr>
          <w:trHeight w:val="39"/>
        </w:trPr>
        <w:tc>
          <w:tcPr>
            <w:tcW w:w="35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7"/>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Ilbok Lee</w:t>
            </w:r>
          </w:p>
        </w:tc>
        <w:tc>
          <w:tcPr>
            <w:tcW w:w="2600" w:type="dxa"/>
            <w:vAlign w:val="bottom"/>
            <w:tcBorders>
              <w:bottom w:val="single" w:sz="8" w:color="CCEEFF"/>
            </w:tcBorders>
            <w:gridSpan w:val="2"/>
            <w:shd w:val="clear" w:color="auto" w:fill="CCEEFF"/>
          </w:tcPr>
          <w:p>
            <w:pPr>
              <w:ind w:left="2540"/>
              <w:spacing w:after="0"/>
              <w:rPr>
                <w:sz w:val="20"/>
                <w:szCs w:val="20"/>
                <w:color w:val="auto"/>
              </w:rPr>
            </w:pPr>
            <w:r>
              <w:rPr>
                <w:rFonts w:ascii="Arial" w:cs="Arial" w:eastAsia="Arial" w:hAnsi="Arial"/>
                <w:sz w:val="4"/>
                <w:szCs w:val="4"/>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4"/>
                <w:szCs w:val="4"/>
                <w:color w:val="auto"/>
              </w:rPr>
              <w:t>​</w:t>
            </w: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9"/>
              </w:rPr>
              <w:t xml:space="preserve">100,002 </w:t>
            </w:r>
            <w:r>
              <w:rPr>
                <w:rFonts w:ascii="Arial" w:cs="Arial" w:eastAsia="Arial" w:hAnsi="Arial"/>
                <w:sz w:val="3"/>
                <w:szCs w:val="3"/>
                <w:color w:val="auto"/>
                <w:w w:val="99"/>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4"/>
                <w:szCs w:val="4"/>
                <w:color w:val="auto"/>
              </w:rPr>
              <w:t>​</w:t>
            </w:r>
          </w:p>
        </w:tc>
        <w:tc>
          <w:tcPr>
            <w:tcW w:w="11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179,593</w:t>
            </w:r>
          </w:p>
        </w:tc>
      </w:tr>
      <w:tr>
        <w:trPr>
          <w:trHeight w:val="218"/>
        </w:trPr>
        <w:tc>
          <w:tcPr>
            <w:tcW w:w="3500" w:type="dxa"/>
            <w:vAlign w:val="bottom"/>
          </w:tcPr>
          <w:p>
            <w:pPr>
              <w:spacing w:after="0"/>
              <w:rPr>
                <w:sz w:val="20"/>
                <w:szCs w:val="20"/>
                <w:color w:val="auto"/>
              </w:rPr>
            </w:pPr>
            <w:r>
              <w:rPr>
                <w:rFonts w:ascii="Arial" w:cs="Arial" w:eastAsia="Arial" w:hAnsi="Arial"/>
                <w:sz w:val="14"/>
                <w:szCs w:val="14"/>
                <w:color w:val="auto"/>
              </w:rPr>
              <w:t>Camillo Martino</w:t>
            </w:r>
          </w:p>
        </w:tc>
        <w:tc>
          <w:tcPr>
            <w:tcW w:w="2600" w:type="dxa"/>
            <w:vAlign w:val="bottom"/>
            <w:gridSpan w:val="2"/>
          </w:tcPr>
          <w:p>
            <w:pPr>
              <w:ind w:left="2540"/>
              <w:spacing w:after="0"/>
              <w:rPr>
                <w:sz w:val="20"/>
                <w:szCs w:val="20"/>
                <w:color w:val="auto"/>
              </w:rPr>
            </w:pPr>
            <w:r>
              <w:rPr>
                <w:rFonts w:ascii="Arial" w:cs="Arial" w:eastAsia="Arial" w:hAnsi="Arial"/>
                <w:sz w:val="4"/>
                <w:szCs w:val="4"/>
                <w:color w:val="auto"/>
              </w:rPr>
              <w:t>​</w:t>
            </w:r>
          </w:p>
        </w:tc>
        <w:tc>
          <w:tcPr>
            <w:tcW w:w="140" w:type="dxa"/>
            <w:vAlign w:val="bottom"/>
          </w:tcPr>
          <w:p>
            <w:pPr>
              <w:ind w:left="40"/>
              <w:spacing w:after="0"/>
              <w:rPr>
                <w:sz w:val="20"/>
                <w:szCs w:val="20"/>
                <w:color w:val="auto"/>
              </w:rPr>
            </w:pPr>
            <w:r>
              <w:rPr>
                <w:rFonts w:ascii="Arial" w:cs="Arial" w:eastAsia="Arial" w:hAnsi="Arial"/>
                <w:sz w:val="4"/>
                <w:szCs w:val="4"/>
                <w:color w:val="auto"/>
              </w:rPr>
              <w:t>​</w:t>
            </w:r>
          </w:p>
        </w:tc>
        <w:tc>
          <w:tcPr>
            <w:tcW w:w="520" w:type="dxa"/>
            <w:vAlign w:val="bottom"/>
          </w:tcPr>
          <w:p>
            <w:pPr>
              <w:jc w:val="center"/>
              <w:ind w:left="8"/>
              <w:spacing w:after="0"/>
              <w:rPr>
                <w:sz w:val="20"/>
                <w:szCs w:val="20"/>
                <w:color w:val="auto"/>
              </w:rPr>
            </w:pPr>
            <w:r>
              <w:rPr>
                <w:rFonts w:ascii="Arial" w:cs="Arial" w:eastAsia="Arial" w:hAnsi="Arial"/>
                <w:sz w:val="14"/>
                <w:szCs w:val="14"/>
                <w:color w:val="auto"/>
                <w:w w:val="93"/>
              </w:rPr>
              <w:t>94,998</w:t>
            </w:r>
          </w:p>
        </w:tc>
        <w:tc>
          <w:tcPr>
            <w:tcW w:w="80" w:type="dxa"/>
            <w:vAlign w:val="bottom"/>
            <w:gridSpan w:val="2"/>
          </w:tcPr>
          <w:p>
            <w:pPr>
              <w:jc w:val="right"/>
              <w:ind w:right="40"/>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49,737</w:t>
            </w:r>
          </w:p>
        </w:tc>
      </w:tr>
      <w:tr>
        <w:trPr>
          <w:trHeight w:val="39"/>
        </w:trPr>
        <w:tc>
          <w:tcPr>
            <w:tcW w:w="35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8"/>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Gary Tanner</w:t>
            </w:r>
          </w:p>
        </w:tc>
        <w:tc>
          <w:tcPr>
            <w:tcW w:w="2600" w:type="dxa"/>
            <w:vAlign w:val="bottom"/>
            <w:gridSpan w:val="2"/>
            <w:shd w:val="clear" w:color="auto" w:fill="CCEEFF"/>
          </w:tcPr>
          <w:p>
            <w:pPr>
              <w:ind w:left="2540"/>
              <w:spacing w:after="0"/>
              <w:rPr>
                <w:sz w:val="20"/>
                <w:szCs w:val="20"/>
                <w:color w:val="auto"/>
              </w:rPr>
            </w:pPr>
            <w:r>
              <w:rPr>
                <w:rFonts w:ascii="Arial" w:cs="Arial" w:eastAsia="Arial" w:hAnsi="Arial"/>
                <w:sz w:val="4"/>
                <w:szCs w:val="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4"/>
                <w:szCs w:val="4"/>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9"/>
              </w:rPr>
              <w:t xml:space="preserve">103,884 </w:t>
            </w:r>
            <w:r>
              <w:rPr>
                <w:rFonts w:ascii="Arial" w:cs="Arial" w:eastAsia="Arial" w:hAnsi="Arial"/>
                <w:sz w:val="3"/>
                <w:szCs w:val="3"/>
                <w:color w:val="auto"/>
                <w:w w:val="99"/>
              </w:rPr>
              <w:t>​</w:t>
            </w:r>
          </w:p>
        </w:tc>
        <w:tc>
          <w:tcPr>
            <w:tcW w:w="120" w:type="dxa"/>
            <w:vAlign w:val="bottom"/>
            <w:shd w:val="clear" w:color="auto" w:fill="CCEEFF"/>
          </w:tcPr>
          <w:p>
            <w:pPr>
              <w:ind w:left="40"/>
              <w:spacing w:after="0"/>
              <w:rPr>
                <w:sz w:val="20"/>
                <w:szCs w:val="20"/>
                <w:color w:val="auto"/>
              </w:rPr>
            </w:pPr>
            <w:r>
              <w:rPr>
                <w:rFonts w:ascii="Arial" w:cs="Arial" w:eastAsia="Arial" w:hAnsi="Arial"/>
                <w:sz w:val="4"/>
                <w:szCs w:val="4"/>
                <w:color w:val="auto"/>
              </w:rPr>
              <w:t>​</w:t>
            </w: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93,117</w:t>
            </w:r>
          </w:p>
        </w:tc>
      </w:tr>
      <w:tr>
        <w:trPr>
          <w:trHeight w:val="39"/>
        </w:trPr>
        <w:tc>
          <w:tcPr>
            <w:tcW w:w="3500" w:type="dxa"/>
            <w:vAlign w:val="bottom"/>
            <w:shd w:val="clear" w:color="auto" w:fill="CCEEFF"/>
          </w:tcPr>
          <w:p>
            <w:pPr>
              <w:spacing w:after="0"/>
              <w:rPr>
                <w:sz w:val="3"/>
                <w:szCs w:val="3"/>
                <w:color w:val="auto"/>
              </w:rPr>
            </w:pPr>
          </w:p>
        </w:tc>
        <w:tc>
          <w:tcPr>
            <w:tcW w:w="25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-831215</wp:posOffset>
            </wp:positionV>
            <wp:extent cx="102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-831215</wp:posOffset>
            </wp:positionV>
            <wp:extent cx="120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9" w:lineRule="exact"/>
        <w:rPr>
          <w:sz w:val="20"/>
          <w:szCs w:val="20"/>
          <w:color w:val="auto"/>
        </w:rPr>
      </w:pPr>
    </w:p>
    <w:p>
      <w:pPr>
        <w:ind w:left="660" w:right="319"/>
        <w:spacing w:after="0" w:line="251" w:lineRule="auto"/>
        <w:rPr>
          <w:sz w:val="20"/>
          <w:szCs w:val="20"/>
          <w:color w:val="auto"/>
        </w:rPr>
      </w:pPr>
      <w:r>
        <w:rPr>
          <w:rFonts w:ascii="Arial" w:cs="Arial" w:eastAsia="Arial" w:hAnsi="Arial"/>
          <w:sz w:val="13"/>
          <w:szCs w:val="13"/>
          <w:color w:val="auto"/>
        </w:rPr>
        <w:t>As of December 31, 2022, the following number of RSUs included in the table above were vested but not yet settled under the terms of the applicable RSU agreements: Ms. Chung—12,946 RSUs; Mr. Keating—79,994 RSUs; Dr. Lee—86,308 RSUs; Mr. Martino—80,601 RSUs; and Mr. Tanner—89,487 RSUs. Stock options were last granted to our non-employee directors under our director compensation policy in effect in 2017. Please see the section entitled “Security Ownership of Certain Beneficial Owners and Management” for additional information regarding all shares of Common Stock beneficially owned by our non-employee directors.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None of the members of the Compensation Committee has been an officer or employee of our Company during the last fiscal year. During 2022, decisions regarding executive officer compensation were made by our Compensation Committee. Mr. YJ Kim, our Chief Executive Officer, participated in the deliberations of our Compensation Committee regarding the determination of the compensation of our executive officers other than himself for 2022 and prior periods. None of our executive officers currently serves, or in the past has served, as a member of the Board or the compensation committee of another entity that has one or more executive officers serving on our Board.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300" w:right="499" w:firstLine="360"/>
        <w:spacing w:after="0" w:line="342" w:lineRule="auto"/>
        <w:rPr>
          <w:sz w:val="20"/>
          <w:szCs w:val="20"/>
          <w:color w:val="auto"/>
        </w:rPr>
      </w:pPr>
      <w:r>
        <w:rPr>
          <w:rFonts w:ascii="Arial" w:cs="Arial" w:eastAsia="Arial" w:hAnsi="Arial"/>
          <w:sz w:val="16"/>
          <w:szCs w:val="16"/>
          <w:color w:val="auto"/>
        </w:rPr>
        <w:t>This Compensation Discussion and Analysis describes and analyzes our executive compensation program for the following executive officers who served the Company in 2022 (collectively, our “named executive officers”):</w:t>
      </w:r>
    </w:p>
    <w:p>
      <w:pPr>
        <w:spacing w:after="0" w:line="16"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Young-Joon Kim, our Chief Executive Officer (“CEO”);</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Shin Young Park, our Chief Financial Officer (“CFO”);</w:t>
      </w:r>
    </w:p>
    <w:p>
      <w:pPr>
        <w:spacing w:after="0" w:line="117"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Theodore Kim, our Chief Compliance Officer, Executive Vice President, General Counsel and Secretary (“CCO”);</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Woung Moo Lee, our Executive Vice President and General Manager of Display Solutions and Worldwide Sales (“GM of Display and WW Sales”);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 Ho Park, our General Manager of Power Solutions (“GM of Power”).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left="300" w:right="839" w:firstLine="360"/>
        <w:spacing w:after="0" w:line="342" w:lineRule="auto"/>
        <w:rPr>
          <w:sz w:val="20"/>
          <w:szCs w:val="20"/>
          <w:color w:val="auto"/>
        </w:rPr>
      </w:pPr>
      <w:r>
        <w:rPr>
          <w:rFonts w:ascii="Arial" w:cs="Arial" w:eastAsia="Arial" w:hAnsi="Arial"/>
          <w:sz w:val="16"/>
          <w:szCs w:val="16"/>
          <w:color w:val="auto"/>
        </w:rPr>
        <w:t>The Compensation Committee of our Board has primary responsibility for developing and maintaining a compensation program for our senior management, including our named executive officers.</w:t>
      </w:r>
    </w:p>
    <w:p>
      <w:pPr>
        <w:spacing w:after="0" w:line="16"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The Compensation Committee believes that our executive compensation program should play a key role in our operating and financial success, and has worked with outside legal counsel and Compensia Inc. (“Compensia”), a national compensation consulting firm, to develop a comprehensive executive compensation program that is intended to attract and retain talent with competitive compensation, and further align the interests of our executive officers with our stockholders by linking a significant component of executive compensation to variable cash-based compensation tied to the achievement of our short-term financial, operational and strategic goals, as well as equity-based compensation tied to the achievement of our long-term strategic goals that in turn lead to stockholder value creation. As part of our “Pay for Performance” philosophy described below, the Committee believes it is important to maintain a compensation program that includes significant “at risk” compensation and performance-focused equity awards. In 2022 approximately 89% of our CEO’s target total direct compensation and approximately 73% of the average target total direct compensation of our other named executive officers was delivered in the form of variable or “at risk” compensation tied to Company or stock price performance.</w:t>
      </w:r>
    </w:p>
    <w:p>
      <w:pPr>
        <w:spacing w:after="0" w:line="60"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 xml:space="preserve">In light of the highly competitive market in which we compete for business, and our dependence on the highly skilled workforce that is necessary in order to innovate and compete in that market, the Compensation Committee believes that our ability to attract and retain talent at all levels of the Company is critical to our long-term success. In view of our unique situation in that all of our senior executives live and work in South Korea (herein referred to as “Korea”), we offer competitive expatriate benefits intended to minimize adverse tax and financial impacts associated with our CEO’s and CCO’s expatriate assignments, because they are subject to taxation in both the U.S. and Korea. More information about our human capital management strategy and approach can be found under the heading “Human Capital Management” on page </w:t>
      </w:r>
      <w:r>
        <w:rPr>
          <w:rFonts w:ascii="Arial" w:cs="Arial" w:eastAsia="Arial" w:hAnsi="Arial"/>
          <w:sz w:val="17"/>
          <w:szCs w:val="17"/>
          <w:u w:val="single" w:color="auto"/>
          <w:color w:val="0000EE"/>
        </w:rPr>
        <w:t>13</w:t>
      </w:r>
      <w:r>
        <w:rPr>
          <w:rFonts w:ascii="Arial" w:cs="Arial" w:eastAsia="Arial" w:hAnsi="Arial"/>
          <w:sz w:val="17"/>
          <w:szCs w:val="17"/>
          <w:color w:val="auto"/>
        </w:rPr>
        <w: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2022 Compensation Decisions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Compensation Committee made the following key compensation decisions in respect of fiscal year 2022:</w:t>
      </w:r>
    </w:p>
    <w:p>
      <w:pPr>
        <w:spacing w:after="0" w:line="100" w:lineRule="exact"/>
        <w:rPr>
          <w:sz w:val="20"/>
          <w:szCs w:val="20"/>
          <w:color w:val="auto"/>
        </w:rPr>
      </w:pPr>
    </w:p>
    <w:p>
      <w:pPr>
        <w:ind w:left="1000" w:right="57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Entered into an executive service agreement with Ms. Park in connection with her appointment as CFO effective January 1, 2022;</w:t>
      </w:r>
    </w:p>
    <w:p>
      <w:pPr>
        <w:spacing w:after="0" w:line="21"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the annual base salary of our named executive officers effective January 1, 2022. The increases ranged from 0.5% to 6.1% with a view toward remaining competitive with our peers, except our CFO’s salary was increased by 14.2% to reflect her increased responsibilities in connection with her promotion to CFO;</w:t>
      </w:r>
    </w:p>
    <w:p>
      <w:pPr>
        <w:spacing w:after="0" w:line="51" w:lineRule="exact"/>
        <w:rPr>
          <w:rFonts w:ascii="Arial" w:cs="Arial" w:eastAsia="Arial" w:hAnsi="Arial"/>
          <w:sz w:val="18"/>
          <w:szCs w:val="18"/>
          <w:color w:val="auto"/>
        </w:rPr>
      </w:pPr>
    </w:p>
    <w:p>
      <w:pPr>
        <w:ind w:left="1000" w:right="439" w:hanging="348"/>
        <w:spacing w:after="0" w:line="28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Awarded retention bonuses to ensure the continued retention of key executives and employees in what remains a tight market for talent and to reward substantial individual contributions in connection with the previously contemplated merger with an affiliate of Wise Road Capital LTD;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2000" w:right="1340" w:hanging="348"/>
        <w:spacing w:after="0" w:line="263"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Granted annual equity awards to our key executives using a combination of performance-based stock units (“PSUs”) (based on both relative total stockholder return (“TSR”) and financial performance goals) and RSUs, consistent with our practice in prior years.</w:t>
      </w:r>
    </w:p>
    <w:p>
      <w:pPr>
        <w:spacing w:after="0" w:line="238"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“Pay for Performance” Philosophy</w:t>
      </w:r>
    </w:p>
    <w:p>
      <w:pPr>
        <w:spacing w:after="0" w:line="117" w:lineRule="exact"/>
        <w:rPr>
          <w:sz w:val="20"/>
          <w:szCs w:val="20"/>
          <w:color w:val="auto"/>
        </w:rPr>
      </w:pPr>
    </w:p>
    <w:p>
      <w:pPr>
        <w:ind w:left="1300" w:right="1320" w:firstLine="360"/>
        <w:spacing w:after="0" w:line="311" w:lineRule="auto"/>
        <w:rPr>
          <w:sz w:val="20"/>
          <w:szCs w:val="20"/>
          <w:color w:val="auto"/>
        </w:rPr>
      </w:pPr>
      <w:r>
        <w:rPr>
          <w:rFonts w:ascii="Arial" w:cs="Arial" w:eastAsia="Arial" w:hAnsi="Arial"/>
          <w:sz w:val="16"/>
          <w:szCs w:val="16"/>
          <w:color w:val="auto"/>
        </w:rPr>
        <w:t>As illustrated below, our target total direct compensation, which is the sum of base salary, target short-term cash incentive bonus opportunity and the aggregated target value of long-term equity awards granted under our 2020 Equity and Incentive Compensation Plan, was weighted heavily towards variable 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52070</wp:posOffset>
            </wp:positionV>
            <wp:extent cx="5194935" cy="15347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9493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2000" w:right="1340" w:hanging="348"/>
        <w:spacing w:after="0" w:line="311" w:lineRule="auto"/>
        <w:tabs>
          <w:tab w:leader="none" w:pos="2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89% of our Chief Executive Officer’s target total direct compensation and approximately 73% of the average target total direct compensation of our other named executive officers was delivered in the form of variable or “at risk” compensation tied to Company, individual, or stock price performance;</w:t>
      </w:r>
    </w:p>
    <w:p>
      <w:pPr>
        <w:ind w:left="2000" w:right="1420" w:hanging="348"/>
        <w:spacing w:after="0" w:line="259"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equity awards (the ultimate value of which depends on our stock price) continued to be the largest element of compensation, representing approximately 78% of our Chief Executive Officer’s target total direct compensation and approximately 57% of the average target total direct compensation of our other named executive officers; and</w:t>
      </w:r>
    </w:p>
    <w:p>
      <w:pPr>
        <w:spacing w:after="0" w:line="38" w:lineRule="exact"/>
        <w:rPr>
          <w:rFonts w:ascii="Arial" w:cs="Arial" w:eastAsia="Arial" w:hAnsi="Arial"/>
          <w:sz w:val="18"/>
          <w:szCs w:val="18"/>
          <w:color w:val="auto"/>
        </w:rPr>
      </w:pPr>
    </w:p>
    <w:p>
      <w:pPr>
        <w:ind w:left="2000" w:right="1620" w:hanging="348"/>
        <w:spacing w:after="0" w:line="308" w:lineRule="auto"/>
        <w:tabs>
          <w:tab w:leader="none" w:pos="2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target annual (short-term) cash incentives payable to our named executive officers were tied to the pre-established performance goals and/or criteria under our short-term incentive program.</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Executive Compensation-Related Policies and Practices</w:t>
      </w:r>
    </w:p>
    <w:p>
      <w:pPr>
        <w:spacing w:after="0" w:line="121" w:lineRule="exact"/>
        <w:rPr>
          <w:sz w:val="20"/>
          <w:szCs w:val="20"/>
          <w:color w:val="auto"/>
        </w:rPr>
      </w:pPr>
    </w:p>
    <w:p>
      <w:pPr>
        <w:jc w:val="both"/>
        <w:ind w:left="1300" w:right="1340" w:firstLine="360"/>
        <w:spacing w:after="0" w:line="286" w:lineRule="auto"/>
        <w:rPr>
          <w:sz w:val="20"/>
          <w:szCs w:val="20"/>
          <w:color w:val="auto"/>
        </w:rPr>
      </w:pPr>
      <w:r>
        <w:rPr>
          <w:rFonts w:ascii="Arial" w:cs="Arial" w:eastAsia="Arial" w:hAnsi="Arial"/>
          <w:sz w:val="17"/>
          <w:szCs w:val="17"/>
          <w:color w:val="auto"/>
        </w:rPr>
        <w:t>We endeavor to maintain sound executive compensation policies and practices, including compensation-related corporate governance standards, consistent with our pay for performance philosophy. The following summarizes our executive compensation and related governance policies and practices:</w:t>
      </w:r>
    </w:p>
    <w:p>
      <w:pPr>
        <w:spacing w:after="0" w:line="130"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49530</wp:posOffset>
            </wp:positionV>
            <wp:extent cx="3402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07" w:lineRule="exact"/>
        <w:rPr>
          <w:sz w:val="20"/>
          <w:szCs w:val="20"/>
          <w:color w:val="auto"/>
        </w:rPr>
      </w:pPr>
    </w:p>
    <w:p>
      <w:pPr>
        <w:ind w:left="4360" w:right="1440" w:hanging="3068"/>
        <w:spacing w:after="0" w:line="298" w:lineRule="auto"/>
        <w:tabs>
          <w:tab w:leader="none" w:pos="1566"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Pay-for-Performance Philosophy </w:t>
      </w:r>
      <w:r>
        <w:rPr>
          <w:rFonts w:ascii="Arial" w:cs="Arial" w:eastAsia="Arial" w:hAnsi="Arial"/>
          <w:sz w:val="16"/>
          <w:szCs w:val="16"/>
          <w:color w:val="auto"/>
        </w:rPr>
        <w:t>A significant portion of our named executive officers’ compensation is</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linked to corporate performance. We structure target total direct compensation with a significant long-term equity component in the form of RSUs and PSUs, thereby making a vast majority of each named executive officer’s target total direct compensation dependent upon our corporate performance, stock price and/or total shareholder return.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Performance-Based Equity</w:t>
            </w:r>
          </w:p>
        </w:tc>
        <w:tc>
          <w:tcPr>
            <w:tcW w:w="6980" w:type="dxa"/>
            <w:vAlign w:val="bottom"/>
          </w:tcPr>
          <w:p>
            <w:pPr>
              <w:ind w:left="320"/>
              <w:spacing w:after="0"/>
              <w:rPr>
                <w:sz w:val="20"/>
                <w:szCs w:val="20"/>
                <w:color w:val="auto"/>
              </w:rPr>
            </w:pPr>
            <w:r>
              <w:rPr>
                <w:rFonts w:ascii="Arial" w:cs="Arial" w:eastAsia="Arial" w:hAnsi="Arial"/>
                <w:sz w:val="18"/>
                <w:szCs w:val="18"/>
                <w:color w:val="auto"/>
              </w:rPr>
              <w:t>Our CEO and our other named executive officers receive performance-</w:t>
            </w:r>
          </w:p>
        </w:tc>
      </w:tr>
      <w:tr>
        <w:trPr>
          <w:trHeight w:val="220"/>
        </w:trPr>
        <w:tc>
          <w:tcPr>
            <w:tcW w:w="4040" w:type="dxa"/>
            <w:vAlign w:val="bottom"/>
          </w:tcPr>
          <w:p>
            <w:pPr>
              <w:ind w:left="1560"/>
              <w:spacing w:after="0"/>
              <w:rPr>
                <w:sz w:val="20"/>
                <w:szCs w:val="20"/>
                <w:color w:val="auto"/>
              </w:rPr>
            </w:pPr>
            <w:r>
              <w:rPr>
                <w:rFonts w:ascii="Arial" w:cs="Arial" w:eastAsia="Arial" w:hAnsi="Arial"/>
                <w:sz w:val="18"/>
                <w:szCs w:val="18"/>
                <w:b w:val="1"/>
                <w:bCs w:val="1"/>
                <w:color w:val="auto"/>
              </w:rPr>
              <w:t>Awards</w:t>
            </w:r>
          </w:p>
        </w:tc>
        <w:tc>
          <w:tcPr>
            <w:tcW w:w="6980" w:type="dxa"/>
            <w:vAlign w:val="bottom"/>
          </w:tcPr>
          <w:p>
            <w:pPr>
              <w:ind w:left="320"/>
              <w:spacing w:after="0"/>
              <w:rPr>
                <w:sz w:val="20"/>
                <w:szCs w:val="20"/>
                <w:color w:val="auto"/>
              </w:rPr>
            </w:pPr>
            <w:r>
              <w:rPr>
                <w:rFonts w:ascii="Arial" w:cs="Arial" w:eastAsia="Arial" w:hAnsi="Arial"/>
                <w:sz w:val="18"/>
                <w:szCs w:val="18"/>
                <w:color w:val="auto"/>
              </w:rPr>
              <w:t>based equity awards in the form of PSUs that vest based on the</w:t>
            </w:r>
          </w:p>
        </w:tc>
      </w:tr>
      <w:tr>
        <w:trPr>
          <w:trHeight w:val="230"/>
        </w:trPr>
        <w:tc>
          <w:tcPr>
            <w:tcW w:w="4040" w:type="dxa"/>
            <w:vAlign w:val="bottom"/>
          </w:tcPr>
          <w:p>
            <w:pPr>
              <w:spacing w:after="0"/>
              <w:rPr>
                <w:sz w:val="20"/>
                <w:szCs w:val="20"/>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achievement of financial goals and relative TSR performance.</w:t>
            </w:r>
          </w:p>
        </w:tc>
      </w:tr>
      <w:tr>
        <w:trPr>
          <w:trHeight w:val="630"/>
        </w:trPr>
        <w:tc>
          <w:tcPr>
            <w:tcW w:w="4040" w:type="dxa"/>
            <w:vAlign w:val="bottom"/>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“Double Trigger” Change in</w:t>
            </w:r>
          </w:p>
        </w:tc>
        <w:tc>
          <w:tcPr>
            <w:tcW w:w="6980" w:type="dxa"/>
            <w:vAlign w:val="bottom"/>
          </w:tcPr>
          <w:p>
            <w:pPr>
              <w:ind w:left="320"/>
              <w:spacing w:after="0"/>
              <w:rPr>
                <w:sz w:val="20"/>
                <w:szCs w:val="20"/>
                <w:color w:val="auto"/>
              </w:rPr>
            </w:pPr>
            <w:r>
              <w:rPr>
                <w:rFonts w:ascii="Arial" w:cs="Arial" w:eastAsia="Arial" w:hAnsi="Arial"/>
                <w:sz w:val="18"/>
                <w:szCs w:val="18"/>
                <w:color w:val="auto"/>
              </w:rPr>
              <w:t>With the exception of our PSU awards that vest at target level upon a</w:t>
            </w:r>
          </w:p>
        </w:tc>
      </w:tr>
      <w:tr>
        <w:trPr>
          <w:trHeight w:val="220"/>
        </w:trPr>
        <w:tc>
          <w:tcPr>
            <w:tcW w:w="4040" w:type="dxa"/>
            <w:vAlign w:val="bottom"/>
          </w:tcPr>
          <w:p>
            <w:pPr>
              <w:ind w:left="1560"/>
              <w:spacing w:after="0"/>
              <w:rPr>
                <w:sz w:val="20"/>
                <w:szCs w:val="20"/>
                <w:color w:val="auto"/>
              </w:rPr>
            </w:pPr>
            <w:r>
              <w:rPr>
                <w:rFonts w:ascii="Arial" w:cs="Arial" w:eastAsia="Arial" w:hAnsi="Arial"/>
                <w:sz w:val="18"/>
                <w:szCs w:val="18"/>
                <w:b w:val="1"/>
                <w:bCs w:val="1"/>
                <w:color w:val="auto"/>
              </w:rPr>
              <w:t>Control Arrangements</w:t>
            </w:r>
          </w:p>
        </w:tc>
        <w:tc>
          <w:tcPr>
            <w:tcW w:w="6980" w:type="dxa"/>
            <w:vAlign w:val="bottom"/>
          </w:tcPr>
          <w:p>
            <w:pPr>
              <w:ind w:left="320"/>
              <w:spacing w:after="0"/>
              <w:rPr>
                <w:sz w:val="20"/>
                <w:szCs w:val="20"/>
                <w:color w:val="auto"/>
              </w:rPr>
            </w:pPr>
            <w:r>
              <w:rPr>
                <w:rFonts w:ascii="Arial" w:cs="Arial" w:eastAsia="Arial" w:hAnsi="Arial"/>
                <w:sz w:val="18"/>
                <w:szCs w:val="18"/>
                <w:color w:val="auto"/>
              </w:rPr>
              <w:t>change in control, our change in control compensation arrangements</w:t>
            </w:r>
          </w:p>
        </w:tc>
      </w:tr>
      <w:tr>
        <w:trPr>
          <w:trHeight w:val="216"/>
        </w:trPr>
        <w:tc>
          <w:tcPr>
            <w:tcW w:w="404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include a “double trigger” provision that requires both a change in control</w:t>
            </w:r>
          </w:p>
        </w:tc>
      </w:tr>
      <w:tr>
        <w:trPr>
          <w:trHeight w:val="216"/>
        </w:trPr>
        <w:tc>
          <w:tcPr>
            <w:tcW w:w="404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of the Company plus a qualifying termination of employment before</w:t>
            </w:r>
          </w:p>
        </w:tc>
      </w:tr>
      <w:tr>
        <w:trPr>
          <w:trHeight w:val="216"/>
        </w:trPr>
        <w:tc>
          <w:tcPr>
            <w:tcW w:w="404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payments and benefits are paid. It is our expectation that all future RSUs</w:t>
            </w:r>
          </w:p>
        </w:tc>
      </w:tr>
      <w:tr>
        <w:trPr>
          <w:trHeight w:val="230"/>
        </w:trPr>
        <w:tc>
          <w:tcPr>
            <w:tcW w:w="4040" w:type="dxa"/>
            <w:vAlign w:val="bottom"/>
          </w:tcPr>
          <w:p>
            <w:pPr>
              <w:spacing w:after="0"/>
              <w:rPr>
                <w:sz w:val="20"/>
                <w:szCs w:val="20"/>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and PSUs will be structured with the same format.</w:t>
            </w:r>
          </w:p>
        </w:tc>
      </w:tr>
      <w:tr>
        <w:trPr>
          <w:trHeight w:val="486"/>
        </w:trPr>
        <w:tc>
          <w:tcPr>
            <w:tcW w:w="4040" w:type="dxa"/>
            <w:vAlign w:val="bottom"/>
          </w:tcPr>
          <w:p>
            <w:pPr>
              <w:spacing w:after="0"/>
              <w:rPr>
                <w:sz w:val="24"/>
                <w:szCs w:val="24"/>
                <w:color w:val="auto"/>
              </w:rPr>
            </w:pPr>
          </w:p>
        </w:tc>
        <w:tc>
          <w:tcPr>
            <w:tcW w:w="6980" w:type="dxa"/>
            <w:vAlign w:val="bottom"/>
          </w:tcPr>
          <w:p>
            <w:pPr>
              <w:ind w:left="1380"/>
              <w:spacing w:after="0"/>
              <w:rPr>
                <w:sz w:val="20"/>
                <w:szCs w:val="20"/>
                <w:color w:val="auto"/>
              </w:rPr>
            </w:pPr>
            <w:r>
              <w:rPr>
                <w:rFonts w:ascii="Arial" w:cs="Arial" w:eastAsia="Arial" w:hAnsi="Arial"/>
                <w:sz w:val="18"/>
                <w:szCs w:val="18"/>
                <w:color w:val="auto"/>
              </w:rPr>
              <w:t>19</w:t>
            </w:r>
          </w:p>
        </w:tc>
      </w:tr>
      <w:tr>
        <w:trPr>
          <w:trHeight w:val="183"/>
        </w:trPr>
        <w:tc>
          <w:tcPr>
            <w:tcW w:w="404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4" w:name="page25"/>
    <w:bookmarkEnd w:id="24"/>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49530</wp:posOffset>
            </wp:positionV>
            <wp:extent cx="34029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560" w:hanging="268"/>
        <w:spacing w:after="0"/>
        <w:tabs>
          <w:tab w:leader="none" w:pos="15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Human Capital Management and  </w:t>
      </w:r>
      <w:r>
        <w:rPr>
          <w:rFonts w:ascii="Arial" w:cs="Arial" w:eastAsia="Arial" w:hAnsi="Arial"/>
          <w:sz w:val="18"/>
          <w:szCs w:val="18"/>
          <w:color w:val="auto"/>
        </w:rPr>
        <w:t>We provide opportunities for training and advancement to all employees</w:t>
      </w:r>
    </w:p>
    <w:p>
      <w:pPr>
        <w:spacing w:after="0" w:line="22"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2600" w:type="dxa"/>
            <w:vAlign w:val="bottom"/>
          </w:tcPr>
          <w:p>
            <w:pPr>
              <w:ind w:left="100"/>
              <w:spacing w:after="0"/>
              <w:rPr>
                <w:sz w:val="20"/>
                <w:szCs w:val="20"/>
                <w:color w:val="auto"/>
              </w:rPr>
            </w:pPr>
            <w:r>
              <w:rPr>
                <w:rFonts w:ascii="Arial" w:cs="Arial" w:eastAsia="Arial" w:hAnsi="Arial"/>
                <w:sz w:val="18"/>
                <w:szCs w:val="18"/>
                <w:b w:val="1"/>
                <w:bCs w:val="1"/>
                <w:color w:val="auto"/>
              </w:rPr>
              <w:t>Succession Planning</w:t>
            </w:r>
          </w:p>
        </w:tc>
        <w:tc>
          <w:tcPr>
            <w:tcW w:w="5640" w:type="dxa"/>
            <w:vAlign w:val="bottom"/>
          </w:tcPr>
          <w:p>
            <w:pPr>
              <w:ind w:left="300"/>
              <w:spacing w:after="0"/>
              <w:rPr>
                <w:sz w:val="20"/>
                <w:szCs w:val="20"/>
                <w:color w:val="auto"/>
              </w:rPr>
            </w:pPr>
            <w:r>
              <w:rPr>
                <w:rFonts w:ascii="Arial" w:cs="Arial" w:eastAsia="Arial" w:hAnsi="Arial"/>
                <w:sz w:val="18"/>
                <w:szCs w:val="18"/>
                <w:color w:val="auto"/>
                <w:w w:val="97"/>
              </w:rPr>
              <w:t>as part of our human capital management program. Furthermore, we</w:t>
            </w:r>
          </w:p>
        </w:tc>
      </w:tr>
      <w:tr>
        <w:trPr>
          <w:trHeight w:val="216"/>
        </w:trPr>
        <w:tc>
          <w:tcPr>
            <w:tcW w:w="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w w:val="98"/>
              </w:rPr>
              <w:t>conduct succession planning and executive assessments for all key</w:t>
            </w:r>
          </w:p>
        </w:tc>
      </w:tr>
      <w:tr>
        <w:trPr>
          <w:trHeight w:val="230"/>
        </w:trPr>
        <w:tc>
          <w:tcPr>
            <w:tcW w:w="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rPr>
              <w:t>employees to ensure orderly succession plans are in place.</w:t>
            </w:r>
          </w:p>
        </w:tc>
      </w:tr>
      <w:tr>
        <w:trPr>
          <w:trHeight w:val="6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b w:val="1"/>
                <w:bCs w:val="1"/>
                <w:color w:val="auto"/>
              </w:rPr>
              <w:t>Independent Compensation</w:t>
            </w:r>
          </w:p>
        </w:tc>
        <w:tc>
          <w:tcPr>
            <w:tcW w:w="5640" w:type="dxa"/>
            <w:vAlign w:val="bottom"/>
          </w:tcPr>
          <w:p>
            <w:pPr>
              <w:ind w:left="300"/>
              <w:spacing w:after="0"/>
              <w:rPr>
                <w:sz w:val="20"/>
                <w:szCs w:val="20"/>
                <w:color w:val="auto"/>
              </w:rPr>
            </w:pPr>
            <w:r>
              <w:rPr>
                <w:rFonts w:ascii="Arial" w:cs="Arial" w:eastAsia="Arial" w:hAnsi="Arial"/>
                <w:sz w:val="18"/>
                <w:szCs w:val="18"/>
                <w:color w:val="auto"/>
                <w:w w:val="93"/>
              </w:rPr>
              <w:t>The Compensation Committee consists solely of independent directors.</w:t>
            </w:r>
          </w:p>
        </w:tc>
      </w:tr>
      <w:tr>
        <w:trPr>
          <w:trHeight w:val="234"/>
        </w:trPr>
        <w:tc>
          <w:tcPr>
            <w:tcW w:w="160" w:type="dxa"/>
            <w:vAlign w:val="bottom"/>
          </w:tcPr>
          <w:p>
            <w:pPr>
              <w:spacing w:after="0"/>
              <w:rPr>
                <w:sz w:val="20"/>
                <w:szCs w:val="20"/>
                <w:color w:val="auto"/>
              </w:rPr>
            </w:pPr>
          </w:p>
        </w:tc>
        <w:tc>
          <w:tcPr>
            <w:tcW w:w="2600" w:type="dxa"/>
            <w:vAlign w:val="bottom"/>
          </w:tcPr>
          <w:p>
            <w:pPr>
              <w:ind w:left="100"/>
              <w:spacing w:after="0"/>
              <w:rPr>
                <w:sz w:val="20"/>
                <w:szCs w:val="20"/>
                <w:color w:val="auto"/>
              </w:rPr>
            </w:pPr>
            <w:r>
              <w:rPr>
                <w:rFonts w:ascii="Arial" w:cs="Arial" w:eastAsia="Arial" w:hAnsi="Arial"/>
                <w:sz w:val="18"/>
                <w:szCs w:val="18"/>
                <w:b w:val="1"/>
                <w:bCs w:val="1"/>
                <w:color w:val="auto"/>
              </w:rPr>
              <w:t>Committee</w:t>
            </w:r>
          </w:p>
        </w:tc>
        <w:tc>
          <w:tcPr>
            <w:tcW w:w="5640" w:type="dxa"/>
            <w:vAlign w:val="bottom"/>
          </w:tcPr>
          <w:p>
            <w:pPr>
              <w:spacing w:after="0"/>
              <w:rPr>
                <w:sz w:val="20"/>
                <w:szCs w:val="20"/>
                <w:color w:val="auto"/>
              </w:rPr>
            </w:pPr>
          </w:p>
        </w:tc>
      </w:tr>
      <w:tr>
        <w:trPr>
          <w:trHeight w:val="6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b w:val="1"/>
                <w:bCs w:val="1"/>
                <w:color w:val="auto"/>
              </w:rPr>
              <w:t>Compensation Recovery</w:t>
            </w:r>
          </w:p>
        </w:tc>
        <w:tc>
          <w:tcPr>
            <w:tcW w:w="5640" w:type="dxa"/>
            <w:vAlign w:val="bottom"/>
          </w:tcPr>
          <w:p>
            <w:pPr>
              <w:ind w:left="300"/>
              <w:spacing w:after="0"/>
              <w:rPr>
                <w:sz w:val="20"/>
                <w:szCs w:val="20"/>
                <w:color w:val="auto"/>
              </w:rPr>
            </w:pPr>
            <w:r>
              <w:rPr>
                <w:rFonts w:ascii="Arial" w:cs="Arial" w:eastAsia="Arial" w:hAnsi="Arial"/>
                <w:sz w:val="18"/>
                <w:szCs w:val="18"/>
                <w:color w:val="auto"/>
                <w:w w:val="97"/>
              </w:rPr>
              <w:t>We have a policy providing for the recovery of certain cash incentive</w:t>
            </w:r>
          </w:p>
        </w:tc>
      </w:tr>
      <w:tr>
        <w:trPr>
          <w:trHeight w:val="220"/>
        </w:trPr>
        <w:tc>
          <w:tcPr>
            <w:tcW w:w="1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Arial" w:cs="Arial" w:eastAsia="Arial" w:hAnsi="Arial"/>
                <w:sz w:val="18"/>
                <w:szCs w:val="18"/>
                <w:b w:val="1"/>
                <w:bCs w:val="1"/>
                <w:color w:val="auto"/>
              </w:rPr>
              <w:t>(“Clawback”) Policy</w:t>
            </w:r>
          </w:p>
        </w:tc>
        <w:tc>
          <w:tcPr>
            <w:tcW w:w="5640" w:type="dxa"/>
            <w:vAlign w:val="bottom"/>
          </w:tcPr>
          <w:p>
            <w:pPr>
              <w:ind w:left="300"/>
              <w:spacing w:after="0"/>
              <w:rPr>
                <w:sz w:val="20"/>
                <w:szCs w:val="20"/>
                <w:color w:val="auto"/>
              </w:rPr>
            </w:pPr>
            <w:r>
              <w:rPr>
                <w:rFonts w:ascii="Arial" w:cs="Arial" w:eastAsia="Arial" w:hAnsi="Arial"/>
                <w:sz w:val="18"/>
                <w:szCs w:val="18"/>
                <w:color w:val="auto"/>
                <w:w w:val="90"/>
              </w:rPr>
              <w:t>compensation and equity or equity-based awards from our CEO and other</w:t>
            </w:r>
          </w:p>
        </w:tc>
      </w:tr>
      <w:tr>
        <w:trPr>
          <w:trHeight w:val="230"/>
        </w:trPr>
        <w:tc>
          <w:tcPr>
            <w:tcW w:w="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rPr>
              <w:t>executive officers (including our other named executive officers).</w:t>
            </w:r>
          </w:p>
        </w:tc>
      </w:tr>
      <w:tr>
        <w:trPr>
          <w:trHeight w:val="63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b w:val="1"/>
                <w:bCs w:val="1"/>
                <w:color w:val="auto"/>
              </w:rPr>
              <w:t>Stock Ownership Guidelines</w:t>
            </w:r>
          </w:p>
        </w:tc>
        <w:tc>
          <w:tcPr>
            <w:tcW w:w="5640" w:type="dxa"/>
            <w:vAlign w:val="bottom"/>
          </w:tcPr>
          <w:p>
            <w:pPr>
              <w:ind w:left="300"/>
              <w:spacing w:after="0"/>
              <w:rPr>
                <w:sz w:val="20"/>
                <w:szCs w:val="20"/>
                <w:color w:val="auto"/>
              </w:rPr>
            </w:pPr>
            <w:r>
              <w:rPr>
                <w:rFonts w:ascii="Arial" w:cs="Arial" w:eastAsia="Arial" w:hAnsi="Arial"/>
                <w:sz w:val="18"/>
                <w:szCs w:val="18"/>
                <w:color w:val="auto"/>
                <w:w w:val="91"/>
              </w:rPr>
              <w:t>We maintain stock ownership guidelines for our CEO, our other executive</w:t>
            </w:r>
          </w:p>
        </w:tc>
      </w:tr>
      <w:tr>
        <w:trPr>
          <w:trHeight w:val="216"/>
        </w:trPr>
        <w:tc>
          <w:tcPr>
            <w:tcW w:w="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w w:val="99"/>
              </w:rPr>
              <w:t>officers (including our other named executive officers) and the non-</w:t>
            </w:r>
          </w:p>
        </w:tc>
      </w:tr>
      <w:tr>
        <w:trPr>
          <w:trHeight w:val="230"/>
        </w:trPr>
        <w:tc>
          <w:tcPr>
            <w:tcW w:w="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rPr>
              <w:t>employee members of our Board.</w:t>
            </w:r>
          </w:p>
        </w:tc>
      </w:tr>
      <w:tr>
        <w:trPr>
          <w:trHeight w:val="634"/>
        </w:trPr>
        <w:tc>
          <w:tcPr>
            <w:tcW w:w="276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Equity Award Grant Policy</w:t>
            </w:r>
          </w:p>
        </w:tc>
        <w:tc>
          <w:tcPr>
            <w:tcW w:w="5640" w:type="dxa"/>
            <w:vAlign w:val="bottom"/>
          </w:tcPr>
          <w:p>
            <w:pPr>
              <w:ind w:left="300"/>
              <w:spacing w:after="0"/>
              <w:rPr>
                <w:sz w:val="20"/>
                <w:szCs w:val="20"/>
                <w:color w:val="auto"/>
              </w:rPr>
            </w:pPr>
            <w:r>
              <w:rPr>
                <w:rFonts w:ascii="Arial" w:cs="Arial" w:eastAsia="Arial" w:hAnsi="Arial"/>
                <w:sz w:val="18"/>
                <w:szCs w:val="18"/>
                <w:color w:val="auto"/>
                <w:w w:val="95"/>
              </w:rPr>
              <w:t>Equity awards are granted in accordance with our Equity Award Grant</w:t>
            </w:r>
          </w:p>
        </w:tc>
      </w:tr>
      <w:tr>
        <w:trPr>
          <w:trHeight w:val="216"/>
        </w:trPr>
        <w:tc>
          <w:tcPr>
            <w:tcW w:w="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w w:val="99"/>
              </w:rPr>
              <w:t>Policy. We do not have any program, practice or plan to time equity</w:t>
            </w:r>
          </w:p>
        </w:tc>
      </w:tr>
      <w:tr>
        <w:trPr>
          <w:trHeight w:val="216"/>
        </w:trPr>
        <w:tc>
          <w:tcPr>
            <w:tcW w:w="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rPr>
              <w:t>awards in coordination with the release of material non-public</w:t>
            </w:r>
          </w:p>
        </w:tc>
      </w:tr>
      <w:tr>
        <w:trPr>
          <w:trHeight w:val="230"/>
        </w:trPr>
        <w:tc>
          <w:tcPr>
            <w:tcW w:w="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rPr>
              <w:t>information.</w:t>
            </w:r>
          </w:p>
        </w:tc>
      </w:tr>
      <w:tr>
        <w:trPr>
          <w:trHeight w:val="6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b w:val="1"/>
                <w:bCs w:val="1"/>
                <w:color w:val="auto"/>
              </w:rPr>
              <w:t>Retain an Independent</w:t>
            </w:r>
          </w:p>
        </w:tc>
        <w:tc>
          <w:tcPr>
            <w:tcW w:w="5640" w:type="dxa"/>
            <w:vAlign w:val="bottom"/>
          </w:tcPr>
          <w:p>
            <w:pPr>
              <w:ind w:left="300"/>
              <w:spacing w:after="0"/>
              <w:rPr>
                <w:sz w:val="20"/>
                <w:szCs w:val="20"/>
                <w:color w:val="auto"/>
              </w:rPr>
            </w:pPr>
            <w:r>
              <w:rPr>
                <w:rFonts w:ascii="Arial" w:cs="Arial" w:eastAsia="Arial" w:hAnsi="Arial"/>
                <w:sz w:val="18"/>
                <w:szCs w:val="18"/>
                <w:color w:val="auto"/>
              </w:rPr>
              <w:t>The Compensation Committee has engaged its own independent</w:t>
            </w:r>
          </w:p>
        </w:tc>
      </w:tr>
      <w:tr>
        <w:trPr>
          <w:trHeight w:val="220"/>
        </w:trPr>
        <w:tc>
          <w:tcPr>
            <w:tcW w:w="1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Arial" w:cs="Arial" w:eastAsia="Arial" w:hAnsi="Arial"/>
                <w:sz w:val="18"/>
                <w:szCs w:val="18"/>
                <w:b w:val="1"/>
                <w:bCs w:val="1"/>
                <w:color w:val="auto"/>
              </w:rPr>
              <w:t>Compensation Advisor</w:t>
            </w:r>
          </w:p>
        </w:tc>
        <w:tc>
          <w:tcPr>
            <w:tcW w:w="5640" w:type="dxa"/>
            <w:vAlign w:val="bottom"/>
          </w:tcPr>
          <w:p>
            <w:pPr>
              <w:ind w:left="300"/>
              <w:spacing w:after="0"/>
              <w:rPr>
                <w:sz w:val="20"/>
                <w:szCs w:val="20"/>
                <w:color w:val="auto"/>
              </w:rPr>
            </w:pPr>
            <w:r>
              <w:rPr>
                <w:rFonts w:ascii="Arial" w:cs="Arial" w:eastAsia="Arial" w:hAnsi="Arial"/>
                <w:sz w:val="18"/>
                <w:szCs w:val="18"/>
                <w:color w:val="auto"/>
                <w:w w:val="93"/>
              </w:rPr>
              <w:t>compensation advisor to provide information, analysis and other advice</w:t>
            </w:r>
          </w:p>
        </w:tc>
      </w:tr>
      <w:tr>
        <w:trPr>
          <w:trHeight w:val="230"/>
        </w:trPr>
        <w:tc>
          <w:tcPr>
            <w:tcW w:w="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rPr>
              <w:t>on executive compensation independent of management.</w:t>
            </w:r>
          </w:p>
        </w:tc>
      </w:tr>
    </w:tbl>
    <w:p>
      <w:pPr>
        <w:spacing w:after="0" w:line="200" w:lineRule="exact"/>
        <w:rPr>
          <w:sz w:val="20"/>
          <w:szCs w:val="20"/>
          <w:color w:val="auto"/>
        </w:rPr>
      </w:pPr>
    </w:p>
    <w:p>
      <w:pPr>
        <w:spacing w:after="0" w:line="214" w:lineRule="exact"/>
        <w:rPr>
          <w:sz w:val="20"/>
          <w:szCs w:val="20"/>
          <w:color w:val="auto"/>
        </w:rPr>
      </w:pPr>
    </w:p>
    <w:p>
      <w:pPr>
        <w:ind w:left="1560" w:hanging="268"/>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Annual Executive Compensation   </w:t>
      </w:r>
      <w:r>
        <w:rPr>
          <w:rFonts w:ascii="Arial" w:cs="Arial" w:eastAsia="Arial" w:hAnsi="Arial"/>
          <w:sz w:val="18"/>
          <w:szCs w:val="18"/>
          <w:color w:val="auto"/>
        </w:rPr>
        <w:t>The Compensation Committee conducts an annual review of our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ind w:left="1560"/>
              <w:spacing w:after="0"/>
              <w:rPr>
                <w:sz w:val="20"/>
                <w:szCs w:val="20"/>
                <w:color w:val="auto"/>
              </w:rPr>
            </w:pPr>
            <w:r>
              <w:rPr>
                <w:rFonts w:ascii="Arial" w:cs="Arial" w:eastAsia="Arial" w:hAnsi="Arial"/>
                <w:sz w:val="18"/>
                <w:szCs w:val="18"/>
                <w:b w:val="1"/>
                <w:bCs w:val="1"/>
                <w:color w:val="auto"/>
              </w:rPr>
              <w:t>Review</w:t>
            </w:r>
          </w:p>
        </w:tc>
        <w:tc>
          <w:tcPr>
            <w:tcW w:w="7780" w:type="dxa"/>
            <w:vAlign w:val="bottom"/>
          </w:tcPr>
          <w:p>
            <w:pPr>
              <w:ind w:left="1120"/>
              <w:spacing w:after="0"/>
              <w:rPr>
                <w:sz w:val="20"/>
                <w:szCs w:val="20"/>
                <w:color w:val="auto"/>
              </w:rPr>
            </w:pPr>
            <w:r>
              <w:rPr>
                <w:rFonts w:ascii="Arial" w:cs="Arial" w:eastAsia="Arial" w:hAnsi="Arial"/>
                <w:sz w:val="18"/>
                <w:szCs w:val="18"/>
                <w:color w:val="auto"/>
              </w:rPr>
              <w:t>compensation strategy, including a review of our compensation used for</w:t>
            </w:r>
          </w:p>
        </w:tc>
      </w:tr>
      <w:tr>
        <w:trPr>
          <w:trHeight w:val="230"/>
        </w:trPr>
        <w:tc>
          <w:tcPr>
            <w:tcW w:w="3240" w:type="dxa"/>
            <w:vAlign w:val="bottom"/>
          </w:tcPr>
          <w:p>
            <w:pPr>
              <w:spacing w:after="0"/>
              <w:rPr>
                <w:sz w:val="20"/>
                <w:szCs w:val="20"/>
                <w:color w:val="auto"/>
              </w:rPr>
            </w:pPr>
          </w:p>
        </w:tc>
        <w:tc>
          <w:tcPr>
            <w:tcW w:w="7780" w:type="dxa"/>
            <w:vAlign w:val="bottom"/>
          </w:tcPr>
          <w:p>
            <w:pPr>
              <w:ind w:left="1120"/>
              <w:spacing w:after="0"/>
              <w:rPr>
                <w:sz w:val="20"/>
                <w:szCs w:val="20"/>
                <w:color w:val="auto"/>
              </w:rPr>
            </w:pPr>
            <w:r>
              <w:rPr>
                <w:rFonts w:ascii="Arial" w:cs="Arial" w:eastAsia="Arial" w:hAnsi="Arial"/>
                <w:sz w:val="18"/>
                <w:szCs w:val="18"/>
                <w:color w:val="auto"/>
              </w:rPr>
              <w:t>comparative purposes.</w:t>
            </w:r>
          </w:p>
        </w:tc>
      </w:tr>
      <w:tr>
        <w:trPr>
          <w:trHeight w:val="810"/>
        </w:trPr>
        <w:tc>
          <w:tcPr>
            <w:tcW w:w="3240" w:type="dxa"/>
            <w:vAlign w:val="bottom"/>
          </w:tcPr>
          <w:p>
            <w:pPr>
              <w:spacing w:after="0"/>
              <w:rPr>
                <w:sz w:val="24"/>
                <w:szCs w:val="24"/>
                <w:color w:val="auto"/>
              </w:rPr>
            </w:pPr>
          </w:p>
        </w:tc>
        <w:tc>
          <w:tcPr>
            <w:tcW w:w="7780" w:type="dxa"/>
            <w:vAlign w:val="bottom"/>
          </w:tcPr>
          <w:p>
            <w:pPr>
              <w:jc w:val="right"/>
              <w:ind w:right="5330"/>
              <w:spacing w:after="0"/>
              <w:rPr>
                <w:sz w:val="20"/>
                <w:szCs w:val="20"/>
                <w:color w:val="auto"/>
              </w:rPr>
            </w:pPr>
            <w:r>
              <w:rPr>
                <w:rFonts w:ascii="Arial" w:cs="Arial" w:eastAsia="Arial" w:hAnsi="Arial"/>
                <w:sz w:val="18"/>
                <w:szCs w:val="18"/>
                <w:color w:val="auto"/>
              </w:rPr>
              <w:t>20</w:t>
            </w:r>
          </w:p>
        </w:tc>
      </w:tr>
      <w:tr>
        <w:trPr>
          <w:trHeight w:val="196"/>
        </w:trPr>
        <w:tc>
          <w:tcPr>
            <w:tcW w:w="3240" w:type="dxa"/>
            <w:vAlign w:val="bottom"/>
            <w:tcBorders>
              <w:bottom w:val="single" w:sz="8" w:color="auto"/>
            </w:tcBorders>
          </w:tcPr>
          <w:p>
            <w:pPr>
              <w:spacing w:after="0"/>
              <w:rPr>
                <w:sz w:val="17"/>
                <w:szCs w:val="17"/>
                <w:color w:val="auto"/>
              </w:rPr>
            </w:pPr>
          </w:p>
        </w:tc>
        <w:tc>
          <w:tcPr>
            <w:tcW w:w="778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25" w:name="page26"/>
    <w:bookmarkEnd w:id="2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ind w:left="560" w:right="160" w:hanging="268"/>
        <w:spacing w:after="0" w:line="347"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Balanced Time Horizon for Incentive Compensation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5" w:lineRule="exact"/>
        <w:rPr>
          <w:rFonts w:ascii="Arial" w:cs="Arial" w:eastAsia="Arial" w:hAnsi="Arial"/>
          <w:sz w:val="16"/>
          <w:szCs w:val="16"/>
          <w:color w:val="auto"/>
        </w:rPr>
      </w:pPr>
    </w:p>
    <w:p>
      <w:pPr>
        <w:ind w:left="560" w:hanging="268"/>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No Special Retirement Plans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9" w:lineRule="exact"/>
        <w:rPr>
          <w:rFonts w:ascii="Arial" w:cs="Arial" w:eastAsia="Arial" w:hAnsi="Arial"/>
          <w:sz w:val="16"/>
          <w:szCs w:val="16"/>
          <w:color w:val="auto"/>
        </w:rPr>
      </w:pPr>
    </w:p>
    <w:p>
      <w:pPr>
        <w:ind w:left="560" w:hanging="268"/>
        <w:spacing w:after="0"/>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No Stock Option Re-Pricing</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4" w:lineRule="exact"/>
        <w:rPr>
          <w:rFonts w:ascii="Arial" w:cs="Arial" w:eastAsia="Arial" w:hAnsi="Arial"/>
          <w:sz w:val="17"/>
          <w:szCs w:val="17"/>
          <w:color w:val="auto"/>
        </w:rPr>
      </w:pPr>
    </w:p>
    <w:p>
      <w:pPr>
        <w:ind w:left="560" w:hanging="268"/>
        <w:spacing w:after="0" w:line="314"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No Excise Tax Payments on Future Post-Employment Compensation Arrangements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34029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24" w:lineRule="exact"/>
        <w:rPr>
          <w:sz w:val="20"/>
          <w:szCs w:val="20"/>
          <w:color w:val="auto"/>
        </w:rPr>
      </w:pPr>
    </w:p>
    <w:p>
      <w:pPr>
        <w:ind w:right="319"/>
        <w:spacing w:after="0" w:line="311" w:lineRule="auto"/>
        <w:rPr>
          <w:sz w:val="20"/>
          <w:szCs w:val="20"/>
          <w:color w:val="auto"/>
        </w:rPr>
      </w:pPr>
      <w:r>
        <w:rPr>
          <w:rFonts w:ascii="Arial" w:cs="Arial" w:eastAsia="Arial" w:hAnsi="Arial"/>
          <w:sz w:val="16"/>
          <w:szCs w:val="16"/>
          <w:color w:val="auto"/>
        </w:rPr>
        <w:t>We have a balance of time horizons for our incentive awards, including an annual cash incentive plan, a three-year performance period for our TSR PSUs and a three-year vesting period for our RSUs and Financial PSUs.</w:t>
      </w:r>
    </w:p>
    <w:p>
      <w:pPr>
        <w:spacing w:after="0" w:line="167"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34029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24" w:lineRule="exact"/>
        <w:rPr>
          <w:sz w:val="20"/>
          <w:szCs w:val="20"/>
          <w:color w:val="auto"/>
        </w:rPr>
      </w:pPr>
    </w:p>
    <w:p>
      <w:pPr>
        <w:ind w:right="359"/>
        <w:spacing w:after="0" w:line="286" w:lineRule="auto"/>
        <w:rPr>
          <w:sz w:val="20"/>
          <w:szCs w:val="20"/>
          <w:color w:val="auto"/>
        </w:rPr>
      </w:pPr>
      <w:r>
        <w:rPr>
          <w:rFonts w:ascii="Arial" w:cs="Arial" w:eastAsia="Arial" w:hAnsi="Arial"/>
          <w:sz w:val="17"/>
          <w:szCs w:val="17"/>
          <w:color w:val="auto"/>
        </w:rPr>
        <w:t>We do not currently offer pension arrangements or retirement plans to our executive officers other than statutory severance benefits required under the Employee Retirement Benefit Security Act of Korea.</w:t>
      </w:r>
    </w:p>
    <w:p>
      <w:pPr>
        <w:spacing w:after="0" w:line="381" w:lineRule="exact"/>
        <w:rPr>
          <w:sz w:val="20"/>
          <w:szCs w:val="20"/>
          <w:color w:val="auto"/>
        </w:rPr>
      </w:pPr>
    </w:p>
    <w:p>
      <w:pPr>
        <w:ind w:right="499"/>
        <w:spacing w:after="0" w:line="263" w:lineRule="auto"/>
        <w:rPr>
          <w:sz w:val="20"/>
          <w:szCs w:val="20"/>
          <w:color w:val="auto"/>
        </w:rPr>
      </w:pPr>
      <w:r>
        <w:rPr>
          <w:rFonts w:ascii="Arial" w:cs="Arial" w:eastAsia="Arial" w:hAnsi="Arial"/>
          <w:sz w:val="18"/>
          <w:szCs w:val="18"/>
          <w:color w:val="auto"/>
        </w:rPr>
        <w:t>Our equity compensation plan does not permit stock options or stock appreciation rights (“SARs”) to be repriced to a lower exercise or strike price without the approval of our stockholders.</w:t>
      </w:r>
    </w:p>
    <w:p>
      <w:pPr>
        <w:spacing w:after="0" w:line="400" w:lineRule="exact"/>
        <w:rPr>
          <w:sz w:val="20"/>
          <w:szCs w:val="20"/>
          <w:color w:val="auto"/>
        </w:rPr>
      </w:pPr>
    </w:p>
    <w:p>
      <w:pPr>
        <w:ind w:right="339"/>
        <w:spacing w:after="0" w:line="293" w:lineRule="auto"/>
        <w:rPr>
          <w:sz w:val="20"/>
          <w:szCs w:val="20"/>
          <w:color w:val="auto"/>
        </w:rPr>
      </w:pPr>
      <w:r>
        <w:rPr>
          <w:rFonts w:ascii="Arial" w:cs="Arial" w:eastAsia="Arial" w:hAnsi="Arial"/>
          <w:sz w:val="16"/>
          <w:szCs w:val="16"/>
          <w:color w:val="auto"/>
        </w:rPr>
        <w:t>We do not provide any excise tax reimbursement payments (including “gross-ups”) with respect to payments or benefits contingent upon a change in control of the Company. The Company does, however, have the obligation to provide tax equalization to the CEO and the CCO with respect to such payments and benefits, as a part of their expatriate benefit package because they are subject to taxation in both the U.S. and Korea.</w:t>
      </w:r>
    </w:p>
    <w:p>
      <w:pPr>
        <w:spacing w:after="0" w:line="200" w:lineRule="exact"/>
        <w:rPr>
          <w:sz w:val="20"/>
          <w:szCs w:val="20"/>
          <w:color w:val="auto"/>
        </w:rPr>
      </w:pPr>
    </w:p>
    <w:p>
      <w:pPr>
        <w:sectPr>
          <w:pgSz w:w="11900" w:h="16838" w:orient="portrait"/>
          <w:cols w:equalWidth="0" w:num="2">
            <w:col w:w="2820" w:space="540"/>
            <w:col w:w="5659"/>
          </w:cols>
          <w:pgMar w:left="1440" w:top="265" w:right="1440" w:bottom="1440" w:gutter="0" w:footer="0" w:header="0"/>
        </w:sectPr>
      </w:pPr>
    </w:p>
    <w:p>
      <w:pPr>
        <w:spacing w:after="0" w:line="176" w:lineRule="exact"/>
        <w:rPr>
          <w:sz w:val="20"/>
          <w:szCs w:val="20"/>
          <w:color w:val="auto"/>
        </w:rPr>
      </w:pPr>
    </w:p>
    <w:p>
      <w:pPr>
        <w:ind w:left="300"/>
        <w:spacing w:after="0"/>
        <w:tabs>
          <w:tab w:leader="none" w:pos="540" w:val="left"/>
          <w:tab w:leader="none" w:pos="3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No Hedging or Pledging</w:t>
      </w:r>
      <w:r>
        <w:rPr>
          <w:sz w:val="20"/>
          <w:szCs w:val="20"/>
          <w:color w:val="auto"/>
        </w:rPr>
        <w:tab/>
      </w:r>
      <w:r>
        <w:rPr>
          <w:rFonts w:ascii="Arial" w:cs="Arial" w:eastAsia="Arial" w:hAnsi="Arial"/>
          <w:sz w:val="16"/>
          <w:szCs w:val="16"/>
          <w:color w:val="auto"/>
        </w:rPr>
        <w:t>We prohibit our employees, including our executive officers, and the non-</w:t>
      </w:r>
    </w:p>
    <w:p>
      <w:pPr>
        <w:spacing w:after="0" w:line="27" w:lineRule="exact"/>
        <w:rPr>
          <w:sz w:val="20"/>
          <w:szCs w:val="20"/>
          <w:color w:val="auto"/>
        </w:rPr>
      </w:pPr>
    </w:p>
    <w:p>
      <w:pPr>
        <w:ind w:left="3360" w:right="499"/>
        <w:spacing w:after="0" w:line="290" w:lineRule="auto"/>
        <w:rPr>
          <w:sz w:val="20"/>
          <w:szCs w:val="20"/>
          <w:color w:val="auto"/>
        </w:rPr>
      </w:pPr>
      <w:r>
        <w:rPr>
          <w:rFonts w:ascii="Arial" w:cs="Arial" w:eastAsia="Arial" w:hAnsi="Arial"/>
          <w:sz w:val="17"/>
          <w:szCs w:val="17"/>
          <w:color w:val="auto"/>
        </w:rPr>
        <w:t>employee members of our Board from pledging, engaging in short sales and certain derivative transactions relating to our securities.</w:t>
      </w:r>
    </w:p>
    <w:p>
      <w:pPr>
        <w:spacing w:after="0" w:line="373" w:lineRule="exact"/>
        <w:rPr>
          <w:sz w:val="20"/>
          <w:szCs w:val="20"/>
          <w:color w:val="auto"/>
        </w:rPr>
      </w:pPr>
    </w:p>
    <w:p>
      <w:pPr>
        <w:ind w:left="560" w:hanging="268"/>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No Special Welfare or Health</w:t>
      </w:r>
      <w:r>
        <w:rPr>
          <w:rFonts w:ascii="Arial" w:cs="Arial" w:eastAsia="Arial" w:hAnsi="Arial"/>
          <w:sz w:val="16"/>
          <w:szCs w:val="16"/>
          <w:color w:val="auto"/>
        </w:rPr>
        <w:t>We do not provide our executive officers with any welfare or health</w:t>
      </w:r>
    </w:p>
    <w:p>
      <w:pPr>
        <w:spacing w:after="0" w:line="27" w:lineRule="exact"/>
        <w:rPr>
          <w:sz w:val="20"/>
          <w:szCs w:val="20"/>
          <w:color w:val="auto"/>
        </w:rPr>
      </w:pPr>
    </w:p>
    <w:p>
      <w:pPr>
        <w:ind w:left="560"/>
        <w:spacing w:after="0"/>
        <w:tabs>
          <w:tab w:leader="none" w:pos="3340" w:val="left"/>
        </w:tabs>
        <w:rPr>
          <w:sz w:val="20"/>
          <w:szCs w:val="20"/>
          <w:color w:val="auto"/>
        </w:rPr>
      </w:pPr>
      <w:r>
        <w:rPr>
          <w:rFonts w:ascii="Arial" w:cs="Arial" w:eastAsia="Arial" w:hAnsi="Arial"/>
          <w:sz w:val="16"/>
          <w:szCs w:val="16"/>
          <w:b w:val="1"/>
          <w:bCs w:val="1"/>
          <w:color w:val="auto"/>
        </w:rPr>
        <w:t>Benefits</w:t>
      </w:r>
      <w:r>
        <w:rPr>
          <w:sz w:val="20"/>
          <w:szCs w:val="20"/>
          <w:color w:val="auto"/>
        </w:rPr>
        <w:tab/>
      </w:r>
      <w:r>
        <w:rPr>
          <w:rFonts w:ascii="Arial" w:cs="Arial" w:eastAsia="Arial" w:hAnsi="Arial"/>
          <w:sz w:val="16"/>
          <w:szCs w:val="16"/>
          <w:color w:val="auto"/>
        </w:rPr>
        <w:t>benefit programs, other than participation on the same basis as our full-</w:t>
      </w:r>
    </w:p>
    <w:p>
      <w:pPr>
        <w:spacing w:after="0" w:line="32" w:lineRule="exact"/>
        <w:rPr>
          <w:sz w:val="20"/>
          <w:szCs w:val="20"/>
          <w:color w:val="auto"/>
        </w:rPr>
      </w:pPr>
    </w:p>
    <w:p>
      <w:pPr>
        <w:ind w:left="3360" w:right="459"/>
        <w:spacing w:after="0" w:line="253" w:lineRule="auto"/>
        <w:rPr>
          <w:sz w:val="20"/>
          <w:szCs w:val="20"/>
          <w:color w:val="auto"/>
        </w:rPr>
      </w:pPr>
      <w:r>
        <w:rPr>
          <w:rFonts w:ascii="Arial" w:cs="Arial" w:eastAsia="Arial" w:hAnsi="Arial"/>
          <w:sz w:val="18"/>
          <w:szCs w:val="18"/>
          <w:color w:val="auto"/>
        </w:rPr>
        <w:t>time employees in the employee programs that are standard in our industry sector. The Company does provide customary international health insurance to the CEO, the CCO and the GM of Power as a part of their expatriate benefit package.</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560" w:hanging="268"/>
        <w:spacing w:after="0" w:line="266"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No Dividends or Dividend Equivalents Payable on Unvested Equity Awards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We do not pay dividends or dividend equivalents on unvested equity awards.</w:t>
      </w:r>
    </w:p>
    <w:p>
      <w:pPr>
        <w:spacing w:after="0" w:line="406" w:lineRule="exact"/>
        <w:rPr>
          <w:sz w:val="20"/>
          <w:szCs w:val="20"/>
          <w:color w:val="auto"/>
        </w:rPr>
      </w:pPr>
    </w:p>
    <w:p>
      <w:pPr>
        <w:sectPr>
          <w:pgSz w:w="11900" w:h="16838" w:orient="portrait"/>
          <w:cols w:equalWidth="0" w:num="2">
            <w:col w:w="3120" w:space="240"/>
            <w:col w:w="5659"/>
          </w:cols>
          <w:pgMar w:left="1440" w:top="265" w:right="1440"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Say on Pay Vote and Stockholder Input</w:t>
      </w:r>
    </w:p>
    <w:p>
      <w:pPr>
        <w:spacing w:after="0" w:line="117"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The Compensation Committee has responsibility to ensure that the compensation paid to our executive officers aligns with the interests of our stockholders and the Company’s compensation philosophy. Approximately 94.2% of the stockholders at the 2022 Annual Meeting voted to approve the compensation of the Company’s named executive officers as disclosed in the Company’s 2022 proxy statement. With the result of the advisory votes, the Compensation Committee determined that the Company’s executive compensation program continues to be appropriate. Nevertheless, in response to stockholder input regarding topics of concern from our investors, we made changes aimed at increasing the quality and transparency of the disclosures in our Compensation Discussion and Analysis (“CD&amp;A”) this year, with a particular emphasis on disclosures related to variable, performance-based compensation and human capital management. We remain committed to listening to stockholder feedback as we continue to evaluate and refine our compensation programs.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Timing of Compensation Decisions</w:t>
      </w:r>
    </w:p>
    <w:p>
      <w:pPr>
        <w:spacing w:after="0" w:line="117"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Generally, at the end of each annual evaluation period, our CEO reviews the performance of the other executive officers and presents his conclusions and recommendations to the Compensation Committee. At that time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throughout the year, the Compensation Committee also evaluates the performance of our CEO, which is measured in substantial part against our consolidated financial performance.</w:t>
      </w:r>
    </w:p>
    <w:p>
      <w:pPr>
        <w:spacing w:after="0" w:line="62"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Equity awards are made in accordance with our Equity Award Grant Policy described below. We do not have any program, plan or practice to time equity award grants in coordination with the release of material non-public information.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the Compensation Committee in Compensation Decisions</w:t>
      </w:r>
    </w:p>
    <w:p>
      <w:pPr>
        <w:spacing w:after="0" w:line="117"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8"/>
          <w:szCs w:val="18"/>
          <w:color w:val="auto"/>
        </w:rPr>
        <w:t>The Compensation Committee’s responsibilities include evaluating, approving and monitoring our named executive officer and director compensation plans, policies and programs, as well as each of our equity-based compensation plans and policies. In addition, the Compensation Committee has the responsibility of periodically reviewing and advising the Board concerning our human capital strategies, initiatives and programs with respect to our culture, talent, recruitment, retention, employee engagement, and employee diversity, equity and inclusion efforts.</w:t>
      </w:r>
    </w:p>
    <w:p>
      <w:pPr>
        <w:spacing w:after="0" w:line="84" w:lineRule="exact"/>
        <w:rPr>
          <w:sz w:val="20"/>
          <w:szCs w:val="20"/>
          <w:color w:val="auto"/>
        </w:rPr>
      </w:pPr>
    </w:p>
    <w:p>
      <w:pPr>
        <w:ind w:left="300" w:right="759" w:firstLine="360"/>
        <w:spacing w:after="0" w:line="277" w:lineRule="auto"/>
        <w:rPr>
          <w:sz w:val="20"/>
          <w:szCs w:val="20"/>
          <w:color w:val="auto"/>
        </w:rPr>
      </w:pPr>
      <w:r>
        <w:rPr>
          <w:rFonts w:ascii="Arial" w:cs="Arial" w:eastAsia="Arial" w:hAnsi="Arial"/>
          <w:sz w:val="18"/>
          <w:szCs w:val="18"/>
          <w:color w:val="auto"/>
        </w:rPr>
        <w:t>Consistent with our compensation philosophy and objectives, the Compensation Committee evaluates our executive officer compensation packages annually to ensure that:</w:t>
      </w:r>
    </w:p>
    <w:p>
      <w:pPr>
        <w:spacing w:after="0" w:line="62" w:lineRule="exact"/>
        <w:rPr>
          <w:sz w:val="20"/>
          <w:szCs w:val="20"/>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maintain our ability to attract and retain superior executives in critical positions;</w:t>
      </w:r>
    </w:p>
    <w:p>
      <w:pPr>
        <w:spacing w:after="0" w:line="117" w:lineRule="exact"/>
        <w:rPr>
          <w:rFonts w:ascii="Arial" w:cs="Arial" w:eastAsia="Arial" w:hAnsi="Arial"/>
          <w:sz w:val="18"/>
          <w:szCs w:val="18"/>
          <w:color w:val="auto"/>
        </w:rPr>
      </w:pPr>
    </w:p>
    <w:p>
      <w:pPr>
        <w:ind w:left="1000" w:right="519" w:hanging="348"/>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executives are incentivized and rewarded for corporate growth, achievement of long-term corporate objectives and individual performance that meet or exceed our expectations without encouraging unnecessary risk-taking; and</w:t>
      </w:r>
    </w:p>
    <w:p>
      <w:pPr>
        <w:spacing w:after="0" w:line="75" w:lineRule="exact"/>
        <w:rPr>
          <w:rFonts w:ascii="Arial" w:cs="Arial" w:eastAsia="Arial" w:hAnsi="Arial"/>
          <w:sz w:val="18"/>
          <w:szCs w:val="18"/>
          <w:color w:val="auto"/>
        </w:rPr>
      </w:pPr>
    </w:p>
    <w:p>
      <w:pPr>
        <w:ind w:left="1000" w:right="639" w:hanging="348"/>
        <w:spacing w:after="0" w:line="308"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Compensation provided to critical executives remains competitive relative to the compensation paid to similarly situated executives of companies in the semiconductor industry.</w:t>
      </w:r>
    </w:p>
    <w:p>
      <w:pPr>
        <w:spacing w:after="0" w:line="38"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In addition to the annual reviews, the Compensation Committee also typically considers compensation changes upon a named executive officer’s promotion or other change in job responsibility.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CEO in Compensation Decisions</w:t>
      </w:r>
    </w:p>
    <w:p>
      <w:pPr>
        <w:spacing w:after="0" w:line="117"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For named executive officers other than our CEO, we have historically sought and considered input from our CEO and our independent compensation consultant as described below, in making determinations regarding executive compensation.</w:t>
      </w:r>
    </w:p>
    <w:p>
      <w:pPr>
        <w:spacing w:after="0" w:line="76"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Our CEO annually reviews the performance of our other named executive officers. Thereafter, he presents conclusions and recommendations regarding the compensation of such officers, including proposed salary adjustments and incentive amounts, to the Compensation Committee. The Compensation Committee then takes this information into account when it makes final decisions regarding any adjustments or awards.</w:t>
      </w:r>
    </w:p>
    <w:p>
      <w:pPr>
        <w:spacing w:after="0" w:line="63" w:lineRule="exact"/>
        <w:rPr>
          <w:sz w:val="20"/>
          <w:szCs w:val="20"/>
          <w:color w:val="auto"/>
        </w:rPr>
      </w:pPr>
    </w:p>
    <w:p>
      <w:pPr>
        <w:ind w:left="300" w:right="819" w:firstLine="360"/>
        <w:spacing w:after="0" w:line="293" w:lineRule="auto"/>
        <w:rPr>
          <w:sz w:val="20"/>
          <w:szCs w:val="20"/>
          <w:color w:val="auto"/>
        </w:rPr>
      </w:pPr>
      <w:r>
        <w:rPr>
          <w:rFonts w:ascii="Arial" w:cs="Arial" w:eastAsia="Arial" w:hAnsi="Arial"/>
          <w:sz w:val="16"/>
          <w:szCs w:val="16"/>
          <w:color w:val="auto"/>
        </w:rPr>
        <w:t>The review of performance by the Compensation Committee and our CEO of our other named executive officers is both an objective and subjective assessment of each named executive officer’s contribution to our performance, leadership qualities, strengths and weaknesses and performance relative to goals set by the Compensation Committee or our CEO, as applicable. The Compensation Committee and our CEO do not systematically assign a weight to the factors, and may, in their discretion, consider or disregard any one factor which, in their sole discretion, is important to or irrelevant for a particular executive.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left="300" w:right="519" w:firstLine="360"/>
        <w:spacing w:after="0" w:line="275" w:lineRule="auto"/>
        <w:rPr>
          <w:sz w:val="20"/>
          <w:szCs w:val="20"/>
          <w:color w:val="auto"/>
        </w:rPr>
      </w:pPr>
      <w:r>
        <w:rPr>
          <w:rFonts w:ascii="Arial" w:cs="Arial" w:eastAsia="Arial" w:hAnsi="Arial"/>
          <w:sz w:val="17"/>
          <w:szCs w:val="17"/>
          <w:color w:val="auto"/>
        </w:rPr>
        <w:t>The Compensation Committee engages an external compensation consultant to assist it by providing information, analysis and other advice relating to our executive compensation program and the decisions resulting from its annual executive compensation review. For 2022, the Compensation Committee retained Compensia, a national compensation consulting firm, to serve as its independent compensation consultant. This compensation consultant serves at the discretion of the Compensation Committee.</w:t>
      </w:r>
    </w:p>
    <w:p>
      <w:pPr>
        <w:spacing w:after="0" w:line="68" w:lineRule="exact"/>
        <w:rPr>
          <w:sz w:val="20"/>
          <w:szCs w:val="20"/>
          <w:color w:val="auto"/>
        </w:rPr>
      </w:pPr>
    </w:p>
    <w:p>
      <w:pPr>
        <w:ind w:left="300" w:right="839" w:firstLine="360"/>
        <w:spacing w:after="0" w:line="342" w:lineRule="auto"/>
        <w:rPr>
          <w:sz w:val="20"/>
          <w:szCs w:val="20"/>
          <w:color w:val="auto"/>
        </w:rPr>
      </w:pPr>
      <w:r>
        <w:rPr>
          <w:rFonts w:ascii="Arial" w:cs="Arial" w:eastAsia="Arial" w:hAnsi="Arial"/>
          <w:sz w:val="16"/>
          <w:szCs w:val="16"/>
          <w:color w:val="auto"/>
        </w:rPr>
        <w:t>During 2022, Compensia attended some of the meetings of the Compensation Committee (both with and without management present) during the period of its engagement and provided the following services:</w:t>
      </w:r>
    </w:p>
    <w:p>
      <w:pPr>
        <w:spacing w:after="0" w:line="16" w:lineRule="exact"/>
        <w:rPr>
          <w:sz w:val="20"/>
          <w:szCs w:val="20"/>
          <w:color w:val="auto"/>
        </w:rPr>
      </w:pPr>
    </w:p>
    <w:p>
      <w:pPr>
        <w:ind w:left="1000" w:right="107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Consulting with the Compensation Committee Chair and other members between Compensation Committee meetings on compensation matters as needed;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8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Assisting in the drafting of the Compensation Discussion and Analysis and Pay Versus Performance disclosures;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updating the compensation peer group used to assess executive compensation;</w:t>
      </w:r>
    </w:p>
    <w:p>
      <w:pPr>
        <w:spacing w:after="0" w:line="117"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market data for selected executive officer positions covering target total direct compensation levels and design to help the Compensation Committee determine how to competitively set compensation for the selected executive officer positions;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Updates on compensation trends and regulatory developments;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Assistance with the design of the PSUs.</w:t>
      </w:r>
    </w:p>
    <w:p>
      <w:pPr>
        <w:spacing w:after="0" w:line="117"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In 2022, Compensia did not provide any services to us other than the consulting services to the Compensation Committee. The Compensation Committee regularly reviews the objectivity and independence of the advice provided by its compensation consultant on executive compensation. In 2022, the Compensation Committee considered the six specific independence factors adopted by the SEC and reflected in the NYSE listing standards and determined that the work performed by Compensia did not raise any conflicts of interest.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In making decisions regarding the pay of the named executive officers, the Compensation Committee looks to set a total compensation package for each officer that will retain high-quality talent and motivate the officer to achieve the goals set by our Board. Our executive compensation package is generally comprised of the following elements:</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520" w:type="dxa"/>
            <w:vAlign w:val="bottom"/>
          </w:tcPr>
          <w:p>
            <w:pPr>
              <w:spacing w:after="0"/>
              <w:rPr>
                <w:sz w:val="20"/>
                <w:szCs w:val="20"/>
                <w:color w:val="auto"/>
              </w:rPr>
            </w:pPr>
            <w:r>
              <w:rPr>
                <w:rFonts w:ascii="Arial" w:cs="Arial" w:eastAsia="Arial" w:hAnsi="Arial"/>
                <w:sz w:val="14"/>
                <w:szCs w:val="14"/>
                <w:b w:val="1"/>
                <w:bCs w:val="1"/>
                <w:color w:val="auto"/>
              </w:rPr>
              <w:t>Element</w:t>
            </w:r>
          </w:p>
        </w:tc>
        <w:tc>
          <w:tcPr>
            <w:tcW w:w="180" w:type="dxa"/>
            <w:vAlign w:val="bottom"/>
          </w:tcPr>
          <w:p>
            <w:pPr>
              <w:spacing w:after="0"/>
              <w:rPr>
                <w:sz w:val="16"/>
                <w:szCs w:val="16"/>
                <w:color w:val="auto"/>
              </w:rPr>
            </w:pPr>
          </w:p>
        </w:tc>
        <w:tc>
          <w:tcPr>
            <w:tcW w:w="3260" w:type="dxa"/>
            <w:vAlign w:val="bottom"/>
          </w:tcPr>
          <w:p>
            <w:pPr>
              <w:ind w:left="1380"/>
              <w:spacing w:after="0"/>
              <w:rPr>
                <w:sz w:val="20"/>
                <w:szCs w:val="20"/>
                <w:color w:val="auto"/>
              </w:rPr>
            </w:pPr>
            <w:r>
              <w:rPr>
                <w:rFonts w:ascii="Arial" w:cs="Arial" w:eastAsia="Arial" w:hAnsi="Arial"/>
                <w:sz w:val="14"/>
                <w:szCs w:val="14"/>
                <w:b w:val="1"/>
                <w:bCs w:val="1"/>
                <w:color w:val="auto"/>
              </w:rPr>
              <w:t>Purpose</w:t>
            </w:r>
          </w:p>
        </w:tc>
      </w:tr>
      <w:tr>
        <w:trPr>
          <w:trHeight w:val="53"/>
        </w:trPr>
        <w:tc>
          <w:tcPr>
            <w:tcW w:w="15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r>
      <w:tr>
        <w:trPr>
          <w:trHeight w:val="263"/>
        </w:trPr>
        <w:tc>
          <w:tcPr>
            <w:tcW w:w="1520" w:type="dxa"/>
            <w:vAlign w:val="bottom"/>
          </w:tcPr>
          <w:p>
            <w:pPr>
              <w:spacing w:after="0"/>
              <w:rPr>
                <w:sz w:val="20"/>
                <w:szCs w:val="20"/>
                <w:color w:val="auto"/>
              </w:rPr>
            </w:pPr>
            <w:r>
              <w:rPr>
                <w:rFonts w:ascii="Arial" w:cs="Arial" w:eastAsia="Arial" w:hAnsi="Arial"/>
                <w:sz w:val="18"/>
                <w:szCs w:val="18"/>
                <w:color w:val="auto"/>
                <w:w w:val="97"/>
              </w:rPr>
              <w:t>Annual base salary</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Provides a fixed source of annual cash</w:t>
            </w:r>
          </w:p>
        </w:tc>
      </w:tr>
      <w:tr>
        <w:trPr>
          <w:trHeight w:val="216"/>
        </w:trPr>
        <w:tc>
          <w:tcPr>
            <w:tcW w:w="152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compensation for our named executive</w:t>
            </w:r>
          </w:p>
        </w:tc>
      </w:tr>
      <w:tr>
        <w:trPr>
          <w:trHeight w:val="230"/>
        </w:trPr>
        <w:tc>
          <w:tcPr>
            <w:tcW w:w="152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officers.</w:t>
            </w:r>
          </w:p>
        </w:tc>
      </w:tr>
      <w:tr>
        <w:trPr>
          <w:trHeight w:val="634"/>
        </w:trPr>
        <w:tc>
          <w:tcPr>
            <w:tcW w:w="1520" w:type="dxa"/>
            <w:vAlign w:val="bottom"/>
          </w:tcPr>
          <w:p>
            <w:pPr>
              <w:spacing w:after="0"/>
              <w:rPr>
                <w:sz w:val="20"/>
                <w:szCs w:val="20"/>
                <w:color w:val="auto"/>
              </w:rPr>
            </w:pPr>
            <w:r>
              <w:rPr>
                <w:rFonts w:ascii="Arial" w:cs="Arial" w:eastAsia="Arial" w:hAnsi="Arial"/>
                <w:sz w:val="18"/>
                <w:szCs w:val="18"/>
                <w:color w:val="auto"/>
              </w:rPr>
              <w:t>Short-term cash</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Incentivizes achievement of key annual</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incentives</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w w:val="99"/>
              </w:rPr>
              <w:t>financial, operational and strategic goals.</w:t>
            </w:r>
          </w:p>
        </w:tc>
      </w:tr>
      <w:tr>
        <w:trPr>
          <w:trHeight w:val="634"/>
        </w:trPr>
        <w:tc>
          <w:tcPr>
            <w:tcW w:w="1520" w:type="dxa"/>
            <w:vAlign w:val="bottom"/>
          </w:tcPr>
          <w:p>
            <w:pPr>
              <w:spacing w:after="0"/>
              <w:rPr>
                <w:sz w:val="20"/>
                <w:szCs w:val="20"/>
                <w:color w:val="auto"/>
              </w:rPr>
            </w:pPr>
            <w:r>
              <w:rPr>
                <w:rFonts w:ascii="Arial" w:cs="Arial" w:eastAsia="Arial" w:hAnsi="Arial"/>
                <w:sz w:val="18"/>
                <w:szCs w:val="18"/>
                <w:color w:val="auto"/>
              </w:rPr>
              <w:t>Long-term equity</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w w:val="94"/>
              </w:rPr>
              <w:t>Aligns the interests of our named executive</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incentives</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w w:val="99"/>
              </w:rPr>
              <w:t>officers with those of our stockholders by</w:t>
            </w:r>
          </w:p>
        </w:tc>
      </w:tr>
      <w:tr>
        <w:trPr>
          <w:trHeight w:val="216"/>
        </w:trPr>
        <w:tc>
          <w:tcPr>
            <w:tcW w:w="152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w w:val="99"/>
              </w:rPr>
              <w:t>increasing stock ownership, incentivizing</w:t>
            </w:r>
          </w:p>
        </w:tc>
      </w:tr>
      <w:tr>
        <w:trPr>
          <w:trHeight w:val="216"/>
        </w:trPr>
        <w:tc>
          <w:tcPr>
            <w:tcW w:w="152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increases in stockholder value and</w:t>
            </w:r>
          </w:p>
        </w:tc>
      </w:tr>
      <w:tr>
        <w:trPr>
          <w:trHeight w:val="230"/>
        </w:trPr>
        <w:tc>
          <w:tcPr>
            <w:tcW w:w="152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strengthening retention.</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49530</wp:posOffset>
            </wp:positionV>
            <wp:extent cx="2074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4" w:lineRule="exact"/>
        <w:rPr>
          <w:sz w:val="20"/>
          <w:szCs w:val="20"/>
          <w:color w:val="auto"/>
        </w:rPr>
      </w:pPr>
    </w:p>
    <w:p>
      <w:pPr>
        <w:ind w:right="519"/>
        <w:spacing w:after="0" w:line="263" w:lineRule="auto"/>
        <w:rPr>
          <w:sz w:val="20"/>
          <w:szCs w:val="20"/>
          <w:color w:val="auto"/>
        </w:rPr>
      </w:pPr>
      <w:r>
        <w:rPr>
          <w:rFonts w:ascii="Arial" w:cs="Arial" w:eastAsia="Arial" w:hAnsi="Arial"/>
          <w:sz w:val="18"/>
          <w:szCs w:val="18"/>
          <w:color w:val="auto"/>
        </w:rPr>
        <w:t>Based upon each individual’s skills, experience and performance as well as the criticality of the role.</w:t>
      </w:r>
    </w:p>
    <w:p>
      <w:pPr>
        <w:spacing w:after="0" w:line="400" w:lineRule="exact"/>
        <w:rPr>
          <w:sz w:val="20"/>
          <w:szCs w:val="20"/>
          <w:color w:val="auto"/>
        </w:rPr>
      </w:pPr>
    </w:p>
    <w:p>
      <w:pPr>
        <w:ind w:right="879"/>
        <w:spacing w:after="0" w:line="277" w:lineRule="auto"/>
        <w:rPr>
          <w:sz w:val="20"/>
          <w:szCs w:val="20"/>
          <w:color w:val="auto"/>
        </w:rPr>
      </w:pPr>
      <w:r>
        <w:rPr>
          <w:rFonts w:ascii="Arial" w:cs="Arial" w:eastAsia="Arial" w:hAnsi="Arial"/>
          <w:sz w:val="18"/>
          <w:szCs w:val="18"/>
          <w:color w:val="auto"/>
        </w:rPr>
        <w:t>Variable cash compensation based on performance.</w:t>
      </w:r>
    </w:p>
    <w:p>
      <w:pPr>
        <w:spacing w:after="0" w:line="386" w:lineRule="exact"/>
        <w:rPr>
          <w:sz w:val="20"/>
          <w:szCs w:val="20"/>
          <w:color w:val="auto"/>
        </w:rPr>
      </w:pPr>
    </w:p>
    <w:p>
      <w:pPr>
        <w:ind w:right="719"/>
        <w:spacing w:after="0" w:line="258" w:lineRule="auto"/>
        <w:rPr>
          <w:sz w:val="20"/>
          <w:szCs w:val="20"/>
          <w:color w:val="auto"/>
        </w:rPr>
      </w:pPr>
      <w:r>
        <w:rPr>
          <w:rFonts w:ascii="Arial" w:cs="Arial" w:eastAsia="Arial" w:hAnsi="Arial"/>
          <w:sz w:val="18"/>
          <w:szCs w:val="18"/>
          <w:color w:val="auto"/>
        </w:rPr>
        <w:t>Variable equity compensation delivered through three vehicles:</w:t>
      </w:r>
    </w:p>
    <w:p>
      <w:pPr>
        <w:spacing w:after="0" w:line="1" w:lineRule="exact"/>
        <w:rPr>
          <w:sz w:val="20"/>
          <w:szCs w:val="20"/>
          <w:color w:val="auto"/>
        </w:rPr>
      </w:pPr>
    </w:p>
    <w:p>
      <w:pPr>
        <w:ind w:left="240" w:right="599" w:hanging="239"/>
        <w:spacing w:after="0" w:line="250" w:lineRule="auto"/>
        <w:rPr>
          <w:sz w:val="20"/>
          <w:szCs w:val="20"/>
          <w:color w:val="auto"/>
        </w:rPr>
      </w:pPr>
      <w:r>
        <w:rPr>
          <w:rFonts w:ascii="Arial" w:cs="Arial" w:eastAsia="Arial" w:hAnsi="Arial"/>
          <w:sz w:val="18"/>
          <w:szCs w:val="18"/>
          <w:color w:val="auto"/>
        </w:rPr>
        <w:t>-  Service-based RSUs with a three-year vesting period;</w:t>
      </w:r>
    </w:p>
    <w:p>
      <w:pPr>
        <w:spacing w:after="0" w:line="1" w:lineRule="exact"/>
        <w:rPr>
          <w:sz w:val="20"/>
          <w:szCs w:val="20"/>
          <w:color w:val="auto"/>
        </w:rPr>
      </w:pPr>
    </w:p>
    <w:p>
      <w:pPr>
        <w:jc w:val="both"/>
        <w:ind w:left="240" w:right="299" w:hanging="239"/>
        <w:spacing w:after="0" w:line="250" w:lineRule="auto"/>
        <w:rPr>
          <w:sz w:val="20"/>
          <w:szCs w:val="20"/>
          <w:color w:val="auto"/>
        </w:rPr>
      </w:pPr>
      <w:r>
        <w:rPr>
          <w:rFonts w:ascii="Arial" w:cs="Arial" w:eastAsia="Arial" w:hAnsi="Arial"/>
          <w:sz w:val="18"/>
          <w:szCs w:val="18"/>
          <w:color w:val="auto"/>
        </w:rPr>
        <w:t>-  PSUs with a one-year performance period and subsequent three-year vesting period; and</w:t>
      </w:r>
    </w:p>
    <w:p>
      <w:pPr>
        <w:spacing w:after="0" w:line="1" w:lineRule="exact"/>
        <w:rPr>
          <w:sz w:val="20"/>
          <w:szCs w:val="20"/>
          <w:color w:val="auto"/>
        </w:rPr>
      </w:pPr>
    </w:p>
    <w:p>
      <w:pPr>
        <w:ind w:left="240" w:right="559" w:hanging="239"/>
        <w:spacing w:after="0" w:line="255" w:lineRule="auto"/>
        <w:rPr>
          <w:sz w:val="20"/>
          <w:szCs w:val="20"/>
          <w:color w:val="auto"/>
        </w:rPr>
      </w:pPr>
      <w:r>
        <w:rPr>
          <w:rFonts w:ascii="Arial" w:cs="Arial" w:eastAsia="Arial" w:hAnsi="Arial"/>
          <w:sz w:val="18"/>
          <w:szCs w:val="18"/>
          <w:color w:val="auto"/>
        </w:rPr>
        <w:t>-  Relative total shareholder return PSUs (TSR PSUs) with a three-year performance period.</w:t>
      </w:r>
    </w:p>
    <w:p>
      <w:pPr>
        <w:spacing w:after="0" w:line="200" w:lineRule="exact"/>
        <w:rPr>
          <w:sz w:val="20"/>
          <w:szCs w:val="20"/>
          <w:color w:val="auto"/>
        </w:rPr>
      </w:pPr>
    </w:p>
    <w:p>
      <w:pPr>
        <w:sectPr>
          <w:pgSz w:w="11900" w:h="16838" w:orient="portrait"/>
          <w:cols w:equalWidth="0" w:num="2">
            <w:col w:w="5260" w:space="180"/>
            <w:col w:w="3579"/>
          </w:cols>
          <w:pgMar w:left="1440" w:top="265" w:right="1440" w:bottom="1440" w:gutter="0" w:footer="0" w:header="0"/>
          <w:type w:val="continuous"/>
        </w:sectPr>
      </w:pPr>
    </w:p>
    <w:p>
      <w:pPr>
        <w:spacing w:after="0" w:line="206" w:lineRule="exact"/>
        <w:rPr>
          <w:sz w:val="20"/>
          <w:szCs w:val="20"/>
          <w:color w:val="auto"/>
        </w:rPr>
      </w:pPr>
    </w:p>
    <w:p>
      <w:pPr>
        <w:ind w:left="300"/>
        <w:spacing w:after="0"/>
        <w:tabs>
          <w:tab w:leader="none" w:pos="1980" w:val="left"/>
        </w:tabs>
        <w:rPr>
          <w:sz w:val="20"/>
          <w:szCs w:val="20"/>
          <w:color w:val="auto"/>
        </w:rPr>
      </w:pPr>
      <w:r>
        <w:rPr>
          <w:rFonts w:ascii="Arial" w:cs="Arial" w:eastAsia="Arial" w:hAnsi="Arial"/>
          <w:sz w:val="18"/>
          <w:szCs w:val="18"/>
          <w:color w:val="auto"/>
        </w:rPr>
        <w:t>Expatriate and other</w:t>
      </w:r>
      <w:r>
        <w:rPr>
          <w:sz w:val="20"/>
          <w:szCs w:val="20"/>
          <w:color w:val="auto"/>
        </w:rPr>
        <w:tab/>
      </w:r>
      <w:r>
        <w:rPr>
          <w:rFonts w:ascii="Arial" w:cs="Arial" w:eastAsia="Arial" w:hAnsi="Arial"/>
          <w:sz w:val="16"/>
          <w:szCs w:val="16"/>
          <w:color w:val="auto"/>
        </w:rPr>
        <w:t>Allows us to remain competitive with peer</w:t>
      </w:r>
    </w:p>
    <w:p>
      <w:pPr>
        <w:spacing w:after="0" w:line="23" w:lineRule="exact"/>
        <w:rPr>
          <w:sz w:val="20"/>
          <w:szCs w:val="20"/>
          <w:color w:val="auto"/>
        </w:rPr>
      </w:pPr>
    </w:p>
    <w:p>
      <w:pPr>
        <w:ind w:left="300"/>
        <w:spacing w:after="0"/>
        <w:tabs>
          <w:tab w:leader="none" w:pos="1980" w:val="left"/>
        </w:tabs>
        <w:rPr>
          <w:sz w:val="20"/>
          <w:szCs w:val="20"/>
          <w:color w:val="auto"/>
        </w:rPr>
      </w:pPr>
      <w:r>
        <w:rPr>
          <w:rFonts w:ascii="Arial" w:cs="Arial" w:eastAsia="Arial" w:hAnsi="Arial"/>
          <w:sz w:val="18"/>
          <w:szCs w:val="18"/>
          <w:color w:val="auto"/>
        </w:rPr>
        <w:t>executive benefits</w:t>
      </w:r>
      <w:r>
        <w:rPr>
          <w:sz w:val="20"/>
          <w:szCs w:val="20"/>
          <w:color w:val="auto"/>
        </w:rPr>
        <w:tab/>
      </w:r>
      <w:r>
        <w:rPr>
          <w:rFonts w:ascii="Arial" w:cs="Arial" w:eastAsia="Arial" w:hAnsi="Arial"/>
          <w:sz w:val="16"/>
          <w:szCs w:val="16"/>
          <w:color w:val="auto"/>
        </w:rPr>
        <w:t>and market practices and to retain key</w:t>
      </w:r>
    </w:p>
    <w:p>
      <w:pPr>
        <w:spacing w:after="0" w:line="9" w:lineRule="exact"/>
        <w:rPr>
          <w:sz w:val="20"/>
          <w:szCs w:val="20"/>
          <w:color w:val="auto"/>
        </w:rPr>
      </w:pPr>
    </w:p>
    <w:p>
      <w:pPr>
        <w:ind w:left="2000" w:right="240"/>
        <w:spacing w:after="0" w:line="302" w:lineRule="auto"/>
        <w:rPr>
          <w:sz w:val="20"/>
          <w:szCs w:val="20"/>
          <w:color w:val="auto"/>
        </w:rPr>
      </w:pPr>
      <w:r>
        <w:rPr>
          <w:rFonts w:ascii="Arial" w:cs="Arial" w:eastAsia="Arial" w:hAnsi="Arial"/>
          <w:sz w:val="16"/>
          <w:szCs w:val="16"/>
          <w:color w:val="auto"/>
        </w:rPr>
        <w:t>personnel on expatriate assignments by minimizing adverse financial impacts associated with such assignments.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419"/>
        <w:spacing w:after="0" w:line="255" w:lineRule="auto"/>
        <w:rPr>
          <w:sz w:val="20"/>
          <w:szCs w:val="20"/>
          <w:color w:val="auto"/>
        </w:rPr>
      </w:pPr>
      <w:r>
        <w:rPr>
          <w:rFonts w:ascii="Arial" w:cs="Arial" w:eastAsia="Arial" w:hAnsi="Arial"/>
          <w:sz w:val="18"/>
          <w:szCs w:val="18"/>
          <w:color w:val="auto"/>
        </w:rPr>
        <w:t>Benefits include housing allowances, relocation and repatriation allowances, insurance premiums, reimbursement for the use of a car, home leave flights, tax equalization payments and tax advisory services.</w:t>
      </w:r>
    </w:p>
    <w:p>
      <w:pPr>
        <w:spacing w:after="0" w:line="138" w:lineRule="exact"/>
        <w:rPr>
          <w:sz w:val="20"/>
          <w:szCs w:val="20"/>
          <w:color w:val="auto"/>
        </w:rPr>
      </w:pPr>
    </w:p>
    <w:p>
      <w:pPr>
        <w:sectPr>
          <w:pgSz w:w="11900" w:h="16838" w:orient="portrait"/>
          <w:cols w:equalWidth="0" w:num="2">
            <w:col w:w="5080" w:space="360"/>
            <w:col w:w="3579"/>
          </w:cols>
          <w:pgMar w:left="1440" w:top="265" w:right="1440" w:bottom="1440" w:gutter="0" w:footer="0" w:header="0"/>
          <w:type w:val="continuous"/>
        </w:sectPr>
      </w:pPr>
    </w:p>
    <w:p>
      <w:pPr>
        <w:ind w:left="300" w:right="319" w:firstLine="360"/>
        <w:spacing w:after="0" w:line="263" w:lineRule="auto"/>
        <w:rPr>
          <w:sz w:val="20"/>
          <w:szCs w:val="20"/>
          <w:color w:val="auto"/>
        </w:rPr>
      </w:pPr>
      <w:r>
        <w:rPr>
          <w:rFonts w:ascii="Arial" w:cs="Arial" w:eastAsia="Arial" w:hAnsi="Arial"/>
          <w:sz w:val="18"/>
          <w:szCs w:val="18"/>
          <w:color w:val="auto"/>
        </w:rPr>
        <w:t>Our executives also participate in a health and welfare benefits package that is generally available to all of our employees and are each party to an employment agreement that provides for limited post-employment and change in control payments and benefits.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of Market Data</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purposes of comparing our executive compensation against the competitive market, the Compensation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99"/>
        <w:spacing w:after="0" w:line="301" w:lineRule="auto"/>
        <w:rPr>
          <w:sz w:val="20"/>
          <w:szCs w:val="20"/>
          <w:color w:val="auto"/>
        </w:rPr>
      </w:pPr>
      <w:r>
        <w:rPr>
          <w:rFonts w:ascii="Arial" w:cs="Arial" w:eastAsia="Arial" w:hAnsi="Arial"/>
          <w:sz w:val="16"/>
          <w:szCs w:val="16"/>
          <w:color w:val="auto"/>
        </w:rPr>
        <w:t>Committee reviews and considers the compensation levels and practices of a group of comparable technology companies. The companies in this compensation peer group were selected on the basis of their similarity to us in size, industry focus and being based in the U.S. We focused on U.S.-based companies because our highest ranking executives are U.S. expatriates who have opportunities to work with U.S.-based technology companies.</w:t>
      </w:r>
    </w:p>
    <w:p>
      <w:pPr>
        <w:spacing w:after="0" w:line="49"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Compensia provided the Compensation Committee with an analysis of the prior compensation peers with a recommendation of ten companies to exclude based on the companies being acquired or being outside the financial ranges noted below. Compensia also provided eight potential additions based on the selection criteria noted below. The Compensation Committee reviewed the proposed changes to our compensation peer group and adopted the final group to be used for this year’s analysis. The companies in this compensation peer group were selected on the basis of their similarity to us, based on the following criteria:</w:t>
      </w:r>
    </w:p>
    <w:p>
      <w:pPr>
        <w:spacing w:after="0" w:line="70" w:lineRule="exact"/>
        <w:rPr>
          <w:sz w:val="20"/>
          <w:szCs w:val="20"/>
          <w:color w:val="auto"/>
        </w:rPr>
      </w:pPr>
    </w:p>
    <w:p>
      <w:pPr>
        <w:ind w:left="1000" w:right="95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Industry — semiconductors; semiconductor equipment, electronic equipment and instruments and electronic components;</w:t>
      </w:r>
    </w:p>
    <w:p>
      <w:pPr>
        <w:spacing w:after="0" w:line="62"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Company type — Public companies primarily headquartered in the U.S. and traded on a major stock exchange;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Similar revenue size — 0.25x – 2.5x Magnachip’s revenue of $505 million ($126 million to $1.3 billion);</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capitalization — $50 million to $4 billion;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Executive positions similar in breadth, complexity and/or scope of responsibility;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Competitors for executive talent.</w:t>
      </w:r>
    </w:p>
    <w:p>
      <w:pPr>
        <w:spacing w:after="0" w:line="117" w:lineRule="exact"/>
        <w:rPr>
          <w:sz w:val="20"/>
          <w:szCs w:val="20"/>
          <w:color w:val="auto"/>
        </w:rPr>
      </w:pPr>
    </w:p>
    <w:p>
      <w:pPr>
        <w:ind w:left="300" w:right="539" w:firstLine="360"/>
        <w:spacing w:after="0" w:line="342" w:lineRule="auto"/>
        <w:rPr>
          <w:sz w:val="20"/>
          <w:szCs w:val="20"/>
          <w:color w:val="auto"/>
        </w:rPr>
      </w:pPr>
      <w:r>
        <w:rPr>
          <w:rFonts w:ascii="Arial" w:cs="Arial" w:eastAsia="Arial" w:hAnsi="Arial"/>
          <w:sz w:val="16"/>
          <w:szCs w:val="16"/>
          <w:color w:val="auto"/>
        </w:rPr>
        <w:t>The Compensation Committee approved the use of market data from the following group of peer companies, which was reviewed and approved in November 2021, for our 2022 executive compensation market assessment:</w:t>
      </w:r>
    </w:p>
    <w:p>
      <w:pPr>
        <w:sectPr>
          <w:pgSz w:w="11900" w:h="16838" w:orient="portrait"/>
          <w:cols w:equalWidth="0" w:num="1">
            <w:col w:w="9019"/>
          </w:cols>
          <w:pgMar w:left="1440" w:top="265" w:right="1440" w:bottom="1440" w:gutter="0" w:footer="0" w:header="0"/>
        </w:sectPr>
      </w:pPr>
    </w:p>
    <w:p>
      <w:pPr>
        <w:spacing w:after="0" w:line="9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Alpha and Omega Semiconductor</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MaxLinear</w:t>
      </w:r>
    </w:p>
    <w:p>
      <w:pPr>
        <w:spacing w:after="0" w:line="129"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Ambarella</w:t>
      </w:r>
    </w:p>
    <w:p>
      <w:pPr>
        <w:spacing w:after="0" w:line="20" w:lineRule="exact"/>
        <w:rPr>
          <w:sz w:val="20"/>
          <w:szCs w:val="20"/>
          <w:color w:val="auto"/>
        </w:rPr>
      </w:pPr>
      <w:r>
        <w:rPr>
          <w:sz w:val="20"/>
          <w:szCs w:val="20"/>
          <w:color w:val="auto"/>
        </w:rPr>
        <w:br w:type="column"/>
      </w:r>
    </w:p>
    <w:p>
      <w:pPr>
        <w:jc w:val="center"/>
        <w:ind w:right="3399"/>
        <w:spacing w:after="0"/>
        <w:rPr>
          <w:sz w:val="20"/>
          <w:szCs w:val="20"/>
          <w:color w:val="auto"/>
        </w:rPr>
      </w:pPr>
      <w:r>
        <w:rPr>
          <w:rFonts w:ascii="Arial" w:cs="Arial" w:eastAsia="Arial" w:hAnsi="Arial"/>
          <w:sz w:val="16"/>
          <w:szCs w:val="16"/>
          <w:color w:val="auto"/>
        </w:rPr>
        <w:t>NeoPhotonics</w:t>
      </w:r>
    </w:p>
    <w:p>
      <w:pPr>
        <w:spacing w:after="0" w:line="140"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Axcelis Technologies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Photronics</w:t>
      </w:r>
    </w:p>
    <w:p>
      <w:pPr>
        <w:spacing w:after="0" w:line="140"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Cohu</w:t>
      </w:r>
    </w:p>
    <w:p>
      <w:pPr>
        <w:spacing w:after="0" w:line="20" w:lineRule="exact"/>
        <w:rPr>
          <w:sz w:val="20"/>
          <w:szCs w:val="20"/>
          <w:color w:val="auto"/>
        </w:rPr>
      </w:pPr>
      <w:r>
        <w:rPr>
          <w:sz w:val="20"/>
          <w:szCs w:val="20"/>
          <w:color w:val="auto"/>
        </w:rPr>
        <w:br w:type="column"/>
      </w:r>
    </w:p>
    <w:p>
      <w:pPr>
        <w:jc w:val="center"/>
        <w:ind w:right="3819"/>
        <w:spacing w:after="0"/>
        <w:rPr>
          <w:sz w:val="20"/>
          <w:szCs w:val="20"/>
          <w:color w:val="auto"/>
        </w:rPr>
      </w:pPr>
      <w:r>
        <w:rPr>
          <w:rFonts w:ascii="Arial" w:cs="Arial" w:eastAsia="Arial" w:hAnsi="Arial"/>
          <w:sz w:val="15"/>
          <w:szCs w:val="15"/>
          <w:color w:val="auto"/>
        </w:rPr>
        <w:t>Rambus</w:t>
      </w:r>
    </w:p>
    <w:p>
      <w:pPr>
        <w:spacing w:after="0" w:line="152"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Diodes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SkyWater Technology</w:t>
      </w:r>
    </w:p>
    <w:p>
      <w:pPr>
        <w:spacing w:after="0" w:line="140"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DSP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Veeco Instruments</w:t>
      </w:r>
    </w:p>
    <w:p>
      <w:pPr>
        <w:spacing w:after="0" w:line="151"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Ichor 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Vishay Precision Group</w:t>
      </w:r>
    </w:p>
    <w:p>
      <w:pPr>
        <w:spacing w:after="0" w:line="140"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Impinj</w:t>
      </w:r>
    </w:p>
    <w:p>
      <w:pPr>
        <w:sectPr>
          <w:pgSz w:w="11900" w:h="16838" w:orient="portrait"/>
          <w:cols w:equalWidth="0" w:num="1">
            <w:col w:w="9019"/>
          </w:cols>
          <w:pgMar w:left="1440" w:top="265" w:right="1440" w:bottom="1440" w:gutter="0" w:footer="0" w:header="0"/>
          <w:type w:val="continuous"/>
        </w:sectPr>
      </w:pPr>
    </w:p>
    <w:p>
      <w:pPr>
        <w:spacing w:after="0" w:line="183"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Compensation Committee seeks to establish a total cash compensation package for our named executive officers that is competitive with the compensation for similarly situated executives in this compensation peer group, while also considering each executive’s experience and performance. Accordingly, the Compensation Committee used the market data from this peer group as a reference point in its 2022 executive compensation process.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Elements of Compensation and Weighting</w:t>
      </w:r>
    </w:p>
    <w:p>
      <w:pPr>
        <w:spacing w:after="0" w:line="117"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The Compensation Committee does not apply a formula or assign relative weight in apportioning compensation among the various elements used. Instead, it makes a subjective determination after considering all information collectively for each element of compensation.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Base Salary</w:t>
      </w:r>
    </w:p>
    <w:p>
      <w:pPr>
        <w:spacing w:after="0" w:line="117" w:lineRule="exact"/>
        <w:rPr>
          <w:sz w:val="20"/>
          <w:szCs w:val="20"/>
          <w:color w:val="auto"/>
        </w:rPr>
      </w:pPr>
    </w:p>
    <w:p>
      <w:pPr>
        <w:ind w:left="300" w:right="419" w:firstLine="360"/>
        <w:spacing w:after="0" w:line="290" w:lineRule="auto"/>
        <w:rPr>
          <w:sz w:val="20"/>
          <w:szCs w:val="20"/>
          <w:color w:val="auto"/>
        </w:rPr>
      </w:pPr>
      <w:r>
        <w:rPr>
          <w:rFonts w:ascii="Arial" w:cs="Arial" w:eastAsia="Arial" w:hAnsi="Arial"/>
          <w:sz w:val="16"/>
          <w:szCs w:val="16"/>
          <w:color w:val="auto"/>
        </w:rPr>
        <w:t>The Compensation Committee seeks to set the base salaries of our named executive officers at competitive levels as compared to similarly situated executives in our select peer group, but also takes into account the named executive officer’s experience, skill set and the value of that skill set and performance. The Compensation Committee makes a subjective decision regarding any changes in base salary based on these factors and the data from our select peer group. The Compensation Committee does not systematically assign weights to any of the factors it considers, and may, in its discretion, ignore any factors or deem any one factor to have greater importance for a particular executive officer. Base salary adjustments, if applicable, generally take effect in the middle of our fiscal year. In 2022, the Compensation Committee increased the annual base salary of our named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9" w:name="page30"/>
    <w:bookmarkEnd w:id="29"/>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300" w:right="1360"/>
        <w:spacing w:after="0" w:line="263" w:lineRule="auto"/>
        <w:rPr>
          <w:sz w:val="20"/>
          <w:szCs w:val="20"/>
          <w:color w:val="auto"/>
        </w:rPr>
      </w:pPr>
      <w:r>
        <w:rPr>
          <w:rFonts w:ascii="Arial" w:cs="Arial" w:eastAsia="Arial" w:hAnsi="Arial"/>
          <w:sz w:val="18"/>
          <w:szCs w:val="18"/>
          <w:color w:val="auto"/>
        </w:rPr>
        <w:t>executive officers effective January 1, 2022. Those increases ranged from 0.5% to 6.1%, except our CFO’s salary was increased by 14.2% to reflect her increased responsibilities in connection with her promotion to CFO. The 2022 base salary for each named executive officer is set forth below:</w:t>
      </w:r>
    </w:p>
    <w:p>
      <w:pPr>
        <w:spacing w:after="0" w:line="148"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734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2022 Base Salary</w:t>
            </w:r>
          </w:p>
        </w:tc>
      </w:tr>
      <w:tr>
        <w:trPr>
          <w:trHeight w:val="53"/>
        </w:trPr>
        <w:tc>
          <w:tcPr>
            <w:tcW w:w="692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98"/>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Young-Joon Kim</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$560,100</w:t>
            </w:r>
          </w:p>
        </w:tc>
      </w:tr>
      <w:tr>
        <w:trPr>
          <w:trHeight w:val="257"/>
        </w:trPr>
        <w:tc>
          <w:tcPr>
            <w:tcW w:w="7340" w:type="dxa"/>
            <w:vAlign w:val="bottom"/>
            <w:gridSpan w:val="2"/>
          </w:tcPr>
          <w:p>
            <w:pPr>
              <w:spacing w:after="0"/>
              <w:rPr>
                <w:sz w:val="20"/>
                <w:szCs w:val="20"/>
                <w:color w:val="auto"/>
              </w:rPr>
            </w:pPr>
            <w:r>
              <w:rPr>
                <w:rFonts w:ascii="Arial" w:cs="Arial" w:eastAsia="Arial" w:hAnsi="Arial"/>
                <w:sz w:val="18"/>
                <w:szCs w:val="18"/>
                <w:color w:val="auto"/>
              </w:rPr>
              <w:t>Shin Young Park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$310,000</w:t>
            </w:r>
          </w:p>
        </w:tc>
      </w:tr>
      <w:tr>
        <w:trPr>
          <w:trHeight w:val="40"/>
        </w:trPr>
        <w:tc>
          <w:tcPr>
            <w:tcW w:w="6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7"/>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$350,000</w:t>
            </w:r>
          </w:p>
        </w:tc>
      </w:tr>
      <w:tr>
        <w:trPr>
          <w:trHeight w:val="257"/>
        </w:trPr>
        <w:tc>
          <w:tcPr>
            <w:tcW w:w="734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$275,633</w:t>
            </w:r>
          </w:p>
        </w:tc>
      </w:tr>
      <w:tr>
        <w:trPr>
          <w:trHeight w:val="40"/>
        </w:trPr>
        <w:tc>
          <w:tcPr>
            <w:tcW w:w="6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7"/>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$336,600</w:t>
            </w:r>
          </w:p>
        </w:tc>
      </w:tr>
      <w:tr>
        <w:trPr>
          <w:trHeight w:val="54"/>
        </w:trPr>
        <w:tc>
          <w:tcPr>
            <w:tcW w:w="69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-976630</wp:posOffset>
            </wp:positionV>
            <wp:extent cx="274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95"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Short-Term Cash Incentives</w:t>
      </w:r>
    </w:p>
    <w:p>
      <w:pPr>
        <w:spacing w:after="0" w:line="117" w:lineRule="exact"/>
        <w:rPr>
          <w:sz w:val="20"/>
          <w:szCs w:val="20"/>
          <w:color w:val="auto"/>
        </w:rPr>
      </w:pPr>
    </w:p>
    <w:p>
      <w:pPr>
        <w:ind w:left="1300" w:right="1320" w:firstLine="360"/>
        <w:spacing w:after="0" w:line="340" w:lineRule="auto"/>
        <w:rPr>
          <w:sz w:val="20"/>
          <w:szCs w:val="20"/>
          <w:color w:val="auto"/>
        </w:rPr>
      </w:pPr>
      <w:r>
        <w:rPr>
          <w:rFonts w:ascii="Arial" w:cs="Arial" w:eastAsia="Arial" w:hAnsi="Arial"/>
          <w:sz w:val="15"/>
          <w:szCs w:val="15"/>
          <w:color w:val="auto"/>
        </w:rPr>
        <w:t>We have been providing short-term cash incentive opportunities to encourage our named executive officers to achieve certain short-term corporate performance goals. The employment agreement that each of our named executive officers has entered into includes a target bonus amount, which is expressed as a percentage of base salary.</w:t>
      </w:r>
    </w:p>
    <w:p>
      <w:pPr>
        <w:spacing w:after="0" w:line="23" w:lineRule="exact"/>
        <w:rPr>
          <w:sz w:val="20"/>
          <w:szCs w:val="20"/>
          <w:color w:val="auto"/>
        </w:rPr>
      </w:pPr>
    </w:p>
    <w:p>
      <w:pPr>
        <w:ind w:left="1300" w:right="1360" w:firstLine="360"/>
        <w:spacing w:after="0" w:line="288" w:lineRule="auto"/>
        <w:rPr>
          <w:sz w:val="20"/>
          <w:szCs w:val="20"/>
          <w:color w:val="auto"/>
        </w:rPr>
      </w:pPr>
      <w:r>
        <w:rPr>
          <w:rFonts w:ascii="Arial" w:cs="Arial" w:eastAsia="Arial" w:hAnsi="Arial"/>
          <w:sz w:val="16"/>
          <w:szCs w:val="16"/>
          <w:color w:val="auto"/>
        </w:rPr>
        <w:t>The Compensation Committee typically makes annual determinations regarding short-term cash incentive compensation based on various performance-related factors, including our annual operating plan, which is generally adopted in the December preceding each fiscal year. The Compensation Committee also considers for each year the cash bonus payout percentage earned by our non-executive employees pursuant to the terms of the collective bargaining agreement entered into by our Korean operating subsidiary, Magnachip Semiconductor, Ltd. (“MSK”), which typically takes into account a myriad of factors, including the Company’s financial performance in the applicable year. The Compensation Committee’s annual determination regarding short-term cash incentive compensation for our executives, including our named executives officers, is conducted generally with a view toward applying a payout percentage (applicable to the target bonus amount) to our executives that is similar to, or commensurate with, that determined under the applicable collective bargaining agreement.</w:t>
      </w:r>
    </w:p>
    <w:p>
      <w:pPr>
        <w:spacing w:after="0" w:line="60" w:lineRule="exact"/>
        <w:rPr>
          <w:sz w:val="20"/>
          <w:szCs w:val="20"/>
          <w:color w:val="auto"/>
        </w:rPr>
      </w:pPr>
    </w:p>
    <w:p>
      <w:pPr>
        <w:ind w:left="1300" w:right="1620" w:firstLine="360"/>
        <w:spacing w:after="0" w:line="259" w:lineRule="auto"/>
        <w:rPr>
          <w:sz w:val="20"/>
          <w:szCs w:val="20"/>
          <w:color w:val="auto"/>
        </w:rPr>
      </w:pPr>
      <w:r>
        <w:rPr>
          <w:rFonts w:ascii="Arial" w:cs="Arial" w:eastAsia="Arial" w:hAnsi="Arial"/>
          <w:sz w:val="18"/>
          <w:szCs w:val="18"/>
          <w:color w:val="auto"/>
        </w:rPr>
        <w:t>For 2022, the Compensation Committee determined that the payout percentage of short-term cash incentive compensation for our executives would be 0%. This determination was based on a variety of relevant factors, including the Company’s performance relative to its 2022 annual operating plan, as well as its general financial performance in 2022.</w:t>
      </w:r>
    </w:p>
    <w:p>
      <w:pPr>
        <w:spacing w:after="0" w:line="79" w:lineRule="exact"/>
        <w:rPr>
          <w:sz w:val="20"/>
          <w:szCs w:val="20"/>
          <w:color w:val="auto"/>
        </w:rPr>
      </w:pPr>
    </w:p>
    <w:p>
      <w:pPr>
        <w:ind w:left="1300" w:right="1740" w:firstLine="360"/>
        <w:spacing w:after="0" w:line="277" w:lineRule="auto"/>
        <w:rPr>
          <w:sz w:val="20"/>
          <w:szCs w:val="20"/>
          <w:color w:val="auto"/>
        </w:rPr>
      </w:pPr>
      <w:r>
        <w:rPr>
          <w:rFonts w:ascii="Arial" w:cs="Arial" w:eastAsia="Arial" w:hAnsi="Arial"/>
          <w:sz w:val="18"/>
          <w:szCs w:val="18"/>
          <w:color w:val="auto"/>
        </w:rPr>
        <w:t>Target bonus as a percentage of base salary, the target bonus amount and the actual amount of 2022 bonus award for each of our named executive officers are set forth below.</w:t>
      </w:r>
    </w:p>
    <w:p>
      <w:pPr>
        <w:spacing w:after="0" w:line="10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Target Bonus</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Target Bonus</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86"/>
        </w:trPr>
        <w:tc>
          <w:tcPr>
            <w:tcW w:w="5140" w:type="dxa"/>
            <w:vAlign w:val="bottom"/>
            <w:gridSpan w:val="2"/>
            <w:vMerge w:val="continue"/>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 of Base Salary)</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53"/>
        </w:trPr>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Young-Joon Kim</w:t>
            </w:r>
          </w:p>
        </w:tc>
        <w:tc>
          <w:tcPr>
            <w:tcW w:w="11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$560,100</w:t>
            </w:r>
          </w:p>
        </w:tc>
        <w:tc>
          <w:tcPr>
            <w:tcW w:w="3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Shin Young Park</w:t>
            </w:r>
          </w:p>
        </w:tc>
        <w:tc>
          <w:tcPr>
            <w:tcW w:w="1180" w:type="dxa"/>
            <w:vAlign w:val="bottom"/>
          </w:tcPr>
          <w:p>
            <w:pPr>
              <w:jc w:val="right"/>
              <w:ind w:right="235"/>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$155,000</w:t>
            </w:r>
          </w:p>
        </w:tc>
        <w:tc>
          <w:tcPr>
            <w:tcW w:w="38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1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75%</w:t>
            </w:r>
          </w:p>
        </w:tc>
        <w:tc>
          <w:tcPr>
            <w:tcW w:w="3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$262,500</w:t>
            </w:r>
          </w:p>
        </w:tc>
        <w:tc>
          <w:tcPr>
            <w:tcW w:w="3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1180" w:type="dxa"/>
            <w:vAlign w:val="bottom"/>
          </w:tcPr>
          <w:p>
            <w:pPr>
              <w:jc w:val="right"/>
              <w:ind w:right="235"/>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$165,380</w:t>
            </w:r>
          </w:p>
        </w:tc>
        <w:tc>
          <w:tcPr>
            <w:tcW w:w="38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w:t>
            </w:r>
          </w:p>
        </w:tc>
        <w:tc>
          <w:tcPr>
            <w:tcW w:w="11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$168,300</w:t>
            </w: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54"/>
        </w:trPr>
        <w:tc>
          <w:tcPr>
            <w:tcW w:w="47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5603875</wp:posOffset>
            </wp:positionH>
            <wp:positionV relativeFrom="paragraph">
              <wp:posOffset>-976630</wp:posOffset>
            </wp:positionV>
            <wp:extent cx="2400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-976630</wp:posOffset>
            </wp:positionV>
            <wp:extent cx="2400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-976630</wp:posOffset>
            </wp:positionV>
            <wp:extent cx="2489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74" w:lineRule="exact"/>
        <w:rPr>
          <w:sz w:val="20"/>
          <w:szCs w:val="20"/>
          <w:color w:val="auto"/>
        </w:rPr>
      </w:pPr>
    </w:p>
    <w:p>
      <w:pPr>
        <w:ind w:left="1300" w:right="1360" w:firstLine="360"/>
        <w:spacing w:after="0" w:line="255" w:lineRule="auto"/>
        <w:rPr>
          <w:sz w:val="20"/>
          <w:szCs w:val="20"/>
          <w:color w:val="auto"/>
        </w:rPr>
      </w:pPr>
      <w:r>
        <w:rPr>
          <w:rFonts w:ascii="Arial" w:cs="Arial" w:eastAsia="Arial" w:hAnsi="Arial"/>
          <w:sz w:val="18"/>
          <w:szCs w:val="18"/>
          <w:color w:val="auto"/>
        </w:rPr>
        <w:t>On April 25, 2022, we awarded a one-time cash award (the “Retention Awards”) to certain executives and employees of the Company, including our named executive officers, to ensure continued retention of key executive officers and employees in what remains a tight market for executive talent as well as to reward those individuals for their substantial contributions in connection with the previously contemplated merger with an affiliate of Wise Road Capital LTD. The Retention Awards paid to our named executive officers are as set forth adjacent to their respective names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4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2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92"/>
              </w:rPr>
              <w:t>Retention Awards</w:t>
            </w:r>
          </w:p>
        </w:tc>
      </w:tr>
      <w:tr>
        <w:trPr>
          <w:trHeight w:val="52"/>
        </w:trPr>
        <w:tc>
          <w:tcPr>
            <w:tcW w:w="1300" w:type="dxa"/>
            <w:vAlign w:val="bottom"/>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98"/>
        </w:trPr>
        <w:tc>
          <w:tcPr>
            <w:tcW w:w="130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Young-Joon Kim</w:t>
            </w:r>
          </w:p>
        </w:tc>
        <w:tc>
          <w:tcPr>
            <w:tcW w:w="5600" w:type="dxa"/>
            <w:vAlign w:val="bottom"/>
            <w:tcBorders>
              <w:bottom w:val="single" w:sz="8" w:color="CCEEFF"/>
            </w:tcBorders>
            <w:gridSpan w:val="3"/>
            <w:shd w:val="clear" w:color="auto" w:fill="CCEEFF"/>
          </w:tcPr>
          <w:p>
            <w:pPr>
              <w:jc w:val="center"/>
              <w:ind w:left="4390"/>
              <w:spacing w:after="0"/>
              <w:rPr>
                <w:sz w:val="20"/>
                <w:szCs w:val="20"/>
                <w:color w:val="auto"/>
              </w:rPr>
            </w:pPr>
            <w:r>
              <w:rPr>
                <w:rFonts w:ascii="Arial" w:cs="Arial" w:eastAsia="Arial" w:hAnsi="Arial"/>
                <w:sz w:val="18"/>
                <w:szCs w:val="18"/>
                <w:color w:val="auto"/>
                <w:w w:val="90"/>
              </w:rPr>
              <w:t>$605,538</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Shin Young Park</w:t>
            </w:r>
          </w:p>
        </w:tc>
        <w:tc>
          <w:tcPr>
            <w:tcW w:w="5600" w:type="dxa"/>
            <w:vAlign w:val="bottom"/>
            <w:gridSpan w:val="3"/>
          </w:tcPr>
          <w:p>
            <w:pPr>
              <w:jc w:val="center"/>
              <w:ind w:left="4390"/>
              <w:spacing w:after="0"/>
              <w:rPr>
                <w:sz w:val="20"/>
                <w:szCs w:val="20"/>
                <w:color w:val="auto"/>
              </w:rPr>
            </w:pPr>
            <w:r>
              <w:rPr>
                <w:rFonts w:ascii="Arial" w:cs="Arial" w:eastAsia="Arial" w:hAnsi="Arial"/>
                <w:sz w:val="18"/>
                <w:szCs w:val="18"/>
                <w:color w:val="auto"/>
                <w:w w:val="90"/>
              </w:rPr>
              <w:t>$330,274</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Theodore Kim</w:t>
            </w:r>
          </w:p>
        </w:tc>
        <w:tc>
          <w:tcPr>
            <w:tcW w:w="5600" w:type="dxa"/>
            <w:vAlign w:val="bottom"/>
            <w:tcBorders>
              <w:bottom w:val="single" w:sz="8" w:color="CCEEFF"/>
            </w:tcBorders>
            <w:gridSpan w:val="3"/>
            <w:shd w:val="clear" w:color="auto" w:fill="CCEEFF"/>
          </w:tcPr>
          <w:p>
            <w:pPr>
              <w:jc w:val="center"/>
              <w:ind w:left="4390"/>
              <w:spacing w:after="0"/>
              <w:rPr>
                <w:sz w:val="20"/>
                <w:szCs w:val="20"/>
                <w:color w:val="auto"/>
              </w:rPr>
            </w:pPr>
            <w:r>
              <w:rPr>
                <w:rFonts w:ascii="Arial" w:cs="Arial" w:eastAsia="Arial" w:hAnsi="Arial"/>
                <w:sz w:val="18"/>
                <w:szCs w:val="18"/>
                <w:color w:val="auto"/>
                <w:w w:val="90"/>
              </w:rPr>
              <w:t>$528,439</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Woung Moo Lee</w:t>
            </w:r>
          </w:p>
        </w:tc>
        <w:tc>
          <w:tcPr>
            <w:tcW w:w="5600" w:type="dxa"/>
            <w:vAlign w:val="bottom"/>
            <w:gridSpan w:val="3"/>
          </w:tcPr>
          <w:p>
            <w:pPr>
              <w:jc w:val="center"/>
              <w:ind w:left="4390"/>
              <w:spacing w:after="0"/>
              <w:rPr>
                <w:sz w:val="20"/>
                <w:szCs w:val="20"/>
                <w:color w:val="auto"/>
              </w:rPr>
            </w:pPr>
            <w:r>
              <w:rPr>
                <w:rFonts w:ascii="Arial" w:cs="Arial" w:eastAsia="Arial" w:hAnsi="Arial"/>
                <w:sz w:val="18"/>
                <w:szCs w:val="18"/>
                <w:color w:val="auto"/>
                <w:w w:val="90"/>
              </w:rPr>
              <w:t>$178,248</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0"/>
        </w:trPr>
        <w:tc>
          <w:tcPr>
            <w:tcW w:w="130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 Ho Park</w:t>
            </w:r>
          </w:p>
        </w:tc>
        <w:tc>
          <w:tcPr>
            <w:tcW w:w="5600" w:type="dxa"/>
            <w:vAlign w:val="bottom"/>
            <w:tcBorders>
              <w:bottom w:val="single" w:sz="8" w:color="CCEEFF"/>
            </w:tcBorders>
            <w:gridSpan w:val="3"/>
            <w:shd w:val="clear" w:color="auto" w:fill="CCEEFF"/>
          </w:tcPr>
          <w:p>
            <w:pPr>
              <w:jc w:val="center"/>
              <w:ind w:left="4390"/>
              <w:spacing w:after="0"/>
              <w:rPr>
                <w:sz w:val="20"/>
                <w:szCs w:val="20"/>
                <w:color w:val="auto"/>
              </w:rPr>
            </w:pPr>
            <w:r>
              <w:rPr>
                <w:rFonts w:ascii="Arial" w:cs="Arial" w:eastAsia="Arial" w:hAnsi="Arial"/>
                <w:sz w:val="18"/>
                <w:szCs w:val="18"/>
                <w:color w:val="auto"/>
                <w:w w:val="90"/>
              </w:rPr>
              <w:t>$132,110</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120" w:type="dxa"/>
            <w:vAlign w:val="bottom"/>
          </w:tcPr>
          <w:p>
            <w:pPr>
              <w:jc w:val="right"/>
              <w:ind w:right="255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-1379220</wp:posOffset>
            </wp:positionV>
            <wp:extent cx="240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0" w:name="page31"/>
    <w:bookmarkEnd w:id="3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Equity Incentives</w:t>
      </w:r>
    </w:p>
    <w:p>
      <w:pPr>
        <w:spacing w:after="0" w:line="117"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Equity awards are not tied to base salary or cash incentive amounts and constitute lesser or greater proportions of total compensation depending on market practices and the Compensation Committee’s determination of target grant values. The Compensation Committee, relying on the professional and market experience of our Compensation Committee members, as well as information provided by our compensation consultant, generally seeks to set equity awards at competitive levels based on both U.S. and Korean market practices and taking into account our equity plan share pool and projected dilution of our shares outstanding. The Compensation Committee does not target a specific percentile within our peer group with respect to equity-based compensation.</w:t>
      </w:r>
    </w:p>
    <w:p>
      <w:pPr>
        <w:spacing w:after="0" w:line="58" w:lineRule="exact"/>
        <w:rPr>
          <w:sz w:val="20"/>
          <w:szCs w:val="20"/>
          <w:color w:val="auto"/>
        </w:rPr>
      </w:pPr>
    </w:p>
    <w:p>
      <w:pPr>
        <w:ind w:left="300" w:right="439" w:firstLine="360"/>
        <w:spacing w:after="0" w:line="275" w:lineRule="auto"/>
        <w:rPr>
          <w:sz w:val="20"/>
          <w:szCs w:val="20"/>
          <w:color w:val="auto"/>
        </w:rPr>
      </w:pPr>
      <w:r>
        <w:rPr>
          <w:rFonts w:ascii="Arial" w:cs="Arial" w:eastAsia="Arial" w:hAnsi="Arial"/>
          <w:sz w:val="17"/>
          <w:szCs w:val="17"/>
          <w:color w:val="auto"/>
        </w:rPr>
        <w:t>Consistent with the Compensation Committee’s desire to provide compensation that is largely “at risk” while still competitive with our peers with whom we compete for talent, our equity compensation program for our named executive officers includes PSUs each year along with RSUs. The Compensation Committee believes that the inclusion of PSUs in our executive compensation program is consistent with, explicitly linked to, and supports our strategic objective of enhancing stockholder value.</w:t>
      </w:r>
    </w:p>
    <w:p>
      <w:pPr>
        <w:spacing w:after="0" w:line="68"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In 2022, consistent with aligning our named executive officers’ interests with sustained value creation, the Compensation Committee determined that it was appropriate to switch from one-year vesting to three year vesting with respect to our annual Financial PSU awards. This switch would have caused a “lag” in the realizable value of the Financial PSUs that could be recognized by the grantees in the first two years the 2022 award was to be outstanding. To avoid that lag, the Compensation Committee determined that each 2022 Financial PSU award should include a special grant of “make-whole” Financial PSUs, with a shorter one-year vesting period (“Make-Whole Financial PSUs”), in addition to the Financial PSUs vesting over a three year period. As a result, in 2022 each grantee was granted Make-Whole Financial PSUs as part of each Financial PSU award, with the number of the Make-Whole Financial PSUs equal to two thirds (2/3) of the total number of Financial PSUs that were originally intended for that grantee.</w:t>
      </w:r>
    </w:p>
    <w:p>
      <w:pPr>
        <w:spacing w:after="0" w:line="7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In order for any PSUs to be earned and vest, the performance must meet or exceed a threshold level of performance during the applicable performance period, and the level of achievement of the applicable performance milestones will be determined by the Compensation Committee within 60 days following the end of the applicable performance period.</w:t>
      </w:r>
    </w:p>
    <w:p>
      <w:pPr>
        <w:spacing w:after="0" w:line="79"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In the event a named executive officer is terminated without cause or resigns for good reason in each case not in connection with a “change in control” prior to the settlement of the award, the named executive officer will remain eligible to vest in a pro-rata portion of the award on the Certification Date, based on the number of full months the executive officer provided continuous service through the applicable performance period (the “Continued Service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300" w:right="1940" w:firstLine="360"/>
        <w:spacing w:after="0" w:line="277" w:lineRule="auto"/>
        <w:rPr>
          <w:sz w:val="20"/>
          <w:szCs w:val="20"/>
          <w:color w:val="auto"/>
        </w:rPr>
      </w:pPr>
      <w:r>
        <w:rPr>
          <w:rFonts w:ascii="Arial" w:cs="Arial" w:eastAsia="Arial" w:hAnsi="Arial"/>
          <w:sz w:val="18"/>
          <w:szCs w:val="18"/>
          <w:color w:val="auto"/>
        </w:rPr>
        <w:t>The general terms of the equity awards contemplated by our 2022 executive compensation program are summarized in the table below.</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2860" w:type="dxa"/>
            <w:vAlign w:val="bottom"/>
            <w:gridSpan w:val="2"/>
          </w:tcPr>
          <w:p>
            <w:pPr>
              <w:ind w:left="700"/>
              <w:spacing w:after="0"/>
              <w:rPr>
                <w:sz w:val="20"/>
                <w:szCs w:val="20"/>
                <w:color w:val="auto"/>
              </w:rPr>
            </w:pPr>
            <w:r>
              <w:rPr>
                <w:rFonts w:ascii="Arial" w:cs="Arial" w:eastAsia="Arial" w:hAnsi="Arial"/>
                <w:sz w:val="14"/>
                <w:szCs w:val="14"/>
                <w:b w:val="1"/>
                <w:bCs w:val="1"/>
                <w:color w:val="auto"/>
              </w:rPr>
              <w:t>Service-Based RSUs</w:t>
            </w:r>
          </w:p>
        </w:tc>
        <w:tc>
          <w:tcPr>
            <w:tcW w:w="160" w:type="dxa"/>
            <w:vAlign w:val="bottom"/>
          </w:tcPr>
          <w:p>
            <w:pPr>
              <w:spacing w:after="0"/>
              <w:rPr>
                <w:sz w:val="16"/>
                <w:szCs w:val="16"/>
                <w:color w:val="auto"/>
              </w:rPr>
            </w:pPr>
          </w:p>
        </w:tc>
        <w:tc>
          <w:tcPr>
            <w:tcW w:w="2700" w:type="dxa"/>
            <w:vAlign w:val="bottom"/>
            <w:gridSpan w:val="2"/>
          </w:tcPr>
          <w:p>
            <w:pPr>
              <w:ind w:left="700"/>
              <w:spacing w:after="0"/>
              <w:rPr>
                <w:sz w:val="20"/>
                <w:szCs w:val="20"/>
                <w:color w:val="auto"/>
              </w:rPr>
            </w:pPr>
            <w:r>
              <w:rPr>
                <w:rFonts w:ascii="Arial" w:cs="Arial" w:eastAsia="Arial" w:hAnsi="Arial"/>
                <w:sz w:val="14"/>
                <w:szCs w:val="14"/>
                <w:b w:val="1"/>
                <w:bCs w:val="1"/>
                <w:color w:val="auto"/>
              </w:rPr>
              <w:t>Financial PSUs</w:t>
            </w:r>
          </w:p>
        </w:tc>
        <w:tc>
          <w:tcPr>
            <w:tcW w:w="160" w:type="dxa"/>
            <w:vAlign w:val="bottom"/>
          </w:tcPr>
          <w:p>
            <w:pPr>
              <w:spacing w:after="0"/>
              <w:rPr>
                <w:sz w:val="16"/>
                <w:szCs w:val="16"/>
                <w:color w:val="auto"/>
              </w:rPr>
            </w:pPr>
          </w:p>
        </w:tc>
        <w:tc>
          <w:tcPr>
            <w:tcW w:w="2540" w:type="dxa"/>
            <w:vAlign w:val="bottom"/>
          </w:tcPr>
          <w:p>
            <w:pPr>
              <w:ind w:left="860"/>
              <w:spacing w:after="0"/>
              <w:rPr>
                <w:sz w:val="20"/>
                <w:szCs w:val="20"/>
                <w:color w:val="auto"/>
              </w:rPr>
            </w:pPr>
            <w:r>
              <w:rPr>
                <w:rFonts w:ascii="Arial" w:cs="Arial" w:eastAsia="Arial" w:hAnsi="Arial"/>
                <w:sz w:val="14"/>
                <w:szCs w:val="14"/>
                <w:b w:val="1"/>
                <w:bCs w:val="1"/>
                <w:color w:val="auto"/>
              </w:rPr>
              <w:t>TSR PSUs</w:t>
            </w:r>
          </w:p>
        </w:tc>
      </w:tr>
      <w:tr>
        <w:trPr>
          <w:trHeight w:val="53"/>
        </w:trPr>
        <w:tc>
          <w:tcPr>
            <w:tcW w:w="2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r>
      <w:tr>
        <w:trPr>
          <w:trHeight w:val="263"/>
        </w:trPr>
        <w:tc>
          <w:tcPr>
            <w:tcW w:w="2860" w:type="dxa"/>
            <w:vAlign w:val="bottom"/>
            <w:gridSpan w:val="2"/>
          </w:tcPr>
          <w:p>
            <w:pPr>
              <w:spacing w:after="0"/>
              <w:rPr>
                <w:sz w:val="20"/>
                <w:szCs w:val="20"/>
                <w:color w:val="auto"/>
              </w:rPr>
            </w:pPr>
            <w:r>
              <w:rPr>
                <w:rFonts w:ascii="Arial" w:cs="Arial" w:eastAsia="Arial" w:hAnsi="Arial"/>
                <w:sz w:val="18"/>
                <w:szCs w:val="18"/>
                <w:color w:val="auto"/>
              </w:rPr>
              <w:t>•   Vest over three years in three</w:t>
            </w:r>
          </w:p>
        </w:tc>
        <w:tc>
          <w:tcPr>
            <w:tcW w:w="160" w:type="dxa"/>
            <w:vAlign w:val="bottom"/>
          </w:tcPr>
          <w:p>
            <w:pPr>
              <w:spacing w:after="0"/>
              <w:rPr>
                <w:sz w:val="20"/>
                <w:szCs w:val="20"/>
                <w:color w:val="auto"/>
              </w:rPr>
            </w:pPr>
            <w:r>
              <w:rPr>
                <w:rFonts w:ascii="Arial" w:cs="Arial" w:eastAsia="Arial" w:hAnsi="Arial"/>
                <w:sz w:val="13"/>
                <w:szCs w:val="13"/>
                <w:color w:val="auto"/>
                <w:w w:val="79"/>
              </w:rPr>
              <w:t>• </w:t>
            </w:r>
          </w:p>
        </w:tc>
        <w:tc>
          <w:tcPr>
            <w:tcW w:w="2700" w:type="dxa"/>
            <w:vAlign w:val="bottom"/>
            <w:gridSpan w:val="2"/>
          </w:tcPr>
          <w:p>
            <w:pPr>
              <w:ind w:left="60"/>
              <w:spacing w:after="0"/>
              <w:rPr>
                <w:sz w:val="20"/>
                <w:szCs w:val="20"/>
                <w:color w:val="auto"/>
              </w:rPr>
            </w:pPr>
            <w:r>
              <w:rPr>
                <w:rFonts w:ascii="Arial" w:cs="Arial" w:eastAsia="Arial" w:hAnsi="Arial"/>
                <w:sz w:val="18"/>
                <w:szCs w:val="18"/>
                <w:color w:val="auto"/>
              </w:rPr>
              <w:t>Annual grants with one-year</w:t>
            </w:r>
          </w:p>
        </w:tc>
        <w:tc>
          <w:tcPr>
            <w:tcW w:w="160" w:type="dxa"/>
            <w:vAlign w:val="bottom"/>
          </w:tcPr>
          <w:p>
            <w:pPr>
              <w:spacing w:after="0"/>
              <w:rPr>
                <w:sz w:val="20"/>
                <w:szCs w:val="20"/>
                <w:color w:val="auto"/>
              </w:rPr>
            </w:pPr>
            <w:r>
              <w:rPr>
                <w:rFonts w:ascii="Arial" w:cs="Arial" w:eastAsia="Arial" w:hAnsi="Arial"/>
                <w:sz w:val="13"/>
                <w:szCs w:val="13"/>
                <w:color w:val="auto"/>
                <w:w w:val="79"/>
              </w:rPr>
              <w:t>• </w:t>
            </w:r>
          </w:p>
        </w:tc>
        <w:tc>
          <w:tcPr>
            <w:tcW w:w="2540" w:type="dxa"/>
            <w:vAlign w:val="bottom"/>
          </w:tcPr>
          <w:p>
            <w:pPr>
              <w:ind w:left="60"/>
              <w:spacing w:after="0"/>
              <w:rPr>
                <w:sz w:val="20"/>
                <w:szCs w:val="20"/>
                <w:color w:val="auto"/>
              </w:rPr>
            </w:pPr>
            <w:r>
              <w:rPr>
                <w:rFonts w:ascii="Arial" w:cs="Arial" w:eastAsia="Arial" w:hAnsi="Arial"/>
                <w:sz w:val="18"/>
                <w:szCs w:val="18"/>
                <w:color w:val="auto"/>
              </w:rPr>
              <w:t>Annual grants with three-year</w:t>
            </w:r>
          </w:p>
        </w:tc>
      </w:tr>
      <w:tr>
        <w:trPr>
          <w:trHeight w:val="216"/>
        </w:trPr>
        <w:tc>
          <w:tcPr>
            <w:tcW w:w="2860" w:type="dxa"/>
            <w:vAlign w:val="bottom"/>
            <w:gridSpan w:val="2"/>
          </w:tcPr>
          <w:p>
            <w:pPr>
              <w:ind w:left="260"/>
              <w:spacing w:after="0"/>
              <w:rPr>
                <w:sz w:val="20"/>
                <w:szCs w:val="20"/>
                <w:color w:val="auto"/>
              </w:rPr>
            </w:pPr>
            <w:r>
              <w:rPr>
                <w:rFonts w:ascii="Arial" w:cs="Arial" w:eastAsia="Arial" w:hAnsi="Arial"/>
                <w:sz w:val="18"/>
                <w:szCs w:val="18"/>
                <w:color w:val="auto"/>
              </w:rPr>
              <w:t>equal annual installments,</w:t>
            </w: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performance period.</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performance period.</w:t>
            </w:r>
          </w:p>
        </w:tc>
      </w:tr>
      <w:tr>
        <w:trPr>
          <w:trHeight w:val="216"/>
        </w:trPr>
        <w:tc>
          <w:tcPr>
            <w:tcW w:w="2860" w:type="dxa"/>
            <w:vAlign w:val="bottom"/>
            <w:gridSpan w:val="2"/>
          </w:tcPr>
          <w:p>
            <w:pPr>
              <w:ind w:left="260"/>
              <w:spacing w:after="0"/>
              <w:rPr>
                <w:sz w:val="20"/>
                <w:szCs w:val="20"/>
                <w:color w:val="auto"/>
              </w:rPr>
            </w:pPr>
            <w:r>
              <w:rPr>
                <w:rFonts w:ascii="Arial" w:cs="Arial" w:eastAsia="Arial" w:hAnsi="Arial"/>
                <w:sz w:val="18"/>
                <w:szCs w:val="18"/>
                <w:color w:val="auto"/>
              </w:rPr>
              <w:t>subject to the executive’s</w:t>
            </w: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 </w:t>
            </w:r>
          </w:p>
        </w:tc>
      </w:tr>
      <w:tr>
        <w:trPr>
          <w:trHeight w:val="216"/>
        </w:trPr>
        <w:tc>
          <w:tcPr>
            <w:tcW w:w="2860" w:type="dxa"/>
            <w:vAlign w:val="bottom"/>
            <w:gridSpan w:val="2"/>
          </w:tcPr>
          <w:p>
            <w:pPr>
              <w:ind w:left="260"/>
              <w:spacing w:after="0"/>
              <w:rPr>
                <w:sz w:val="20"/>
                <w:szCs w:val="20"/>
                <w:color w:val="auto"/>
              </w:rPr>
            </w:pPr>
            <w:r>
              <w:rPr>
                <w:rFonts w:ascii="Arial" w:cs="Arial" w:eastAsia="Arial" w:hAnsi="Arial"/>
                <w:sz w:val="18"/>
                <w:szCs w:val="18"/>
                <w:color w:val="auto"/>
              </w:rPr>
              <w:t>continued employment through</w:t>
            </w:r>
          </w:p>
        </w:tc>
        <w:tc>
          <w:tcPr>
            <w:tcW w:w="160" w:type="dxa"/>
            <w:vAlign w:val="bottom"/>
          </w:tcPr>
          <w:p>
            <w:pPr>
              <w:spacing w:after="0"/>
              <w:rPr>
                <w:sz w:val="20"/>
                <w:szCs w:val="20"/>
                <w:color w:val="auto"/>
              </w:rPr>
            </w:pPr>
            <w:r>
              <w:rPr>
                <w:rFonts w:ascii="Arial" w:cs="Arial" w:eastAsia="Arial" w:hAnsi="Arial"/>
                <w:sz w:val="13"/>
                <w:szCs w:val="13"/>
                <w:color w:val="auto"/>
                <w:w w:val="79"/>
              </w:rPr>
              <w:t>• </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Vesting is based on (i) the</w:t>
            </w:r>
          </w:p>
        </w:tc>
        <w:tc>
          <w:tcPr>
            <w:tcW w:w="160" w:type="dxa"/>
            <w:vAlign w:val="bottom"/>
          </w:tcPr>
          <w:p>
            <w:pPr>
              <w:spacing w:after="0"/>
              <w:rPr>
                <w:sz w:val="20"/>
                <w:szCs w:val="20"/>
                <w:color w:val="auto"/>
              </w:rPr>
            </w:pPr>
            <w:r>
              <w:rPr>
                <w:rFonts w:ascii="Arial" w:cs="Arial" w:eastAsia="Arial" w:hAnsi="Arial"/>
                <w:sz w:val="13"/>
                <w:szCs w:val="13"/>
                <w:color w:val="auto"/>
                <w:w w:val="79"/>
              </w:rPr>
              <w:t>• </w:t>
            </w:r>
          </w:p>
        </w:tc>
        <w:tc>
          <w:tcPr>
            <w:tcW w:w="2540" w:type="dxa"/>
            <w:vAlign w:val="bottom"/>
          </w:tcPr>
          <w:p>
            <w:pPr>
              <w:ind w:left="80"/>
              <w:spacing w:after="0"/>
              <w:rPr>
                <w:sz w:val="20"/>
                <w:szCs w:val="20"/>
                <w:color w:val="auto"/>
              </w:rPr>
            </w:pPr>
            <w:r>
              <w:rPr>
                <w:rFonts w:ascii="Arial" w:cs="Arial" w:eastAsia="Arial" w:hAnsi="Arial"/>
                <w:sz w:val="18"/>
                <w:szCs w:val="18"/>
                <w:color w:val="auto"/>
                <w:w w:val="94"/>
              </w:rPr>
              <w:t>Performance is measured within</w:t>
            </w:r>
          </w:p>
        </w:tc>
      </w:tr>
      <w:tr>
        <w:trPr>
          <w:trHeight w:val="216"/>
        </w:trPr>
        <w:tc>
          <w:tcPr>
            <w:tcW w:w="2860" w:type="dxa"/>
            <w:vAlign w:val="bottom"/>
            <w:gridSpan w:val="2"/>
          </w:tcPr>
          <w:p>
            <w:pPr>
              <w:ind w:left="260"/>
              <w:spacing w:after="0"/>
              <w:rPr>
                <w:sz w:val="20"/>
                <w:szCs w:val="20"/>
                <w:color w:val="auto"/>
              </w:rPr>
            </w:pPr>
            <w:r>
              <w:rPr>
                <w:rFonts w:ascii="Arial" w:cs="Arial" w:eastAsia="Arial" w:hAnsi="Arial"/>
                <w:sz w:val="18"/>
                <w:szCs w:val="18"/>
                <w:color w:val="auto"/>
              </w:rPr>
              <w:t>each applicable vesting date.</w:t>
            </w: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achievement of financial goals</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w w:val="96"/>
              </w:rPr>
              <w:t>60 days of the end of the three-</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that measure our performance</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year performance period.</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against our business strategy,</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 </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with specific performance goals</w:t>
            </w:r>
          </w:p>
        </w:tc>
        <w:tc>
          <w:tcPr>
            <w:tcW w:w="160" w:type="dxa"/>
            <w:vAlign w:val="bottom"/>
          </w:tcPr>
          <w:p>
            <w:pPr>
              <w:spacing w:after="0"/>
              <w:rPr>
                <w:sz w:val="20"/>
                <w:szCs w:val="20"/>
                <w:color w:val="auto"/>
              </w:rPr>
            </w:pPr>
            <w:r>
              <w:rPr>
                <w:rFonts w:ascii="Arial" w:cs="Arial" w:eastAsia="Arial" w:hAnsi="Arial"/>
                <w:sz w:val="13"/>
                <w:szCs w:val="13"/>
                <w:color w:val="auto"/>
                <w:w w:val="79"/>
              </w:rPr>
              <w:t>• </w:t>
            </w:r>
          </w:p>
        </w:tc>
        <w:tc>
          <w:tcPr>
            <w:tcW w:w="2540" w:type="dxa"/>
            <w:vAlign w:val="bottom"/>
          </w:tcPr>
          <w:p>
            <w:pPr>
              <w:ind w:left="80"/>
              <w:spacing w:after="0"/>
              <w:rPr>
                <w:sz w:val="20"/>
                <w:szCs w:val="20"/>
                <w:color w:val="auto"/>
              </w:rPr>
            </w:pPr>
            <w:r>
              <w:rPr>
                <w:rFonts w:ascii="Arial" w:cs="Arial" w:eastAsia="Arial" w:hAnsi="Arial"/>
                <w:sz w:val="18"/>
                <w:szCs w:val="18"/>
                <w:color w:val="auto"/>
                <w:w w:val="99"/>
              </w:rPr>
              <w:t>Vesting is based on three-year</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w w:val="96"/>
              </w:rPr>
              <w:t>established by the Compensation</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w w:val="96"/>
              </w:rPr>
              <w:t>TSR of the Company relative to</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Committee annually, and</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other entities in the S&amp;P</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(ii) satisfaction of the Continued</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Semiconductor Index,</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Service Condition through each</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w w:val="90"/>
              </w:rPr>
              <w:t>determined by the percentile rank</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applicable date in the following</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w w:val="91"/>
              </w:rPr>
              <w:t>of the Company’s TSR relative to</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w w:val="97"/>
              </w:rPr>
              <w:t>vesting schedule: 1/3 of Vestable</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w w:val="99"/>
              </w:rPr>
              <w:t>the TSR of each other entity in</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Units on the Certification Date;</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such index, subject to the</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1/3 of Vestable Units on</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satisfaction of the Continued</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December 31, 2023; and 1/3 of</w:t>
            </w:r>
          </w:p>
        </w:tc>
        <w:tc>
          <w:tcPr>
            <w:tcW w:w="1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Service Condition.</w:t>
            </w:r>
          </w:p>
        </w:tc>
      </w:tr>
      <w:tr>
        <w:trPr>
          <w:trHeight w:val="220"/>
        </w:trPr>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w w:val="99"/>
              </w:rPr>
              <w:t>Vestable Units on December 31,</w:t>
            </w:r>
          </w:p>
        </w:tc>
        <w:tc>
          <w:tcPr>
            <w:tcW w:w="16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53"/>
        </w:trPr>
        <w:tc>
          <w:tcPr>
            <w:tcW w:w="2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tcPr>
          <w:p>
            <w:pPr>
              <w:ind w:left="100"/>
              <w:spacing w:after="0" w:line="252" w:lineRule="exact"/>
              <w:rPr>
                <w:sz w:val="20"/>
                <w:szCs w:val="20"/>
                <w:color w:val="auto"/>
              </w:rPr>
            </w:pPr>
            <w:r>
              <w:rPr>
                <w:rFonts w:ascii="Arial" w:cs="Arial" w:eastAsia="Arial" w:hAnsi="Arial"/>
                <w:sz w:val="18"/>
                <w:szCs w:val="18"/>
                <w:color w:val="auto"/>
              </w:rPr>
              <w:t>2024</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3"/>
                <w:szCs w:val="13"/>
                <w:color w:val="auto"/>
                <w:w w:val="79"/>
              </w:rPr>
              <w:t>• </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w w:val="99"/>
              </w:rPr>
              <w:t>For 2022, performance goals are</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based on revenue (1/3</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weighting), gross profit margin</w:t>
            </w:r>
          </w:p>
        </w:tc>
        <w:tc>
          <w:tcPr>
            <w:tcW w:w="1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0"/>
        </w:trPr>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(1/3 weighting) and Adjusted</w:t>
            </w:r>
          </w:p>
        </w:tc>
        <w:tc>
          <w:tcPr>
            <w:tcW w:w="16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390"/>
        </w:trPr>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EBITDA (1/3 weighting).</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110490</wp:posOffset>
            </wp:positionV>
            <wp:extent cx="822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3" w:lineRule="exact"/>
        <w:rPr>
          <w:sz w:val="20"/>
          <w:szCs w:val="20"/>
          <w:color w:val="auto"/>
        </w:rPr>
      </w:pPr>
    </w:p>
    <w:p>
      <w:pPr>
        <w:ind w:left="1640" w:right="1380" w:hanging="348"/>
        <w:spacing w:after="0" w:line="238" w:lineRule="auto"/>
        <w:tabs>
          <w:tab w:leader="none" w:pos="1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described above, Make-Whole Financial PSUs have a one-year vesting period, with the entire amount vesting on the Certification Date, provided that the other conditions of vesting have been met. As a result, including the Make-Whole Financial PSUs, 60% of the 2022 Financial PSUs were eligible to vest on the Certification Date.</w:t>
      </w:r>
    </w:p>
    <w:p>
      <w:pPr>
        <w:spacing w:after="0" w:line="20" w:lineRule="exact"/>
        <w:rPr>
          <w:rFonts w:ascii="Arial" w:cs="Arial" w:eastAsia="Arial" w:hAnsi="Arial"/>
          <w:sz w:val="14"/>
          <w:szCs w:val="14"/>
          <w:color w:val="auto"/>
        </w:rPr>
      </w:pPr>
    </w:p>
    <w:p>
      <w:pPr>
        <w:ind w:left="1640" w:right="1360" w:hanging="348"/>
        <w:spacing w:after="0" w:line="264" w:lineRule="auto"/>
        <w:tabs>
          <w:tab w:leader="none" w:pos="16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“Adjusted EBITDA” means EBITDA (as defined below) adjusted to exclude (i) equity-based compensation expense, (ii) foreign currency loss (gain), net, (iii) derivative valuation loss (gain), net, and (iv) various non-recurring expense (income), net. “EBITDA” is defined as the Company’s net income (loss) before interest income, interest expense, income tax expense, and depreciation and amortization.</w:t>
      </w:r>
    </w:p>
    <w:p>
      <w:pPr>
        <w:spacing w:after="0" w:line="65" w:lineRule="exact"/>
        <w:rPr>
          <w:sz w:val="20"/>
          <w:szCs w:val="20"/>
          <w:color w:val="auto"/>
        </w:rPr>
      </w:pPr>
    </w:p>
    <w:p>
      <w:pPr>
        <w:ind w:left="1300" w:right="1340" w:firstLine="360"/>
        <w:spacing w:after="0" w:line="277" w:lineRule="auto"/>
        <w:rPr>
          <w:sz w:val="20"/>
          <w:szCs w:val="20"/>
          <w:color w:val="auto"/>
        </w:rPr>
      </w:pPr>
      <w:r>
        <w:rPr>
          <w:rFonts w:ascii="Arial" w:cs="Arial" w:eastAsia="Arial" w:hAnsi="Arial"/>
          <w:sz w:val="18"/>
          <w:szCs w:val="18"/>
          <w:color w:val="auto"/>
        </w:rPr>
        <w:t>The below tables summarize the RSUs, Financial PSUs, and TSR PSUs granted to each of the named executive officers of the Company in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2"/>
          </w:tcPr>
          <w:p>
            <w:pPr>
              <w:ind w:left="40"/>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FV of</w:t>
            </w: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RSUs</w:t>
            </w:r>
          </w:p>
        </w:tc>
        <w:tc>
          <w:tcPr>
            <w:tcW w:w="2580" w:type="dxa"/>
            <w:vAlign w:val="bottom"/>
            <w:gridSpan w:val="2"/>
            <w:vMerge w:val="restart"/>
          </w:tcPr>
          <w:p>
            <w:pPr>
              <w:jc w:val="center"/>
              <w:ind w:right="1300"/>
              <w:spacing w:after="0"/>
              <w:rPr>
                <w:sz w:val="20"/>
                <w:szCs w:val="20"/>
                <w:color w:val="auto"/>
              </w:rPr>
            </w:pPr>
            <w:r>
              <w:rPr>
                <w:rFonts w:ascii="Arial" w:cs="Arial" w:eastAsia="Arial" w:hAnsi="Arial"/>
                <w:sz w:val="14"/>
                <w:szCs w:val="14"/>
                <w:b w:val="1"/>
                <w:bCs w:val="1"/>
                <w:color w:val="auto"/>
                <w:w w:val="92"/>
              </w:rPr>
              <w:t>Aggregate fair value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 Date</w:t>
            </w:r>
          </w:p>
        </w:tc>
        <w:tc>
          <w:tcPr>
            <w:tcW w:w="1020" w:type="dxa"/>
            <w:vAlign w:val="bottom"/>
            <w:gridSpan w:val="2"/>
            <w:vMerge w:val="continue"/>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Granted</w:t>
            </w:r>
          </w:p>
        </w:tc>
        <w:tc>
          <w:tcPr>
            <w:tcW w:w="2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Grant Date</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6"/>
                <w:szCs w:val="16"/>
                <w:color w:val="auto"/>
              </w:rPr>
            </w:pPr>
          </w:p>
        </w:tc>
        <w:tc>
          <w:tcPr>
            <w:tcW w:w="25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4"/>
              </w:rPr>
              <w:t>of grant date ($)</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Young-Joon Kim</w:t>
            </w:r>
          </w:p>
        </w:tc>
        <w:tc>
          <w:tcPr>
            <w:tcW w:w="1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89"/>
              </w:rPr>
              <w:t>2/28/2022</w:t>
            </w:r>
          </w:p>
        </w:tc>
        <w:tc>
          <w:tcPr>
            <w:tcW w:w="3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$18.20</w:t>
            </w:r>
          </w:p>
        </w:tc>
        <w:tc>
          <w:tcPr>
            <w:tcW w:w="3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43,000</w:t>
            </w:r>
          </w:p>
        </w:tc>
        <w:tc>
          <w:tcPr>
            <w:tcW w:w="3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782,600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Shin Young Park</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w w:val="89"/>
              </w:rPr>
              <w:t>2/28/2022</w:t>
            </w:r>
          </w:p>
        </w:tc>
        <w:tc>
          <w:tcPr>
            <w:tcW w:w="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$18.20</w:t>
            </w:r>
          </w:p>
        </w:tc>
        <w:tc>
          <w:tcPr>
            <w:tcW w:w="32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15,000</w:t>
            </w:r>
          </w:p>
        </w:tc>
        <w:tc>
          <w:tcPr>
            <w:tcW w:w="3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273,000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Theodore Kim</w:t>
            </w:r>
          </w:p>
        </w:tc>
        <w:tc>
          <w:tcPr>
            <w:tcW w:w="1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89"/>
              </w:rPr>
              <w:t>2/28/2022</w:t>
            </w:r>
          </w:p>
        </w:tc>
        <w:tc>
          <w:tcPr>
            <w:tcW w:w="3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$18.20</w:t>
            </w:r>
          </w:p>
        </w:tc>
        <w:tc>
          <w:tcPr>
            <w:tcW w:w="3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25,000</w:t>
            </w:r>
          </w:p>
        </w:tc>
        <w:tc>
          <w:tcPr>
            <w:tcW w:w="3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455,000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Woung Moo Lee</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w w:val="89"/>
              </w:rPr>
              <w:t>2/28/2022</w:t>
            </w:r>
          </w:p>
        </w:tc>
        <w:tc>
          <w:tcPr>
            <w:tcW w:w="3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$18.20</w:t>
            </w:r>
          </w:p>
        </w:tc>
        <w:tc>
          <w:tcPr>
            <w:tcW w:w="32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11,747</w:t>
            </w:r>
          </w:p>
        </w:tc>
        <w:tc>
          <w:tcPr>
            <w:tcW w:w="3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213,795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 Ho Park</w:t>
            </w:r>
          </w:p>
        </w:tc>
        <w:tc>
          <w:tcPr>
            <w:tcW w:w="1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89"/>
              </w:rPr>
              <w:t>2/28/2022</w:t>
            </w:r>
          </w:p>
        </w:tc>
        <w:tc>
          <w:tcPr>
            <w:tcW w:w="3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$18.20</w:t>
            </w:r>
          </w:p>
        </w:tc>
        <w:tc>
          <w:tcPr>
            <w:tcW w:w="3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3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182,000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60" w:type="dxa"/>
            <w:vAlign w:val="bottom"/>
            <w:gridSpan w:val="2"/>
          </w:tcPr>
          <w:p>
            <w:pPr>
              <w:jc w:val="right"/>
              <w:ind w:right="568"/>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5158105</wp:posOffset>
            </wp:positionH>
            <wp:positionV relativeFrom="paragraph">
              <wp:posOffset>-1447800</wp:posOffset>
            </wp:positionV>
            <wp:extent cx="2057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-1447800</wp:posOffset>
            </wp:positionV>
            <wp:extent cx="2057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-1447800</wp:posOffset>
            </wp:positionV>
            <wp:extent cx="2057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-1447800</wp:posOffset>
            </wp:positionV>
            <wp:extent cx="2057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2" w:name="page33"/>
    <w:bookmarkEnd w:id="32"/>
    <w:tbl>
      <w:tblPr>
        <w:tblLayout w:type="fixed"/>
        <w:tblInd w:w="30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Financial PSUs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9"/>
              </w:rPr>
              <w:t>FV of Grant</w:t>
            </w:r>
          </w:p>
        </w:tc>
        <w:tc>
          <w:tcPr>
            <w:tcW w:w="6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Threshold</w:t>
            </w:r>
          </w:p>
        </w:tc>
        <w:tc>
          <w:tcPr>
            <w:tcW w:w="440" w:type="dxa"/>
            <w:vAlign w:val="bottom"/>
          </w:tcPr>
          <w:p>
            <w:pPr>
              <w:spacing w:after="0"/>
              <w:rPr>
                <w:sz w:val="15"/>
                <w:szCs w:val="15"/>
                <w:color w:val="auto"/>
              </w:rPr>
            </w:pPr>
          </w:p>
        </w:tc>
        <w:tc>
          <w:tcPr>
            <w:tcW w:w="10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Target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7"/>
              </w:rPr>
              <w:t>Grant Date</w:t>
            </w: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Date ($) (at</w:t>
            </w:r>
          </w:p>
        </w:tc>
        <w:tc>
          <w:tcPr>
            <w:tcW w:w="6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6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Target)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1"/>
              </w:rPr>
              <w:t>Shares (#)</w:t>
            </w:r>
          </w:p>
        </w:tc>
        <w:tc>
          <w:tcPr>
            <w:tcW w:w="440" w:type="dxa"/>
            <w:vAlign w:val="bottom"/>
          </w:tcPr>
          <w:p>
            <w:pPr>
              <w:spacing w:after="0"/>
              <w:rPr>
                <w:sz w:val="16"/>
                <w:szCs w:val="16"/>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Shares (#)</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Shares (#)</w:t>
            </w: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Young-Joon Kim</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2/28/2022</w:t>
            </w:r>
          </w:p>
        </w:tc>
        <w:tc>
          <w:tcPr>
            <w:tcW w:w="4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2,711,800</w:t>
            </w:r>
          </w:p>
        </w:tc>
        <w:tc>
          <w:tcPr>
            <w:tcW w:w="4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4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223,500</w:t>
            </w:r>
          </w:p>
        </w:tc>
        <w:tc>
          <w:tcPr>
            <w:tcW w:w="0" w:type="dxa"/>
            <w:vAlign w:val="bottom"/>
          </w:tcPr>
          <w:p>
            <w:pPr>
              <w:spacing w:after="0"/>
              <w:rPr>
                <w:sz w:val="1"/>
                <w:szCs w:val="1"/>
                <w:color w:val="auto"/>
              </w:rPr>
            </w:pPr>
          </w:p>
        </w:tc>
      </w:tr>
      <w:tr>
        <w:trPr>
          <w:trHeight w:val="270"/>
        </w:trPr>
        <w:tc>
          <w:tcPr>
            <w:tcW w:w="3260" w:type="dxa"/>
            <w:vAlign w:val="bottom"/>
            <w:gridSpan w:val="3"/>
          </w:tcPr>
          <w:p>
            <w:pPr>
              <w:spacing w:after="0"/>
              <w:rPr>
                <w:sz w:val="20"/>
                <w:szCs w:val="20"/>
                <w:color w:val="auto"/>
              </w:rPr>
            </w:pPr>
            <w:r>
              <w:rPr>
                <w:rFonts w:ascii="Arial" w:cs="Arial" w:eastAsia="Arial" w:hAnsi="Arial"/>
                <w:sz w:val="18"/>
                <w:szCs w:val="18"/>
                <w:color w:val="auto"/>
              </w:rPr>
              <w:t>Shin Young Park</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2/28/2022</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318,500</w:t>
            </w:r>
          </w:p>
        </w:tc>
        <w:tc>
          <w:tcPr>
            <w:tcW w:w="4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4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26,250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Theodore Kim</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2/28/2022</w:t>
            </w:r>
          </w:p>
        </w:tc>
        <w:tc>
          <w:tcPr>
            <w:tcW w:w="4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531,440</w:t>
            </w:r>
          </w:p>
        </w:tc>
        <w:tc>
          <w:tcPr>
            <w:tcW w:w="4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4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70"/>
        </w:trPr>
        <w:tc>
          <w:tcPr>
            <w:tcW w:w="3260" w:type="dxa"/>
            <w:vAlign w:val="bottom"/>
            <w:gridSpan w:val="3"/>
          </w:tcPr>
          <w:p>
            <w:pPr>
              <w:spacing w:after="0"/>
              <w:rPr>
                <w:sz w:val="20"/>
                <w:szCs w:val="20"/>
                <w:color w:val="auto"/>
              </w:rPr>
            </w:pPr>
            <w:r>
              <w:rPr>
                <w:rFonts w:ascii="Arial" w:cs="Arial" w:eastAsia="Arial" w:hAnsi="Arial"/>
                <w:sz w:val="18"/>
                <w:szCs w:val="18"/>
                <w:color w:val="auto"/>
              </w:rPr>
              <w:t>Woung Moo Lee</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2/28/2022</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249,431</w:t>
            </w:r>
          </w:p>
        </w:tc>
        <w:tc>
          <w:tcPr>
            <w:tcW w:w="4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13,705</w:t>
            </w:r>
          </w:p>
        </w:tc>
        <w:tc>
          <w:tcPr>
            <w:tcW w:w="4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20,558</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 Ho Park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2/28/2022</w:t>
            </w: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212,339</w:t>
            </w:r>
          </w:p>
        </w:tc>
        <w:tc>
          <w:tcPr>
            <w:tcW w:w="4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4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17,501</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-1045210</wp:posOffset>
            </wp:positionV>
            <wp:extent cx="274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-1045210</wp:posOffset>
            </wp:positionV>
            <wp:extent cx="274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-1045210</wp:posOffset>
            </wp:positionV>
            <wp:extent cx="274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-1045210</wp:posOffset>
            </wp:positionV>
            <wp:extent cx="274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-1045210</wp:posOffset>
            </wp:positionV>
            <wp:extent cx="291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TSR PSUs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FV of Grant</w:t>
            </w:r>
          </w:p>
        </w:tc>
        <w:tc>
          <w:tcPr>
            <w:tcW w:w="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6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Target</w:t>
            </w:r>
          </w:p>
        </w:tc>
        <w:tc>
          <w:tcPr>
            <w:tcW w:w="300" w:type="dxa"/>
            <w:vAlign w:val="bottom"/>
          </w:tcPr>
          <w:p>
            <w:pPr>
              <w:spacing w:after="0"/>
              <w:rPr>
                <w:sz w:val="15"/>
                <w:szCs w:val="15"/>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Supermaximum</w:t>
            </w: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Date ($) (at</w:t>
            </w:r>
          </w:p>
        </w:tc>
        <w:tc>
          <w:tcPr>
            <w:tcW w:w="9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Target)</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Shares (#)</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1"/>
              </w:rPr>
              <w:t>Shares (#)</w:t>
            </w:r>
          </w:p>
        </w:tc>
        <w:tc>
          <w:tcPr>
            <w:tcW w:w="3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 (#)</w:t>
            </w:r>
          </w:p>
        </w:tc>
        <w:tc>
          <w:tcPr>
            <w:tcW w:w="1040" w:type="dxa"/>
            <w:vAlign w:val="bottom"/>
          </w:tcPr>
          <w:p>
            <w:pPr>
              <w:jc w:val="right"/>
              <w:ind w:right="135"/>
              <w:spacing w:after="0"/>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53"/>
        </w:trPr>
        <w:tc>
          <w:tcPr>
            <w:tcW w:w="21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Young-Joon Kim</w:t>
            </w: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2/28/2022</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717,080</w:t>
            </w: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19,700</w:t>
            </w:r>
          </w:p>
        </w:tc>
        <w:tc>
          <w:tcPr>
            <w:tcW w:w="3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39,400</w:t>
            </w:r>
          </w:p>
        </w:tc>
        <w:tc>
          <w:tcPr>
            <w:tcW w:w="9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59,100</w:t>
            </w: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78,800</w:t>
            </w:r>
          </w:p>
        </w:tc>
        <w:tc>
          <w:tcPr>
            <w:tcW w:w="0" w:type="dxa"/>
            <w:vAlign w:val="bottom"/>
          </w:tcPr>
          <w:p>
            <w:pPr>
              <w:spacing w:after="0"/>
              <w:rPr>
                <w:sz w:val="1"/>
                <w:szCs w:val="1"/>
                <w:color w:val="auto"/>
              </w:rPr>
            </w:pPr>
          </w:p>
        </w:tc>
      </w:tr>
      <w:tr>
        <w:trPr>
          <w:trHeight w:val="270"/>
        </w:trPr>
        <w:tc>
          <w:tcPr>
            <w:tcW w:w="2440" w:type="dxa"/>
            <w:vAlign w:val="bottom"/>
            <w:gridSpan w:val="2"/>
          </w:tcPr>
          <w:p>
            <w:pPr>
              <w:spacing w:after="0"/>
              <w:rPr>
                <w:sz w:val="20"/>
                <w:szCs w:val="20"/>
                <w:color w:val="auto"/>
              </w:rPr>
            </w:pPr>
            <w:r>
              <w:rPr>
                <w:rFonts w:ascii="Arial" w:cs="Arial" w:eastAsia="Arial" w:hAnsi="Arial"/>
                <w:sz w:val="18"/>
                <w:szCs w:val="18"/>
                <w:color w:val="auto"/>
              </w:rPr>
              <w:t>Shin Young Park</w:t>
            </w:r>
          </w:p>
        </w:tc>
        <w:tc>
          <w:tcPr>
            <w:tcW w:w="760" w:type="dxa"/>
            <w:vAlign w:val="bottom"/>
          </w:tcPr>
          <w:p>
            <w:pPr>
              <w:spacing w:after="0"/>
              <w:rPr>
                <w:sz w:val="20"/>
                <w:szCs w:val="20"/>
                <w:color w:val="auto"/>
              </w:rPr>
            </w:pPr>
            <w:r>
              <w:rPr>
                <w:rFonts w:ascii="Arial" w:cs="Arial" w:eastAsia="Arial" w:hAnsi="Arial"/>
                <w:sz w:val="18"/>
                <w:szCs w:val="18"/>
                <w:color w:val="auto"/>
                <w:w w:val="92"/>
              </w:rPr>
              <w:t>2/28/2022</w:t>
            </w:r>
          </w:p>
        </w:tc>
        <w:tc>
          <w:tcPr>
            <w:tcW w:w="28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81,900</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2,250</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4,500</w:t>
            </w:r>
          </w:p>
        </w:tc>
        <w:tc>
          <w:tcPr>
            <w:tcW w:w="960" w:type="dxa"/>
            <w:vAlign w:val="bottom"/>
            <w:gridSpan w:val="2"/>
          </w:tcPr>
          <w:p>
            <w:pPr>
              <w:jc w:val="right"/>
              <w:ind w:right="28"/>
              <w:spacing w:after="0"/>
              <w:rPr>
                <w:sz w:val="20"/>
                <w:szCs w:val="20"/>
                <w:color w:val="auto"/>
              </w:rPr>
            </w:pPr>
            <w:r>
              <w:rPr>
                <w:rFonts w:ascii="Arial" w:cs="Arial" w:eastAsia="Arial" w:hAnsi="Arial"/>
                <w:sz w:val="18"/>
                <w:szCs w:val="18"/>
                <w:color w:val="auto"/>
              </w:rPr>
              <w:t>6,750</w:t>
            </w:r>
          </w:p>
        </w:tc>
        <w:tc>
          <w:tcPr>
            <w:tcW w:w="300" w:type="dxa"/>
            <w:vAlign w:val="bottom"/>
          </w:tcPr>
          <w:p>
            <w:pPr>
              <w:spacing w:after="0"/>
              <w:rPr>
                <w:sz w:val="23"/>
                <w:szCs w:val="23"/>
                <w:color w:val="auto"/>
              </w:rPr>
            </w:pPr>
          </w:p>
        </w:tc>
        <w:tc>
          <w:tcPr>
            <w:tcW w:w="1040" w:type="dxa"/>
            <w:vAlign w:val="bottom"/>
          </w:tcPr>
          <w:p>
            <w:pPr>
              <w:jc w:val="right"/>
              <w:ind w:right="215"/>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2/28/2022</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136,500</w:t>
            </w: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3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9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11,250</w:t>
            </w: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0"/>
        </w:trPr>
        <w:tc>
          <w:tcPr>
            <w:tcW w:w="244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760" w:type="dxa"/>
            <w:vAlign w:val="bottom"/>
          </w:tcPr>
          <w:p>
            <w:pPr>
              <w:spacing w:after="0"/>
              <w:rPr>
                <w:sz w:val="20"/>
                <w:szCs w:val="20"/>
                <w:color w:val="auto"/>
              </w:rPr>
            </w:pPr>
            <w:r>
              <w:rPr>
                <w:rFonts w:ascii="Arial" w:cs="Arial" w:eastAsia="Arial" w:hAnsi="Arial"/>
                <w:sz w:val="18"/>
                <w:szCs w:val="18"/>
                <w:color w:val="auto"/>
                <w:w w:val="92"/>
              </w:rPr>
              <w:t>2/28/2022</w:t>
            </w:r>
          </w:p>
        </w:tc>
        <w:tc>
          <w:tcPr>
            <w:tcW w:w="28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64,137</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1,762</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3,524</w:t>
            </w:r>
          </w:p>
        </w:tc>
        <w:tc>
          <w:tcPr>
            <w:tcW w:w="960" w:type="dxa"/>
            <w:vAlign w:val="bottom"/>
            <w:gridSpan w:val="2"/>
          </w:tcPr>
          <w:p>
            <w:pPr>
              <w:jc w:val="right"/>
              <w:ind w:right="28"/>
              <w:spacing w:after="0"/>
              <w:rPr>
                <w:sz w:val="20"/>
                <w:szCs w:val="20"/>
                <w:color w:val="auto"/>
              </w:rPr>
            </w:pPr>
            <w:r>
              <w:rPr>
                <w:rFonts w:ascii="Arial" w:cs="Arial" w:eastAsia="Arial" w:hAnsi="Arial"/>
                <w:sz w:val="18"/>
                <w:szCs w:val="18"/>
                <w:color w:val="auto"/>
              </w:rPr>
              <w:t>5,286</w:t>
            </w:r>
          </w:p>
        </w:tc>
        <w:tc>
          <w:tcPr>
            <w:tcW w:w="300" w:type="dxa"/>
            <w:vAlign w:val="bottom"/>
          </w:tcPr>
          <w:p>
            <w:pPr>
              <w:spacing w:after="0"/>
              <w:rPr>
                <w:sz w:val="23"/>
                <w:szCs w:val="23"/>
                <w:color w:val="auto"/>
              </w:rPr>
            </w:pPr>
          </w:p>
        </w:tc>
        <w:tc>
          <w:tcPr>
            <w:tcW w:w="1040" w:type="dxa"/>
            <w:vAlign w:val="bottom"/>
          </w:tcPr>
          <w:p>
            <w:pPr>
              <w:jc w:val="right"/>
              <w:ind w:right="215"/>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2/28/2022</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54,600</w:t>
            </w: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9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4,500</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54"/>
        </w:trPr>
        <w:tc>
          <w:tcPr>
            <w:tcW w:w="21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-1045210</wp:posOffset>
            </wp:positionV>
            <wp:extent cx="1885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-1045210</wp:posOffset>
            </wp:positionV>
            <wp:extent cx="1885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-1045210</wp:posOffset>
            </wp:positionV>
            <wp:extent cx="1885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-1045210</wp:posOffset>
            </wp:positionV>
            <wp:extent cx="1885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-1045210</wp:posOffset>
            </wp:positionV>
            <wp:extent cx="1885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-1045210</wp:posOffset>
            </wp:positionV>
            <wp:extent cx="1885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74"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Vesting of the Financial PSUs granted in 2022 was based on the actual level of achievement for three corporate financial performance metrics—revenue, gross profit margin and Adjusted EBITDA. Achievement at or above the maximum level of achievement for each performance goal would result in a maximum payout of 150% of the portion of the named executive officer’s target level award attributable to that performance goal, while achievement below the threshold level of achievement for each performance goal would result in no payout for the portion of the named executive officer’s target level award attributable to that performance goal.</w:t>
      </w:r>
    </w:p>
    <w:p>
      <w:pPr>
        <w:spacing w:after="0" w:line="70"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In February 2023, the Compensation Committee determined that the 2022 Financial PSUs were to be forfeited, as the Company did not achieve the threshold level of achievement for any of the three performance goals. As a result, Financial PSUs granted in 2022 covering the following number of shares of our Common Stock were forfeited by our named executive officers: Mr. YJ Kim, 149,000; Ms. SY Park 17,500, Mr. T. Kim 29,200, Mr. WM Lee 13,705 and Mr. CH Park 11,667.</w:t>
      </w:r>
    </w:p>
    <w:p>
      <w:pPr>
        <w:spacing w:after="0" w:line="80"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The applicable goals and weighting, and the level of achievement for the Financial PSUs granted in 2022 are as follows: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Performance Metrics</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Goal</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Threshold</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Target</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Vesting Ratio</w:t>
            </w: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Weighed</w:t>
            </w:r>
          </w:p>
        </w:tc>
        <w:tc>
          <w:tcPr>
            <w:tcW w:w="0" w:type="dxa"/>
            <w:vAlign w:val="bottom"/>
          </w:tcPr>
          <w:p>
            <w:pPr>
              <w:spacing w:after="0"/>
              <w:rPr>
                <w:sz w:val="1"/>
                <w:szCs w:val="1"/>
                <w:color w:val="auto"/>
              </w:rPr>
            </w:pPr>
          </w:p>
        </w:tc>
      </w:tr>
      <w:tr>
        <w:trPr>
          <w:trHeight w:val="186"/>
        </w:trPr>
        <w:tc>
          <w:tcPr>
            <w:tcW w:w="2200" w:type="dxa"/>
            <w:vAlign w:val="bottom"/>
            <w:gridSpan w:val="2"/>
            <w:vMerge w:val="continue"/>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Weighting</w:t>
            </w:r>
          </w:p>
        </w:tc>
        <w:tc>
          <w:tcPr>
            <w:tcW w:w="86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Achievement</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by Category</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Vesting Ratio</w:t>
            </w:r>
          </w:p>
        </w:tc>
        <w:tc>
          <w:tcPr>
            <w:tcW w:w="0" w:type="dxa"/>
            <w:vAlign w:val="bottom"/>
          </w:tcPr>
          <w:p>
            <w:pPr>
              <w:spacing w:after="0"/>
              <w:rPr>
                <w:sz w:val="1"/>
                <w:szCs w:val="1"/>
                <w:color w:val="auto"/>
              </w:rPr>
            </w:pPr>
          </w:p>
        </w:tc>
      </w:tr>
      <w:tr>
        <w:trPr>
          <w:trHeight w:val="53"/>
        </w:trPr>
        <w:tc>
          <w:tcPr>
            <w:tcW w:w="19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 (in millions)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33.33%</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$450.0</w:t>
            </w: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$459.0</w:t>
            </w: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$485.0</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$301.9</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56"/>
        </w:trPr>
        <w:tc>
          <w:tcPr>
            <w:tcW w:w="2200" w:type="dxa"/>
            <w:vAlign w:val="bottom"/>
            <w:gridSpan w:val="2"/>
          </w:tcPr>
          <w:p>
            <w:pPr>
              <w:spacing w:after="0"/>
              <w:rPr>
                <w:sz w:val="20"/>
                <w:szCs w:val="20"/>
                <w:color w:val="auto"/>
              </w:rPr>
            </w:pPr>
            <w:r>
              <w:rPr>
                <w:rFonts w:ascii="Arial" w:cs="Arial" w:eastAsia="Arial" w:hAnsi="Arial"/>
                <w:sz w:val="18"/>
                <w:szCs w:val="18"/>
                <w:color w:val="auto"/>
              </w:rPr>
              <w:t>Gross Profit Margin (as %</w:t>
            </w: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of revenue)</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33.33%</w:t>
            </w:r>
          </w:p>
        </w:tc>
        <w:tc>
          <w:tcPr>
            <w:tcW w:w="2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33.5%</w:t>
            </w:r>
          </w:p>
        </w:tc>
        <w:tc>
          <w:tcPr>
            <w:tcW w:w="2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2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37.2%</w:t>
            </w: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33.0%</w:t>
            </w:r>
          </w:p>
        </w:tc>
        <w:tc>
          <w:tcPr>
            <w:tcW w:w="2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22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(in</w:t>
            </w: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millions)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33.33%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$72.2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$78.6</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$88.0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0.</w:t>
            </w:r>
            <w:r>
              <w:rPr>
                <w:rFonts w:ascii="Arial" w:cs="Arial" w:eastAsia="Arial" w:hAnsi="Arial"/>
                <w:sz w:val="18"/>
                <w:szCs w:val="18"/>
                <w:u w:val="single" w:color="auto"/>
                <w:color w:val="auto"/>
                <w:w w:val="92"/>
              </w:rPr>
              <w:t>0%</w:t>
            </w:r>
          </w:p>
        </w:tc>
        <w:tc>
          <w:tcPr>
            <w:tcW w:w="0" w:type="dxa"/>
            <w:vAlign w:val="bottom"/>
          </w:tcPr>
          <w:p>
            <w:pPr>
              <w:spacing w:after="0"/>
              <w:rPr>
                <w:sz w:val="1"/>
                <w:szCs w:val="1"/>
                <w:color w:val="auto"/>
              </w:rPr>
            </w:pPr>
          </w:p>
        </w:tc>
      </w:tr>
      <w:tr>
        <w:trPr>
          <w:trHeight w:val="61"/>
        </w:trPr>
        <w:tc>
          <w:tcPr>
            <w:tcW w:w="19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-1096645</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-1096645</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-1096645</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-1096645</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-1096645</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-1096645</wp:posOffset>
            </wp:positionV>
            <wp:extent cx="1543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-1096645</wp:posOffset>
            </wp:positionV>
            <wp:extent cx="154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28"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The performance metric of the 2022 TSR PSUs is the three-year TSR relative to the S&amp;P Semiconductor Index. In structuring the relative TSR calculation and selecting the index, the Compensation Committee wanted to compare our stock price performance to that of a large, steady-state sampling of semiconductor companies on a basis designed to eliminate any short-term aberrations in stock price at the start or at the end of the performance period. The TSR payout percentage is represented by four performance levels: “Threshold,” “Target,” “Maximum” and “Supermaximum.” Supermaximum is achieved only if Magnachip ranks first in the S&amp;P Semiconductor Index.</w:t>
      </w:r>
    </w:p>
    <w:p>
      <w:pPr>
        <w:spacing w:after="0" w:line="56"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As of December 31, 2022, the performance period applicable to the TSR PSUs granted in 2020 (the “2020 TSR PSUs”) ended. The performance metric applicable to the 2020 TSR PSUs was the same as that described above with respect to the 2022 TSR PSUs. In February 2023, based on such performance metric, the Compensation Committee determined that the vesting percentage of the 2020 TSR PSUs to be 0%, as the Company recorded a TSR of -20.46% for the performance period, placing it at the 9th percentile within the S&amp;P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599"/>
        <w:spacing w:after="0" w:line="286" w:lineRule="auto"/>
        <w:rPr>
          <w:sz w:val="20"/>
          <w:szCs w:val="20"/>
          <w:color w:val="auto"/>
        </w:rPr>
      </w:pPr>
      <w:r>
        <w:rPr>
          <w:rFonts w:ascii="Arial" w:cs="Arial" w:eastAsia="Arial" w:hAnsi="Arial"/>
          <w:sz w:val="17"/>
          <w:szCs w:val="17"/>
          <w:color w:val="auto"/>
        </w:rPr>
        <w:t>Semiconductor Index, which was below the achievement threshold of the 35th percentile. As a result, TSR PSUs covering the following number of shares of our Common Stock were forfeited by our named executive officers: Mr. YJ Kim, 29,040; Ms. SY Park, 1,500; Mr. T. Kim 6,000; and Mr. WM Lee 5,250.</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Health and Welfare Benefits</w:t>
      </w:r>
    </w:p>
    <w:p>
      <w:pPr>
        <w:spacing w:after="0" w:line="117"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Our named executive officers are eligible to participate in our employee benefit plans that are generally provided to all full-time employees, and on the same basis as all of our full-time employees in the country in which they are resident. For Messrs. YJ Kim, T. Kim and CH Park, these benefits included individual health insurance (medical, dental and vision).</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Perquisites and Other Benefits</w:t>
      </w:r>
    </w:p>
    <w:p>
      <w:pPr>
        <w:spacing w:after="0" w:line="117"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We provide the named executive officers with perquisites and other benefits, including expatriate benefits, which the Compensation Committee believes are reasonable and consistent with our overall compensation program to better enable us to attract and retain superior employees for key positions. Generally, perquisites are determined based upon what the Compensation Committee considers to be customary perquisites offered by our select peer group and are not based upon a median cost for specific perquisites or for the perquisites in aggregate. The Compensation Committee determines the level and types of expatriate benefits for the named executive officers based on local market surveys taken by our human resources group. These surveys are not limited to our select peer group, but include a broad range of companies based outside of Korea but with significant operations in Korea. Attributed costs of the personal benefits for the named executive officers are set forth in the Summary Compensation Table below. Consistent with the industry practice of hiring key expatriate executives and relocating such executives to a foreign country, like Korea, the provision of expatriate benefits to key expatriate executives allows us to retain key personnel on expatriate assignments and minimize any financial impacts associated with such assignments.</w:t>
      </w:r>
    </w:p>
    <w:p>
      <w:pPr>
        <w:spacing w:after="0" w:line="78"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Mr. YJ Kim and Mr. T. Kim were expatriates during 2022 and received expatriate benefits commensurate with market practice in Korea. The Compensation Committee determined the appropriate benefits for each expatriate in accordance with internal policies approved by our Board from time to time, which generally included housing allowances, relocation and repatriation allowances, insurance premiums (including, in addition to health and welfare benefits described above, group personal accident and business travel insurance), reimbursement for the use of a car, home leave flights, tax equalization payments and tax advisory services.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Employment Agreements and Post-Employment Severance Benefits</w:t>
      </w:r>
    </w:p>
    <w:p>
      <w:pPr>
        <w:spacing w:after="0" w:line="117"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Each of our named executive officers is party to an employment agreement or executive service agreement that provides for certain payments upon termination of the executive’s employment and/or a change in control of the Company and that is intended to align the interests of the executive and stockholders if a transaction were to occur. Please see the section below entitled “Potential Payments Upon Termination or Change in Control” for further discussion of those benefits. We believe that the use of severance arrangements appropriately mitigates some of the risk that exists for executives working in our highly competitive industry and allows the executives to focus on our business objectives. We entered into an executive services agreement with Ms. Park in connection with her appointment as CFO consistent with the existing agreements with our other named executive officers.</w:t>
      </w:r>
    </w:p>
    <w:p>
      <w:pPr>
        <w:spacing w:after="0" w:line="57"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Pursuant to the Employee Retirement Benefit Security Act, certain executive officers residing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Each of our named executive officers accrued statutory severance in 2022.</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17"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The Company has adopted a clawback policy that applies to incentive compensation approved, awarded or granted to our current and former executive officers, including our named executive officers, following the adoption of the policy in 2017. Under the clawback policy, if we are required to prepare an accounting restatement due to the Company’s material noncompliance with any financial reporting requirement under U.S. federal securities laws and the Board determines that a covered executive officer has willfully committed an act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73" w:lineRule="auto"/>
        <w:rPr>
          <w:sz w:val="20"/>
          <w:szCs w:val="20"/>
          <w:color w:val="auto"/>
        </w:rPr>
      </w:pPr>
      <w:r>
        <w:rPr>
          <w:rFonts w:ascii="Arial" w:cs="Arial" w:eastAsia="Arial" w:hAnsi="Arial"/>
          <w:sz w:val="17"/>
          <w:szCs w:val="17"/>
          <w:color w:val="auto"/>
        </w:rPr>
        <w:t>of fraud, dishonesty or recklessness in the performance of his or her duties as an executive officer of the Company that contributed to the noncompliance, the Board may require reimbursement or forfeiture of any excess incentive compensation that is received by any covered executive officer during the three completed fiscal years preceding the date on which the Company is required to prepare such accounting restatement. We intend to amend this policy to be consistent with the listing standards of the New York Stock Exchange once it adopts and SEC-approved listing standard that complies with Exchange Act Rule 10D-1.</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Anti-Hedging and Pledging Policy</w:t>
      </w:r>
    </w:p>
    <w:p>
      <w:pPr>
        <w:spacing w:after="0" w:line="117" w:lineRule="exact"/>
        <w:rPr>
          <w:sz w:val="20"/>
          <w:szCs w:val="20"/>
          <w:color w:val="auto"/>
        </w:rPr>
      </w:pPr>
    </w:p>
    <w:p>
      <w:pPr>
        <w:ind w:left="300" w:right="359" w:firstLine="360"/>
        <w:spacing w:after="0" w:line="284" w:lineRule="auto"/>
        <w:rPr>
          <w:sz w:val="20"/>
          <w:szCs w:val="20"/>
          <w:color w:val="auto"/>
        </w:rPr>
      </w:pPr>
      <w:r>
        <w:rPr>
          <w:rFonts w:ascii="Arial" w:cs="Arial" w:eastAsia="Arial" w:hAnsi="Arial"/>
          <w:sz w:val="16"/>
          <w:szCs w:val="16"/>
          <w:color w:val="auto"/>
        </w:rPr>
        <w:t>The Company has adopted the Securities Trading Policy which applies to all of the directors, officers and employees of the Company, to describe the standards concerning the handling of non-public information relating to the Company and the buying and selling of securities of the Company. The policy prohibits engaging in pledging, short sales and buying or selling puts, calls, options or other derivatives in respect of securities of the Company. The policy also strongly discourages speculative hedging transactions where even long-term hedging transactions that are designed to protect an individual’s investment in Company securities (i.e., the hedge must be for at least twelve</w:t>
      </w:r>
    </w:p>
    <w:p>
      <w:pPr>
        <w:spacing w:after="0" w:line="4" w:lineRule="exact"/>
        <w:rPr>
          <w:sz w:val="20"/>
          <w:szCs w:val="20"/>
          <w:color w:val="auto"/>
        </w:rPr>
      </w:pPr>
    </w:p>
    <w:p>
      <w:pPr>
        <w:ind w:left="300" w:right="379" w:hanging="8"/>
        <w:spacing w:after="0" w:line="260" w:lineRule="auto"/>
        <w:tabs>
          <w:tab w:leader="none" w:pos="6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months and relate to stock or options held by the individual) are only permitted after being pre-cleared with the Chairman of the Board and the Company’s General Counsel.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Award Grant Policy</w:t>
      </w:r>
    </w:p>
    <w:p>
      <w:pPr>
        <w:spacing w:after="0" w:line="117"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Effective September 1, 2022, the Company adopted an Equity Award Grant Policy. The policy provides that equity awards made in connection with the hiring of a new employee or the promotion of an existing employee will generally be made on a bi-monthly basis, and that, unless the Board, the Compensation Committee, or its delegate determines otherwise, will be effective on the earlier of the 1st or the 15th day of the month during which such grant is approved, or the month immediately following the date on which such grant is approved, as appropriate. In addition, new hire grants will generally become effective at least fourteen days after the date on which an employee’s employment begins. Annual and other equity awards to continuing employees, if made, will generally be made at a meeting of the Board or the Compensation Committee, or its delegate established in advance, and will generally become effective on the earlier of the 1st or the 15th day of the month during which such grant is approved, or of the month immediately following the date on which such grant is approved, as appropriate.</w:t>
      </w:r>
    </w:p>
    <w:p>
      <w:pPr>
        <w:spacing w:after="0" w:line="60"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Equity awards denominated in a number of shares will be priced in accordance with the terms of the Company’s 2020 Equity and Incentive Compensation Plan. If a grant of restricted stock or RSUs is denominated in dollars, the number of shares of restricted stock or RSUs subject to such grant will be calculated by dividing the dollar value of the approved award by the volume-weighted average closing market price on the NYSE (or such other market on which the Company’s stock is then principally listed) of one share of the Company’s stock over the trailing 30-day period ending on the last day immediately prior to the grant date.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left="300" w:right="539" w:firstLine="360"/>
        <w:spacing w:after="0" w:line="342" w:lineRule="auto"/>
        <w:rPr>
          <w:sz w:val="20"/>
          <w:szCs w:val="20"/>
          <w:color w:val="auto"/>
        </w:rPr>
      </w:pPr>
      <w:r>
        <w:rPr>
          <w:rFonts w:ascii="Arial" w:cs="Arial" w:eastAsia="Arial" w:hAnsi="Arial"/>
          <w:sz w:val="16"/>
          <w:szCs w:val="16"/>
          <w:color w:val="auto"/>
        </w:rPr>
        <w:t>The Company has adopted our Stock Ownership Policy (the “Stock Ownership Policy”), that is applicable to our non-employee directors and our executive officers. The Stock Ownership Policy requires that:</w:t>
      </w:r>
    </w:p>
    <w:p>
      <w:pPr>
        <w:spacing w:after="0" w:line="16" w:lineRule="exact"/>
        <w:rPr>
          <w:sz w:val="20"/>
          <w:szCs w:val="20"/>
          <w:color w:val="auto"/>
        </w:rPr>
      </w:pPr>
    </w:p>
    <w:p>
      <w:pPr>
        <w:ind w:left="1000" w:right="479" w:hanging="348"/>
        <w:spacing w:after="0" w:line="25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Chairman of the Board hold equity in the Company with a value equal to the lesser of (i) three times his or her then current annual Board and Chairman cash retainer and (ii) three times his or her initial annual Board and Chairman cash retainer paid at the time he or she became subject to the Stock Ownership Policy as the Chairman of the Board;</w:t>
      </w:r>
    </w:p>
    <w:p>
      <w:pPr>
        <w:spacing w:after="0" w:line="78" w:lineRule="exact"/>
        <w:rPr>
          <w:rFonts w:ascii="Arial" w:cs="Arial" w:eastAsia="Arial" w:hAnsi="Arial"/>
          <w:sz w:val="18"/>
          <w:szCs w:val="18"/>
          <w:color w:val="auto"/>
        </w:rPr>
      </w:pPr>
    </w:p>
    <w:p>
      <w:pPr>
        <w:ind w:left="1000" w:right="319" w:hanging="348"/>
        <w:spacing w:after="0" w:line="25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Non-employee directors hold equity in the Company with a value equal to the lesser of (i) three times the non-employee director’s annual Board cash retainer and (ii) three times his or her initial annual Board cash retainer paid at the time he or she became subject to the Stock Ownership Policy as a director of the Company;</w:t>
      </w:r>
    </w:p>
    <w:p>
      <w:pPr>
        <w:spacing w:after="0" w:line="78" w:lineRule="exact"/>
        <w:rPr>
          <w:rFonts w:ascii="Arial" w:cs="Arial" w:eastAsia="Arial" w:hAnsi="Arial"/>
          <w:sz w:val="18"/>
          <w:szCs w:val="18"/>
          <w:color w:val="auto"/>
        </w:rPr>
      </w:pPr>
    </w:p>
    <w:p>
      <w:pPr>
        <w:ind w:left="1000" w:right="519" w:hanging="348"/>
        <w:spacing w:after="0" w:line="311"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Chief Executive Officer owns equity in the Company equal to the lesser of (i) five times his or her then current annual base salary and (ii) five times his or her annual base salary paid at the time he or she became subject to the Stock Ownership Policy as the Chief Executive Officer of the Company; and</w:t>
      </w:r>
    </w:p>
    <w:p>
      <w:pPr>
        <w:spacing w:after="0" w:line="40" w:lineRule="exact"/>
        <w:rPr>
          <w:rFonts w:ascii="Arial" w:cs="Arial" w:eastAsia="Arial" w:hAnsi="Arial"/>
          <w:sz w:val="16"/>
          <w:szCs w:val="16"/>
          <w:color w:val="auto"/>
        </w:rPr>
      </w:pPr>
    </w:p>
    <w:p>
      <w:pPr>
        <w:ind w:left="1000" w:right="43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covered executives own equity in the Company equal to the lesser of (i) two times his or her annual base salary and (ii) two times his or her annual base salary as of the date such individual’s entered into their role that made them subject to the Stock Ownership Policy.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The Stock Ownership Policy provides that an individual subject to the policy is required to be in compliance with the minimum equity ownership requirement by the later of the five-year anniversary of the implementation date of the Stock Ownership Policy and the five-year anniversary of such individual’s entrance into their role that made them subject to the Stock Ownership Policy.</w:t>
      </w:r>
    </w:p>
    <w:p>
      <w:pPr>
        <w:spacing w:after="0" w:line="79"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The Stock Ownership Policy provides that shares of our Common Stock directly owned by covered executives and directors, vested, but not settled, RSUs, 50% of any vested unexercised options, shares owned jointly with a spouse and shares of our Common Stock held in a trust established by a covered executive or director for the benefit of the such covered executive or director and/or family members will count towards satisfying the minimum equity ownership requirement of the Stock Ownership Policy.</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Considerations</w:t>
      </w:r>
    </w:p>
    <w:p>
      <w:pPr>
        <w:spacing w:after="0" w:line="117"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The Compensation Committee considers the accounting impact of equity awards when designing compensation plans and arrangements for our executive officers and other employees. Chief among these is Financial Accounting Standards Board Accounting Standards Codification Topic 718 (“ASC 718”), the standard which governs the accounting treatment of stock-based compensation awards. However, accounting cost is just one factor considered when designing such compensation plans and arrangements for our executive officers and other employees.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as set forth above under “Compensation Discussion and Analysis” with our management and, based on such review and discussion, has recommended to our Board that the Compensation Discussion and Analysis be included in this Proxy Statement.</w:t>
      </w:r>
    </w:p>
    <w:p>
      <w:pPr>
        <w:spacing w:after="0" w:line="79"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The foregoing report was submitted by the Compensation Committee and shall not be deemed to be “soliciting material” or to be “filed” with the SEC or subject to Regulation 14A promulgated by the SEC or Section 18 of the Exchange Act and shall not be incorporated by reference in any of our other filings under the Securities Act or Exchange Act except to the extent we specifically incorporate this report therein.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Members of the Compensation Committee</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Camillo Martino, 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Kyo-Hwa (Liz) Chung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Gary Tanner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the compensation earned during the years ended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December 31, 2022, 2021 and 2020, of our named executive officers:</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Change in</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Pension</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and Non-</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qualified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Deferred</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5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Incentive Plan</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00" w:type="dxa"/>
            <w:vAlign w:val="bottom"/>
            <w:gridSpan w:val="2"/>
            <w:vMerge w:val="continue"/>
          </w:tcPr>
          <w:p>
            <w:pPr>
              <w:spacing w:after="0"/>
              <w:rPr>
                <w:sz w:val="12"/>
                <w:szCs w:val="12"/>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Earnings</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1020" w:type="dxa"/>
            <w:vAlign w:val="bottom"/>
            <w:gridSpan w:val="4"/>
          </w:tcPr>
          <w:p>
            <w:pPr>
              <w:ind w:left="20"/>
              <w:spacing w:after="0" w:line="243" w:lineRule="exact"/>
              <w:rPr>
                <w:sz w:val="20"/>
                <w:szCs w:val="20"/>
                <w:color w:val="auto"/>
              </w:rPr>
            </w:pPr>
            <w:r>
              <w:rPr>
                <w:rFonts w:ascii="Arial" w:cs="Arial" w:eastAsia="Arial" w:hAnsi="Arial"/>
                <w:sz w:val="14"/>
                <w:szCs w:val="14"/>
                <w:b w:val="1"/>
                <w:bCs w:val="1"/>
                <w:color w:val="auto"/>
              </w:rPr>
              <w:t>Year   ($)</w:t>
            </w:r>
            <w:r>
              <w:rPr>
                <w:rFonts w:ascii="Arial" w:cs="Arial" w:eastAsia="Arial" w:hAnsi="Arial"/>
                <w:sz w:val="23"/>
                <w:szCs w:val="23"/>
                <w:b w:val="1"/>
                <w:bCs w:val="1"/>
                <w:color w:val="auto"/>
                <w:vertAlign w:val="superscript"/>
              </w:rPr>
              <w:t>(1)</w:t>
            </w:r>
          </w:p>
        </w:tc>
        <w:tc>
          <w:tcPr>
            <w:tcW w:w="66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66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(3)</w:t>
            </w:r>
          </w:p>
        </w:tc>
        <w:tc>
          <w:tcPr>
            <w:tcW w:w="80" w:type="dxa"/>
            <w:vAlign w:val="bottom"/>
          </w:tcPr>
          <w:p>
            <w:pPr>
              <w:spacing w:after="0"/>
              <w:rPr>
                <w:sz w:val="21"/>
                <w:szCs w:val="21"/>
                <w:color w:val="auto"/>
              </w:rPr>
            </w:pPr>
          </w:p>
        </w:tc>
        <w:tc>
          <w:tcPr>
            <w:tcW w:w="9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(4)</w:t>
            </w:r>
          </w:p>
        </w:tc>
        <w:tc>
          <w:tcPr>
            <w:tcW w:w="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6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Young-Joon Kim</w:t>
            </w:r>
          </w:p>
        </w:tc>
        <w:tc>
          <w:tcPr>
            <w:tcW w:w="10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2022 560,420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605,538</w:t>
            </w: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4,211,480</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100,280</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line="253" w:lineRule="exact"/>
              <w:rPr>
                <w:sz w:val="20"/>
                <w:szCs w:val="20"/>
                <w:color w:val="auto"/>
              </w:rPr>
            </w:pPr>
            <w:r>
              <w:rPr>
                <w:rFonts w:ascii="Arial" w:cs="Arial" w:eastAsia="Arial" w:hAnsi="Arial"/>
                <w:sz w:val="16"/>
                <w:szCs w:val="16"/>
                <w:color w:val="auto"/>
                <w:w w:val="97"/>
              </w:rPr>
              <w:t>1,565,327</w:t>
            </w:r>
            <w:r>
              <w:rPr>
                <w:rFonts w:ascii="Arial" w:cs="Arial" w:eastAsia="Arial" w:hAnsi="Arial"/>
                <w:sz w:val="26"/>
                <w:szCs w:val="26"/>
                <w:color w:val="auto"/>
                <w:w w:val="97"/>
                <w:vertAlign w:val="superscript"/>
              </w:rPr>
              <w:t>(5)</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7,043,045</w:t>
            </w:r>
          </w:p>
        </w:tc>
        <w:tc>
          <w:tcPr>
            <w:tcW w:w="0" w:type="dxa"/>
            <w:vAlign w:val="bottom"/>
          </w:tcPr>
          <w:p>
            <w:pPr>
              <w:spacing w:after="0"/>
              <w:rPr>
                <w:sz w:val="1"/>
                <w:szCs w:val="1"/>
                <w:color w:val="auto"/>
              </w:rPr>
            </w:pPr>
          </w:p>
        </w:tc>
      </w:tr>
      <w:tr>
        <w:trPr>
          <w:trHeight w:val="203"/>
        </w:trPr>
        <w:tc>
          <w:tcPr>
            <w:tcW w:w="1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Chief Executive</w:t>
            </w:r>
          </w:p>
        </w:tc>
        <w:tc>
          <w:tcPr>
            <w:tcW w:w="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4"/>
              </w:rPr>
              <w:t>2021</w:t>
            </w:r>
          </w:p>
        </w:tc>
        <w:tc>
          <w:tcPr>
            <w:tcW w:w="136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557,136 1,576,245</w:t>
            </w:r>
          </w:p>
        </w:tc>
        <w:tc>
          <w:tcPr>
            <w:tcW w:w="8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2,335,967</w:t>
            </w:r>
          </w:p>
        </w:tc>
        <w:tc>
          <w:tcPr>
            <w:tcW w:w="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rPr>
              <w:t>68,656</w:t>
            </w:r>
          </w:p>
        </w:tc>
        <w:tc>
          <w:tcPr>
            <w:tcW w:w="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1,034,781</w:t>
            </w:r>
          </w:p>
        </w:tc>
        <w:tc>
          <w:tcPr>
            <w:tcW w:w="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7"/>
              </w:rPr>
              <w:t>5,572,785</w:t>
            </w:r>
          </w:p>
        </w:tc>
        <w:tc>
          <w:tcPr>
            <w:tcW w:w="0" w:type="dxa"/>
            <w:vAlign w:val="bottom"/>
          </w:tcPr>
          <w:p>
            <w:pPr>
              <w:spacing w:after="0"/>
              <w:rPr>
                <w:sz w:val="1"/>
                <w:szCs w:val="1"/>
                <w:color w:val="auto"/>
              </w:rPr>
            </w:pPr>
          </w:p>
        </w:tc>
      </w:tr>
      <w:tr>
        <w:trPr>
          <w:trHeight w:val="152"/>
        </w:trPr>
        <w:tc>
          <w:tcPr>
            <w:tcW w:w="160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16"/>
                <w:szCs w:val="16"/>
                <w:color w:val="auto"/>
              </w:rPr>
              <w:t>Officer</w:t>
            </w:r>
          </w:p>
        </w:tc>
        <w:tc>
          <w:tcPr>
            <w:tcW w:w="320" w:type="dxa"/>
            <w:vAlign w:val="bottom"/>
            <w:vMerge w:val="continue"/>
            <w:shd w:val="clear" w:color="auto" w:fill="CCEEFF"/>
          </w:tcPr>
          <w:p>
            <w:pPr>
              <w:spacing w:after="0"/>
              <w:rPr>
                <w:sz w:val="13"/>
                <w:szCs w:val="13"/>
                <w:color w:val="auto"/>
              </w:rPr>
            </w:pPr>
          </w:p>
        </w:tc>
        <w:tc>
          <w:tcPr>
            <w:tcW w:w="1360" w:type="dxa"/>
            <w:vAlign w:val="bottom"/>
            <w:gridSpan w:val="4"/>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600" w:type="dxa"/>
            <w:vAlign w:val="bottom"/>
            <w:tcBorders>
              <w:right w:val="single" w:sz="8" w:color="CCEEFF"/>
            </w:tcBorders>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600" w:type="dxa"/>
            <w:vAlign w:val="bottom"/>
            <w:tcBorders>
              <w:bottom w:val="single" w:sz="8" w:color="CCEEFF"/>
              <w:right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4"/>
              </w:rPr>
              <w:t>2020</w:t>
            </w: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3"/>
              </w:rPr>
              <w:t>556,399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1,486,335</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26,089</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757,844</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2,951,667</w:t>
            </w:r>
          </w:p>
        </w:tc>
        <w:tc>
          <w:tcPr>
            <w:tcW w:w="0" w:type="dxa"/>
            <w:vAlign w:val="bottom"/>
          </w:tcPr>
          <w:p>
            <w:pPr>
              <w:spacing w:after="0"/>
              <w:rPr>
                <w:sz w:val="1"/>
                <w:szCs w:val="1"/>
                <w:color w:val="auto"/>
              </w:rPr>
            </w:pPr>
          </w:p>
        </w:tc>
      </w:tr>
      <w:tr>
        <w:trPr>
          <w:trHeight w:val="310"/>
        </w:trPr>
        <w:tc>
          <w:tcPr>
            <w:tcW w:w="16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600" w:type="dxa"/>
            <w:vAlign w:val="bottom"/>
            <w:tcBorders>
              <w:right w:val="single" w:sz="8" w:color="CCEEFF"/>
            </w:tcBorders>
            <w:shd w:val="clear" w:color="auto" w:fill="CCEEFF"/>
          </w:tcPr>
          <w:p>
            <w:pPr>
              <w:spacing w:after="0" w:line="287" w:lineRule="exact"/>
              <w:rPr>
                <w:sz w:val="20"/>
                <w:szCs w:val="20"/>
                <w:color w:val="auto"/>
              </w:rPr>
            </w:pPr>
            <w:r>
              <w:rPr>
                <w:rFonts w:ascii="Arial" w:cs="Arial" w:eastAsia="Arial" w:hAnsi="Arial"/>
                <w:sz w:val="16"/>
                <w:szCs w:val="16"/>
                <w:color w:val="auto"/>
              </w:rPr>
              <w:t>Shin Young Park</w:t>
            </w:r>
            <w:r>
              <w:rPr>
                <w:rFonts w:ascii="Arial" w:cs="Arial" w:eastAsia="Arial" w:hAnsi="Arial"/>
                <w:sz w:val="26"/>
                <w:szCs w:val="26"/>
                <w:color w:val="auto"/>
                <w:vertAlign w:val="superscript"/>
              </w:rPr>
              <w:t>(6)</w:t>
            </w:r>
          </w:p>
        </w:tc>
        <w:tc>
          <w:tcPr>
            <w:tcW w:w="10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2022 312,048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330,274</w:t>
            </w:r>
          </w:p>
        </w:tc>
        <w:tc>
          <w:tcPr>
            <w:tcW w:w="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673,400</w:t>
            </w:r>
          </w:p>
        </w:tc>
        <w:tc>
          <w:tcPr>
            <w:tcW w:w="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51,264</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line="287" w:lineRule="exact"/>
              <w:rPr>
                <w:sz w:val="20"/>
                <w:szCs w:val="20"/>
                <w:color w:val="auto"/>
              </w:rPr>
            </w:pPr>
            <w:r>
              <w:rPr>
                <w:rFonts w:ascii="Arial" w:cs="Arial" w:eastAsia="Arial" w:hAnsi="Arial"/>
                <w:sz w:val="16"/>
                <w:szCs w:val="16"/>
                <w:color w:val="auto"/>
              </w:rPr>
              <w:t>41,548</w:t>
            </w:r>
            <w:r>
              <w:rPr>
                <w:rFonts w:ascii="Arial" w:cs="Arial" w:eastAsia="Arial" w:hAnsi="Arial"/>
                <w:sz w:val="26"/>
                <w:szCs w:val="26"/>
                <w:color w:val="auto"/>
                <w:vertAlign w:val="superscript"/>
              </w:rPr>
              <w:t>(7)</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1,408,534</w:t>
            </w:r>
          </w:p>
        </w:tc>
        <w:tc>
          <w:tcPr>
            <w:tcW w:w="0" w:type="dxa"/>
            <w:vAlign w:val="bottom"/>
          </w:tcPr>
          <w:p>
            <w:pPr>
              <w:spacing w:after="0"/>
              <w:rPr>
                <w:sz w:val="1"/>
                <w:szCs w:val="1"/>
                <w:color w:val="auto"/>
              </w:rPr>
            </w:pPr>
          </w:p>
        </w:tc>
      </w:tr>
      <w:tr>
        <w:trPr>
          <w:trHeight w:val="203"/>
        </w:trPr>
        <w:tc>
          <w:tcPr>
            <w:tcW w:w="1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Chief Financial</w:t>
            </w:r>
          </w:p>
        </w:tc>
        <w:tc>
          <w:tcPr>
            <w:tcW w:w="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4"/>
              </w:rPr>
              <w:t>2021</w:t>
            </w:r>
          </w:p>
        </w:tc>
        <w:tc>
          <w:tcPr>
            <w:tcW w:w="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7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00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2"/>
        </w:trPr>
        <w:tc>
          <w:tcPr>
            <w:tcW w:w="1600" w:type="dxa"/>
            <w:vAlign w:val="bottom"/>
            <w:tcBorders>
              <w:right w:val="single" w:sz="8" w:color="CCEEFF"/>
            </w:tcBorders>
            <w:vMerge w:val="restart"/>
            <w:shd w:val="clear" w:color="auto" w:fill="CCEEFF"/>
          </w:tcPr>
          <w:p>
            <w:pPr>
              <w:ind w:left="180"/>
              <w:spacing w:after="0" w:line="172" w:lineRule="exact"/>
              <w:rPr>
                <w:sz w:val="20"/>
                <w:szCs w:val="20"/>
                <w:color w:val="auto"/>
              </w:rPr>
            </w:pPr>
            <w:r>
              <w:rPr>
                <w:rFonts w:ascii="Arial" w:cs="Arial" w:eastAsia="Arial" w:hAnsi="Arial"/>
                <w:sz w:val="16"/>
                <w:szCs w:val="16"/>
                <w:color w:val="auto"/>
              </w:rPr>
              <w:t>Officer</w:t>
            </w:r>
          </w:p>
        </w:tc>
        <w:tc>
          <w:tcPr>
            <w:tcW w:w="3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540" w:type="dxa"/>
            <w:vAlign w:val="bottom"/>
            <w:gridSpan w:val="2"/>
            <w:vMerge w:val="continue"/>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600" w:type="dxa"/>
            <w:vAlign w:val="bottom"/>
            <w:tcBorders>
              <w:right w:val="single" w:sz="8" w:color="CCEEFF"/>
            </w:tcBorders>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600" w:type="dxa"/>
            <w:vAlign w:val="bottom"/>
            <w:tcBorders>
              <w:bottom w:val="single" w:sz="8" w:color="CCEEFF"/>
              <w:right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4"/>
              </w:rPr>
              <w:t>2020</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16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Theodore Kim</w:t>
            </w:r>
          </w:p>
        </w:tc>
        <w:tc>
          <w:tcPr>
            <w:tcW w:w="10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2022 350,259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528,439</w:t>
            </w: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1,122,940</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72,468</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1"/>
              <w:spacing w:after="0" w:line="246" w:lineRule="exact"/>
              <w:rPr>
                <w:sz w:val="20"/>
                <w:szCs w:val="20"/>
                <w:color w:val="auto"/>
              </w:rPr>
            </w:pPr>
            <w:r>
              <w:rPr>
                <w:rFonts w:ascii="Arial" w:cs="Arial" w:eastAsia="Arial" w:hAnsi="Arial"/>
                <w:sz w:val="16"/>
                <w:szCs w:val="16"/>
                <w:color w:val="auto"/>
              </w:rPr>
              <w:t>644,107</w:t>
            </w:r>
            <w:r>
              <w:rPr>
                <w:rFonts w:ascii="Arial" w:cs="Arial" w:eastAsia="Arial" w:hAnsi="Arial"/>
                <w:sz w:val="26"/>
                <w:szCs w:val="26"/>
                <w:color w:val="auto"/>
                <w:vertAlign w:val="superscript"/>
              </w:rPr>
              <w:t>(8)</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2,718,213</w:t>
            </w:r>
          </w:p>
        </w:tc>
        <w:tc>
          <w:tcPr>
            <w:tcW w:w="0" w:type="dxa"/>
            <w:vAlign w:val="bottom"/>
          </w:tcPr>
          <w:p>
            <w:pPr>
              <w:spacing w:after="0"/>
              <w:rPr>
                <w:sz w:val="1"/>
                <w:szCs w:val="1"/>
                <w:color w:val="auto"/>
              </w:rPr>
            </w:pPr>
          </w:p>
        </w:tc>
      </w:tr>
      <w:tr>
        <w:trPr>
          <w:trHeight w:val="203"/>
        </w:trPr>
        <w:tc>
          <w:tcPr>
            <w:tcW w:w="1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Chief Compliance</w:t>
            </w:r>
          </w:p>
        </w:tc>
        <w:tc>
          <w:tcPr>
            <w:tcW w:w="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4"/>
              </w:rPr>
              <w:t>2021</w:t>
            </w:r>
          </w:p>
        </w:tc>
        <w:tc>
          <w:tcPr>
            <w:tcW w:w="700" w:type="dxa"/>
            <w:vAlign w:val="bottom"/>
            <w:gridSpan w:val="3"/>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329,846</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801,724</w:t>
            </w:r>
          </w:p>
        </w:tc>
        <w:tc>
          <w:tcPr>
            <w:tcW w:w="8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875,709</w:t>
            </w:r>
          </w:p>
        </w:tc>
        <w:tc>
          <w:tcPr>
            <w:tcW w:w="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rPr>
              <w:t>40,016</w:t>
            </w:r>
          </w:p>
        </w:tc>
        <w:tc>
          <w:tcPr>
            <w:tcW w:w="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443,141</w:t>
            </w:r>
          </w:p>
        </w:tc>
        <w:tc>
          <w:tcPr>
            <w:tcW w:w="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7"/>
              </w:rPr>
              <w:t>2,490,436</w:t>
            </w:r>
          </w:p>
        </w:tc>
        <w:tc>
          <w:tcPr>
            <w:tcW w:w="0" w:type="dxa"/>
            <w:vAlign w:val="bottom"/>
          </w:tcPr>
          <w:p>
            <w:pPr>
              <w:spacing w:after="0"/>
              <w:rPr>
                <w:sz w:val="1"/>
                <w:szCs w:val="1"/>
                <w:color w:val="auto"/>
              </w:rPr>
            </w:pPr>
          </w:p>
        </w:tc>
      </w:tr>
      <w:tr>
        <w:trPr>
          <w:trHeight w:val="203"/>
        </w:trPr>
        <w:tc>
          <w:tcPr>
            <w:tcW w:w="1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Officer, General</w:t>
            </w:r>
          </w:p>
        </w:tc>
        <w:tc>
          <w:tcPr>
            <w:tcW w:w="320" w:type="dxa"/>
            <w:vAlign w:val="bottom"/>
            <w:vMerge w:val="continue"/>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Counsel and</w:t>
            </w:r>
          </w:p>
        </w:tc>
        <w:tc>
          <w:tcPr>
            <w:tcW w:w="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4"/>
              </w:rPr>
              <w:t>2020</w:t>
            </w:r>
          </w:p>
        </w:tc>
        <w:tc>
          <w:tcPr>
            <w:tcW w:w="700" w:type="dxa"/>
            <w:vAlign w:val="bottom"/>
            <w:gridSpan w:val="3"/>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329,410</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74,250</w:t>
            </w:r>
          </w:p>
        </w:tc>
        <w:tc>
          <w:tcPr>
            <w:tcW w:w="8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539,350</w:t>
            </w:r>
          </w:p>
        </w:tc>
        <w:tc>
          <w:tcPr>
            <w:tcW w:w="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rPr>
              <w:t>16,096</w:t>
            </w:r>
          </w:p>
        </w:tc>
        <w:tc>
          <w:tcPr>
            <w:tcW w:w="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333,954</w:t>
            </w:r>
          </w:p>
        </w:tc>
        <w:tc>
          <w:tcPr>
            <w:tcW w:w="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7"/>
              </w:rPr>
              <w:t>1,293,060</w:t>
            </w:r>
          </w:p>
        </w:tc>
        <w:tc>
          <w:tcPr>
            <w:tcW w:w="0" w:type="dxa"/>
            <w:vAlign w:val="bottom"/>
          </w:tcPr>
          <w:p>
            <w:pPr>
              <w:spacing w:after="0"/>
              <w:rPr>
                <w:sz w:val="1"/>
                <w:szCs w:val="1"/>
                <w:color w:val="auto"/>
              </w:rPr>
            </w:pPr>
          </w:p>
        </w:tc>
      </w:tr>
      <w:tr>
        <w:trPr>
          <w:trHeight w:val="152"/>
        </w:trPr>
        <w:tc>
          <w:tcPr>
            <w:tcW w:w="160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16"/>
                <w:szCs w:val="16"/>
                <w:color w:val="auto"/>
              </w:rPr>
              <w:t>Secretary</w:t>
            </w:r>
          </w:p>
        </w:tc>
        <w:tc>
          <w:tcPr>
            <w:tcW w:w="320" w:type="dxa"/>
            <w:vAlign w:val="bottom"/>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600" w:type="dxa"/>
            <w:vAlign w:val="bottom"/>
            <w:tcBorders>
              <w:bottom w:val="single" w:sz="8" w:color="CCEEFF"/>
              <w:right w:val="single" w:sz="8" w:color="CCEEFF"/>
            </w:tcBorders>
            <w:vMerge w:val="continue"/>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16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Woung Moo Lee</w:t>
            </w:r>
          </w:p>
        </w:tc>
        <w:tc>
          <w:tcPr>
            <w:tcW w:w="10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2022 275,633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178,248</w:t>
            </w: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527,363</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25,691</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1"/>
              <w:spacing w:after="0" w:line="246" w:lineRule="exact"/>
              <w:rPr>
                <w:sz w:val="20"/>
                <w:szCs w:val="20"/>
                <w:color w:val="auto"/>
              </w:rPr>
            </w:pPr>
            <w:r>
              <w:rPr>
                <w:rFonts w:ascii="Arial" w:cs="Arial" w:eastAsia="Arial" w:hAnsi="Arial"/>
                <w:sz w:val="16"/>
                <w:szCs w:val="16"/>
                <w:color w:val="auto"/>
              </w:rPr>
              <w:t>47,783</w:t>
            </w:r>
            <w:r>
              <w:rPr>
                <w:rFonts w:ascii="Arial" w:cs="Arial" w:eastAsia="Arial" w:hAnsi="Arial"/>
                <w:sz w:val="26"/>
                <w:szCs w:val="26"/>
                <w:color w:val="auto"/>
                <w:vertAlign w:val="superscript"/>
              </w:rPr>
              <w:t>(9)</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1,054,718</w:t>
            </w:r>
          </w:p>
        </w:tc>
        <w:tc>
          <w:tcPr>
            <w:tcW w:w="0" w:type="dxa"/>
            <w:vAlign w:val="bottom"/>
          </w:tcPr>
          <w:p>
            <w:pPr>
              <w:spacing w:after="0"/>
              <w:rPr>
                <w:sz w:val="1"/>
                <w:szCs w:val="1"/>
                <w:color w:val="auto"/>
              </w:rPr>
            </w:pPr>
          </w:p>
        </w:tc>
      </w:tr>
      <w:tr>
        <w:trPr>
          <w:trHeight w:val="203"/>
        </w:trPr>
        <w:tc>
          <w:tcPr>
            <w:tcW w:w="1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6"/>
              </w:rPr>
              <w:t>General Manager of</w:t>
            </w:r>
          </w:p>
        </w:tc>
        <w:tc>
          <w:tcPr>
            <w:tcW w:w="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4"/>
              </w:rPr>
              <w:t>2021</w:t>
            </w:r>
          </w:p>
        </w:tc>
        <w:tc>
          <w:tcPr>
            <w:tcW w:w="700" w:type="dxa"/>
            <w:vAlign w:val="bottom"/>
            <w:gridSpan w:val="3"/>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306,158</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127,203</w:t>
            </w:r>
          </w:p>
        </w:tc>
        <w:tc>
          <w:tcPr>
            <w:tcW w:w="8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471,760</w:t>
            </w:r>
          </w:p>
        </w:tc>
        <w:tc>
          <w:tcPr>
            <w:tcW w:w="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rPr>
              <w:t>25,827</w:t>
            </w:r>
          </w:p>
        </w:tc>
        <w:tc>
          <w:tcPr>
            <w:tcW w:w="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47,360</w:t>
            </w:r>
          </w:p>
        </w:tc>
        <w:tc>
          <w:tcPr>
            <w:tcW w:w="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978,307</w:t>
            </w:r>
          </w:p>
        </w:tc>
        <w:tc>
          <w:tcPr>
            <w:tcW w:w="0" w:type="dxa"/>
            <w:vAlign w:val="bottom"/>
          </w:tcPr>
          <w:p>
            <w:pPr>
              <w:spacing w:after="0"/>
              <w:rPr>
                <w:sz w:val="1"/>
                <w:szCs w:val="1"/>
                <w:color w:val="auto"/>
              </w:rPr>
            </w:pPr>
          </w:p>
        </w:tc>
      </w:tr>
      <w:tr>
        <w:trPr>
          <w:trHeight w:val="203"/>
        </w:trPr>
        <w:tc>
          <w:tcPr>
            <w:tcW w:w="1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Display Solutions</w:t>
            </w:r>
          </w:p>
        </w:tc>
        <w:tc>
          <w:tcPr>
            <w:tcW w:w="320" w:type="dxa"/>
            <w:vAlign w:val="bottom"/>
            <w:vMerge w:val="continue"/>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Worldwide</w:t>
            </w:r>
          </w:p>
        </w:tc>
        <w:tc>
          <w:tcPr>
            <w:tcW w:w="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4"/>
              </w:rPr>
              <w:t>2020</w:t>
            </w:r>
          </w:p>
        </w:tc>
        <w:tc>
          <w:tcPr>
            <w:tcW w:w="700" w:type="dxa"/>
            <w:vAlign w:val="bottom"/>
            <w:gridSpan w:val="3"/>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296,913</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57,527</w:t>
            </w:r>
          </w:p>
        </w:tc>
        <w:tc>
          <w:tcPr>
            <w:tcW w:w="8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406,210</w:t>
            </w:r>
          </w:p>
        </w:tc>
        <w:tc>
          <w:tcPr>
            <w:tcW w:w="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rPr>
              <w:t>24,350</w:t>
            </w:r>
          </w:p>
        </w:tc>
        <w:tc>
          <w:tcPr>
            <w:tcW w:w="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38,645</w:t>
            </w:r>
          </w:p>
        </w:tc>
        <w:tc>
          <w:tcPr>
            <w:tcW w:w="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823,644</w:t>
            </w:r>
          </w:p>
        </w:tc>
        <w:tc>
          <w:tcPr>
            <w:tcW w:w="0" w:type="dxa"/>
            <w:vAlign w:val="bottom"/>
          </w:tcPr>
          <w:p>
            <w:pPr>
              <w:spacing w:after="0"/>
              <w:rPr>
                <w:sz w:val="1"/>
                <w:szCs w:val="1"/>
                <w:color w:val="auto"/>
              </w:rPr>
            </w:pPr>
          </w:p>
        </w:tc>
      </w:tr>
      <w:tr>
        <w:trPr>
          <w:trHeight w:val="152"/>
        </w:trPr>
        <w:tc>
          <w:tcPr>
            <w:tcW w:w="160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16"/>
                <w:szCs w:val="16"/>
                <w:color w:val="auto"/>
              </w:rPr>
              <w:t>Sales</w:t>
            </w:r>
          </w:p>
        </w:tc>
        <w:tc>
          <w:tcPr>
            <w:tcW w:w="320" w:type="dxa"/>
            <w:vAlign w:val="bottom"/>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600" w:type="dxa"/>
            <w:vAlign w:val="bottom"/>
            <w:tcBorders>
              <w:bottom w:val="single" w:sz="8" w:color="CCEEFF"/>
              <w:right w:val="single" w:sz="8" w:color="CCEEFF"/>
            </w:tcBorders>
            <w:vMerge w:val="continue"/>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16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Chan Ho Park</w:t>
            </w:r>
          </w:p>
        </w:tc>
        <w:tc>
          <w:tcPr>
            <w:tcW w:w="10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2022 336,808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132,110</w:t>
            </w: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448,939</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35,470</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46" w:lineRule="exact"/>
              <w:rPr>
                <w:sz w:val="20"/>
                <w:szCs w:val="20"/>
                <w:color w:val="auto"/>
              </w:rPr>
            </w:pPr>
            <w:r>
              <w:rPr>
                <w:rFonts w:ascii="Arial" w:cs="Arial" w:eastAsia="Arial" w:hAnsi="Arial"/>
                <w:sz w:val="16"/>
                <w:szCs w:val="16"/>
                <w:color w:val="auto"/>
              </w:rPr>
              <w:t>168,030</w:t>
            </w:r>
            <w:r>
              <w:rPr>
                <w:rFonts w:ascii="Arial" w:cs="Arial" w:eastAsia="Arial" w:hAnsi="Arial"/>
                <w:sz w:val="26"/>
                <w:szCs w:val="26"/>
                <w:color w:val="auto"/>
                <w:vertAlign w:val="superscript"/>
              </w:rPr>
              <w:t>(10)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1,121,358</w:t>
            </w:r>
          </w:p>
        </w:tc>
        <w:tc>
          <w:tcPr>
            <w:tcW w:w="0" w:type="dxa"/>
            <w:vAlign w:val="bottom"/>
          </w:tcPr>
          <w:p>
            <w:pPr>
              <w:spacing w:after="0"/>
              <w:rPr>
                <w:sz w:val="1"/>
                <w:szCs w:val="1"/>
                <w:color w:val="auto"/>
              </w:rPr>
            </w:pPr>
          </w:p>
        </w:tc>
      </w:tr>
      <w:tr>
        <w:trPr>
          <w:trHeight w:val="203"/>
        </w:trPr>
        <w:tc>
          <w:tcPr>
            <w:tcW w:w="1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6"/>
              </w:rPr>
              <w:t>General Manager of</w:t>
            </w:r>
          </w:p>
        </w:tc>
        <w:tc>
          <w:tcPr>
            <w:tcW w:w="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4"/>
              </w:rPr>
              <w:t>2021</w:t>
            </w:r>
          </w:p>
        </w:tc>
        <w:tc>
          <w:tcPr>
            <w:tcW w:w="700" w:type="dxa"/>
            <w:vAlign w:val="bottom"/>
            <w:gridSpan w:val="3"/>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329,846</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118,306</w:t>
            </w:r>
          </w:p>
        </w:tc>
        <w:tc>
          <w:tcPr>
            <w:tcW w:w="8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202,186</w:t>
            </w:r>
          </w:p>
        </w:tc>
        <w:tc>
          <w:tcPr>
            <w:tcW w:w="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rPr>
              <w:t>29,353</w:t>
            </w:r>
          </w:p>
        </w:tc>
        <w:tc>
          <w:tcPr>
            <w:tcW w:w="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165,052</w:t>
            </w:r>
          </w:p>
        </w:tc>
        <w:tc>
          <w:tcPr>
            <w:tcW w:w="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844,743</w:t>
            </w:r>
          </w:p>
        </w:tc>
        <w:tc>
          <w:tcPr>
            <w:tcW w:w="0" w:type="dxa"/>
            <w:vAlign w:val="bottom"/>
          </w:tcPr>
          <w:p>
            <w:pPr>
              <w:spacing w:after="0"/>
              <w:rPr>
                <w:sz w:val="1"/>
                <w:szCs w:val="1"/>
                <w:color w:val="auto"/>
              </w:rPr>
            </w:pPr>
          </w:p>
        </w:tc>
      </w:tr>
      <w:tr>
        <w:trPr>
          <w:trHeight w:val="152"/>
        </w:trPr>
        <w:tc>
          <w:tcPr>
            <w:tcW w:w="160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16"/>
                <w:szCs w:val="16"/>
                <w:color w:val="auto"/>
              </w:rPr>
              <w:t>Power Solutions</w:t>
            </w:r>
          </w:p>
        </w:tc>
        <w:tc>
          <w:tcPr>
            <w:tcW w:w="320" w:type="dxa"/>
            <w:vAlign w:val="bottom"/>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600" w:type="dxa"/>
            <w:vAlign w:val="bottom"/>
            <w:tcBorders>
              <w:right w:val="single" w:sz="8" w:color="CCEEFF"/>
            </w:tcBorders>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600" w:type="dxa"/>
            <w:vAlign w:val="bottom"/>
            <w:tcBorders>
              <w:right w:val="single" w:sz="8" w:color="CCEEFF"/>
            </w:tcBorders>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w w:val="84"/>
              </w:rPr>
              <w:t>2020</w:t>
            </w: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192,203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28,943</w:t>
            </w: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166,350</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15,344</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189,747</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592,586</w:t>
            </w:r>
          </w:p>
        </w:tc>
        <w:tc>
          <w:tcPr>
            <w:tcW w:w="0" w:type="dxa"/>
            <w:vAlign w:val="bottom"/>
          </w:tcPr>
          <w:p>
            <w:pPr>
              <w:spacing w:after="0"/>
              <w:rPr>
                <w:sz w:val="1"/>
                <w:szCs w:val="1"/>
                <w:color w:val="auto"/>
              </w:rPr>
            </w:pPr>
          </w:p>
        </w:tc>
      </w:tr>
      <w:tr>
        <w:trPr>
          <w:trHeight w:val="60"/>
        </w:trPr>
        <w:tc>
          <w:tcPr>
            <w:tcW w:w="1600" w:type="dxa"/>
            <w:vAlign w:val="bottom"/>
            <w:tcBorders>
              <w:right w:val="single" w:sz="8" w:color="CCEEFF"/>
            </w:tcBorders>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-4079875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-4079875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-4079875</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-4079875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-4079875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-4079875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-4079875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-4079875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-4079875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 A monthly average exchange rate was used to convert amounts in the above table that were originally paid in Korean won.</w:t>
      </w:r>
    </w:p>
    <w:p>
      <w:pPr>
        <w:spacing w:after="0" w:line="42" w:lineRule="exact"/>
        <w:rPr>
          <w:sz w:val="20"/>
          <w:szCs w:val="20"/>
          <w:color w:val="auto"/>
        </w:rPr>
      </w:pPr>
    </w:p>
    <w:p>
      <w:pPr>
        <w:ind w:left="640" w:right="379" w:hanging="348"/>
        <w:spacing w:after="0" w:line="248" w:lineRule="auto"/>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base salary amounts for Mr. YJ Kim, Ms. SY Park, Mr. T. Kim and Mr. CH Park in this table differ from the contractual base salary amounts described in the section above subtitled “Compensation Discussion and Analysis—Annual Base Salary” due to fluctuation in the exchange rate between U.S. dollars and Korean won during the year. The increase in base salary amounts between 2020 and 2021 is also a result of fluctuation in the exchange rate between 2020 and 2021. Mr. WM Lee’s annual base salary in USD appears to have decreased between 2021 and 2022, but is the result of fluctuation in the exchange rate. Mr. CH Park’s base salary in 2020 was calculated based on his service with the Company from his date of hire on June 1, 2020 through December 31, 2020.</w:t>
      </w:r>
    </w:p>
    <w:p>
      <w:pPr>
        <w:spacing w:after="0" w:line="18" w:lineRule="exact"/>
        <w:rPr>
          <w:rFonts w:ascii="Arial" w:cs="Arial" w:eastAsia="Arial" w:hAnsi="Arial"/>
          <w:sz w:val="13"/>
          <w:szCs w:val="13"/>
          <w:color w:val="auto"/>
        </w:rPr>
      </w:pPr>
    </w:p>
    <w:p>
      <w:pPr>
        <w:ind w:left="640" w:right="959" w:hanging="348"/>
        <w:spacing w:after="0" w:line="253" w:lineRule="auto"/>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retention bonuses earned by the applicable named executive officer in 2022. See the section subtitled “Compensation Discussion and Analysis” for a description of the short-term cash incentive amounts paid in 2022.</w:t>
      </w:r>
    </w:p>
    <w:p>
      <w:pPr>
        <w:spacing w:after="0" w:line="11" w:lineRule="exact"/>
        <w:rPr>
          <w:rFonts w:ascii="Arial" w:cs="Arial" w:eastAsia="Arial" w:hAnsi="Arial"/>
          <w:sz w:val="14"/>
          <w:szCs w:val="14"/>
          <w:color w:val="auto"/>
        </w:rPr>
      </w:pPr>
    </w:p>
    <w:p>
      <w:pPr>
        <w:ind w:left="640" w:right="319" w:hanging="348"/>
        <w:spacing w:after="0" w:line="243" w:lineRule="auto"/>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amount reported represents the aggregate grant date fair value of RSUs and PSUs granted to our named executive officers in 2022, 2021 and 2020, determined in accordance with FASB ASC 718. Such grant date fair value does not take into account any estimated forfeitures. The amount reported in this column reflects the accounting cost for these RSUs and PSUs and does not correspond to the actual economic value that may be received by the applicable NEO upon the vesting/settlement of the RSUs or any sale of the underlying shares of Common Stock. The Financial PSUs and the TSR PSUs are reported here at the target performance level based on the probable outcome of such performance conditions. When calculated at the maximum performance level (which is referred to as “supermaximum” with respect to the TSR PSUs), the amount of the PSUs in 2022 would be $5,501,860 for Mr. YJ Kim, $641,550 for Ms. SY Park, $1,070,160 for Mr. T. Kim, $502,420 for Mr. WM Lee and $427,709 for Mr. CH Park. Payout percentages for the 2020 TSR PSUs and the 2022 Financial PSUs were determined by the Compensation Committee on February 24, 2023, and as a result of actual performance over the performance period, these awards were forfeited. See the section subtitled “Compensation Discussion and Analysis—Long-Term Equity Incentives” for further information.</w:t>
      </w:r>
    </w:p>
    <w:p>
      <w:pPr>
        <w:spacing w:after="0" w:line="22" w:lineRule="exact"/>
        <w:rPr>
          <w:rFonts w:ascii="Arial" w:cs="Arial" w:eastAsia="Arial" w:hAnsi="Arial"/>
          <w:sz w:val="13"/>
          <w:szCs w:val="13"/>
          <w:color w:val="auto"/>
        </w:rPr>
      </w:pPr>
    </w:p>
    <w:p>
      <w:pPr>
        <w:ind w:left="640" w:right="679" w:hanging="348"/>
        <w:spacing w:after="0" w:line="305" w:lineRule="auto"/>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Consists of statutory severance accrued for each of the years ended December 31, 2022, 2021 and 2020, as applicable. See the section below subtitled “Pension Benefits for the Fiscal Year Ended December 31, 2022” for a description of the statutory severance benefit.</w:t>
      </w:r>
    </w:p>
    <w:p>
      <w:pPr>
        <w:ind w:left="640" w:right="359" w:hanging="348"/>
        <w:spacing w:after="0" w:line="251" w:lineRule="auto"/>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the following personal benefits paid to Mr. YJ Kim for 2022: (a) $195,183 for Mr. YJ Kim’s housing lease; (b) $11,051 for Mr. YJ Kim’s home leave flights; (c) $9,767 for reimbursement of tuition expenses for Mr. YJ Kim’s child; (d) $76,975 for health insurance premiums; (e) $6,060 for accident insurance and business travel insurance premiums; (f) $26,907 for annual cash special allowance (the amount reported in this table differs from the $27,000 contractual annual cash special allowance due to fluctuation in the exchange rate between U.S. dollars and Korean won during the year); (g) $13,559 for car and driver expense (including personal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660" w:right="319"/>
        <w:spacing w:after="0" w:line="231" w:lineRule="auto"/>
        <w:rPr>
          <w:sz w:val="20"/>
          <w:szCs w:val="20"/>
          <w:color w:val="auto"/>
        </w:rPr>
      </w:pPr>
      <w:r>
        <w:rPr>
          <w:rFonts w:ascii="Arial" w:cs="Arial" w:eastAsia="Arial" w:hAnsi="Arial"/>
          <w:sz w:val="14"/>
          <w:szCs w:val="14"/>
          <w:color w:val="auto"/>
        </w:rPr>
        <w:t>use of a car service provided by the Company); (h) $18,607 for tax consulting expense; (i) $19,273 for living expense; (j) $1,543 for annual health examination for spouse, (k) $921 for fitness allowance; (l) $893 for meal allowance, welfare points and similar benefits; (m) $86,093 of reimbursement for the difference between the actual tax Mr. YJ Kim already paid and the hypothetical tax he had to pay for the fiscal year 2022; (n) $1,445 of additional reimbursement for the difference between the actual tax Mr. YJ Kim already paid and the hypothetical tax he had to pay for the fiscal year 2021; and (o) $1,097,050 for reimbursement of Korean tax.</w:t>
      </w:r>
    </w:p>
    <w:p>
      <w:pPr>
        <w:spacing w:after="0" w:line="22" w:lineRule="exact"/>
        <w:rPr>
          <w:sz w:val="20"/>
          <w:szCs w:val="20"/>
          <w:color w:val="auto"/>
        </w:rPr>
      </w:pPr>
    </w:p>
    <w:p>
      <w:pPr>
        <w:ind w:left="640" w:hanging="348"/>
        <w:spacing w:after="0"/>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Ms. Park became a named executive officer effective January 1, 2022.</w:t>
      </w:r>
    </w:p>
    <w:p>
      <w:pPr>
        <w:spacing w:after="0" w:line="41" w:lineRule="exact"/>
        <w:rPr>
          <w:rFonts w:ascii="Arial" w:cs="Arial" w:eastAsia="Arial" w:hAnsi="Arial"/>
          <w:sz w:val="14"/>
          <w:szCs w:val="14"/>
          <w:color w:val="auto"/>
        </w:rPr>
      </w:pPr>
    </w:p>
    <w:p>
      <w:pPr>
        <w:ind w:left="640" w:right="399" w:hanging="348"/>
        <w:spacing w:after="0" w:line="238" w:lineRule="auto"/>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Ms. SY Park for 2022: (a) $34,567 for health insurance premiums; (b) $2,181 for personal use of a car service provided by the Company; (c) $1,810 for fitness allowance; (d) $1,006 for meal allowance; and (e) $1,984 for family allowance, medical expense support, welfare points and similar benefits.</w:t>
      </w:r>
    </w:p>
    <w:p>
      <w:pPr>
        <w:spacing w:after="0" w:line="20" w:lineRule="exact"/>
        <w:rPr>
          <w:rFonts w:ascii="Arial" w:cs="Arial" w:eastAsia="Arial" w:hAnsi="Arial"/>
          <w:sz w:val="14"/>
          <w:szCs w:val="14"/>
          <w:color w:val="auto"/>
        </w:rPr>
      </w:pPr>
    </w:p>
    <w:p>
      <w:pPr>
        <w:ind w:left="640" w:right="419" w:hanging="348"/>
        <w:spacing w:after="0" w:line="248" w:lineRule="auto"/>
        <w:tabs>
          <w:tab w:leader="none" w:pos="6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the following personal benefits paid to Mr. T. Kim for 2022: (a) $55,025 for Mr. T. Kim’s housing lease; (b) $23,069 for Mr. T. Kim’s home leave flights; (c) $54,559 for health insurance premiums; (d) $1,691 for accident insurance and business travel insurance premiums; (e) $3,157 for reimbursement of tuition expense for Mr. T. Kim’s child; (f) $4,063 for personal use of a car service provided by the Company; (g) $12,251 for tax consulting expense; (h) $5,323 for living expense; (i) $705 for fitness allowance; (j) $1,351 for meal allowance, welfare points and similar benefits; (k) $46,349 of reimbursement for the difference between the actual tax Mr. T. Kim already paid and the hypothetical tax he had to pay for the fiscal year 2022; and (l) $436,564 for reimbursement of Korean tax.</w:t>
      </w:r>
    </w:p>
    <w:p>
      <w:pPr>
        <w:spacing w:after="0" w:line="18" w:lineRule="exact"/>
        <w:rPr>
          <w:rFonts w:ascii="Arial" w:cs="Arial" w:eastAsia="Arial" w:hAnsi="Arial"/>
          <w:sz w:val="13"/>
          <w:szCs w:val="13"/>
          <w:color w:val="auto"/>
        </w:rPr>
      </w:pPr>
    </w:p>
    <w:p>
      <w:pPr>
        <w:ind w:left="640" w:right="319" w:hanging="348"/>
        <w:spacing w:after="0" w:line="238" w:lineRule="auto"/>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WM Lee for 2022: (a) $39,185 for health insurance premiums; (b) $3,148 for personal use of a car service provided by the Company; (c) $1,850 for private pension; (d) $1,157 for annual health examination for spouse; (e) $866 for fitness allowance; and (f) $1,577 for meal allowance, family allowance, welfare points and similar benefits.</w:t>
      </w:r>
    </w:p>
    <w:p>
      <w:pPr>
        <w:spacing w:after="0" w:line="20" w:lineRule="exact"/>
        <w:rPr>
          <w:rFonts w:ascii="Arial" w:cs="Arial" w:eastAsia="Arial" w:hAnsi="Arial"/>
          <w:sz w:val="14"/>
          <w:szCs w:val="14"/>
          <w:color w:val="auto"/>
        </w:rPr>
      </w:pPr>
    </w:p>
    <w:p>
      <w:pPr>
        <w:ind w:left="640" w:right="359" w:hanging="348"/>
        <w:spacing w:after="0" w:line="231" w:lineRule="auto"/>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CH Park for 2022: (a) $76,975 for health insurance premiums; (b) $2,369 for personal use of a car service provided by the Company; (c) $80,045 for special bonus (the amount reported in this table differs from the $80,000 contractual special bonus due to fluctuation in the exchange rate between U.S. dollars and Korean won during the year); (d) $4,785 for tax consulting expense; (e) $1,157 for annual health examination for spouse; (f) $790 for fitness allowance; and (g) $1,909 for meal allowance, family allowance, welfare points and similar benefits.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Grants of Plan-Based Awards Table for Fiscal Year 2022</w:t>
      </w:r>
    </w:p>
    <w:p>
      <w:pPr>
        <w:spacing w:after="0" w:line="121"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following table sets forth information regarding grants of plan-based awards made to our named executive officers during 2022. The vesting schedule applicable to each award is set forth in the “Outstanding Equity Awards as of Fiscal Year End 2022” table. See the section subtitled “Compensation Discussion and Analysis—Long-Term Equity Incentives” for further information regarding grants made to our named executive officers during 2022.</w:t>
      </w:r>
    </w:p>
    <w:p>
      <w:pPr>
        <w:spacing w:after="0" w:line="9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4"/>
          </w:tcPr>
          <w:p>
            <w:pPr>
              <w:jc w:val="center"/>
              <w:ind w:right="591"/>
              <w:spacing w:after="0"/>
              <w:rPr>
                <w:sz w:val="20"/>
                <w:szCs w:val="20"/>
                <w:color w:val="auto"/>
              </w:rPr>
            </w:pPr>
            <w:r>
              <w:rPr>
                <w:rFonts w:ascii="Arial" w:cs="Arial" w:eastAsia="Arial" w:hAnsi="Arial"/>
                <w:sz w:val="14"/>
                <w:szCs w:val="14"/>
                <w:b w:val="1"/>
                <w:bCs w:val="1"/>
                <w:color w:val="auto"/>
                <w:w w:val="94"/>
              </w:rPr>
              <w:t>Estimated Future</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gridSpan w:val="4"/>
          </w:tcPr>
          <w:p>
            <w:pPr>
              <w:jc w:val="center"/>
              <w:ind w:right="571"/>
              <w:spacing w:after="0" w:line="149" w:lineRule="exact"/>
              <w:rPr>
                <w:sz w:val="20"/>
                <w:szCs w:val="20"/>
                <w:color w:val="auto"/>
              </w:rPr>
            </w:pPr>
            <w:r>
              <w:rPr>
                <w:rFonts w:ascii="Arial" w:cs="Arial" w:eastAsia="Arial" w:hAnsi="Arial"/>
                <w:sz w:val="14"/>
                <w:szCs w:val="14"/>
                <w:b w:val="1"/>
                <w:bCs w:val="1"/>
                <w:color w:val="auto"/>
                <w:w w:val="91"/>
              </w:rPr>
              <w:t>Payouts Under</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Equity Incentive Plan Awards (#)</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06"/>
        </w:trPr>
        <w:tc>
          <w:tcPr>
            <w:tcW w:w="2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Stock or</w:t>
            </w:r>
          </w:p>
        </w:tc>
        <w:tc>
          <w:tcPr>
            <w:tcW w:w="18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Units</w:t>
            </w:r>
          </w:p>
        </w:tc>
        <w:tc>
          <w:tcPr>
            <w:tcW w:w="18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269"/>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Threshold</w:t>
            </w:r>
          </w:p>
        </w:tc>
        <w:tc>
          <w:tcPr>
            <w:tcW w:w="1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Target</w:t>
            </w:r>
          </w:p>
        </w:tc>
        <w:tc>
          <w:tcPr>
            <w:tcW w:w="2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Maximum</w:t>
            </w:r>
          </w:p>
        </w:tc>
        <w:tc>
          <w:tcPr>
            <w:tcW w:w="2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8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(5)</w:t>
            </w:r>
          </w:p>
        </w:tc>
        <w:tc>
          <w:tcPr>
            <w:tcW w:w="0" w:type="dxa"/>
            <w:vAlign w:val="bottom"/>
          </w:tcPr>
          <w:p>
            <w:pPr>
              <w:spacing w:after="0"/>
              <w:rPr>
                <w:sz w:val="1"/>
                <w:szCs w:val="1"/>
                <w:color w:val="auto"/>
              </w:rPr>
            </w:pPr>
          </w:p>
        </w:tc>
      </w:tr>
      <w:tr>
        <w:trPr>
          <w:trHeight w:val="358"/>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Young-Joon Kim</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(1)</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782,600</w:t>
            </w:r>
          </w:p>
        </w:tc>
        <w:tc>
          <w:tcPr>
            <w:tcW w:w="0" w:type="dxa"/>
            <w:vAlign w:val="bottom"/>
          </w:tcPr>
          <w:p>
            <w:pPr>
              <w:spacing w:after="0"/>
              <w:rPr>
                <w:sz w:val="1"/>
                <w:szCs w:val="1"/>
                <w:color w:val="auto"/>
              </w:rPr>
            </w:pPr>
          </w:p>
        </w:tc>
      </w:tr>
      <w:tr>
        <w:trPr>
          <w:trHeight w:val="338"/>
        </w:trPr>
        <w:tc>
          <w:tcPr>
            <w:tcW w:w="2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9"/>
              </w:rPr>
              <w:t>223,500</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2,711,800</w:t>
            </w:r>
          </w:p>
        </w:tc>
        <w:tc>
          <w:tcPr>
            <w:tcW w:w="0" w:type="dxa"/>
            <w:vAlign w:val="bottom"/>
          </w:tcPr>
          <w:p>
            <w:pPr>
              <w:spacing w:after="0"/>
              <w:rPr>
                <w:sz w:val="1"/>
                <w:szCs w:val="1"/>
                <w:color w:val="auto"/>
              </w:rPr>
            </w:pPr>
          </w:p>
        </w:tc>
      </w:tr>
      <w:tr>
        <w:trPr>
          <w:trHeight w:val="338"/>
        </w:trPr>
        <w:tc>
          <w:tcPr>
            <w:tcW w:w="2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39,400</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78,800</w:t>
            </w:r>
            <w:r>
              <w:rPr>
                <w:rFonts w:ascii="Arial" w:cs="Arial" w:eastAsia="Arial" w:hAnsi="Arial"/>
                <w:sz w:val="29"/>
                <w:szCs w:val="29"/>
                <w:color w:val="auto"/>
                <w:w w:val="96"/>
                <w:vertAlign w:val="superscript"/>
              </w:rPr>
              <w:t>(4)</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717,080</w:t>
            </w:r>
          </w:p>
        </w:tc>
        <w:tc>
          <w:tcPr>
            <w:tcW w:w="0" w:type="dxa"/>
            <w:vAlign w:val="bottom"/>
          </w:tcPr>
          <w:p>
            <w:pPr>
              <w:spacing w:after="0"/>
              <w:rPr>
                <w:sz w:val="1"/>
                <w:szCs w:val="1"/>
                <w:color w:val="auto"/>
              </w:rPr>
            </w:pPr>
          </w:p>
        </w:tc>
      </w:tr>
      <w:tr>
        <w:trPr>
          <w:trHeight w:val="297"/>
        </w:trPr>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Shin Young Park</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(1)</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273,000</w:t>
            </w:r>
          </w:p>
        </w:tc>
        <w:tc>
          <w:tcPr>
            <w:tcW w:w="0" w:type="dxa"/>
            <w:vAlign w:val="bottom"/>
          </w:tcPr>
          <w:p>
            <w:pPr>
              <w:spacing w:after="0"/>
              <w:rPr>
                <w:sz w:val="1"/>
                <w:szCs w:val="1"/>
                <w:color w:val="auto"/>
              </w:rPr>
            </w:pPr>
          </w:p>
        </w:tc>
      </w:tr>
      <w:tr>
        <w:trPr>
          <w:trHeight w:val="338"/>
        </w:trPr>
        <w:tc>
          <w:tcPr>
            <w:tcW w:w="2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26,250</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318,500</w:t>
            </w:r>
          </w:p>
        </w:tc>
        <w:tc>
          <w:tcPr>
            <w:tcW w:w="0" w:type="dxa"/>
            <w:vAlign w:val="bottom"/>
          </w:tcPr>
          <w:p>
            <w:pPr>
              <w:spacing w:after="0"/>
              <w:rPr>
                <w:sz w:val="1"/>
                <w:szCs w:val="1"/>
                <w:color w:val="auto"/>
              </w:rPr>
            </w:pPr>
          </w:p>
        </w:tc>
      </w:tr>
      <w:tr>
        <w:trPr>
          <w:trHeight w:val="338"/>
        </w:trPr>
        <w:tc>
          <w:tcPr>
            <w:tcW w:w="2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r>
              <w:rPr>
                <w:rFonts w:ascii="Arial" w:cs="Arial" w:eastAsia="Arial" w:hAnsi="Arial"/>
                <w:sz w:val="29"/>
                <w:szCs w:val="29"/>
                <w:color w:val="auto"/>
                <w:vertAlign w:val="superscript"/>
              </w:rPr>
              <w:t>(4)</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81,900</w:t>
            </w:r>
          </w:p>
        </w:tc>
        <w:tc>
          <w:tcPr>
            <w:tcW w:w="0" w:type="dxa"/>
            <w:vAlign w:val="bottom"/>
          </w:tcPr>
          <w:p>
            <w:pPr>
              <w:spacing w:after="0"/>
              <w:rPr>
                <w:sz w:val="1"/>
                <w:szCs w:val="1"/>
                <w:color w:val="auto"/>
              </w:rPr>
            </w:pPr>
          </w:p>
        </w:tc>
      </w:tr>
      <w:tr>
        <w:trPr>
          <w:trHeight w:val="297"/>
        </w:trPr>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(1)</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455,000</w:t>
            </w:r>
          </w:p>
        </w:tc>
        <w:tc>
          <w:tcPr>
            <w:tcW w:w="0" w:type="dxa"/>
            <w:vAlign w:val="bottom"/>
          </w:tcPr>
          <w:p>
            <w:pPr>
              <w:spacing w:after="0"/>
              <w:rPr>
                <w:sz w:val="1"/>
                <w:szCs w:val="1"/>
                <w:color w:val="auto"/>
              </w:rPr>
            </w:pPr>
          </w:p>
        </w:tc>
      </w:tr>
      <w:tr>
        <w:trPr>
          <w:trHeight w:val="338"/>
        </w:trPr>
        <w:tc>
          <w:tcPr>
            <w:tcW w:w="2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43,800</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531,440</w:t>
            </w:r>
          </w:p>
        </w:tc>
        <w:tc>
          <w:tcPr>
            <w:tcW w:w="0" w:type="dxa"/>
            <w:vAlign w:val="bottom"/>
          </w:tcPr>
          <w:p>
            <w:pPr>
              <w:spacing w:after="0"/>
              <w:rPr>
                <w:sz w:val="1"/>
                <w:szCs w:val="1"/>
                <w:color w:val="auto"/>
              </w:rPr>
            </w:pPr>
          </w:p>
        </w:tc>
      </w:tr>
      <w:tr>
        <w:trPr>
          <w:trHeight w:val="338"/>
        </w:trPr>
        <w:tc>
          <w:tcPr>
            <w:tcW w:w="2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15,000</w:t>
            </w:r>
            <w:r>
              <w:rPr>
                <w:rFonts w:ascii="Arial" w:cs="Arial" w:eastAsia="Arial" w:hAnsi="Arial"/>
                <w:sz w:val="29"/>
                <w:szCs w:val="29"/>
                <w:color w:val="auto"/>
                <w:w w:val="96"/>
                <w:vertAlign w:val="superscript"/>
              </w:rPr>
              <w:t>(4)</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136,500</w:t>
            </w:r>
          </w:p>
        </w:tc>
        <w:tc>
          <w:tcPr>
            <w:tcW w:w="0" w:type="dxa"/>
            <w:vAlign w:val="bottom"/>
          </w:tcPr>
          <w:p>
            <w:pPr>
              <w:spacing w:after="0"/>
              <w:rPr>
                <w:sz w:val="1"/>
                <w:szCs w:val="1"/>
                <w:color w:val="auto"/>
              </w:rPr>
            </w:pPr>
          </w:p>
        </w:tc>
      </w:tr>
      <w:tr>
        <w:trPr>
          <w:trHeight w:val="297"/>
        </w:trPr>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(1)</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11,747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213,795</w:t>
            </w:r>
          </w:p>
        </w:tc>
        <w:tc>
          <w:tcPr>
            <w:tcW w:w="0" w:type="dxa"/>
            <w:vAlign w:val="bottom"/>
          </w:tcPr>
          <w:p>
            <w:pPr>
              <w:spacing w:after="0"/>
              <w:rPr>
                <w:sz w:val="1"/>
                <w:szCs w:val="1"/>
                <w:color w:val="auto"/>
              </w:rPr>
            </w:pPr>
          </w:p>
        </w:tc>
      </w:tr>
      <w:tr>
        <w:trPr>
          <w:trHeight w:val="338"/>
        </w:trPr>
        <w:tc>
          <w:tcPr>
            <w:tcW w:w="2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20,558</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249,431</w:t>
            </w:r>
          </w:p>
        </w:tc>
        <w:tc>
          <w:tcPr>
            <w:tcW w:w="0" w:type="dxa"/>
            <w:vAlign w:val="bottom"/>
          </w:tcPr>
          <w:p>
            <w:pPr>
              <w:spacing w:after="0"/>
              <w:rPr>
                <w:sz w:val="1"/>
                <w:szCs w:val="1"/>
                <w:color w:val="auto"/>
              </w:rPr>
            </w:pPr>
          </w:p>
        </w:tc>
      </w:tr>
      <w:tr>
        <w:trPr>
          <w:trHeight w:val="338"/>
        </w:trPr>
        <w:tc>
          <w:tcPr>
            <w:tcW w:w="2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r>
              <w:rPr>
                <w:rFonts w:ascii="Arial" w:cs="Arial" w:eastAsia="Arial" w:hAnsi="Arial"/>
                <w:sz w:val="29"/>
                <w:szCs w:val="29"/>
                <w:color w:val="auto"/>
                <w:vertAlign w:val="superscript"/>
              </w:rPr>
              <w:t>(4)</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64,137</w:t>
            </w:r>
          </w:p>
        </w:tc>
        <w:tc>
          <w:tcPr>
            <w:tcW w:w="0" w:type="dxa"/>
            <w:vAlign w:val="bottom"/>
          </w:tcPr>
          <w:p>
            <w:pPr>
              <w:spacing w:after="0"/>
              <w:rPr>
                <w:sz w:val="1"/>
                <w:szCs w:val="1"/>
                <w:color w:val="auto"/>
              </w:rPr>
            </w:pPr>
          </w:p>
        </w:tc>
      </w:tr>
      <w:tr>
        <w:trPr>
          <w:trHeight w:val="297"/>
        </w:trPr>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(1)</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182,000</w:t>
            </w:r>
          </w:p>
        </w:tc>
        <w:tc>
          <w:tcPr>
            <w:tcW w:w="0" w:type="dxa"/>
            <w:vAlign w:val="bottom"/>
          </w:tcPr>
          <w:p>
            <w:pPr>
              <w:spacing w:after="0"/>
              <w:rPr>
                <w:sz w:val="1"/>
                <w:szCs w:val="1"/>
                <w:color w:val="auto"/>
              </w:rPr>
            </w:pPr>
          </w:p>
        </w:tc>
      </w:tr>
      <w:tr>
        <w:trPr>
          <w:trHeight w:val="338"/>
        </w:trPr>
        <w:tc>
          <w:tcPr>
            <w:tcW w:w="2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17,501</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212,339</w:t>
            </w:r>
          </w:p>
        </w:tc>
        <w:tc>
          <w:tcPr>
            <w:tcW w:w="0" w:type="dxa"/>
            <w:vAlign w:val="bottom"/>
          </w:tcPr>
          <w:p>
            <w:pPr>
              <w:spacing w:after="0"/>
              <w:rPr>
                <w:sz w:val="1"/>
                <w:szCs w:val="1"/>
                <w:color w:val="auto"/>
              </w:rPr>
            </w:pPr>
          </w:p>
        </w:tc>
      </w:tr>
      <w:tr>
        <w:trPr>
          <w:trHeight w:val="351"/>
        </w:trPr>
        <w:tc>
          <w:tcPr>
            <w:tcW w:w="2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2/28/2022</w:t>
            </w:r>
            <w:r>
              <w:rPr>
                <w:rFonts w:ascii="Arial" w:cs="Arial" w:eastAsia="Arial" w:hAnsi="Arial"/>
                <w:sz w:val="29"/>
                <w:szCs w:val="29"/>
                <w:color w:val="auto"/>
                <w:w w:val="86"/>
                <w:vertAlign w:val="superscript"/>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r>
              <w:rPr>
                <w:rFonts w:ascii="Arial" w:cs="Arial" w:eastAsia="Arial" w:hAnsi="Arial"/>
                <w:sz w:val="29"/>
                <w:szCs w:val="29"/>
                <w:color w:val="auto"/>
                <w:vertAlign w:val="superscript"/>
              </w:rPr>
              <w:t>(4)</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-4002405</wp:posOffset>
            </wp:positionV>
            <wp:extent cx="120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-4002405</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-4002405</wp:posOffset>
            </wp:positionV>
            <wp:extent cx="120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-4002405</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-4002405</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-4002405</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right="339" w:hanging="348"/>
        <w:spacing w:after="0" w:line="253" w:lineRule="auto"/>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RSUs granted during fiscal year 2022 to our named executive officers. Further information on the RSU awards can be found in the “Compensation Discussion &amp; Analysis” section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640" w:right="1340" w:hanging="348"/>
        <w:spacing w:after="0" w:line="229" w:lineRule="auto"/>
        <w:tabs>
          <w:tab w:leader="none" w:pos="1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Financial PSUs granted during fiscal year 2022 to our named executive officers. The Compensation Committee is required to certify the actual amount earned for each performance goal for the performance period, within 60 days following the end of the performance period. Upon such determination, the portion of the award structured as Make-Whole Financial PSUs vests, and the remainder of the 2022 Financial PSU award corresponding to the payout percentage vests, subject to the satisfaction of the Continued Service Condition. Further information on the Financial PSUs, including the portion structured as Make-Whole Financial PSUs can be found in the “Compensation Discussion &amp; Analysis” section above.</w:t>
      </w:r>
    </w:p>
    <w:p>
      <w:pPr>
        <w:spacing w:after="0" w:line="23" w:lineRule="exact"/>
        <w:rPr>
          <w:rFonts w:ascii="Arial" w:cs="Arial" w:eastAsia="Arial" w:hAnsi="Arial"/>
          <w:sz w:val="14"/>
          <w:szCs w:val="14"/>
          <w:color w:val="auto"/>
        </w:rPr>
      </w:pPr>
    </w:p>
    <w:p>
      <w:pPr>
        <w:ind w:left="1640" w:right="1400" w:hanging="348"/>
        <w:spacing w:after="0" w:line="255" w:lineRule="auto"/>
        <w:tabs>
          <w:tab w:leader="none" w:pos="16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Represents the TSR PSUs granted during fiscal year 2022 to our named executive officers. The Compensation Committee is required to certify the actual amount earned for each performance goal, within 60 days following the end of the performance period. Upon such determination, the applicable portion of the units corresponding to the payout percentage vests, subject to the satisfaction of the Continued Service Condition. Further information on the Financial PSUs can be found in the “Compensation Discussion &amp; Analysis” section above.</w:t>
      </w:r>
    </w:p>
    <w:p>
      <w:pPr>
        <w:spacing w:after="0" w:line="12" w:lineRule="exact"/>
        <w:rPr>
          <w:rFonts w:ascii="Arial" w:cs="Arial" w:eastAsia="Arial" w:hAnsi="Arial"/>
          <w:sz w:val="13"/>
          <w:szCs w:val="13"/>
          <w:color w:val="auto"/>
        </w:rPr>
      </w:pPr>
    </w:p>
    <w:p>
      <w:pPr>
        <w:ind w:left="1640" w:right="1320" w:hanging="348"/>
        <w:spacing w:after="0" w:line="238" w:lineRule="auto"/>
        <w:tabs>
          <w:tab w:leader="none" w:pos="1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in the “Supermaximum” performance level. The TSR payout percentage is represented by four performance levels: “Threshold,” “Target,” “Maximum” and “Supermaximum.” Supermaximum is achieved only if Magnachip ranks first in the TSR Index and the applicable payout percentage is 200%. The payout percentage is 150% for “Maximum” performance.</w:t>
      </w:r>
    </w:p>
    <w:p>
      <w:pPr>
        <w:spacing w:after="0" w:line="20" w:lineRule="exact"/>
        <w:rPr>
          <w:rFonts w:ascii="Arial" w:cs="Arial" w:eastAsia="Arial" w:hAnsi="Arial"/>
          <w:sz w:val="14"/>
          <w:szCs w:val="14"/>
          <w:color w:val="auto"/>
        </w:rPr>
      </w:pPr>
    </w:p>
    <w:p>
      <w:pPr>
        <w:ind w:left="1640" w:right="1340" w:hanging="348"/>
        <w:spacing w:after="0" w:line="238" w:lineRule="auto"/>
        <w:tabs>
          <w:tab w:leader="none" w:pos="1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grant date fair value of each equity-based award as determined in accordance with FASB ASC 718. For the performance-based equity awards, the amounts are reported at the target performance level based on the probable outcome of the applicable performance conditions.</w:t>
      </w:r>
    </w:p>
    <w:p>
      <w:pPr>
        <w:spacing w:after="0" w:line="31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Outstanding Equity Awards at Fiscal Year End 2022</w:t>
      </w:r>
    </w:p>
    <w:p>
      <w:pPr>
        <w:spacing w:after="0" w:line="121" w:lineRule="exact"/>
        <w:rPr>
          <w:sz w:val="20"/>
          <w:szCs w:val="20"/>
          <w:color w:val="auto"/>
        </w:rPr>
      </w:pPr>
    </w:p>
    <w:p>
      <w:pPr>
        <w:ind w:left="1300" w:right="1540" w:firstLine="360"/>
        <w:spacing w:after="0" w:line="259" w:lineRule="auto"/>
        <w:rPr>
          <w:sz w:val="20"/>
          <w:szCs w:val="20"/>
          <w:color w:val="auto"/>
        </w:rPr>
      </w:pPr>
      <w:r>
        <w:rPr>
          <w:rFonts w:ascii="Arial" w:cs="Arial" w:eastAsia="Arial" w:hAnsi="Arial"/>
          <w:sz w:val="18"/>
          <w:szCs w:val="18"/>
          <w:color w:val="auto"/>
        </w:rPr>
        <w:t>The following table sets forth all outstanding equity awards held by our named executive officers as of December 31, 2022. Please see the section below entitled “Potential Payments Upon Termination or Change in Control” for information regarding the impact of certain employment termination scenarios on outstanding equity awards.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2120" w:type="dxa"/>
            <w:vAlign w:val="bottom"/>
            <w:gridSpan w:val="2"/>
            <w:vMerge w:val="restart"/>
          </w:tcPr>
          <w:p>
            <w:pPr>
              <w:jc w:val="center"/>
              <w:ind w:right="134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2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Options (#)</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212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0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Unexercisable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Price($)</w:t>
            </w:r>
          </w:p>
        </w:tc>
        <w:tc>
          <w:tcPr>
            <w:tcW w:w="220" w:type="dxa"/>
            <w:vAlign w:val="bottom"/>
          </w:tcPr>
          <w:p>
            <w:pPr>
              <w:spacing w:after="0"/>
              <w:rPr>
                <w:sz w:val="16"/>
                <w:szCs w:val="16"/>
                <w:color w:val="auto"/>
              </w:rPr>
            </w:pPr>
          </w:p>
        </w:tc>
        <w:tc>
          <w:tcPr>
            <w:tcW w:w="212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Young-Joon Kim</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5/6/2013</w:t>
            </w:r>
          </w:p>
        </w:tc>
        <w:tc>
          <w:tcPr>
            <w:tcW w:w="10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5/6/2023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6/9/2015</w:t>
            </w: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90,610</w:t>
            </w:r>
          </w:p>
        </w:tc>
        <w:tc>
          <w:tcPr>
            <w:tcW w:w="2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3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3/11/2016</w:t>
            </w:r>
          </w:p>
        </w:tc>
        <w:tc>
          <w:tcPr>
            <w:tcW w:w="102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45,305</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Shin Young Park</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8/11/2015</w:t>
            </w: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8/11/2025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3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3/11/2016</w:t>
            </w:r>
          </w:p>
        </w:tc>
        <w:tc>
          <w:tcPr>
            <w:tcW w:w="102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10/26/2013</w:t>
            </w: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10/26/2023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6/9/2015</w:t>
            </w: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51,740</w:t>
            </w:r>
          </w:p>
        </w:tc>
        <w:tc>
          <w:tcPr>
            <w:tcW w:w="2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3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3/11/2016</w:t>
            </w:r>
          </w:p>
        </w:tc>
        <w:tc>
          <w:tcPr>
            <w:tcW w:w="102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25,870</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11/1/2013</w:t>
            </w: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11/1/2023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6/9/2015</w:t>
            </w: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43,940</w:t>
            </w:r>
          </w:p>
        </w:tc>
        <w:tc>
          <w:tcPr>
            <w:tcW w:w="2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3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3/11/2016</w:t>
            </w:r>
          </w:p>
        </w:tc>
        <w:tc>
          <w:tcPr>
            <w:tcW w:w="102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25,870</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 Ho Park</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53"/>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-3710940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-3710940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-3710940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-3710940</wp:posOffset>
            </wp:positionV>
            <wp:extent cx="154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-3710940</wp:posOffset>
            </wp:positionV>
            <wp:extent cx="1543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0" w:name="page41"/>
    <w:bookmarkEnd w:id="4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1491615" cy="7118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91615" cy="71183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Young-Joon Kim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1491615" cy="925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91615" cy="92583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Shin Young Park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1491615" cy="6940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91615" cy="694055"/>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Theodore Kim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1491615" cy="6940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91615" cy="694055"/>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Woung Moo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1491615" cy="6940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91615" cy="694055"/>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Chan Ho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726440</wp:posOffset>
            </wp:positionV>
            <wp:extent cx="8229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Arial" w:cs="Arial" w:eastAsia="Arial" w:hAnsi="Arial"/>
                <w:sz w:val="14"/>
                <w:szCs w:val="14"/>
                <w:b w:val="1"/>
                <w:bCs w:val="1"/>
                <w:color w:val="auto"/>
              </w:rPr>
              <w:t>Stock Awards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Equity Incentive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Market Value of</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Number of Shares or</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of Stock</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Units or Other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Units or Other</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180" w:type="dxa"/>
            <w:vAlign w:val="bottom"/>
          </w:tcPr>
          <w:p>
            <w:pPr>
              <w:spacing w:after="0"/>
              <w:rPr>
                <w:sz w:val="12"/>
                <w:szCs w:val="12"/>
                <w:color w:val="auto"/>
              </w:rPr>
            </w:pPr>
          </w:p>
        </w:tc>
        <w:tc>
          <w:tcPr>
            <w:tcW w:w="15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Units of Stock</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That Have</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That Have Not Vested</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Not Vested</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Have Not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243"/>
        </w:trPr>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6"/>
              </w:rPr>
              <w:t>Vested (#)</w:t>
            </w:r>
            <w:r>
              <w:rPr>
                <w:rFonts w:ascii="Arial" w:cs="Arial" w:eastAsia="Arial" w:hAnsi="Arial"/>
                <w:sz w:val="23"/>
                <w:szCs w:val="23"/>
                <w:b w:val="1"/>
                <w:bCs w:val="1"/>
                <w:color w:val="auto"/>
                <w:w w:val="86"/>
                <w:vertAlign w:val="superscript"/>
              </w:rPr>
              <w:t>(2)</w:t>
            </w:r>
          </w:p>
        </w:tc>
        <w:tc>
          <w:tcPr>
            <w:tcW w:w="1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8"/>
              </w:rPr>
              <w:t>Not Vested ($)</w:t>
            </w:r>
            <w:r>
              <w:rPr>
                <w:rFonts w:ascii="Arial" w:cs="Arial" w:eastAsia="Arial" w:hAnsi="Arial"/>
                <w:sz w:val="23"/>
                <w:szCs w:val="23"/>
                <w:b w:val="1"/>
                <w:bCs w:val="1"/>
                <w:color w:val="auto"/>
                <w:w w:val="88"/>
                <w:vertAlign w:val="superscript"/>
              </w:rPr>
              <w:t>(3)</w:t>
            </w:r>
          </w:p>
        </w:tc>
        <w:tc>
          <w:tcPr>
            <w:tcW w:w="0" w:type="dxa"/>
            <w:vAlign w:val="bottom"/>
          </w:tcPr>
          <w:p>
            <w:pPr>
              <w:spacing w:after="0"/>
              <w:rPr>
                <w:sz w:val="1"/>
                <w:szCs w:val="1"/>
                <w:color w:val="auto"/>
              </w:rPr>
            </w:pPr>
          </w:p>
        </w:tc>
      </w:tr>
      <w:tr>
        <w:trPr>
          <w:trHeight w:val="372"/>
        </w:trPr>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5/7/2020</w:t>
            </w:r>
          </w:p>
        </w:tc>
        <w:tc>
          <w:tcPr>
            <w:tcW w:w="18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29,040</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272,686</w:t>
            </w:r>
          </w:p>
        </w:tc>
        <w:tc>
          <w:tcPr>
            <w:tcW w:w="0" w:type="dxa"/>
            <w:vAlign w:val="bottom"/>
          </w:tcPr>
          <w:p>
            <w:pPr>
              <w:spacing w:after="0"/>
              <w:rPr>
                <w:sz w:val="1"/>
                <w:szCs w:val="1"/>
                <w:color w:val="auto"/>
              </w:rPr>
            </w:pPr>
          </w:p>
        </w:tc>
      </w:tr>
      <w:tr>
        <w:trPr>
          <w:trHeight w:val="364"/>
        </w:trPr>
        <w:tc>
          <w:tcPr>
            <w:tcW w:w="100" w:type="dxa"/>
            <w:vAlign w:val="bottom"/>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2/19/2021</w:t>
            </w:r>
          </w:p>
        </w:tc>
        <w:tc>
          <w:tcPr>
            <w:tcW w:w="1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9,749</w:t>
            </w:r>
            <w:r>
              <w:rPr>
                <w:rFonts w:ascii="Arial" w:cs="Arial" w:eastAsia="Arial" w:hAnsi="Arial"/>
                <w:sz w:val="29"/>
                <w:szCs w:val="29"/>
                <w:color w:val="auto"/>
                <w:vertAlign w:val="superscript"/>
              </w:rPr>
              <w:t>(5)</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91,543</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26,126</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245,323</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2/28/2022</w:t>
            </w:r>
          </w:p>
        </w:tc>
        <w:tc>
          <w:tcPr>
            <w:tcW w:w="1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28,667</w:t>
            </w:r>
            <w:r>
              <w:rPr>
                <w:rFonts w:ascii="Arial" w:cs="Arial" w:eastAsia="Arial" w:hAnsi="Arial"/>
                <w:sz w:val="29"/>
                <w:szCs w:val="29"/>
                <w:color w:val="auto"/>
                <w:vertAlign w:val="superscript"/>
              </w:rPr>
              <w:t>(6)</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269,183</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188,400</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1,769,076</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5/7/2020</w:t>
            </w:r>
          </w:p>
        </w:tc>
        <w:tc>
          <w:tcPr>
            <w:tcW w:w="18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14,085</w:t>
            </w:r>
          </w:p>
        </w:tc>
        <w:tc>
          <w:tcPr>
            <w:tcW w:w="0" w:type="dxa"/>
            <w:vAlign w:val="bottom"/>
          </w:tcPr>
          <w:p>
            <w:pPr>
              <w:spacing w:after="0"/>
              <w:rPr>
                <w:sz w:val="1"/>
                <w:szCs w:val="1"/>
                <w:color w:val="auto"/>
              </w:rPr>
            </w:pPr>
          </w:p>
        </w:tc>
      </w:tr>
      <w:tr>
        <w:trPr>
          <w:trHeight w:val="364"/>
        </w:trPr>
        <w:tc>
          <w:tcPr>
            <w:tcW w:w="100" w:type="dxa"/>
            <w:vAlign w:val="bottom"/>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3/12/2020</w:t>
            </w:r>
          </w:p>
        </w:tc>
        <w:tc>
          <w:tcPr>
            <w:tcW w:w="1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3,333</w:t>
            </w:r>
            <w:r>
              <w:rPr>
                <w:rFonts w:ascii="Arial" w:cs="Arial" w:eastAsia="Arial" w:hAnsi="Arial"/>
                <w:sz w:val="29"/>
                <w:szCs w:val="29"/>
                <w:color w:val="auto"/>
                <w:vertAlign w:val="superscript"/>
              </w:rPr>
              <w:t>(7)</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31,297</w:t>
            </w:r>
          </w:p>
        </w:tc>
        <w:tc>
          <w:tcPr>
            <w:tcW w:w="1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2/19/2021</w:t>
            </w:r>
          </w:p>
        </w:tc>
        <w:tc>
          <w:tcPr>
            <w:tcW w:w="1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2,238</w:t>
            </w:r>
            <w:r>
              <w:rPr>
                <w:rFonts w:ascii="Arial" w:cs="Arial" w:eastAsia="Arial" w:hAnsi="Arial"/>
                <w:sz w:val="29"/>
                <w:szCs w:val="29"/>
                <w:color w:val="auto"/>
                <w:vertAlign w:val="superscript"/>
              </w:rPr>
              <w:t>(5)</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21,015</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18,902</w:t>
            </w:r>
          </w:p>
        </w:tc>
        <w:tc>
          <w:tcPr>
            <w:tcW w:w="0" w:type="dxa"/>
            <w:vAlign w:val="bottom"/>
          </w:tcPr>
          <w:p>
            <w:pPr>
              <w:spacing w:after="0"/>
              <w:rPr>
                <w:sz w:val="1"/>
                <w:szCs w:val="1"/>
                <w:color w:val="auto"/>
              </w:rPr>
            </w:pPr>
          </w:p>
        </w:tc>
      </w:tr>
      <w:tr>
        <w:trPr>
          <w:trHeight w:val="364"/>
        </w:trPr>
        <w:tc>
          <w:tcPr>
            <w:tcW w:w="100" w:type="dxa"/>
            <w:vAlign w:val="bottom"/>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2/28/2022</w:t>
            </w:r>
          </w:p>
        </w:tc>
        <w:tc>
          <w:tcPr>
            <w:tcW w:w="1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10,000</w:t>
            </w:r>
            <w:r>
              <w:rPr>
                <w:rFonts w:ascii="Arial" w:cs="Arial" w:eastAsia="Arial" w:hAnsi="Arial"/>
                <w:sz w:val="29"/>
                <w:szCs w:val="29"/>
                <w:color w:val="auto"/>
                <w:vertAlign w:val="superscript"/>
              </w:rPr>
              <w:t>(6)</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93,900</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206,580</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5/7/2020</w:t>
            </w:r>
          </w:p>
        </w:tc>
        <w:tc>
          <w:tcPr>
            <w:tcW w:w="18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56,340</w:t>
            </w:r>
          </w:p>
        </w:tc>
        <w:tc>
          <w:tcPr>
            <w:tcW w:w="0" w:type="dxa"/>
            <w:vAlign w:val="bottom"/>
          </w:tcPr>
          <w:p>
            <w:pPr>
              <w:spacing w:after="0"/>
              <w:rPr>
                <w:sz w:val="1"/>
                <w:szCs w:val="1"/>
                <w:color w:val="auto"/>
              </w:rPr>
            </w:pPr>
          </w:p>
        </w:tc>
      </w:tr>
      <w:tr>
        <w:trPr>
          <w:trHeight w:val="364"/>
        </w:trPr>
        <w:tc>
          <w:tcPr>
            <w:tcW w:w="100" w:type="dxa"/>
            <w:vAlign w:val="bottom"/>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2/19/2021</w:t>
            </w:r>
          </w:p>
        </w:tc>
        <w:tc>
          <w:tcPr>
            <w:tcW w:w="1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7,269</w:t>
            </w:r>
            <w:r>
              <w:rPr>
                <w:rFonts w:ascii="Arial" w:cs="Arial" w:eastAsia="Arial" w:hAnsi="Arial"/>
                <w:sz w:val="29"/>
                <w:szCs w:val="29"/>
                <w:color w:val="auto"/>
                <w:vertAlign w:val="superscript"/>
              </w:rPr>
              <w:t>(5)</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68,256</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6,541</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61,420</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2/28/2022</w:t>
            </w:r>
          </w:p>
        </w:tc>
        <w:tc>
          <w:tcPr>
            <w:tcW w:w="1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16,667</w:t>
            </w:r>
            <w:r>
              <w:rPr>
                <w:rFonts w:ascii="Arial" w:cs="Arial" w:eastAsia="Arial" w:hAnsi="Arial"/>
                <w:sz w:val="29"/>
                <w:szCs w:val="29"/>
                <w:color w:val="auto"/>
                <w:vertAlign w:val="superscript"/>
              </w:rPr>
              <w:t>(6)</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156,503</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36,700</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344,613</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5/7/2020</w:t>
            </w:r>
          </w:p>
        </w:tc>
        <w:tc>
          <w:tcPr>
            <w:tcW w:w="18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49,298</w:t>
            </w:r>
          </w:p>
        </w:tc>
        <w:tc>
          <w:tcPr>
            <w:tcW w:w="0" w:type="dxa"/>
            <w:vAlign w:val="bottom"/>
          </w:tcPr>
          <w:p>
            <w:pPr>
              <w:spacing w:after="0"/>
              <w:rPr>
                <w:sz w:val="1"/>
                <w:szCs w:val="1"/>
                <w:color w:val="auto"/>
              </w:rPr>
            </w:pPr>
          </w:p>
        </w:tc>
      </w:tr>
      <w:tr>
        <w:trPr>
          <w:trHeight w:val="364"/>
        </w:trPr>
        <w:tc>
          <w:tcPr>
            <w:tcW w:w="100" w:type="dxa"/>
            <w:vAlign w:val="bottom"/>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2/19/2021</w:t>
            </w:r>
          </w:p>
        </w:tc>
        <w:tc>
          <w:tcPr>
            <w:tcW w:w="1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3,916</w:t>
            </w:r>
            <w:r>
              <w:rPr>
                <w:rFonts w:ascii="Arial" w:cs="Arial" w:eastAsia="Arial" w:hAnsi="Arial"/>
                <w:sz w:val="29"/>
                <w:szCs w:val="29"/>
                <w:color w:val="auto"/>
                <w:vertAlign w:val="superscript"/>
              </w:rPr>
              <w:t>(5)</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36,771</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3,524</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33,090</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2/28/2022</w:t>
            </w:r>
          </w:p>
        </w:tc>
        <w:tc>
          <w:tcPr>
            <w:tcW w:w="1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7,832</w:t>
            </w:r>
            <w:r>
              <w:rPr>
                <w:rFonts w:ascii="Arial" w:cs="Arial" w:eastAsia="Arial" w:hAnsi="Arial"/>
                <w:sz w:val="29"/>
                <w:szCs w:val="29"/>
                <w:color w:val="auto"/>
                <w:vertAlign w:val="superscript"/>
              </w:rPr>
              <w:t>(6)</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73,542</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17,229</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161,780</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6/1/2020</w:t>
            </w:r>
          </w:p>
        </w:tc>
        <w:tc>
          <w:tcPr>
            <w:tcW w:w="1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5,000</w:t>
            </w:r>
            <w:r>
              <w:rPr>
                <w:rFonts w:ascii="Arial" w:cs="Arial" w:eastAsia="Arial" w:hAnsi="Arial"/>
                <w:sz w:val="29"/>
                <w:szCs w:val="29"/>
                <w:color w:val="auto"/>
                <w:vertAlign w:val="superscript"/>
              </w:rPr>
              <w:t>(8)</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46,950</w:t>
            </w:r>
          </w:p>
        </w:tc>
        <w:tc>
          <w:tcPr>
            <w:tcW w:w="1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2/19/2021</w:t>
            </w:r>
          </w:p>
        </w:tc>
        <w:tc>
          <w:tcPr>
            <w:tcW w:w="1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1,679</w:t>
            </w:r>
            <w:r>
              <w:rPr>
                <w:rFonts w:ascii="Arial" w:cs="Arial" w:eastAsia="Arial" w:hAnsi="Arial"/>
                <w:sz w:val="29"/>
                <w:szCs w:val="29"/>
                <w:color w:val="auto"/>
                <w:vertAlign w:val="superscript"/>
              </w:rPr>
              <w:t>(5)</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15,766</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1,510</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14,179</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2/28/2022</w:t>
            </w:r>
          </w:p>
        </w:tc>
        <w:tc>
          <w:tcPr>
            <w:tcW w:w="15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6,667</w:t>
            </w:r>
            <w:r>
              <w:rPr>
                <w:rFonts w:ascii="Arial" w:cs="Arial" w:eastAsia="Arial" w:hAnsi="Arial"/>
                <w:sz w:val="29"/>
                <w:szCs w:val="29"/>
                <w:color w:val="auto"/>
                <w:vertAlign w:val="superscript"/>
              </w:rPr>
              <w:t>(6)</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62,603</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14,667</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137,723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-4542790</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-4542790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-4542790</wp:posOffset>
            </wp:positionV>
            <wp:extent cx="120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-4542790</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700"/>
            <w:col w:w="6479"/>
          </w:cols>
          <w:pgMar w:left="1440" w:top="265" w:right="1440" w:bottom="1440" w:gutter="0" w:footer="0" w:header="0"/>
        </w:sectPr>
      </w:pPr>
    </w:p>
    <w:p>
      <w:pPr>
        <w:spacing w:after="0" w:line="146" w:lineRule="exact"/>
        <w:rPr>
          <w:sz w:val="20"/>
          <w:szCs w:val="20"/>
          <w:color w:val="auto"/>
        </w:rPr>
      </w:pPr>
    </w:p>
    <w:p>
      <w:pPr>
        <w:ind w:left="640" w:hanging="348"/>
        <w:spacing w:after="0"/>
        <w:tabs>
          <w:tab w:leader="none" w:pos="6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Represents the market value of RSUs based on our closing per share price of $9.39 on December 30, 2022, the last trading day of 2022.</w:t>
      </w:r>
    </w:p>
    <w:p>
      <w:pPr>
        <w:spacing w:after="0" w:line="53" w:lineRule="exact"/>
        <w:rPr>
          <w:rFonts w:ascii="Arial" w:cs="Arial" w:eastAsia="Arial" w:hAnsi="Arial"/>
          <w:sz w:val="13"/>
          <w:szCs w:val="13"/>
          <w:color w:val="auto"/>
        </w:rPr>
      </w:pPr>
    </w:p>
    <w:p>
      <w:pPr>
        <w:ind w:left="640" w:right="319" w:hanging="348"/>
        <w:spacing w:after="0" w:line="233" w:lineRule="auto"/>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unvested TSR PSUs granted on May 7, 2020, February 19, 2021 and February 28, 2022 at target performance level. The TSR PSUs vest based on achievement of the TSR performance goal over the 2020-2022 performance period (for the 2020 grants), the 2021-2023 performance period (for the 2021 grants) and 2022-2024 performance period (for the 2022 grants), subject to the completion of the Continued Service Condition.</w:t>
      </w:r>
    </w:p>
    <w:p>
      <w:pPr>
        <w:spacing w:after="0" w:line="22" w:lineRule="exact"/>
        <w:rPr>
          <w:rFonts w:ascii="Arial" w:cs="Arial" w:eastAsia="Arial" w:hAnsi="Arial"/>
          <w:sz w:val="14"/>
          <w:szCs w:val="14"/>
          <w:color w:val="auto"/>
        </w:rPr>
      </w:pPr>
    </w:p>
    <w:p>
      <w:pPr>
        <w:ind w:left="640" w:right="359" w:hanging="348"/>
        <w:spacing w:after="0" w:line="253" w:lineRule="auto"/>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market value of TSR PSUs at target performance level based on our closing per share price of $9.39 on December 30, 2022, the last trading day of 2022.</w:t>
      </w:r>
    </w:p>
    <w:p>
      <w:pPr>
        <w:spacing w:after="0" w:line="11" w:lineRule="exact"/>
        <w:rPr>
          <w:rFonts w:ascii="Arial" w:cs="Arial" w:eastAsia="Arial" w:hAnsi="Arial"/>
          <w:sz w:val="14"/>
          <w:szCs w:val="14"/>
          <w:color w:val="auto"/>
        </w:rPr>
      </w:pPr>
    </w:p>
    <w:p>
      <w:pPr>
        <w:ind w:left="640" w:right="599" w:hanging="348"/>
        <w:spacing w:after="0" w:line="233" w:lineRule="auto"/>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Payout percentages for TSR PSUs granted on May 7, 2020 for Mr. YJ Kim, Ms. SY Park, Mr. T. Kim and Mr. WM Lee, and Financial PSUs granted on February 28, 2022 for Mr. YJ Kim, Mr. T. Kim, Mr. WM Lee, Mr. CH Park and Ms. SY Park were determined on February 24, 2023, and as a result of actual performance over the performance period, these awards were forfeited. See “Compensation Discussion and Analysis</w:t>
      </w:r>
      <w:r>
        <w:rPr>
          <w:rFonts w:ascii="Arial" w:cs="Arial" w:eastAsia="Arial" w:hAnsi="Arial"/>
          <w:sz w:val="14"/>
          <w:szCs w:val="14"/>
          <w:i w:val="1"/>
          <w:iCs w:val="1"/>
          <w:color w:val="auto"/>
        </w:rPr>
        <w:t>—Long-term Equity Incentives</w:t>
      </w:r>
      <w:r>
        <w:rPr>
          <w:rFonts w:ascii="Arial" w:cs="Arial" w:eastAsia="Arial" w:hAnsi="Arial"/>
          <w:sz w:val="14"/>
          <w:szCs w:val="14"/>
          <w:color w:val="auto"/>
        </w:rPr>
        <w:t>” for additional details.</w:t>
      </w:r>
    </w:p>
    <w:p>
      <w:pPr>
        <w:spacing w:after="0" w:line="22"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RSUs vest over three years in three equal annual installments, subject to executive’s continued employment through each applicable vesting date. Represents the third installment, scheduled to vest on December 31, 2023.</w:t>
      </w:r>
    </w:p>
    <w:p>
      <w:pPr>
        <w:spacing w:after="0" w:line="11"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RSUs vest over three years in three equal annual installments, subject to executive’s continued employment through each applicable vesting date. Represents the second and third installments, scheduled to vest on December 31, 2023 and December 31, 2024.</w:t>
      </w:r>
    </w:p>
    <w:p>
      <w:pPr>
        <w:ind w:left="640" w:right="479" w:hanging="348"/>
        <w:spacing w:after="0" w:line="253" w:lineRule="auto"/>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third installments of unvested RSUs granted on March 12, 2020 for Ms. SY Park that vest over a period of three years at a rate of one-third (1/3) of the total granted RSUs vesting on each anniversary of the date of the grant.</w:t>
      </w:r>
    </w:p>
    <w:p>
      <w:pPr>
        <w:spacing w:after="0" w:line="11" w:lineRule="exact"/>
        <w:rPr>
          <w:rFonts w:ascii="Arial" w:cs="Arial" w:eastAsia="Arial" w:hAnsi="Arial"/>
          <w:sz w:val="14"/>
          <w:szCs w:val="14"/>
          <w:color w:val="auto"/>
        </w:rPr>
      </w:pPr>
    </w:p>
    <w:p>
      <w:pPr>
        <w:ind w:left="640" w:right="399" w:hanging="348"/>
        <w:spacing w:after="0" w:line="253" w:lineRule="auto"/>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third installments of unvested RSUs granted on June 1, 2020 for Mr. CH Park that vest over a period of three years at a rate of one-third (1/3) of the total granted RSUs vesting on each anniversary of the date of the grant.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 Exercises and Stock Vested</w:t>
      </w:r>
    </w:p>
    <w:p>
      <w:pPr>
        <w:spacing w:after="0" w:line="121" w:lineRule="exact"/>
        <w:rPr>
          <w:sz w:val="20"/>
          <w:szCs w:val="20"/>
          <w:color w:val="auto"/>
        </w:rPr>
      </w:pPr>
    </w:p>
    <w:p>
      <w:pPr>
        <w:ind w:left="300" w:right="699" w:firstLine="360"/>
        <w:spacing w:after="0" w:line="308" w:lineRule="auto"/>
        <w:rPr>
          <w:sz w:val="20"/>
          <w:szCs w:val="20"/>
          <w:color w:val="auto"/>
        </w:rPr>
      </w:pPr>
      <w:r>
        <w:rPr>
          <w:rFonts w:ascii="Arial" w:cs="Arial" w:eastAsia="Arial" w:hAnsi="Arial"/>
          <w:sz w:val="17"/>
          <w:szCs w:val="17"/>
          <w:color w:val="auto"/>
        </w:rPr>
        <w:t>The following table shows information regarding the vesting of stock awards held by our named executive officers in 2022. None of our named executive officers exercised stock options during 2022.</w:t>
      </w:r>
    </w:p>
    <w:p>
      <w:pPr>
        <w:spacing w:after="0" w:line="11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39"/>
        </w:trPr>
        <w:tc>
          <w:tcPr>
            <w:tcW w:w="1280" w:type="dxa"/>
            <w:vAlign w:val="bottom"/>
          </w:tcPr>
          <w:p>
            <w:pPr>
              <w:spacing w:after="0"/>
              <w:rPr>
                <w:sz w:val="3"/>
                <w:szCs w:val="3"/>
                <w:color w:val="auto"/>
              </w:rPr>
            </w:pPr>
          </w:p>
        </w:tc>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 Shares</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Acquired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on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w w:val="90"/>
              </w:rPr>
              <w:t>Vesting</w:t>
            </w:r>
          </w:p>
        </w:tc>
        <w:tc>
          <w:tcPr>
            <w:tcW w:w="7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256"/>
        </w:trPr>
        <w:tc>
          <w:tcPr>
            <w:tcW w:w="6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center"/>
              <w:spacing w:after="0" w:line="255" w:lineRule="exact"/>
              <w:rPr>
                <w:sz w:val="20"/>
                <w:szCs w:val="20"/>
                <w:color w:val="auto"/>
              </w:rPr>
            </w:pPr>
            <w:r>
              <w:rPr>
                <w:rFonts w:ascii="Arial" w:cs="Arial" w:eastAsia="Arial" w:hAnsi="Arial"/>
                <w:sz w:val="28"/>
                <w:szCs w:val="28"/>
                <w:b w:val="1"/>
                <w:bCs w:val="1"/>
                <w:color w:val="auto"/>
                <w:w w:val="84"/>
                <w:vertAlign w:val="subscript"/>
              </w:rPr>
              <w:t>(#)</w:t>
            </w:r>
            <w:r>
              <w:rPr>
                <w:rFonts w:ascii="Arial" w:cs="Arial" w:eastAsia="Arial" w:hAnsi="Arial"/>
                <w:sz w:val="12"/>
                <w:szCs w:val="12"/>
                <w:b w:val="1"/>
                <w:bCs w:val="1"/>
                <w:color w:val="auto"/>
                <w:w w:val="84"/>
              </w:rPr>
              <w:t>(1)(5)</w:t>
            </w:r>
          </w:p>
        </w:tc>
        <w:tc>
          <w:tcPr>
            <w:tcW w:w="3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center"/>
              <w:spacing w:after="0" w:line="255" w:lineRule="exact"/>
              <w:rPr>
                <w:sz w:val="20"/>
                <w:szCs w:val="20"/>
                <w:color w:val="auto"/>
              </w:rPr>
            </w:pPr>
            <w:r>
              <w:rPr>
                <w:rFonts w:ascii="Arial" w:cs="Arial" w:eastAsia="Arial" w:hAnsi="Arial"/>
                <w:sz w:val="28"/>
                <w:szCs w:val="28"/>
                <w:b w:val="1"/>
                <w:bCs w:val="1"/>
                <w:color w:val="auto"/>
                <w:w w:val="88"/>
                <w:vertAlign w:val="subscript"/>
              </w:rPr>
              <w:t>($)</w:t>
            </w:r>
            <w:r>
              <w:rPr>
                <w:rFonts w:ascii="Arial" w:cs="Arial" w:eastAsia="Arial" w:hAnsi="Arial"/>
                <w:sz w:val="12"/>
                <w:szCs w:val="12"/>
                <w:b w:val="1"/>
                <w:bCs w:val="1"/>
                <w:color w:val="auto"/>
                <w:w w:val="88"/>
              </w:rPr>
              <w:t>(4)(5)</w:t>
            </w:r>
          </w:p>
        </w:tc>
        <w:tc>
          <w:tcPr>
            <w:tcW w:w="0" w:type="dxa"/>
            <w:vAlign w:val="bottom"/>
          </w:tcPr>
          <w:p>
            <w:pPr>
              <w:spacing w:after="0"/>
              <w:rPr>
                <w:sz w:val="1"/>
                <w:szCs w:val="1"/>
                <w:color w:val="auto"/>
              </w:rPr>
            </w:pPr>
          </w:p>
        </w:tc>
      </w:tr>
      <w:tr>
        <w:trPr>
          <w:trHeight w:val="271"/>
        </w:trPr>
        <w:tc>
          <w:tcPr>
            <w:tcW w:w="6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Young-Joon Kim</w:t>
            </w:r>
          </w:p>
        </w:tc>
        <w:tc>
          <w:tcPr>
            <w:tcW w:w="10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107,424</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1,689,543</w:t>
            </w:r>
          </w:p>
        </w:tc>
        <w:tc>
          <w:tcPr>
            <w:tcW w:w="0" w:type="dxa"/>
            <w:vAlign w:val="bottom"/>
          </w:tcPr>
          <w:p>
            <w:pPr>
              <w:spacing w:after="0"/>
              <w:rPr>
                <w:sz w:val="1"/>
                <w:szCs w:val="1"/>
                <w:color w:val="auto"/>
              </w:rPr>
            </w:pPr>
          </w:p>
        </w:tc>
      </w:tr>
      <w:tr>
        <w:trPr>
          <w:trHeight w:val="310"/>
        </w:trPr>
        <w:tc>
          <w:tcPr>
            <w:tcW w:w="6320" w:type="dxa"/>
            <w:vAlign w:val="bottom"/>
            <w:gridSpan w:val="2"/>
          </w:tcPr>
          <w:p>
            <w:pPr>
              <w:spacing w:after="0"/>
              <w:rPr>
                <w:sz w:val="20"/>
                <w:szCs w:val="20"/>
                <w:color w:val="auto"/>
              </w:rPr>
            </w:pPr>
            <w:r>
              <w:rPr>
                <w:rFonts w:ascii="Arial" w:cs="Arial" w:eastAsia="Arial" w:hAnsi="Arial"/>
                <w:sz w:val="18"/>
                <w:szCs w:val="18"/>
                <w:color w:val="auto"/>
              </w:rPr>
              <w:t>Shin Young Park</w:t>
            </w:r>
          </w:p>
        </w:tc>
        <w:tc>
          <w:tcPr>
            <w:tcW w:w="1060" w:type="dxa"/>
            <w:vAlign w:val="bottom"/>
            <w:gridSpan w:val="2"/>
          </w:tcPr>
          <w:p>
            <w:pPr>
              <w:ind w:left="380"/>
              <w:spacing w:after="0" w:line="310" w:lineRule="exact"/>
              <w:rPr>
                <w:sz w:val="20"/>
                <w:szCs w:val="20"/>
                <w:color w:val="auto"/>
              </w:rPr>
            </w:pPr>
            <w:r>
              <w:rPr>
                <w:rFonts w:ascii="Arial" w:cs="Arial" w:eastAsia="Arial" w:hAnsi="Arial"/>
                <w:sz w:val="18"/>
                <w:szCs w:val="18"/>
                <w:color w:val="auto"/>
                <w:w w:val="83"/>
              </w:rPr>
              <w:t>17,144</w:t>
            </w:r>
            <w:r>
              <w:rPr>
                <w:rFonts w:ascii="Arial" w:cs="Arial" w:eastAsia="Arial" w:hAnsi="Arial"/>
                <w:sz w:val="29"/>
                <w:szCs w:val="29"/>
                <w:color w:val="auto"/>
                <w:w w:val="83"/>
                <w:vertAlign w:val="superscript"/>
              </w:rPr>
              <w:t>(2)</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230,666</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41,041</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561,644</w:t>
            </w:r>
          </w:p>
        </w:tc>
        <w:tc>
          <w:tcPr>
            <w:tcW w:w="0" w:type="dxa"/>
            <w:vAlign w:val="bottom"/>
          </w:tcPr>
          <w:p>
            <w:pPr>
              <w:spacing w:after="0"/>
              <w:rPr>
                <w:sz w:val="1"/>
                <w:szCs w:val="1"/>
                <w:color w:val="auto"/>
              </w:rPr>
            </w:pPr>
          </w:p>
        </w:tc>
      </w:tr>
      <w:tr>
        <w:trPr>
          <w:trHeight w:val="243"/>
        </w:trPr>
        <w:tc>
          <w:tcPr>
            <w:tcW w:w="632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26,509</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369,525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3"/>
              </w:rPr>
              <w:t>13,099</w:t>
            </w:r>
            <w:r>
              <w:rPr>
                <w:rFonts w:ascii="Arial" w:cs="Arial" w:eastAsia="Arial" w:hAnsi="Arial"/>
                <w:sz w:val="29"/>
                <w:szCs w:val="29"/>
                <w:color w:val="auto"/>
                <w:w w:val="83"/>
                <w:vertAlign w:val="superscript"/>
              </w:rPr>
              <w:t>(3)</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204,046</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5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-1054100</wp:posOffset>
            </wp:positionV>
            <wp:extent cx="1885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-1054100</wp:posOffset>
            </wp:positionV>
            <wp:extent cx="1885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5" w:lineRule="exact"/>
        <w:rPr>
          <w:sz w:val="20"/>
          <w:szCs w:val="20"/>
          <w:color w:val="auto"/>
        </w:rPr>
      </w:pPr>
    </w:p>
    <w:p>
      <w:pPr>
        <w:ind w:left="640" w:right="579" w:hanging="348"/>
        <w:spacing w:after="0" w:line="238"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sum of (i) RSUs that vested on December 31, 2022 (ii) Financial PSUs earned based on the Company’s performance in 2021, which vested and were settled on February 18, 2022, and (iii) TSR PSUs earned based on three-year TSR of the Company, which were granted in 2020 and vested and were settled on February 18, 2022.</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RSUs that vested on January 16, 2022 and March 12,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RSUs that vested on June 1, 2022.</w:t>
      </w:r>
    </w:p>
    <w:p>
      <w:pPr>
        <w:spacing w:after="0" w:line="41" w:lineRule="exact"/>
        <w:rPr>
          <w:rFonts w:ascii="Arial" w:cs="Arial" w:eastAsia="Arial" w:hAnsi="Arial"/>
          <w:sz w:val="14"/>
          <w:szCs w:val="14"/>
          <w:color w:val="auto"/>
        </w:rPr>
      </w:pPr>
    </w:p>
    <w:p>
      <w:pPr>
        <w:ind w:left="640" w:right="379" w:hanging="348"/>
        <w:spacing w:after="0" w:line="253"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sum of the value of (i) vested RSUs, (ii) Financial PSUs and (iii) TSR PSUs as of the vesting date, based on our closing per share price on each vesting date.</w:t>
      </w:r>
    </w:p>
    <w:p>
      <w:pPr>
        <w:spacing w:after="0" w:line="11" w:lineRule="exact"/>
        <w:rPr>
          <w:rFonts w:ascii="Arial" w:cs="Arial" w:eastAsia="Arial" w:hAnsi="Arial"/>
          <w:sz w:val="14"/>
          <w:szCs w:val="14"/>
          <w:color w:val="auto"/>
        </w:rPr>
      </w:pPr>
    </w:p>
    <w:p>
      <w:pPr>
        <w:ind w:left="640" w:right="459" w:hanging="348"/>
        <w:spacing w:after="0" w:line="264" w:lineRule="auto"/>
        <w:tabs>
          <w:tab w:leader="none" w:pos="6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share numbers and values set forth in these two columns do not take into account the shares that were withheld from the named executive officers to pay applicable withholding taxes. The below table shows the number of shares, with their values calculated as of the vesting date, that were withheld by the Company in order to pay applicable withholding taxes on behalf of our named executive officers:</w:t>
      </w:r>
    </w:p>
    <w:p>
      <w:pPr>
        <w:spacing w:after="0" w:line="6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540" w:type="dxa"/>
            <w:vAlign w:val="bottom"/>
          </w:tcPr>
          <w:p>
            <w:pPr>
              <w:ind w:left="6480"/>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1360" w:type="dxa"/>
            <w:vAlign w:val="bottom"/>
            <w:gridSpan w:val="3"/>
          </w:tcPr>
          <w:p>
            <w:pPr>
              <w:ind w:left="2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4"/>
        </w:trPr>
        <w:tc>
          <w:tcPr>
            <w:tcW w:w="6540" w:type="dxa"/>
            <w:vAlign w:val="bottom"/>
          </w:tcPr>
          <w:p>
            <w:pPr>
              <w:ind w:left="6480"/>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33"/>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Withheld</w:t>
            </w:r>
          </w:p>
        </w:tc>
        <w:tc>
          <w:tcPr>
            <w:tcW w:w="16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Withheld</w:t>
            </w:r>
          </w:p>
        </w:tc>
        <w:tc>
          <w:tcPr>
            <w:tcW w:w="0" w:type="dxa"/>
            <w:vAlign w:val="bottom"/>
          </w:tcPr>
          <w:p>
            <w:pPr>
              <w:spacing w:after="0"/>
              <w:rPr>
                <w:sz w:val="1"/>
                <w:szCs w:val="1"/>
                <w:color w:val="auto"/>
              </w:rPr>
            </w:pPr>
          </w:p>
        </w:tc>
      </w:tr>
      <w:tr>
        <w:trPr>
          <w:trHeight w:val="186"/>
        </w:trPr>
        <w:tc>
          <w:tcPr>
            <w:tcW w:w="6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24765</wp:posOffset>
            </wp:positionV>
            <wp:extent cx="5117465"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17465" cy="15430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8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Young-Joon Kim</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Shin Young Park</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Theodore Kim</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Woung Moo Lee</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Chan Ho Park</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tabs>
          <w:tab w:leader="none" w:pos="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180" w:lineRule="exact"/>
        <w:rPr>
          <w:sz w:val="20"/>
          <w:szCs w:val="20"/>
          <w:color w:val="auto"/>
        </w:rPr>
      </w:pPr>
    </w:p>
    <w:p>
      <w:pPr>
        <w:spacing w:after="0"/>
        <w:tabs>
          <w:tab w:leader="none" w:pos="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66675</wp:posOffset>
            </wp:positionV>
            <wp:extent cx="511746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17465" cy="128905"/>
                    </a:xfrm>
                    <a:prstGeom prst="rect">
                      <a:avLst/>
                    </a:prstGeom>
                    <a:noFill/>
                  </pic:spPr>
                </pic:pic>
              </a:graphicData>
            </a:graphic>
          </wp:anchor>
        </w:drawing>
      </w:r>
    </w:p>
    <w:p>
      <w:pPr>
        <w:spacing w:after="0" w:line="160" w:lineRule="exact"/>
        <w:rPr>
          <w:sz w:val="20"/>
          <w:szCs w:val="20"/>
          <w:color w:val="auto"/>
        </w:rPr>
      </w:pPr>
    </w:p>
    <w:p>
      <w:pPr>
        <w:spacing w:after="0"/>
        <w:tabs>
          <w:tab w:leader="none" w:pos="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180" w:lineRule="exact"/>
        <w:rPr>
          <w:sz w:val="20"/>
          <w:szCs w:val="20"/>
          <w:color w:val="auto"/>
        </w:rPr>
      </w:pPr>
    </w:p>
    <w:p>
      <w:pPr>
        <w:spacing w:after="0"/>
        <w:tabs>
          <w:tab w:leader="none" w:pos="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66675</wp:posOffset>
            </wp:positionV>
            <wp:extent cx="511746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17465" cy="146050"/>
                    </a:xfrm>
                    <a:prstGeom prst="rect">
                      <a:avLst/>
                    </a:prstGeom>
                    <a:noFill/>
                  </pic:spPr>
                </pic:pic>
              </a:graphicData>
            </a:graphic>
          </wp:anchor>
        </w:drawing>
      </w:r>
    </w:p>
    <w:p>
      <w:pPr>
        <w:spacing w:after="0" w:line="160" w:lineRule="exact"/>
        <w:rPr>
          <w:sz w:val="20"/>
          <w:szCs w:val="20"/>
          <w:color w:val="auto"/>
        </w:rPr>
      </w:pPr>
    </w:p>
    <w:p>
      <w:pPr>
        <w:spacing w:after="0"/>
        <w:tabs>
          <w:tab w:leader="none" w:pos="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39,750</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8,132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15,187</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12,861</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646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tabs>
          <w:tab w:leader="none" w:pos="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180" w:lineRule="exact"/>
        <w:rPr>
          <w:sz w:val="20"/>
          <w:szCs w:val="20"/>
          <w:color w:val="auto"/>
        </w:rPr>
      </w:pPr>
    </w:p>
    <w:p>
      <w:pPr>
        <w:spacing w:after="0"/>
        <w:tabs>
          <w:tab w:leader="none" w:pos="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180" w:lineRule="exact"/>
        <w:rPr>
          <w:sz w:val="20"/>
          <w:szCs w:val="20"/>
          <w:color w:val="auto"/>
        </w:rPr>
      </w:pPr>
    </w:p>
    <w:p>
      <w:pPr>
        <w:spacing w:after="0"/>
        <w:tabs>
          <w:tab w:leader="none" w:pos="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180" w:lineRule="exact"/>
        <w:rPr>
          <w:sz w:val="20"/>
          <w:szCs w:val="20"/>
          <w:color w:val="auto"/>
        </w:rPr>
      </w:pPr>
    </w:p>
    <w:p>
      <w:pPr>
        <w:spacing w:after="0"/>
        <w:tabs>
          <w:tab w:leader="none" w:pos="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180" w:lineRule="exact"/>
        <w:rPr>
          <w:sz w:val="20"/>
          <w:szCs w:val="20"/>
          <w:color w:val="auto"/>
        </w:rPr>
      </w:pPr>
    </w:p>
    <w:p>
      <w:pPr>
        <w:spacing w:after="0"/>
        <w:tabs>
          <w:tab w:leader="none" w:pos="8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right"/>
        <w:ind w:right="359"/>
        <w:spacing w:after="0"/>
        <w:rPr>
          <w:sz w:val="20"/>
          <w:szCs w:val="20"/>
          <w:color w:val="auto"/>
        </w:rPr>
      </w:pPr>
      <w:r>
        <w:rPr>
          <w:rFonts w:ascii="Arial" w:cs="Arial" w:eastAsia="Arial" w:hAnsi="Arial"/>
          <w:sz w:val="13"/>
          <w:szCs w:val="13"/>
          <w:color w:val="auto"/>
        </w:rPr>
        <w:t>625,167</w:t>
      </w:r>
    </w:p>
    <w:p>
      <w:pPr>
        <w:spacing w:after="0" w:line="53" w:lineRule="exact"/>
        <w:rPr>
          <w:sz w:val="20"/>
          <w:szCs w:val="20"/>
          <w:color w:val="auto"/>
        </w:rPr>
      </w:pPr>
    </w:p>
    <w:p>
      <w:pPr>
        <w:jc w:val="right"/>
        <w:ind w:right="359"/>
        <w:spacing w:after="0"/>
        <w:rPr>
          <w:sz w:val="20"/>
          <w:szCs w:val="20"/>
          <w:color w:val="auto"/>
        </w:rPr>
      </w:pPr>
      <w:r>
        <w:rPr>
          <w:rFonts w:ascii="Arial" w:cs="Arial" w:eastAsia="Arial" w:hAnsi="Arial"/>
          <w:sz w:val="13"/>
          <w:szCs w:val="13"/>
          <w:color w:val="auto"/>
        </w:rPr>
        <w:t>109,279</w:t>
      </w:r>
    </w:p>
    <w:p>
      <w:pPr>
        <w:spacing w:after="0" w:line="53" w:lineRule="exact"/>
        <w:rPr>
          <w:sz w:val="20"/>
          <w:szCs w:val="20"/>
          <w:color w:val="auto"/>
        </w:rPr>
      </w:pPr>
    </w:p>
    <w:p>
      <w:pPr>
        <w:jc w:val="right"/>
        <w:ind w:right="359"/>
        <w:spacing w:after="0"/>
        <w:rPr>
          <w:sz w:val="20"/>
          <w:szCs w:val="20"/>
          <w:color w:val="auto"/>
        </w:rPr>
      </w:pPr>
      <w:r>
        <w:rPr>
          <w:rFonts w:ascii="Arial" w:cs="Arial" w:eastAsia="Arial" w:hAnsi="Arial"/>
          <w:sz w:val="13"/>
          <w:szCs w:val="13"/>
          <w:color w:val="auto"/>
        </w:rPr>
        <w:t>207,829</w:t>
      </w:r>
    </w:p>
    <w:p>
      <w:pPr>
        <w:spacing w:after="0" w:line="53" w:lineRule="exact"/>
        <w:rPr>
          <w:sz w:val="20"/>
          <w:szCs w:val="20"/>
          <w:color w:val="auto"/>
        </w:rPr>
      </w:pPr>
    </w:p>
    <w:p>
      <w:pPr>
        <w:jc w:val="right"/>
        <w:ind w:right="359"/>
        <w:spacing w:after="0"/>
        <w:rPr>
          <w:sz w:val="20"/>
          <w:szCs w:val="20"/>
          <w:color w:val="auto"/>
        </w:rPr>
      </w:pPr>
      <w:r>
        <w:rPr>
          <w:rFonts w:ascii="Arial" w:cs="Arial" w:eastAsia="Arial" w:hAnsi="Arial"/>
          <w:sz w:val="13"/>
          <w:szCs w:val="13"/>
          <w:color w:val="auto"/>
        </w:rPr>
        <w:t>179,762</w:t>
      </w:r>
    </w:p>
    <w:p>
      <w:pPr>
        <w:spacing w:after="0" w:line="53" w:lineRule="exact"/>
        <w:rPr>
          <w:sz w:val="20"/>
          <w:szCs w:val="20"/>
          <w:color w:val="auto"/>
        </w:rPr>
      </w:pPr>
    </w:p>
    <w:p>
      <w:pPr>
        <w:jc w:val="right"/>
        <w:ind w:right="359"/>
        <w:spacing w:after="0"/>
        <w:rPr>
          <w:sz w:val="20"/>
          <w:szCs w:val="20"/>
          <w:color w:val="auto"/>
        </w:rPr>
      </w:pPr>
      <w:r>
        <w:rPr>
          <w:rFonts w:ascii="Arial" w:cs="Arial" w:eastAsia="Arial" w:hAnsi="Arial"/>
          <w:sz w:val="14"/>
          <w:szCs w:val="14"/>
          <w:color w:val="auto"/>
        </w:rPr>
        <w:t>12,132</w:t>
      </w:r>
    </w:p>
    <w:p>
      <w:pPr>
        <w:spacing w:after="0" w:line="200" w:lineRule="exact"/>
        <w:rPr>
          <w:sz w:val="20"/>
          <w:szCs w:val="20"/>
          <w:color w:val="auto"/>
        </w:rPr>
      </w:pPr>
    </w:p>
    <w:p>
      <w:pPr>
        <w:sectPr>
          <w:pgSz w:w="11900" w:h="16838" w:orient="portrait"/>
          <w:cols w:equalWidth="0" w:num="5">
            <w:col w:w="6420" w:space="720"/>
            <w:col w:w="100" w:space="200"/>
            <w:col w:w="400" w:space="100"/>
            <w:col w:w="100" w:space="140"/>
            <w:col w:w="839"/>
          </w:cols>
          <w:pgMar w:left="1440" w:top="265" w:right="1440" w:bottom="1440" w:gutter="0" w:footer="0" w:header="0"/>
          <w:type w:val="continuous"/>
        </w:sectPr>
      </w:pPr>
    </w:p>
    <w:p>
      <w:pPr>
        <w:spacing w:after="0" w:line="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Pension Benefits for the Fiscal Year Ended December 31, 2022</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In addition to the severance benefits described above, pursuant to the Employee Retirement Benefit Security Act of Korea, certain executive officers residing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executive’s salary for the prior three-month period. Accordingly, if the named executive officer’s employment with the Company terminated on the last day of our fiscal year ended December 31, 2022, they would have been entitled to the statutory severance payments described below. The accumulated amounts under the statutory severance scheme are paid in a lump sum upon the executive’s separation. Assuming no change in the applicable law, each of these executives will continue to accrue additional statutory severance benefits at the rate described above until his or her service with us terminates.</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12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Present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Years</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Value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Plan Name</w:t>
            </w:r>
          </w:p>
        </w:tc>
        <w:tc>
          <w:tcPr>
            <w:tcW w:w="160" w:type="dxa"/>
            <w:vAlign w:val="bottom"/>
            <w:vMerge w:val="restart"/>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of Credited</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the Last</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CCEEFF"/>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vMerge w:val="continue"/>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Service (#)</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9"/>
              </w:rPr>
              <w:t>Benefit ($)</w:t>
            </w:r>
            <w:r>
              <w:rPr>
                <w:rFonts w:ascii="Arial" w:cs="Arial" w:eastAsia="Arial" w:hAnsi="Arial"/>
                <w:sz w:val="23"/>
                <w:szCs w:val="23"/>
                <w:b w:val="1"/>
                <w:bCs w:val="1"/>
                <w:color w:val="auto"/>
                <w:w w:val="89"/>
                <w:vertAlign w:val="superscript"/>
              </w:rPr>
              <w:t>(1)</w:t>
            </w: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Fiscal Year($)</w:t>
            </w:r>
          </w:p>
        </w:tc>
        <w:tc>
          <w:tcPr>
            <w:tcW w:w="0" w:type="dxa"/>
            <w:vAlign w:val="bottom"/>
          </w:tcPr>
          <w:p>
            <w:pPr>
              <w:spacing w:after="0"/>
              <w:rPr>
                <w:sz w:val="1"/>
                <w:szCs w:val="1"/>
                <w:color w:val="auto"/>
              </w:rPr>
            </w:pPr>
          </w:p>
        </w:tc>
      </w:tr>
      <w:tr>
        <w:trPr>
          <w:trHeight w:val="271"/>
        </w:trPr>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Young Joon Kim</w:t>
            </w:r>
          </w:p>
        </w:tc>
        <w:tc>
          <w:tcPr>
            <w:tcW w:w="16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Statutory Severance</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481,288</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3"/>
          </w:tcPr>
          <w:p>
            <w:pPr>
              <w:spacing w:after="0"/>
              <w:rPr>
                <w:sz w:val="20"/>
                <w:szCs w:val="20"/>
                <w:color w:val="auto"/>
              </w:rPr>
            </w:pPr>
            <w:r>
              <w:rPr>
                <w:rFonts w:ascii="Arial" w:cs="Arial" w:eastAsia="Arial" w:hAnsi="Arial"/>
                <w:sz w:val="18"/>
                <w:szCs w:val="18"/>
                <w:color w:val="auto"/>
              </w:rPr>
              <w:t>Shin Young Park</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Statutory Severance</w:t>
            </w:r>
          </w:p>
        </w:tc>
        <w:tc>
          <w:tcPr>
            <w:tcW w:w="700" w:type="dxa"/>
            <w:vAlign w:val="bottom"/>
          </w:tcPr>
          <w:p>
            <w:pPr>
              <w:jc w:val="right"/>
              <w:ind w:right="178"/>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110,226</w:t>
            </w:r>
          </w:p>
        </w:tc>
        <w:tc>
          <w:tcPr>
            <w:tcW w:w="1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Theodore Kim</w:t>
            </w:r>
          </w:p>
        </w:tc>
        <w:tc>
          <w:tcPr>
            <w:tcW w:w="16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Statutory Severance</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287,788</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3"/>
          </w:tcPr>
          <w:p>
            <w:pPr>
              <w:spacing w:after="0"/>
              <w:rPr>
                <w:sz w:val="20"/>
                <w:szCs w:val="20"/>
                <w:color w:val="auto"/>
              </w:rPr>
            </w:pPr>
            <w:r>
              <w:rPr>
                <w:rFonts w:ascii="Arial" w:cs="Arial" w:eastAsia="Arial" w:hAnsi="Arial"/>
                <w:sz w:val="18"/>
                <w:szCs w:val="18"/>
                <w:color w:val="auto"/>
              </w:rPr>
              <w:t>Woung Moo Lee</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Statutory Severance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21"/>
                <w:szCs w:val="21"/>
                <w:color w:val="auto"/>
              </w:rPr>
            </w:pP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213,923</w:t>
            </w:r>
          </w:p>
        </w:tc>
        <w:tc>
          <w:tcPr>
            <w:tcW w:w="1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Chan Ho Park</w:t>
            </w:r>
          </w:p>
        </w:tc>
        <w:tc>
          <w:tcPr>
            <w:tcW w:w="16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Statutory Severance</w:t>
            </w:r>
          </w:p>
        </w:tc>
        <w:tc>
          <w:tcPr>
            <w:tcW w:w="70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77,296</w:t>
            </w: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-1002030</wp:posOffset>
            </wp:positionV>
            <wp:extent cx="102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-1002030</wp:posOffset>
            </wp:positionV>
            <wp:extent cx="1028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-1002030</wp:posOffset>
            </wp:positionV>
            <wp:extent cx="1028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-1002030</wp:posOffset>
            </wp:positionV>
            <wp:extent cx="102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 w:lineRule="exact"/>
        <w:rPr>
          <w:sz w:val="20"/>
          <w:szCs w:val="20"/>
          <w:color w:val="auto"/>
        </w:rPr>
      </w:pPr>
    </w:p>
    <w:p>
      <w:pPr>
        <w:ind w:left="640" w:right="639" w:hanging="348"/>
        <w:spacing w:after="0" w:line="253"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value reported in this column represents the accumulated amount of the benefit for each executive based on the formula described above of one month of base salary per year of credited service.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2" w:name="page43"/>
    <w:bookmarkEnd w:id="4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maintain any nonqualified deferred compensation plans for our named executive officers.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Our named executive officers are each party to an employment agreement that provides for post-employment or change in control benefits. The terms “cause”, “good reason”, “disability” and “change in control” used below have the meanings given to them in the applicable CEO Agreement or Other Executive Agreement (each as defined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On April 26, 2018, the Company entered into a new employment agreement with Mr. YJ Kim that superseded his prior severance and employment agreements (the “CEO Agreement”). In October of 2018, the Company entered into similar arrangements with Mr. WM Lee and Mr. T. Kim that replaced their prior severance agreements and offer letters (the “Other Executive Agreements”). In June 2020 and February 2022, the Company entered into an employment agreement with Mr. CH Park and Ms. SY Park, respectively, in a form substantially similar to the Other Executive Agreements.</w:t>
      </w:r>
    </w:p>
    <w:p>
      <w:pPr>
        <w:spacing w:after="0" w:line="84"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Under the CEO Agreement, Mr. YJ Kim is entitled to severance payments and benefits upon certain qualifying terminations of his employment with the Company. Upon termination of his employment by the Company without “cause” or his resignation for “good reason”, in each case not in connection with a “change in control” (each, a “Non CIC Termination”), he is entitled to receive (i) 24 months of continued base salary (as then in effect or in effect prior to any diminution constituting “good reason”) (the “Salary Payment”), (ii) a pro rata bonus based on actual performance (if such termination occurs after June 30 of the year of termination), (iii) a lump-sum payment equal to the cost of 12 months of Company-paid medical, dental and vision insurance premiums (the “Insurance Payment”),</w:t>
      </w:r>
    </w:p>
    <w:p>
      <w:pPr>
        <w:spacing w:after="0" w:line="2" w:lineRule="exact"/>
        <w:rPr>
          <w:sz w:val="20"/>
          <w:szCs w:val="20"/>
          <w:color w:val="auto"/>
        </w:rPr>
      </w:pPr>
    </w:p>
    <w:p>
      <w:pPr>
        <w:ind w:left="300" w:right="359" w:hanging="8"/>
        <w:spacing w:after="0" w:line="302" w:lineRule="auto"/>
        <w:tabs>
          <w:tab w:leader="none" w:pos="6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90 days’ continuation of his expatriate benefits, and (v) to the extent that he is eligible to receive such payments as part of the expatriate benefits, the repatriation allowance and expenses. Further, Mr. YJ Kim will vest in all unvested equity awards in accordance with the terms of our equity plan and the applicable award agreements.</w:t>
      </w:r>
    </w:p>
    <w:p>
      <w:pPr>
        <w:spacing w:after="0" w:line="47"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If, during a period of time that (x) the Company is party to a definitive corporate transaction agreement the consummation of which would result in a “change in control” or (y) is within 18 months following a “change in control”, Mr. YJ Kim’s employment is terminated by the Company without “cause”, by Mr. YJ Kim for “good reason” (each, a “CIC Termination”) or by reason of his death or “disability”, then he will be entitled to the severance payments described above, provided that (A) the Salary Payment shall be a lump sum payment equal to two times the sum of (1) his base salary (as then in effect or in effect prior to any diminution implicating “good reason”) and (2) his annual bonus (as then in effect or in effect prior to any diminution implicating “good reason”, but in no event greater than 100% of his base salary) and (B) the Insurance Payment will be in respect of 18 months rather than 12 months. Further, Mr. YJ Kim will vest in all equity awards in accordance with the terms of our equity plan and the applicable award agreements.</w:t>
      </w:r>
    </w:p>
    <w:p>
      <w:pPr>
        <w:spacing w:after="0" w:line="77" w:lineRule="exact"/>
        <w:rPr>
          <w:sz w:val="20"/>
          <w:szCs w:val="20"/>
          <w:color w:val="auto"/>
        </w:rPr>
      </w:pPr>
    </w:p>
    <w:p>
      <w:pPr>
        <w:ind w:left="300" w:right="599" w:firstLine="360"/>
        <w:spacing w:after="0" w:line="263" w:lineRule="auto"/>
        <w:rPr>
          <w:sz w:val="20"/>
          <w:szCs w:val="20"/>
          <w:color w:val="auto"/>
        </w:rPr>
      </w:pPr>
      <w:r>
        <w:rPr>
          <w:rFonts w:ascii="Arial" w:cs="Arial" w:eastAsia="Arial" w:hAnsi="Arial"/>
          <w:sz w:val="18"/>
          <w:szCs w:val="18"/>
          <w:color w:val="auto"/>
        </w:rPr>
        <w:t>Mr. YJ Kim’s right to receive any “change in control” or other severance payments provided in the CEO Agreement is subject to his execution of a release of claims against us and his compliance with certain restrictive covenants.</w:t>
      </w:r>
    </w:p>
    <w:p>
      <w:pPr>
        <w:spacing w:after="0" w:line="76" w:lineRule="exact"/>
        <w:rPr>
          <w:sz w:val="20"/>
          <w:szCs w:val="20"/>
          <w:color w:val="auto"/>
        </w:rPr>
      </w:pPr>
    </w:p>
    <w:p>
      <w:pPr>
        <w:ind w:left="300" w:right="379" w:firstLine="360"/>
        <w:spacing w:after="0" w:line="284" w:lineRule="auto"/>
        <w:rPr>
          <w:sz w:val="20"/>
          <w:szCs w:val="20"/>
          <w:color w:val="auto"/>
        </w:rPr>
      </w:pPr>
      <w:r>
        <w:rPr>
          <w:rFonts w:ascii="Arial" w:cs="Arial" w:eastAsia="Arial" w:hAnsi="Arial"/>
          <w:sz w:val="16"/>
          <w:szCs w:val="16"/>
          <w:color w:val="auto"/>
        </w:rPr>
        <w:t>The Other Executive Agreements provide that the applicable executive will be entitled to severance payments and benefits upon certain qualifying terminations of his or her employment with the Company. In the event that the applicable executive incurs a Non CIC Termination, he or she will be entitled to (i) 12 months of continued base salary for Mr. T. Kim, Mr. WM Lee and Ms. SY Park and 6 months of continued base salary for Mr. CH Park (as then in effect or in effect prior to any diminution constituting “good reason”) (the “Other Executive Salary Payment”), (ii) a pro rata bonus based on actual performance (if such termination occurs after June 30 of the year of termination) (together with the Other Executive Salary Payment, the “Other Executive Severance Payment”),</w:t>
      </w:r>
    </w:p>
    <w:p>
      <w:pPr>
        <w:spacing w:after="0" w:line="2" w:lineRule="exact"/>
        <w:rPr>
          <w:sz w:val="20"/>
          <w:szCs w:val="20"/>
          <w:color w:val="auto"/>
        </w:rPr>
      </w:pPr>
    </w:p>
    <w:p>
      <w:pPr>
        <w:ind w:left="300" w:right="539" w:hanging="8"/>
        <w:spacing w:after="0" w:line="292" w:lineRule="auto"/>
        <w:tabs>
          <w:tab w:leader="none" w:pos="615" w:val="left"/>
        </w:tabs>
        <w:numPr>
          <w:ilvl w:val="0"/>
          <w:numId w:val="41"/>
        </w:numPr>
        <w:rPr>
          <w:rFonts w:ascii="Arial" w:cs="Arial" w:eastAsia="Arial" w:hAnsi="Arial"/>
          <w:sz w:val="16"/>
          <w:szCs w:val="16"/>
          <w:color w:val="auto"/>
        </w:rPr>
      </w:pPr>
      <w:r>
        <w:rPr>
          <w:rFonts w:ascii="Arial" w:cs="Arial" w:eastAsia="Arial" w:hAnsi="Arial"/>
          <w:sz w:val="16"/>
          <w:szCs w:val="16"/>
          <w:color w:val="auto"/>
        </w:rPr>
        <w:t>vesting of all equity awards in accordance with the terms of our equity plan and the applicable award agreements. Further, Mr. T. Kim would receive a lump sum payment equal to the cost of 12 months of Company-paid medical, dental and vision insurance premiums, 90 days’ continuation of his expatriate benefits, and, to the extent that he is eligible to receive such payments as part of his expatriate benefits, a repatriation allowance in the amount of one month’s base salary and certain repatriation expenses as described in 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99" w:firstLine="360"/>
        <w:spacing w:after="0" w:line="253" w:lineRule="auto"/>
        <w:rPr>
          <w:sz w:val="20"/>
          <w:szCs w:val="20"/>
          <w:color w:val="auto"/>
        </w:rPr>
      </w:pPr>
      <w:r>
        <w:rPr>
          <w:rFonts w:ascii="Arial" w:cs="Arial" w:eastAsia="Arial" w:hAnsi="Arial"/>
          <w:sz w:val="18"/>
          <w:szCs w:val="18"/>
          <w:color w:val="auto"/>
        </w:rPr>
        <w:t>In the event that Mr. WM Lee, Mr. T. Kim or Ms. SY Park incurs a CIC Termination, then the applicable executive will be entitled to the severance payments described above, provided that the Severance Payment instead will equal one and one-half times the executive’s base salary (as then in effect or in effect prior to any diminution implicating “good reason”), while Mr. CH Park will be entitled to 12 months of base salary as described above; and provided further, that if the date of termination occurs after June 30 of the calendar year in which the date of termination occurs, Mr. T. Kim will also receive an amount equal to an additional month of base salary for each month that has passed since July 1 through the date of termination (rounding up for any partial months), which will be payable in a lump sum on the sixtieth (60th) day following the date of termination. Further, the applicable executive will vest in all equity grants in accordance with the terms of our equity plan and the applicable award agreements.</w:t>
      </w:r>
    </w:p>
    <w:p>
      <w:pPr>
        <w:spacing w:after="0" w:line="86"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The applicable executive’s rights to receive any “change in control” or other severance payments under the Other Executive Agreements is subject to the applicable executive’s execution of a release of claims against us and his or her compliance with certain restrictive covenants.</w:t>
      </w:r>
    </w:p>
    <w:p>
      <w:pPr>
        <w:spacing w:after="0" w:line="76"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The following tables present our estimate of the dollar value of the payments and benefits payable to our named executive officers upon the occurrence of certain terminations of their employment and upon a change in control, assuming that each such event occurred on December 31, 2022, and assuming a closing per share price of $9.39 on December 30, 2022, the last trading day of 2022. In addition, the disclosure in the following table does not include:</w:t>
      </w:r>
    </w:p>
    <w:p>
      <w:pPr>
        <w:spacing w:after="0" w:line="49" w:lineRule="exact"/>
        <w:rPr>
          <w:sz w:val="20"/>
          <w:szCs w:val="20"/>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accrued benefits that were earned and payable as of December 31, 2022; or</w:t>
      </w:r>
    </w:p>
    <w:p>
      <w:pPr>
        <w:spacing w:after="0" w:line="117" w:lineRule="exact"/>
        <w:rPr>
          <w:rFonts w:ascii="Arial" w:cs="Arial" w:eastAsia="Arial" w:hAnsi="Arial"/>
          <w:sz w:val="18"/>
          <w:szCs w:val="18"/>
          <w:color w:val="auto"/>
        </w:rPr>
      </w:pPr>
    </w:p>
    <w:p>
      <w:pPr>
        <w:ind w:left="1000" w:right="819" w:hanging="348"/>
        <w:spacing w:after="0" w:line="308"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payments and benefits to the extent they are provided generally to all salaried employees and do not discriminate in scope, terms or operation in favor of the named executive officers.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Young-Joon Kim</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Cash</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Value of</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Continuation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of Benefits</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Severance</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Award</w:t>
            </w:r>
          </w:p>
        </w:tc>
        <w:tc>
          <w:tcPr>
            <w:tcW w:w="10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and</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Payment</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Perquisites</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1"/>
                <w:szCs w:val="21"/>
                <w:color w:val="auto"/>
              </w:rPr>
            </w:pPr>
          </w:p>
        </w:tc>
        <w:tc>
          <w:tcPr>
            <w:tcW w:w="1100" w:type="dxa"/>
            <w:vAlign w:val="bottom"/>
            <w:gridSpan w:val="2"/>
          </w:tcPr>
          <w:p>
            <w:pPr>
              <w:jc w:val="center"/>
              <w:ind w:left="100"/>
              <w:spacing w:after="0" w:line="243"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(1)</w:t>
            </w:r>
          </w:p>
        </w:tc>
        <w:tc>
          <w:tcPr>
            <w:tcW w:w="1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21"/>
                <w:szCs w:val="21"/>
                <w:color w:val="auto"/>
              </w:rPr>
            </w:pPr>
          </w:p>
        </w:tc>
        <w:tc>
          <w:tcPr>
            <w:tcW w:w="880" w:type="dxa"/>
            <w:vAlign w:val="bottom"/>
          </w:tcPr>
          <w:p>
            <w:pPr>
              <w:jc w:val="center"/>
              <w:spacing w:after="0" w:line="243"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(2)</w:t>
            </w:r>
          </w:p>
        </w:tc>
        <w:tc>
          <w:tcPr>
            <w:tcW w:w="1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Termination By the Company Without Cause / By</w:t>
            </w:r>
          </w:p>
        </w:tc>
        <w:tc>
          <w:tcPr>
            <w:tcW w:w="18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1,399,035</w:t>
            </w:r>
            <w:r>
              <w:rPr>
                <w:rFonts w:ascii="Arial" w:cs="Arial" w:eastAsia="Arial" w:hAnsi="Arial"/>
                <w:sz w:val="29"/>
                <w:szCs w:val="29"/>
                <w:color w:val="auto"/>
                <w:w w:val="86"/>
                <w:vertAlign w:val="superscript"/>
              </w:rPr>
              <w:t>(4)</w:t>
            </w:r>
          </w:p>
        </w:tc>
        <w:tc>
          <w:tcPr>
            <w:tcW w:w="18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8"/>
                <w:szCs w:val="18"/>
                <w:color w:val="auto"/>
                <w:w w:val="83"/>
              </w:rPr>
              <w:t>504,200</w:t>
            </w:r>
            <w:r>
              <w:rPr>
                <w:rFonts w:ascii="Arial" w:cs="Arial" w:eastAsia="Arial" w:hAnsi="Arial"/>
                <w:sz w:val="29"/>
                <w:szCs w:val="29"/>
                <w:color w:val="auto"/>
                <w:w w:val="83"/>
                <w:vertAlign w:val="superscript"/>
              </w:rPr>
              <w:t>(7)</w:t>
            </w:r>
          </w:p>
        </w:tc>
        <w:tc>
          <w:tcPr>
            <w:tcW w:w="18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for Good Reason</w:t>
            </w: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1,120,200</w:t>
            </w:r>
          </w:p>
        </w:tc>
        <w:tc>
          <w:tcPr>
            <w:tcW w:w="180" w:type="dxa"/>
            <w:vAlign w:val="bottom"/>
            <w:shd w:val="clear" w:color="auto" w:fill="CCEEFF"/>
          </w:tcPr>
          <w:p>
            <w:pPr>
              <w:spacing w:after="0"/>
              <w:rPr>
                <w:sz w:val="24"/>
                <w:szCs w:val="24"/>
                <w:color w:val="auto"/>
              </w:rPr>
            </w:pPr>
          </w:p>
        </w:tc>
        <w:tc>
          <w:tcPr>
            <w:tcW w:w="940" w:type="dxa"/>
            <w:vAlign w:val="bottom"/>
            <w:vMerge w:val="continue"/>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vMerge w:val="continue"/>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3,023,435</w:t>
            </w: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0"/>
                <w:szCs w:val="20"/>
                <w:color w:val="auto"/>
              </w:rPr>
            </w:pPr>
            <w:r>
              <w:rPr>
                <w:rFonts w:ascii="Arial" w:cs="Arial" w:eastAsia="Arial" w:hAnsi="Arial"/>
                <w:sz w:val="18"/>
                <w:szCs w:val="18"/>
                <w:color w:val="auto"/>
              </w:rPr>
              <w:t>Termination By the Company Without Cause / By</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Executive for Good Reason, In Connection With a</w:t>
            </w:r>
          </w:p>
        </w:tc>
        <w:tc>
          <w:tcPr>
            <w:tcW w:w="1100" w:type="dxa"/>
            <w:vAlign w:val="bottom"/>
            <w:gridSpan w:val="2"/>
            <w:vMerge w:val="restart"/>
          </w:tcPr>
          <w:p>
            <w:pPr>
              <w:jc w:val="center"/>
              <w:ind w:left="80"/>
              <w:spacing w:after="0"/>
              <w:rPr>
                <w:sz w:val="20"/>
                <w:szCs w:val="20"/>
                <w:color w:val="auto"/>
              </w:rPr>
            </w:pPr>
            <w:r>
              <w:rPr>
                <w:rFonts w:ascii="Arial" w:cs="Arial" w:eastAsia="Arial" w:hAnsi="Arial"/>
                <w:sz w:val="18"/>
                <w:szCs w:val="18"/>
                <w:color w:val="auto"/>
                <w:w w:val="86"/>
              </w:rPr>
              <w:t>2,240,400</w:t>
            </w:r>
            <w:r>
              <w:rPr>
                <w:rFonts w:ascii="Arial" w:cs="Arial" w:eastAsia="Arial" w:hAnsi="Arial"/>
                <w:sz w:val="29"/>
                <w:szCs w:val="29"/>
                <w:color w:val="auto"/>
                <w:w w:val="86"/>
                <w:vertAlign w:val="superscript"/>
              </w:rPr>
              <w:t>(3)</w:t>
            </w:r>
          </w:p>
        </w:tc>
        <w:tc>
          <w:tcPr>
            <w:tcW w:w="180" w:type="dxa"/>
            <w:vAlign w:val="bottom"/>
          </w:tcPr>
          <w:p>
            <w:pPr>
              <w:spacing w:after="0"/>
              <w:rPr>
                <w:sz w:val="18"/>
                <w:szCs w:val="18"/>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6"/>
              </w:rPr>
              <w:t>2,647,811</w:t>
            </w:r>
            <w:r>
              <w:rPr>
                <w:rFonts w:ascii="Arial" w:cs="Arial" w:eastAsia="Arial" w:hAnsi="Arial"/>
                <w:sz w:val="29"/>
                <w:szCs w:val="29"/>
                <w:color w:val="auto"/>
                <w:w w:val="86"/>
                <w:vertAlign w:val="superscript"/>
              </w:rPr>
              <w:t>(5)</w:t>
            </w:r>
          </w:p>
        </w:tc>
        <w:tc>
          <w:tcPr>
            <w:tcW w:w="180" w:type="dxa"/>
            <w:vAlign w:val="bottom"/>
          </w:tcPr>
          <w:p>
            <w:pPr>
              <w:spacing w:after="0"/>
              <w:rPr>
                <w:sz w:val="18"/>
                <w:szCs w:val="18"/>
                <w:color w:val="auto"/>
              </w:rPr>
            </w:pPr>
          </w:p>
        </w:tc>
        <w:tc>
          <w:tcPr>
            <w:tcW w:w="880" w:type="dxa"/>
            <w:vAlign w:val="bottom"/>
            <w:vMerge w:val="restart"/>
          </w:tcPr>
          <w:p>
            <w:pPr>
              <w:ind w:left="120"/>
              <w:spacing w:after="0"/>
              <w:rPr>
                <w:sz w:val="20"/>
                <w:szCs w:val="20"/>
                <w:color w:val="auto"/>
              </w:rPr>
            </w:pPr>
            <w:r>
              <w:rPr>
                <w:rFonts w:ascii="Arial" w:cs="Arial" w:eastAsia="Arial" w:hAnsi="Arial"/>
                <w:sz w:val="18"/>
                <w:szCs w:val="18"/>
                <w:color w:val="auto"/>
                <w:w w:val="83"/>
              </w:rPr>
              <w:t>542,687</w:t>
            </w:r>
            <w:r>
              <w:rPr>
                <w:rFonts w:ascii="Arial" w:cs="Arial" w:eastAsia="Arial" w:hAnsi="Arial"/>
                <w:sz w:val="29"/>
                <w:szCs w:val="29"/>
                <w:color w:val="auto"/>
                <w:w w:val="83"/>
                <w:vertAlign w:val="superscript"/>
              </w:rPr>
              <w:t>(8)</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220" w:type="dxa"/>
            <w:vAlign w:val="bottom"/>
          </w:tcPr>
          <w:p>
            <w:pPr>
              <w:ind w:left="180"/>
              <w:spacing w:after="0"/>
              <w:rPr>
                <w:sz w:val="20"/>
                <w:szCs w:val="20"/>
                <w:color w:val="auto"/>
              </w:rPr>
            </w:pPr>
            <w:r>
              <w:rPr>
                <w:rFonts w:ascii="Arial" w:cs="Arial" w:eastAsia="Arial" w:hAnsi="Arial"/>
                <w:sz w:val="18"/>
                <w:szCs w:val="18"/>
                <w:color w:val="auto"/>
              </w:rPr>
              <w:t>Change in Control</w:t>
            </w:r>
          </w:p>
        </w:tc>
        <w:tc>
          <w:tcPr>
            <w:tcW w:w="11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5,430,898</w:t>
            </w: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6"/>
              </w:rPr>
              <w:t>Termination By the Company for Cause / By Executive</w:t>
            </w: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without Good Reason</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3"/>
        </w:trPr>
        <w:tc>
          <w:tcPr>
            <w:tcW w:w="4220" w:type="dxa"/>
            <w:vAlign w:val="bottom"/>
          </w:tcPr>
          <w:p>
            <w:pPr>
              <w:spacing w:after="0"/>
              <w:rPr>
                <w:sz w:val="20"/>
                <w:szCs w:val="20"/>
                <w:color w:val="auto"/>
              </w:rPr>
            </w:pPr>
            <w:r>
              <w:rPr>
                <w:rFonts w:ascii="Arial" w:cs="Arial" w:eastAsia="Arial" w:hAnsi="Arial"/>
                <w:sz w:val="18"/>
                <w:szCs w:val="18"/>
                <w:color w:val="auto"/>
                <w:w w:val="96"/>
              </w:rPr>
              <w:t>Change in Control (without termination of employment)</w:t>
            </w:r>
          </w:p>
        </w:tc>
        <w:tc>
          <w:tcPr>
            <w:tcW w:w="18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2,647,811</w:t>
            </w:r>
            <w:r>
              <w:rPr>
                <w:rFonts w:ascii="Arial" w:cs="Arial" w:eastAsia="Arial" w:hAnsi="Arial"/>
                <w:sz w:val="29"/>
                <w:szCs w:val="29"/>
                <w:color w:val="auto"/>
                <w:w w:val="86"/>
                <w:vertAlign w:val="superscript"/>
              </w:rPr>
              <w:t>(6)</w:t>
            </w:r>
          </w:p>
        </w:tc>
        <w:tc>
          <w:tcPr>
            <w:tcW w:w="18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2,647,811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-1449070</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-1449070</wp:posOffset>
            </wp:positionV>
            <wp:extent cx="1200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-1449070</wp:posOffset>
            </wp:positionV>
            <wp:extent cx="1200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-1449070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50800</wp:posOffset>
            </wp:positionV>
            <wp:extent cx="8229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08" w:lineRule="exact"/>
        <w:rPr>
          <w:sz w:val="20"/>
          <w:szCs w:val="20"/>
          <w:color w:val="auto"/>
        </w:rPr>
      </w:pPr>
    </w:p>
    <w:p>
      <w:pPr>
        <w:ind w:left="640" w:right="539" w:hanging="348"/>
        <w:spacing w:after="0" w:line="253"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cash severance payments payable pursuant to the CEO Agreement (including a pro rata bonus based on actual performance). See “Potential Payments Upon Termination or Change in Control” for additional information.</w:t>
      </w:r>
    </w:p>
    <w:p>
      <w:pPr>
        <w:spacing w:after="0" w:line="11" w:lineRule="exact"/>
        <w:rPr>
          <w:rFonts w:ascii="Arial" w:cs="Arial" w:eastAsia="Arial" w:hAnsi="Arial"/>
          <w:sz w:val="14"/>
          <w:szCs w:val="14"/>
          <w:color w:val="auto"/>
        </w:rPr>
      </w:pPr>
    </w:p>
    <w:p>
      <w:pPr>
        <w:ind w:left="640" w:right="479" w:hanging="348"/>
        <w:spacing w:after="0" w:line="233"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continuation of benefits and perquisites pursuant to the CEO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2022 benefits.</w:t>
      </w:r>
    </w:p>
    <w:p>
      <w:pPr>
        <w:spacing w:after="0" w:line="22"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YJ Kim would also receive such benefits upon a termination as a result of his death or disability that occurs in connection with a change in control.</w:t>
      </w:r>
    </w:p>
    <w:p>
      <w:pPr>
        <w:spacing w:after="0" w:line="11" w:lineRule="exact"/>
        <w:rPr>
          <w:rFonts w:ascii="Arial" w:cs="Arial" w:eastAsia="Arial" w:hAnsi="Arial"/>
          <w:sz w:val="14"/>
          <w:szCs w:val="14"/>
          <w:color w:val="auto"/>
        </w:rPr>
      </w:pPr>
    </w:p>
    <w:p>
      <w:pPr>
        <w:ind w:left="640" w:right="319" w:hanging="348"/>
        <w:spacing w:after="0" w:line="228"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value of Mr. YJ Kim’s 2020, 2021 and 2022 TSR PSUs and 2022 Financial PSUs that remain eligible to vest, based on the Continued Service Condition and the assumed termination date. More specifically, he would remain eligible to vest in the full number of his 2020 TSR PSUs, two-thirds of his 2021 TSR PSUs, one-third of his 2022 TSR PSUs and sixty percent of his 2022 Financial PSUs (such percentage including the vesting of the Make-Whole Financial PSUs). This column assumes vesting at the target performance level. On February 24, 2023, the vested quantity of 2022 Financial PSUs and 2020 TSR PSUs granted to Mr. YJ Kim has been confirmed as 0% of the granted quantity. Had this been taken into account, the value would have been $286,883, which is $1,112,152 lower than what is indicated in the table.</w:t>
      </w:r>
    </w:p>
    <w:p>
      <w:pPr>
        <w:spacing w:after="0" w:line="22" w:lineRule="exact"/>
        <w:rPr>
          <w:rFonts w:ascii="Arial" w:cs="Arial" w:eastAsia="Arial" w:hAnsi="Arial"/>
          <w:sz w:val="14"/>
          <w:szCs w:val="14"/>
          <w:color w:val="auto"/>
        </w:rPr>
      </w:pPr>
    </w:p>
    <w:p>
      <w:pPr>
        <w:ind w:left="640" w:right="379" w:hanging="348"/>
        <w:spacing w:after="0" w:line="229"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value of immediate vesting of all RSUs granted after January 1, 2021. Mr. YJ Kim would also vest in his outstanding Financial PSUs and TSR PSUs at the time of the change of control. This column assumes vesting at the target performance level. Mr. YJ Kim would also receive accelerated vesting of his RSUs upon his death or disability that occurs in connection with a change in control. On February 24, 2023, the vested quantity of 2022 Financial PSUs and 2020 TSR PSUs granted to Mr. YJ Kim has been confirmed as 0% of the granted quantity. Had this been taken into account, the value would have been $976,015, which is $1,671,796 lower than what is indicated in the table.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640" w:right="419" w:hanging="348"/>
        <w:spacing w:after="0" w:line="251" w:lineRule="auto"/>
        <w:tabs>
          <w:tab w:leader="none" w:pos="6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Assumes that the Compensation Committee exercised its discretion to fully accelerate all equity awards in connection with the transaction under the 2011 Plan and the 2020 Plan. Represents the value of accelerated vesting of unvested RSUs, Financial PSUs and TSR PSUs (assuming Financial PSUs and TSR PSUs vest at target performance level). On February 24, 2023, the vested quantity of 2022 Financial PSUs and 2020 TSR PSUs granted to Mr. YJ Kim has been confirmed as 0% of the granted quantity. Had this been taken into account, the value would have been $976,015, which is $1,671,796 lower than what is indicated in the table.</w:t>
      </w:r>
    </w:p>
    <w:p>
      <w:pPr>
        <w:spacing w:after="0" w:line="14" w:lineRule="exact"/>
        <w:rPr>
          <w:rFonts w:ascii="Arial" w:cs="Arial" w:eastAsia="Arial" w:hAnsi="Arial"/>
          <w:sz w:val="13"/>
          <w:szCs w:val="13"/>
          <w:color w:val="auto"/>
        </w:rPr>
      </w:pPr>
    </w:p>
    <w:p>
      <w:pPr>
        <w:ind w:left="640" w:right="419" w:hanging="348"/>
        <w:spacing w:after="0" w:line="231"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the following continuation of benefits and perquisites for Mr. YJ Kim: (a) $48,128, which is housing expenses for Mr. YJ Kim’s housing lease; (b) $76,975 for health insurance premiums; (c) $46,675 for repatriation allowance; (d) $28,005 for repatriation expense; (e) $12,684 for living expense, tax consulting fee and car service provided by the Company; (f) $21,228 of reimbursement for the difference between the actual tax and the hypothetical tax he will pay for the applicable fiscal year; and (g) $270,505 for estimated reimbursement of Korean tax.</w:t>
      </w:r>
    </w:p>
    <w:p>
      <w:pPr>
        <w:spacing w:after="0" w:line="21" w:lineRule="exact"/>
        <w:rPr>
          <w:rFonts w:ascii="Arial" w:cs="Arial" w:eastAsia="Arial" w:hAnsi="Arial"/>
          <w:sz w:val="14"/>
          <w:szCs w:val="14"/>
          <w:color w:val="auto"/>
        </w:rPr>
      </w:pPr>
    </w:p>
    <w:p>
      <w:pPr>
        <w:ind w:left="640" w:right="399" w:hanging="348"/>
        <w:spacing w:after="0" w:line="238"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Same as the total amount of Note (7) except this amount includes an additional $38,487 representing the employer cost of insurance premiums for an additional 6 months of insurance coverage. Mr. YJ Kim would also receive such benefits upon a termination as a result of his death or disability that occurs in connection with a change in control.</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Shin Young Park</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Cash</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Value of</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Continuation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8"/>
              </w:rPr>
              <w:t>Equity</w:t>
            </w:r>
          </w:p>
        </w:tc>
        <w:tc>
          <w:tcPr>
            <w:tcW w:w="11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8"/>
              </w:rPr>
              <w:t>of Benefits</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Severance</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Award</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Payment</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(1)</w:t>
            </w:r>
          </w:p>
        </w:tc>
        <w:tc>
          <w:tcPr>
            <w:tcW w:w="2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4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8"/>
              </w:rPr>
              <w:t>Termination By the Company Without Cause / By Executive</w:t>
            </w: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139,366</w:t>
            </w:r>
            <w:r>
              <w:rPr>
                <w:rFonts w:ascii="Arial" w:cs="Arial" w:eastAsia="Arial" w:hAnsi="Arial"/>
                <w:sz w:val="29"/>
                <w:szCs w:val="29"/>
                <w:color w:val="auto"/>
                <w:w w:val="92"/>
                <w:vertAlign w:val="superscript"/>
              </w:rPr>
              <w:t>(2)</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Good Reason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310,000</w:t>
            </w:r>
          </w:p>
        </w:tc>
        <w:tc>
          <w:tcPr>
            <w:tcW w:w="280" w:type="dxa"/>
            <w:vAlign w:val="bottom"/>
            <w:shd w:val="clear" w:color="auto" w:fill="CCEEFF"/>
          </w:tcPr>
          <w:p>
            <w:pPr>
              <w:spacing w:after="0"/>
              <w:rPr>
                <w:sz w:val="24"/>
                <w:szCs w:val="24"/>
                <w:color w:val="auto"/>
              </w:rPr>
            </w:pPr>
          </w:p>
        </w:tc>
        <w:tc>
          <w:tcPr>
            <w:tcW w:w="860" w:type="dxa"/>
            <w:vAlign w:val="bottom"/>
            <w:vMerge w:val="continue"/>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449,366</w:t>
            </w: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0"/>
                <w:szCs w:val="20"/>
                <w:color w:val="auto"/>
              </w:rPr>
            </w:pPr>
            <w:r>
              <w:rPr>
                <w:rFonts w:ascii="Arial" w:cs="Arial" w:eastAsia="Arial" w:hAnsi="Arial"/>
                <w:sz w:val="18"/>
                <w:szCs w:val="18"/>
                <w:color w:val="auto"/>
                <w:w w:val="98"/>
              </w:rPr>
              <w:t>Termination By the Company Without Cause / By Executive</w:t>
            </w: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2"/>
              </w:rPr>
              <w:t>354,482</w:t>
            </w:r>
            <w:r>
              <w:rPr>
                <w:rFonts w:ascii="Arial" w:cs="Arial" w:eastAsia="Arial" w:hAnsi="Arial"/>
                <w:sz w:val="29"/>
                <w:szCs w:val="29"/>
                <w:color w:val="auto"/>
                <w:w w:val="92"/>
                <w:vertAlign w:val="superscript"/>
              </w:rPr>
              <w:t>(3)</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680" w:type="dxa"/>
            <w:vAlign w:val="bottom"/>
          </w:tcPr>
          <w:p>
            <w:pPr>
              <w:ind w:left="180"/>
              <w:spacing w:after="0"/>
              <w:rPr>
                <w:sz w:val="20"/>
                <w:szCs w:val="20"/>
                <w:color w:val="auto"/>
              </w:rPr>
            </w:pPr>
            <w:r>
              <w:rPr>
                <w:rFonts w:ascii="Arial" w:cs="Arial" w:eastAsia="Arial" w:hAnsi="Arial"/>
                <w:sz w:val="18"/>
                <w:szCs w:val="18"/>
                <w:color w:val="auto"/>
                <w:w w:val="96"/>
              </w:rPr>
              <w:t>for Good Reason, In Connection With a Change in Control</w:t>
            </w: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465,000</w:t>
            </w:r>
          </w:p>
        </w:tc>
        <w:tc>
          <w:tcPr>
            <w:tcW w:w="2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819,482</w:t>
            </w:r>
          </w:p>
        </w:tc>
        <w:tc>
          <w:tcPr>
            <w:tcW w:w="0" w:type="dxa"/>
            <w:vAlign w:val="bottom"/>
          </w:tcPr>
          <w:p>
            <w:pPr>
              <w:spacing w:after="0"/>
              <w:rPr>
                <w:sz w:val="1"/>
                <w:szCs w:val="1"/>
                <w:color w:val="auto"/>
              </w:rPr>
            </w:pPr>
          </w:p>
        </w:tc>
      </w:tr>
      <w:tr>
        <w:trPr>
          <w:trHeight w:val="25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Termination By the Company for Cause / By Executive</w:t>
            </w:r>
          </w:p>
        </w:tc>
        <w:tc>
          <w:tcPr>
            <w:tcW w:w="6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without Good Reason / Disability / Death</w:t>
            </w:r>
          </w:p>
        </w:tc>
        <w:tc>
          <w:tcPr>
            <w:tcW w:w="9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3"/>
        </w:trPr>
        <w:tc>
          <w:tcPr>
            <w:tcW w:w="4680" w:type="dxa"/>
            <w:vAlign w:val="bottom"/>
          </w:tcPr>
          <w:p>
            <w:pPr>
              <w:spacing w:after="0"/>
              <w:rPr>
                <w:sz w:val="20"/>
                <w:szCs w:val="20"/>
                <w:color w:val="auto"/>
              </w:rPr>
            </w:pPr>
            <w:r>
              <w:rPr>
                <w:rFonts w:ascii="Arial" w:cs="Arial" w:eastAsia="Arial" w:hAnsi="Arial"/>
                <w:sz w:val="18"/>
                <w:szCs w:val="18"/>
                <w:color w:val="auto"/>
              </w:rPr>
              <w:t>Change in Control (without termination of employment)</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2"/>
              </w:rPr>
              <w:t>385,779</w:t>
            </w:r>
            <w:r>
              <w:rPr>
                <w:rFonts w:ascii="Arial" w:cs="Arial" w:eastAsia="Arial" w:hAnsi="Arial"/>
                <w:sz w:val="29"/>
                <w:szCs w:val="29"/>
                <w:color w:val="auto"/>
                <w:w w:val="92"/>
                <w:vertAlign w:val="superscript"/>
              </w:rPr>
              <w:t>(4)</w:t>
            </w:r>
          </w:p>
        </w:tc>
        <w:tc>
          <w:tcPr>
            <w:tcW w:w="26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385,779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-1311910</wp:posOffset>
            </wp:positionV>
            <wp:extent cx="1714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-1311910</wp:posOffset>
            </wp:positionV>
            <wp:extent cx="1714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-1311910</wp:posOffset>
            </wp:positionV>
            <wp:extent cx="1714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-1311910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3" w:lineRule="exact"/>
        <w:rPr>
          <w:sz w:val="20"/>
          <w:szCs w:val="20"/>
          <w:color w:val="auto"/>
        </w:rPr>
      </w:pPr>
    </w:p>
    <w:p>
      <w:pPr>
        <w:ind w:left="640" w:right="399" w:hanging="348"/>
        <w:spacing w:after="0" w:line="253"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cash severance payments payable pursuant to the Executive Service Agreement. See “Potential Payments Upon Termination or Change in Control” for additional information.</w:t>
      </w:r>
    </w:p>
    <w:p>
      <w:pPr>
        <w:spacing w:after="0" w:line="11" w:lineRule="exact"/>
        <w:rPr>
          <w:rFonts w:ascii="Arial" w:cs="Arial" w:eastAsia="Arial" w:hAnsi="Arial"/>
          <w:sz w:val="14"/>
          <w:szCs w:val="14"/>
          <w:color w:val="auto"/>
        </w:rPr>
      </w:pPr>
    </w:p>
    <w:p>
      <w:pPr>
        <w:ind w:left="640" w:right="379" w:hanging="348"/>
        <w:spacing w:after="0" w:line="228"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value of Ms. SY Park’s 2020, 2021 and 2022 TSR PSUs and 2022 Financial PSUs that remain eligible to vest, based on the Continued Service Condition and the assumed termination date. More specifically, she would remain eligible to vest in the full number of her 2020 TSR PSUs, two-thirds of her 2021 TSR PSUs, one-third of her 2022 TSR PSUs and sixty percent of her 2022 Financial PSUs (such percentage including the vesting of the Make-Whole Financial PSUs). This column assumes vesting at the target performance level. On February 24, 2023, the vested quantity of 2022 Financial PSUs and 2020 TSR PSUs granted to Ms. SY Park has been confirmed as 0% of the granted quantity. Had this been taken into account, the value would have been $26,686, which is $112,680 lower than what is indicated in the table.</w:t>
      </w:r>
    </w:p>
    <w:p>
      <w:pPr>
        <w:spacing w:after="0" w:line="22" w:lineRule="exact"/>
        <w:rPr>
          <w:rFonts w:ascii="Arial" w:cs="Arial" w:eastAsia="Arial" w:hAnsi="Arial"/>
          <w:sz w:val="14"/>
          <w:szCs w:val="14"/>
          <w:color w:val="auto"/>
        </w:rPr>
      </w:pPr>
    </w:p>
    <w:p>
      <w:pPr>
        <w:ind w:left="640" w:right="319" w:hanging="348"/>
        <w:spacing w:after="0" w:line="231"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value of immediate vesting of all RSUs granted on or after January 1, 2021. Ms. SY Park would also vest in her outstanding Financial PSUs and TSR PSUs at the time of the change of control. This column assumes vesting at the target performance level. On February 24, 2023, the vested quantity of 2022 Financial PSUs and 2020 TSR PSUs granted to Ms. SY Park has been confirmed as 0% of the granted quantity. Had this been taken into account, the value would have been $176,072, which is $178,410 lower than what is indicated in the table.</w:t>
      </w:r>
    </w:p>
    <w:p>
      <w:pPr>
        <w:spacing w:after="0" w:line="21" w:lineRule="exact"/>
        <w:rPr>
          <w:rFonts w:ascii="Arial" w:cs="Arial" w:eastAsia="Arial" w:hAnsi="Arial"/>
          <w:sz w:val="14"/>
          <w:szCs w:val="14"/>
          <w:color w:val="auto"/>
        </w:rPr>
      </w:pPr>
    </w:p>
    <w:p>
      <w:pPr>
        <w:ind w:left="640" w:right="359" w:hanging="348"/>
        <w:spacing w:after="0" w:line="251" w:lineRule="auto"/>
        <w:tabs>
          <w:tab w:leader="none" w:pos="6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Assumes that the Compensation Committee exercised its discretion to fully accelerate all equity awards in connection with the transaction under the 2011 Plan and the 2020 Plan. Represents the value of accelerated vesting of unvested RSUs , Financial PSUs and TSR PSUs (assuming Financial PSUs and TSR PSUs vest at target performance level). On February 24, 2023, the vested quantity of 2022 Financial PSUs and 2020 TSR PSUs granted to Ms. SY Park has been confirmed as 0% of the granted quantity. Had this been taken into account, the value would have been $207,369, which is $178,410 lower than what is indicated in the table.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Theodore Kim</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Cash</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Value of</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Continuation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Equity</w:t>
            </w: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of Benefits</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Severance</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Award</w:t>
            </w:r>
          </w:p>
        </w:tc>
        <w:tc>
          <w:tcPr>
            <w:tcW w:w="10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and</w:t>
            </w:r>
          </w:p>
        </w:tc>
        <w:tc>
          <w:tcPr>
            <w:tcW w:w="7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Payment</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Perquisites</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2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7"/>
              </w:rPr>
              <w:t>Termination By the Company Without Cause / By Executive</w:t>
            </w: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285,278</w:t>
            </w:r>
            <w:r>
              <w:rPr>
                <w:rFonts w:ascii="Arial" w:cs="Arial" w:eastAsia="Arial" w:hAnsi="Arial"/>
                <w:sz w:val="29"/>
                <w:szCs w:val="29"/>
                <w:color w:val="auto"/>
                <w:w w:val="92"/>
                <w:vertAlign w:val="superscript"/>
              </w:rPr>
              <w:t>(3)</w:t>
            </w:r>
          </w:p>
        </w:tc>
        <w:tc>
          <w:tcPr>
            <w:tcW w:w="220" w:type="dxa"/>
            <w:vAlign w:val="bottom"/>
            <w:shd w:val="clear" w:color="auto" w:fill="CCEEFF"/>
          </w:tcPr>
          <w:p>
            <w:pPr>
              <w:spacing w:after="0"/>
              <w:rPr>
                <w:sz w:val="21"/>
                <w:szCs w:val="21"/>
                <w:color w:val="auto"/>
              </w:rPr>
            </w:pPr>
          </w:p>
        </w:tc>
        <w:tc>
          <w:tcPr>
            <w:tcW w:w="8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85"/>
              </w:rPr>
              <w:t>277,391</w:t>
            </w:r>
            <w:r>
              <w:rPr>
                <w:rFonts w:ascii="Arial" w:cs="Arial" w:eastAsia="Arial" w:hAnsi="Arial"/>
                <w:sz w:val="29"/>
                <w:szCs w:val="29"/>
                <w:color w:val="auto"/>
                <w:w w:val="85"/>
                <w:vertAlign w:val="superscript"/>
              </w:rPr>
              <w:t>(6)</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Good Reason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350,000</w:t>
            </w:r>
          </w:p>
        </w:tc>
        <w:tc>
          <w:tcPr>
            <w:tcW w:w="220" w:type="dxa"/>
            <w:vAlign w:val="bottom"/>
            <w:shd w:val="clear" w:color="auto" w:fill="CCEEFF"/>
          </w:tcPr>
          <w:p>
            <w:pPr>
              <w:spacing w:after="0"/>
              <w:rPr>
                <w:sz w:val="24"/>
                <w:szCs w:val="24"/>
                <w:color w:val="auto"/>
              </w:rPr>
            </w:pPr>
          </w:p>
        </w:tc>
        <w:tc>
          <w:tcPr>
            <w:tcW w:w="860" w:type="dxa"/>
            <w:vAlign w:val="bottom"/>
            <w:vMerge w:val="continue"/>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vMerge w:val="continue"/>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912,669</w:t>
            </w:r>
          </w:p>
        </w:tc>
        <w:tc>
          <w:tcPr>
            <w:tcW w:w="0" w:type="dxa"/>
            <w:vAlign w:val="bottom"/>
          </w:tcPr>
          <w:p>
            <w:pPr>
              <w:spacing w:after="0"/>
              <w:rPr>
                <w:sz w:val="1"/>
                <w:szCs w:val="1"/>
                <w:color w:val="auto"/>
              </w:rPr>
            </w:pPr>
          </w:p>
        </w:tc>
      </w:tr>
      <w:tr>
        <w:trPr>
          <w:trHeight w:val="256"/>
        </w:trPr>
        <w:tc>
          <w:tcPr>
            <w:tcW w:w="4660" w:type="dxa"/>
            <w:vAlign w:val="bottom"/>
          </w:tcPr>
          <w:p>
            <w:pPr>
              <w:spacing w:after="0"/>
              <w:rPr>
                <w:sz w:val="20"/>
                <w:szCs w:val="20"/>
                <w:color w:val="auto"/>
              </w:rPr>
            </w:pPr>
            <w:r>
              <w:rPr>
                <w:rFonts w:ascii="Arial" w:cs="Arial" w:eastAsia="Arial" w:hAnsi="Arial"/>
                <w:sz w:val="18"/>
                <w:szCs w:val="18"/>
                <w:color w:val="auto"/>
                <w:w w:val="97"/>
              </w:rPr>
              <w:t>Termination By the Company Without Cause / By Executive</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2"/>
              </w:rPr>
              <w:t>687,132</w:t>
            </w:r>
            <w:r>
              <w:rPr>
                <w:rFonts w:ascii="Arial" w:cs="Arial" w:eastAsia="Arial" w:hAnsi="Arial"/>
                <w:sz w:val="29"/>
                <w:szCs w:val="29"/>
                <w:color w:val="auto"/>
                <w:w w:val="92"/>
                <w:vertAlign w:val="superscript"/>
              </w:rPr>
              <w:t>(4)</w:t>
            </w:r>
          </w:p>
        </w:tc>
        <w:tc>
          <w:tcPr>
            <w:tcW w:w="220" w:type="dxa"/>
            <w:vAlign w:val="bottom"/>
          </w:tcPr>
          <w:p>
            <w:pPr>
              <w:spacing w:after="0"/>
              <w:rPr>
                <w:sz w:val="22"/>
                <w:szCs w:val="22"/>
                <w:color w:val="auto"/>
              </w:rPr>
            </w:pPr>
          </w:p>
        </w:tc>
        <w:tc>
          <w:tcPr>
            <w:tcW w:w="880" w:type="dxa"/>
            <w:vAlign w:val="bottom"/>
            <w:vMerge w:val="restart"/>
          </w:tcPr>
          <w:p>
            <w:pPr>
              <w:ind w:left="100"/>
              <w:spacing w:after="0"/>
              <w:rPr>
                <w:sz w:val="20"/>
                <w:szCs w:val="20"/>
                <w:color w:val="auto"/>
              </w:rPr>
            </w:pPr>
            <w:r>
              <w:rPr>
                <w:rFonts w:ascii="Arial" w:cs="Arial" w:eastAsia="Arial" w:hAnsi="Arial"/>
                <w:sz w:val="18"/>
                <w:szCs w:val="18"/>
                <w:color w:val="auto"/>
                <w:w w:val="85"/>
              </w:rPr>
              <w:t>277,391</w:t>
            </w:r>
            <w:r>
              <w:rPr>
                <w:rFonts w:ascii="Arial" w:cs="Arial" w:eastAsia="Arial" w:hAnsi="Arial"/>
                <w:sz w:val="29"/>
                <w:szCs w:val="29"/>
                <w:color w:val="auto"/>
                <w:w w:val="85"/>
                <w:vertAlign w:val="superscript"/>
              </w:rPr>
              <w:t>(6)</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660" w:type="dxa"/>
            <w:vAlign w:val="bottom"/>
          </w:tcPr>
          <w:p>
            <w:pPr>
              <w:ind w:left="180"/>
              <w:spacing w:after="0"/>
              <w:rPr>
                <w:sz w:val="20"/>
                <w:szCs w:val="20"/>
                <w:color w:val="auto"/>
              </w:rPr>
            </w:pPr>
            <w:r>
              <w:rPr>
                <w:rFonts w:ascii="Arial" w:cs="Arial" w:eastAsia="Arial" w:hAnsi="Arial"/>
                <w:sz w:val="18"/>
                <w:szCs w:val="18"/>
                <w:color w:val="auto"/>
                <w:w w:val="96"/>
              </w:rPr>
              <w:t>for Good Reason, In Connection With a Change in Control</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700,000</w:t>
            </w:r>
          </w:p>
        </w:tc>
        <w:tc>
          <w:tcPr>
            <w:tcW w:w="2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1,664,523</w:t>
            </w:r>
          </w:p>
        </w:tc>
        <w:tc>
          <w:tcPr>
            <w:tcW w:w="0" w:type="dxa"/>
            <w:vAlign w:val="bottom"/>
          </w:tcPr>
          <w:p>
            <w:pPr>
              <w:spacing w:after="0"/>
              <w:rPr>
                <w:sz w:val="1"/>
                <w:szCs w:val="1"/>
                <w:color w:val="auto"/>
              </w:rPr>
            </w:pPr>
          </w:p>
        </w:tc>
      </w:tr>
      <w:tr>
        <w:trPr>
          <w:trHeight w:val="25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Termination By the Company for Cause / By Executive</w:t>
            </w: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without Good Reason / Disability / Death</w:t>
            </w:r>
          </w:p>
        </w:tc>
        <w:tc>
          <w:tcPr>
            <w:tcW w:w="8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4660" w:type="dxa"/>
            <w:vAlign w:val="bottom"/>
          </w:tcPr>
          <w:p>
            <w:pPr>
              <w:spacing w:after="0"/>
              <w:rPr>
                <w:sz w:val="20"/>
                <w:szCs w:val="20"/>
                <w:color w:val="auto"/>
              </w:rPr>
            </w:pPr>
            <w:r>
              <w:rPr>
                <w:rFonts w:ascii="Arial" w:cs="Arial" w:eastAsia="Arial" w:hAnsi="Arial"/>
                <w:sz w:val="18"/>
                <w:szCs w:val="18"/>
                <w:color w:val="auto"/>
              </w:rPr>
              <w:t>Change in Control (without termination of employment)</w:t>
            </w: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2"/>
              </w:rPr>
              <w:t>687,132</w:t>
            </w:r>
            <w:r>
              <w:rPr>
                <w:rFonts w:ascii="Arial" w:cs="Arial" w:eastAsia="Arial" w:hAnsi="Arial"/>
                <w:sz w:val="29"/>
                <w:szCs w:val="29"/>
                <w:color w:val="auto"/>
                <w:w w:val="92"/>
                <w:vertAlign w:val="superscript"/>
              </w:rPr>
              <w:t>(5)</w:t>
            </w:r>
          </w:p>
        </w:tc>
        <w:tc>
          <w:tcPr>
            <w:tcW w:w="2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687,132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-1311910</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-1311910</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-1311910</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-1311910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67945</wp:posOffset>
            </wp:positionV>
            <wp:extent cx="8229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35" w:lineRule="exact"/>
        <w:rPr>
          <w:sz w:val="20"/>
          <w:szCs w:val="20"/>
          <w:color w:val="auto"/>
        </w:rPr>
      </w:pPr>
    </w:p>
    <w:p>
      <w:pPr>
        <w:ind w:left="640" w:right="779" w:hanging="348"/>
        <w:spacing w:after="0" w:line="253"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cash severance payments payable pursuant to the applicable Other Executive Agreement. See “Potential Payments Upon Termination or Change in Control” for additional information.</w:t>
      </w:r>
    </w:p>
    <w:p>
      <w:pPr>
        <w:spacing w:after="0" w:line="11" w:lineRule="exact"/>
        <w:rPr>
          <w:rFonts w:ascii="Arial" w:cs="Arial" w:eastAsia="Arial" w:hAnsi="Arial"/>
          <w:sz w:val="14"/>
          <w:szCs w:val="14"/>
          <w:color w:val="auto"/>
        </w:rPr>
      </w:pPr>
    </w:p>
    <w:p>
      <w:pPr>
        <w:ind w:left="640" w:right="479" w:hanging="348"/>
        <w:spacing w:after="0" w:line="233"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continuation of benefits and perquisites pursuant to the applicable Other Executive Agreements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2022 benefits.</w:t>
      </w:r>
    </w:p>
    <w:p>
      <w:pPr>
        <w:spacing w:after="0" w:line="22" w:lineRule="exact"/>
        <w:rPr>
          <w:rFonts w:ascii="Arial" w:cs="Arial" w:eastAsia="Arial" w:hAnsi="Arial"/>
          <w:sz w:val="14"/>
          <w:szCs w:val="14"/>
          <w:color w:val="auto"/>
        </w:rPr>
      </w:pPr>
    </w:p>
    <w:p>
      <w:pPr>
        <w:ind w:left="640" w:right="319" w:hanging="348"/>
        <w:spacing w:after="0" w:line="228"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value of Mr. T. Kim’s 2020, 2021 and 2022 TSR PSUs and 2022 Financial PSUs that remain eligible to vest, based on the Continued Service Condition and the assumed termination date. More specifically, he would remain eligible to vest in the full number of his 2020 TSR PSUs, two-thirds of his 2021 TSR PSUs, one-third of his 2022 TSR PSUs and sixty percent of his 2022 Financial PSUs (such percentage including the vesting of the Make-Whole Financial PSUs). This column assumes vesting at the target performance level. On February 24, 2023, the vested quantity of 2022 Financial PSUs and 2020 TSR PSUs granted to Mr. T. Kim has been confirmed as 0% of the granted quantity. Had this been taken into account, the value would have been $64,425, which is $220,853 lower than what is indicated in the table.</w:t>
      </w:r>
    </w:p>
    <w:p>
      <w:pPr>
        <w:spacing w:after="0" w:line="22" w:lineRule="exact"/>
        <w:rPr>
          <w:rFonts w:ascii="Arial" w:cs="Arial" w:eastAsia="Arial" w:hAnsi="Arial"/>
          <w:sz w:val="14"/>
          <w:szCs w:val="14"/>
          <w:color w:val="auto"/>
        </w:rPr>
      </w:pPr>
    </w:p>
    <w:p>
      <w:pPr>
        <w:ind w:left="640" w:right="319" w:hanging="348"/>
        <w:spacing w:after="0" w:line="231"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value of immediate vesting of all RSUs granted after January 1, 2021. Mr. T. Kim would also vest in his outstanding Financial PSUs and TSR PSUs at the time of the change of control. This column assumes vesting at the target performance level. On February 24, 2023, the vested quantity of 2022 Financial PSUs and 2020 TSR PSUs granted to Mr. T. Kim has been confirmed as 0% of the granted quantity. Had this been taken into account, the value would have been $356,604, which is $330,528 lower than what is indicated in the table.</w:t>
      </w:r>
    </w:p>
    <w:p>
      <w:pPr>
        <w:spacing w:after="0" w:line="21" w:lineRule="exact"/>
        <w:rPr>
          <w:rFonts w:ascii="Arial" w:cs="Arial" w:eastAsia="Arial" w:hAnsi="Arial"/>
          <w:sz w:val="14"/>
          <w:szCs w:val="14"/>
          <w:color w:val="auto"/>
        </w:rPr>
      </w:pPr>
    </w:p>
    <w:p>
      <w:pPr>
        <w:ind w:left="640" w:right="319" w:hanging="348"/>
        <w:spacing w:after="0" w:line="251" w:lineRule="auto"/>
        <w:tabs>
          <w:tab w:leader="none" w:pos="6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Assumes that the Compensation Committee exercised its discretion to fully accelerate all equity awards in connection with the transaction under the 2011 Plan and the 2020 Plan. Represents the value of accelerated vesting of unvested RSUs, Financial PSUs and PSUs (assuming Financial PSUs and TSR PSUs vest at target performance level). On February 24, 2023, the vested quantity of 2022 Financial PSUs and 2020 TSR PSUs granted to Mr. T. Kim has been confirmed as 0% of the granted quantity. Had this been taken into account, the value would have been $356,604, which is $330,528 lower than what is indicated in the table.</w:t>
      </w:r>
    </w:p>
    <w:p>
      <w:pPr>
        <w:spacing w:after="0" w:line="14" w:lineRule="exact"/>
        <w:rPr>
          <w:rFonts w:ascii="Arial" w:cs="Arial" w:eastAsia="Arial" w:hAnsi="Arial"/>
          <w:sz w:val="13"/>
          <w:szCs w:val="13"/>
          <w:color w:val="auto"/>
        </w:rPr>
      </w:pPr>
    </w:p>
    <w:p>
      <w:pPr>
        <w:ind w:left="640" w:right="299" w:hanging="348"/>
        <w:spacing w:after="0" w:line="251" w:lineRule="auto"/>
        <w:tabs>
          <w:tab w:leader="none" w:pos="6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the following continuation of benefits and perquisites for Mr. T. Kim: (a) $13,568 for housing expenses for Mr. T. Kim’s housing lease; (b) $5,688 for Mr. T. Kim’s home leave flights; (c) $54,559 for health insurance premiums; (d) $29,167 for repatriation allowance; (e) $50,000 for repatriation expense; (f) $5,335 for other personal benefits (including personal use of a car service provided by the Company, living expenses and tax consulting fee); (g) $11,428 of estimated reimbursement for the difference between the actual tax and the hypothetical tax he will pay for the applicable fiscal year; and (h) $107,646 for estimated reimbursement of Korean tax.</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Woung Moo Lee</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Cash</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Value of</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Continuation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8"/>
              </w:rPr>
              <w:t>Equity</w:t>
            </w:r>
          </w:p>
        </w:tc>
        <w:tc>
          <w:tcPr>
            <w:tcW w:w="11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8"/>
              </w:rPr>
              <w:t>of Benefits</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Severance</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Award</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Payment</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2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4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8"/>
              </w:rPr>
              <w:t>Termination By the Company Without Cause / By Executive</w:t>
            </w: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159,611</w:t>
            </w:r>
            <w:r>
              <w:rPr>
                <w:rFonts w:ascii="Arial" w:cs="Arial" w:eastAsia="Arial" w:hAnsi="Arial"/>
                <w:sz w:val="29"/>
                <w:szCs w:val="29"/>
                <w:color w:val="auto"/>
                <w:w w:val="92"/>
                <w:vertAlign w:val="superscript"/>
              </w:rPr>
              <w:t>(2)</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Good Reason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275,633</w:t>
            </w:r>
          </w:p>
        </w:tc>
        <w:tc>
          <w:tcPr>
            <w:tcW w:w="280" w:type="dxa"/>
            <w:vAlign w:val="bottom"/>
            <w:shd w:val="clear" w:color="auto" w:fill="CCEEFF"/>
          </w:tcPr>
          <w:p>
            <w:pPr>
              <w:spacing w:after="0"/>
              <w:rPr>
                <w:sz w:val="24"/>
                <w:szCs w:val="24"/>
                <w:color w:val="auto"/>
              </w:rPr>
            </w:pPr>
          </w:p>
        </w:tc>
        <w:tc>
          <w:tcPr>
            <w:tcW w:w="860" w:type="dxa"/>
            <w:vAlign w:val="bottom"/>
            <w:vMerge w:val="continue"/>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435,244</w:t>
            </w: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0"/>
                <w:szCs w:val="20"/>
                <w:color w:val="auto"/>
              </w:rPr>
            </w:pPr>
            <w:r>
              <w:rPr>
                <w:rFonts w:ascii="Arial" w:cs="Arial" w:eastAsia="Arial" w:hAnsi="Arial"/>
                <w:sz w:val="18"/>
                <w:szCs w:val="18"/>
                <w:color w:val="auto"/>
                <w:w w:val="98"/>
              </w:rPr>
              <w:t>Termination By the Company Without Cause / By Executive</w:t>
            </w: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2"/>
              </w:rPr>
              <w:t>354,482</w:t>
            </w:r>
            <w:r>
              <w:rPr>
                <w:rFonts w:ascii="Arial" w:cs="Arial" w:eastAsia="Arial" w:hAnsi="Arial"/>
                <w:sz w:val="29"/>
                <w:szCs w:val="29"/>
                <w:color w:val="auto"/>
                <w:w w:val="92"/>
                <w:vertAlign w:val="superscript"/>
              </w:rPr>
              <w:t>(3)</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680" w:type="dxa"/>
            <w:vAlign w:val="bottom"/>
          </w:tcPr>
          <w:p>
            <w:pPr>
              <w:ind w:left="180"/>
              <w:spacing w:after="0"/>
              <w:rPr>
                <w:sz w:val="20"/>
                <w:szCs w:val="20"/>
                <w:color w:val="auto"/>
              </w:rPr>
            </w:pPr>
            <w:r>
              <w:rPr>
                <w:rFonts w:ascii="Arial" w:cs="Arial" w:eastAsia="Arial" w:hAnsi="Arial"/>
                <w:sz w:val="18"/>
                <w:szCs w:val="18"/>
                <w:color w:val="auto"/>
                <w:w w:val="96"/>
              </w:rPr>
              <w:t>for Good Reason, In Connection With a Change in Control</w:t>
            </w: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413,449</w:t>
            </w:r>
          </w:p>
        </w:tc>
        <w:tc>
          <w:tcPr>
            <w:tcW w:w="2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767,931</w:t>
            </w:r>
          </w:p>
        </w:tc>
        <w:tc>
          <w:tcPr>
            <w:tcW w:w="0" w:type="dxa"/>
            <w:vAlign w:val="bottom"/>
          </w:tcPr>
          <w:p>
            <w:pPr>
              <w:spacing w:after="0"/>
              <w:rPr>
                <w:sz w:val="1"/>
                <w:szCs w:val="1"/>
                <w:color w:val="auto"/>
              </w:rPr>
            </w:pPr>
          </w:p>
        </w:tc>
      </w:tr>
      <w:tr>
        <w:trPr>
          <w:trHeight w:val="25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Termination By the Company for Cause / By Executive</w:t>
            </w:r>
          </w:p>
        </w:tc>
        <w:tc>
          <w:tcPr>
            <w:tcW w:w="6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without Good Reason / Disability / Death</w:t>
            </w:r>
          </w:p>
        </w:tc>
        <w:tc>
          <w:tcPr>
            <w:tcW w:w="9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3"/>
        </w:trPr>
        <w:tc>
          <w:tcPr>
            <w:tcW w:w="4680" w:type="dxa"/>
            <w:vAlign w:val="bottom"/>
          </w:tcPr>
          <w:p>
            <w:pPr>
              <w:spacing w:after="0"/>
              <w:rPr>
                <w:sz w:val="20"/>
                <w:szCs w:val="20"/>
                <w:color w:val="auto"/>
              </w:rPr>
            </w:pPr>
            <w:r>
              <w:rPr>
                <w:rFonts w:ascii="Arial" w:cs="Arial" w:eastAsia="Arial" w:hAnsi="Arial"/>
                <w:sz w:val="18"/>
                <w:szCs w:val="18"/>
                <w:color w:val="auto"/>
              </w:rPr>
              <w:t>Change in Control (without termination of employment)</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2"/>
              </w:rPr>
              <w:t>354,482</w:t>
            </w:r>
            <w:r>
              <w:rPr>
                <w:rFonts w:ascii="Arial" w:cs="Arial" w:eastAsia="Arial" w:hAnsi="Arial"/>
                <w:sz w:val="29"/>
                <w:szCs w:val="29"/>
                <w:color w:val="auto"/>
                <w:w w:val="92"/>
                <w:vertAlign w:val="superscript"/>
              </w:rPr>
              <w:t>(4)</w:t>
            </w:r>
          </w:p>
        </w:tc>
        <w:tc>
          <w:tcPr>
            <w:tcW w:w="26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354,482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-1311910</wp:posOffset>
            </wp:positionV>
            <wp:extent cx="1714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-1311910</wp:posOffset>
            </wp:positionV>
            <wp:extent cx="1714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-1311910</wp:posOffset>
            </wp:positionV>
            <wp:extent cx="1714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-1311910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59055</wp:posOffset>
            </wp:positionV>
            <wp:extent cx="8229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22" w:lineRule="exact"/>
        <w:rPr>
          <w:sz w:val="20"/>
          <w:szCs w:val="20"/>
          <w:color w:val="auto"/>
        </w:rPr>
      </w:pPr>
    </w:p>
    <w:p>
      <w:pPr>
        <w:ind w:left="640" w:right="779" w:hanging="348"/>
        <w:spacing w:after="0" w:line="253"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cash severance payments payable pursuant to the applicable Other Executive Agreement. See “Potential Payments Upon Termination or Change in Control” for additional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640" w:right="319" w:hanging="348"/>
        <w:spacing w:after="0" w:line="228" w:lineRule="auto"/>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value of Mr. WM Lee’s 2020, 2021 and 2022 TSR PSUs and 2022 Financial PSUs that remain eligible to vest, based on the Continued Service Condition and the assumed termination date. More specifically, he would remain eligible to vest in the full number of his 2020 TSR PSUs, two-thirds of his 2021 TSR PSUs, one-third of his 2022 TSR PSUs and sixty percent of his 2022 Financial PSUs (such percentage including the vesting of the Make-Whole Financial PSUs). This column assumes vesting at the target performance level. On February 24, 2023, the vested quantity of 2022 Financial PSUs and 2020 TSR PSUs granted to Mr. WM Lee has been confirmed as 0% of the granted quantity. Had this been taken into account, the value would have been $33,100, which is $126,511 lower than what is indicated in the table.</w:t>
      </w:r>
    </w:p>
    <w:p>
      <w:pPr>
        <w:spacing w:after="0" w:line="22" w:lineRule="exact"/>
        <w:rPr>
          <w:rFonts w:ascii="Arial" w:cs="Arial" w:eastAsia="Arial" w:hAnsi="Arial"/>
          <w:sz w:val="14"/>
          <w:szCs w:val="14"/>
          <w:color w:val="auto"/>
        </w:rPr>
      </w:pPr>
    </w:p>
    <w:p>
      <w:pPr>
        <w:jc w:val="both"/>
        <w:ind w:left="640" w:right="439" w:hanging="348"/>
        <w:spacing w:after="0" w:line="255" w:lineRule="auto"/>
        <w:tabs>
          <w:tab w:leader="none" w:pos="6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Represents the value of all RSUs granted after January 1, 2021. Mr. WM Lee would also vest in his outstanding Financial PSUs and TSR PSUs at the time of the change of control. This column assumes vesting at the target performance level. On February 24, 2023, the vested quantity of 2022 Financial PSUs and 2020 TSR PSUs granted to Mr. WM Lee has been confirmed as 0% of the granted quantity. Had this been taken into account, the value would have been $176,494, which is $177,988 lower than what is indicated in the table.</w:t>
      </w:r>
    </w:p>
    <w:p>
      <w:pPr>
        <w:spacing w:after="0" w:line="12" w:lineRule="exact"/>
        <w:rPr>
          <w:rFonts w:ascii="Arial" w:cs="Arial" w:eastAsia="Arial" w:hAnsi="Arial"/>
          <w:sz w:val="13"/>
          <w:szCs w:val="13"/>
          <w:color w:val="auto"/>
        </w:rPr>
      </w:pPr>
    </w:p>
    <w:p>
      <w:pPr>
        <w:ind w:left="640" w:right="359" w:hanging="348"/>
        <w:spacing w:after="0" w:line="251" w:lineRule="auto"/>
        <w:tabs>
          <w:tab w:leader="none" w:pos="6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Assumes that the Compensation Committee exercised its discretion to fully accelerate all equity awards in connection with the transaction under the 2011 Plan and the 2020 Plan. Represents the value of accelerated vesting of unvested RSUs, Financial PSUs and TSR PSUs (assuming Financial PSUs and TSR PSUs vest at target performance level). On February 24, 2023, the vested quantity of 2022 Financial PSUs and 2020 TSR PSUs granted to Mr. WM Lee has been confirmed as 0% of the granted quantity. Had this been taken into account, the value would have been $176,494, which is $177,988 lower than what is indicated in the table.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 Ho Park</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Cash</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Value of</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Continuation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8"/>
              </w:rPr>
              <w:t>Equity</w:t>
            </w:r>
          </w:p>
        </w:tc>
        <w:tc>
          <w:tcPr>
            <w:tcW w:w="11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8"/>
              </w:rPr>
              <w:t>of Benefits</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Severance</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Award</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Payment</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2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4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8"/>
              </w:rPr>
              <w:t>Termination By the Company Without Cause / By Executive</w:t>
            </w: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85"/>
              </w:rPr>
              <w:t>111,976</w:t>
            </w:r>
            <w:r>
              <w:rPr>
                <w:rFonts w:ascii="Arial" w:cs="Arial" w:eastAsia="Arial" w:hAnsi="Arial"/>
                <w:sz w:val="29"/>
                <w:szCs w:val="29"/>
                <w:color w:val="auto"/>
                <w:w w:val="85"/>
                <w:vertAlign w:val="superscript"/>
              </w:rPr>
              <w:t>(2)</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Good Reason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168,300</w:t>
            </w:r>
          </w:p>
        </w:tc>
        <w:tc>
          <w:tcPr>
            <w:tcW w:w="280" w:type="dxa"/>
            <w:vAlign w:val="bottom"/>
            <w:shd w:val="clear" w:color="auto" w:fill="CCEEFF"/>
          </w:tcPr>
          <w:p>
            <w:pPr>
              <w:spacing w:after="0"/>
              <w:rPr>
                <w:sz w:val="24"/>
                <w:szCs w:val="24"/>
                <w:color w:val="auto"/>
              </w:rPr>
            </w:pPr>
          </w:p>
        </w:tc>
        <w:tc>
          <w:tcPr>
            <w:tcW w:w="860" w:type="dxa"/>
            <w:vAlign w:val="bottom"/>
            <w:vMerge w:val="continue"/>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280,276</w:t>
            </w: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0"/>
                <w:szCs w:val="20"/>
                <w:color w:val="auto"/>
              </w:rPr>
            </w:pPr>
            <w:r>
              <w:rPr>
                <w:rFonts w:ascii="Arial" w:cs="Arial" w:eastAsia="Arial" w:hAnsi="Arial"/>
                <w:sz w:val="18"/>
                <w:szCs w:val="18"/>
                <w:color w:val="auto"/>
                <w:w w:val="98"/>
              </w:rPr>
              <w:t>Termination By the Company Without Cause / By Executive</w:t>
            </w: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w w:val="85"/>
              </w:rPr>
              <w:t>277,221</w:t>
            </w:r>
            <w:r>
              <w:rPr>
                <w:rFonts w:ascii="Arial" w:cs="Arial" w:eastAsia="Arial" w:hAnsi="Arial"/>
                <w:sz w:val="29"/>
                <w:szCs w:val="29"/>
                <w:color w:val="auto"/>
                <w:w w:val="85"/>
                <w:vertAlign w:val="superscript"/>
              </w:rPr>
              <w:t>(3)</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680" w:type="dxa"/>
            <w:vAlign w:val="bottom"/>
          </w:tcPr>
          <w:p>
            <w:pPr>
              <w:ind w:left="180"/>
              <w:spacing w:after="0"/>
              <w:rPr>
                <w:sz w:val="20"/>
                <w:szCs w:val="20"/>
                <w:color w:val="auto"/>
              </w:rPr>
            </w:pPr>
            <w:r>
              <w:rPr>
                <w:rFonts w:ascii="Arial" w:cs="Arial" w:eastAsia="Arial" w:hAnsi="Arial"/>
                <w:sz w:val="18"/>
                <w:szCs w:val="18"/>
                <w:color w:val="auto"/>
                <w:w w:val="96"/>
              </w:rPr>
              <w:t>for Good Reason, In Connection With a Change in Control</w:t>
            </w: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336,600</w:t>
            </w:r>
          </w:p>
        </w:tc>
        <w:tc>
          <w:tcPr>
            <w:tcW w:w="2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613,821</w:t>
            </w:r>
          </w:p>
        </w:tc>
        <w:tc>
          <w:tcPr>
            <w:tcW w:w="0" w:type="dxa"/>
            <w:vAlign w:val="bottom"/>
          </w:tcPr>
          <w:p>
            <w:pPr>
              <w:spacing w:after="0"/>
              <w:rPr>
                <w:sz w:val="1"/>
                <w:szCs w:val="1"/>
                <w:color w:val="auto"/>
              </w:rPr>
            </w:pPr>
          </w:p>
        </w:tc>
      </w:tr>
      <w:tr>
        <w:trPr>
          <w:trHeight w:val="25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Termination By the Company for Cause / By Executive</w:t>
            </w:r>
          </w:p>
        </w:tc>
        <w:tc>
          <w:tcPr>
            <w:tcW w:w="6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without Good Reason / Disability / Death</w:t>
            </w:r>
          </w:p>
        </w:tc>
        <w:tc>
          <w:tcPr>
            <w:tcW w:w="9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3"/>
        </w:trPr>
        <w:tc>
          <w:tcPr>
            <w:tcW w:w="4680" w:type="dxa"/>
            <w:vAlign w:val="bottom"/>
          </w:tcPr>
          <w:p>
            <w:pPr>
              <w:spacing w:after="0"/>
              <w:rPr>
                <w:sz w:val="20"/>
                <w:szCs w:val="20"/>
                <w:color w:val="auto"/>
              </w:rPr>
            </w:pPr>
            <w:r>
              <w:rPr>
                <w:rFonts w:ascii="Arial" w:cs="Arial" w:eastAsia="Arial" w:hAnsi="Arial"/>
                <w:sz w:val="18"/>
                <w:szCs w:val="18"/>
                <w:color w:val="auto"/>
              </w:rPr>
              <w:t>Change in Control (without termination of employment)</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80"/>
              <w:spacing w:after="0"/>
              <w:rPr>
                <w:sz w:val="20"/>
                <w:szCs w:val="20"/>
                <w:color w:val="auto"/>
              </w:rPr>
            </w:pPr>
            <w:r>
              <w:rPr>
                <w:rFonts w:ascii="Arial" w:cs="Arial" w:eastAsia="Arial" w:hAnsi="Arial"/>
                <w:sz w:val="18"/>
                <w:szCs w:val="18"/>
                <w:color w:val="auto"/>
                <w:w w:val="85"/>
              </w:rPr>
              <w:t>277,221</w:t>
            </w:r>
            <w:r>
              <w:rPr>
                <w:rFonts w:ascii="Arial" w:cs="Arial" w:eastAsia="Arial" w:hAnsi="Arial"/>
                <w:sz w:val="29"/>
                <w:szCs w:val="29"/>
                <w:color w:val="auto"/>
                <w:w w:val="85"/>
                <w:vertAlign w:val="superscript"/>
              </w:rPr>
              <w:t>(4)</w:t>
            </w:r>
          </w:p>
        </w:tc>
        <w:tc>
          <w:tcPr>
            <w:tcW w:w="26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277,221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-1311910</wp:posOffset>
            </wp:positionV>
            <wp:extent cx="1714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-1311910</wp:posOffset>
            </wp:positionV>
            <wp:extent cx="1714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-1311910</wp:posOffset>
            </wp:positionV>
            <wp:extent cx="1714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-1311910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50800</wp:posOffset>
            </wp:positionV>
            <wp:extent cx="8229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08" w:lineRule="exact"/>
        <w:rPr>
          <w:sz w:val="20"/>
          <w:szCs w:val="20"/>
          <w:color w:val="auto"/>
        </w:rPr>
      </w:pPr>
    </w:p>
    <w:p>
      <w:pPr>
        <w:ind w:left="640" w:right="399" w:hanging="348"/>
        <w:spacing w:after="0" w:line="253"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cash severance payments payable pursuant to the Executive Service Agreement. See “Potential Payments Upon Termination or Change in Control” for additional information.</w:t>
      </w:r>
    </w:p>
    <w:p>
      <w:pPr>
        <w:spacing w:after="0" w:line="11" w:lineRule="exact"/>
        <w:rPr>
          <w:rFonts w:ascii="Arial" w:cs="Arial" w:eastAsia="Arial" w:hAnsi="Arial"/>
          <w:sz w:val="14"/>
          <w:szCs w:val="14"/>
          <w:color w:val="auto"/>
        </w:rPr>
      </w:pPr>
    </w:p>
    <w:p>
      <w:pPr>
        <w:ind w:left="640" w:right="299" w:hanging="348"/>
        <w:spacing w:after="0" w:line="228"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the value of Mr. CH Park’s RSUs granted on June 1, 2020 (“June RSUs”), 2021 TSR PSUs, 2022 TSR PSUs and 2022 Financial PSUs that remain eligible to vest, based on the Continued Service Condition and the assumed termination date. More specifically, he would remain eligible to vest in 58.33% of the third tranche of his June RSUs, two-thirds of his 2021 TSR PSUs, one-third of his 2022 TSR PSUs and sixty percent of his 2022 Financial PSUs (such percentage including the vesting of the Make-Whole Financial PSUs). This column assumes vesting at the target performance level. On February 24, 2023, the vested quantity of 2022 Financial PSUs granted to Mr. CH Park has been confirmed as 0% of the granted quantity. Had this been taken into account, the value would have been $46,236, which is $65,740 lower than what is indicated in the table.</w:t>
      </w:r>
    </w:p>
    <w:p>
      <w:pPr>
        <w:spacing w:after="0" w:line="22" w:lineRule="exact"/>
        <w:rPr>
          <w:rFonts w:ascii="Arial" w:cs="Arial" w:eastAsia="Arial" w:hAnsi="Arial"/>
          <w:sz w:val="14"/>
          <w:szCs w:val="14"/>
          <w:color w:val="auto"/>
        </w:rPr>
      </w:pPr>
    </w:p>
    <w:p>
      <w:pPr>
        <w:ind w:left="640" w:right="439" w:hanging="348"/>
        <w:spacing w:after="0" w:line="255" w:lineRule="auto"/>
        <w:tabs>
          <w:tab w:leader="none" w:pos="6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Represents the value of immediate vesting of all RSUs granted on or after June 1, 2020. Mr. CH Park would also vest in his outstanding Financial PSUs and TSR PSUs at the time of the change of control. This column assumes vesting at the target performance level. On February 24, 2023, the vested quantity of 2022 Financial PSUs granted to Mr. CH Park has been confirmed as 0% of the granted quantity. Had this been taken into account, the value would have been $167,668, which is $109,553 lower than what is indicated in the table.</w:t>
      </w:r>
    </w:p>
    <w:p>
      <w:pPr>
        <w:spacing w:after="0" w:line="12" w:lineRule="exact"/>
        <w:rPr>
          <w:rFonts w:ascii="Arial" w:cs="Arial" w:eastAsia="Arial" w:hAnsi="Arial"/>
          <w:sz w:val="13"/>
          <w:szCs w:val="13"/>
          <w:color w:val="auto"/>
        </w:rPr>
      </w:pPr>
    </w:p>
    <w:p>
      <w:pPr>
        <w:ind w:left="640" w:right="419" w:hanging="348"/>
        <w:spacing w:after="0" w:line="231"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Assumes that the Compensation Committee exercised its discretion to fully accelerate all equity awards in connection with the transaction under the 2011 Plan and the 2020 Plan. Represents the value of accelerated vesting of unvested RSUs, Financial PSUs and TSR PSUs (assuming Financial PSUs and TSR PSUs at vest target performance level). On February 24, 2023, the vested quantity of 2022 Financial PSUs granted to Mr. CH Park has been confirmed as 0% of the granted quantity. Had this been taken into account, the value would have been $167,668, which is $109,553 lower than what is indicated in the table.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CEO Pay Ratio</w:t>
      </w:r>
    </w:p>
    <w:p>
      <w:pPr>
        <w:spacing w:after="0" w:line="11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For the 2022 fiscal year, the ratio of the annual total compensation of Mr. YJ Kim, our Chief Executive Officer (“CEO Compensation”), to the median of the annual total compensation of all of our employees other than our Chief Executive Officer (“Median Annual Compensation”) was 79.55 to 1. This ratio is a reasonable estimate calculated in a manner consistent with Item 402(u) of Regulation S-K using the data and assumptions summarized below. In this summary, we refer to the employee who received such Median Annual Compensation as the “Median Employee.” For purposes of this disclosure, the date used to identify the Median Employee was December 31, 2022 (the “Determination Date”).</w:t>
      </w:r>
    </w:p>
    <w:p>
      <w:pPr>
        <w:spacing w:after="0" w:line="87" w:lineRule="exact"/>
        <w:rPr>
          <w:sz w:val="20"/>
          <w:szCs w:val="20"/>
          <w:color w:val="auto"/>
        </w:rPr>
      </w:pPr>
    </w:p>
    <w:p>
      <w:pPr>
        <w:ind w:left="300" w:right="459" w:firstLine="360"/>
        <w:spacing w:after="0" w:line="308" w:lineRule="auto"/>
        <w:rPr>
          <w:sz w:val="20"/>
          <w:szCs w:val="20"/>
          <w:color w:val="auto"/>
        </w:rPr>
      </w:pPr>
      <w:r>
        <w:rPr>
          <w:rFonts w:ascii="Arial" w:cs="Arial" w:eastAsia="Arial" w:hAnsi="Arial"/>
          <w:sz w:val="17"/>
          <w:szCs w:val="17"/>
          <w:color w:val="auto"/>
        </w:rPr>
        <w:t>CEO Compensation for purposes of this disclosure represents the total compensation reported for Mr. YJ Kim under “Summary Compensation Table”, which was $7,043,045 for the 2022 fiscal year. For purposes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39"/>
        <w:spacing w:after="0" w:line="263" w:lineRule="auto"/>
        <w:rPr>
          <w:sz w:val="20"/>
          <w:szCs w:val="20"/>
          <w:color w:val="auto"/>
        </w:rPr>
      </w:pPr>
      <w:r>
        <w:rPr>
          <w:rFonts w:ascii="Arial" w:cs="Arial" w:eastAsia="Arial" w:hAnsi="Arial"/>
          <w:sz w:val="18"/>
          <w:szCs w:val="18"/>
          <w:color w:val="auto"/>
        </w:rPr>
        <w:t>this disclosure, Median Annual Compensation was $88,532, and was calculated by totaling for our Median Employee all applicable elements of compensation for the 2022 fiscal year in accordance with Item 402(c)(2)(x) of Regulation S-K.</w:t>
      </w:r>
    </w:p>
    <w:p>
      <w:pPr>
        <w:spacing w:after="0" w:line="76"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To identify the Median Employee, we first determined our employee population as of the Determination Date. We had 897 employees, representing all full-time, part-time, seasonal and temporary employees of Magnachip and its consolidated subsidiaries as of the Determination Date, but excluding Mr. YJ Kim, and, as permitted by applicable SEC rules, excluding (i) any independent contractors or “leased” workers and (ii) all of our employees located in China (21), Taiwan (3), Japan (2) and Germany (1). We then measured compensation for the period beginning on January 1, 2022 and ending on December 31, 2022 for these employees. This compensation measurement was calculated by totaling, for each employee, total cash compensation paid (including salary, wages, tips, cash bonuses and other cash compensation paid in 2022) as shown in our payroll and human resources records for 2022. A portion of our employee workforce (full-time and part-time) worked for less than the full fiscal year due to commencing employment after the beginning of the fiscal year. In determining the Median Employee, we annualized the compensation for such individuals.</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The following table provides information as of December 31, 2022, regarding securities authorized for issuance under the Company’s compensation plans. The Company’s compensation plans include the 2020 Plan, the 2011 Plan, and the Purchase Plan.</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price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options,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options, warrants or</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warrants or</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86"/>
        </w:trPr>
        <w:tc>
          <w:tcPr>
            <w:tcW w:w="4820" w:type="dxa"/>
            <w:vAlign w:val="bottom"/>
            <w:gridSpan w:val="2"/>
            <w:vMerge w:val="continue"/>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rights</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rights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53"/>
        </w:trPr>
        <w:tc>
          <w:tcPr>
            <w:tcW w:w="4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2,605,028</w:t>
            </w:r>
            <w:r>
              <w:rPr>
                <w:rFonts w:ascii="Arial" w:cs="Arial" w:eastAsia="Arial" w:hAnsi="Arial"/>
                <w:sz w:val="29"/>
                <w:szCs w:val="29"/>
                <w:color w:val="auto"/>
                <w:w w:val="94"/>
                <w:vertAlign w:val="superscript"/>
              </w:rPr>
              <w:t>(1)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$10.64</w:t>
            </w:r>
            <w:r>
              <w:rPr>
                <w:rFonts w:ascii="Arial" w:cs="Arial" w:eastAsia="Arial" w:hAnsi="Arial"/>
                <w:sz w:val="29"/>
                <w:szCs w:val="29"/>
                <w:color w:val="auto"/>
                <w:w w:val="99"/>
                <w:vertAlign w:val="superscript"/>
              </w:rPr>
              <w:t>(1)</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1,351,913</w:t>
            </w:r>
            <w:r>
              <w:rPr>
                <w:rFonts w:ascii="Arial" w:cs="Arial" w:eastAsia="Arial" w:hAnsi="Arial"/>
                <w:sz w:val="29"/>
                <w:szCs w:val="29"/>
                <w:color w:val="auto"/>
                <w:w w:val="96"/>
                <w:vertAlign w:val="superscript"/>
              </w:rPr>
              <w:t>(2)</w:t>
            </w:r>
          </w:p>
        </w:tc>
        <w:tc>
          <w:tcPr>
            <w:tcW w:w="0" w:type="dxa"/>
            <w:vAlign w:val="bottom"/>
          </w:tcPr>
          <w:p>
            <w:pPr>
              <w:spacing w:after="0"/>
              <w:rPr>
                <w:sz w:val="1"/>
                <w:szCs w:val="1"/>
                <w:color w:val="auto"/>
              </w:rPr>
            </w:pPr>
          </w:p>
        </w:tc>
      </w:tr>
      <w:tr>
        <w:trPr>
          <w:trHeight w:val="270"/>
        </w:trPr>
        <w:tc>
          <w:tcPr>
            <w:tcW w:w="4820" w:type="dxa"/>
            <w:vAlign w:val="bottom"/>
            <w:gridSpan w:val="2"/>
          </w:tcPr>
          <w:p>
            <w:pPr>
              <w:spacing w:after="0"/>
              <w:rPr>
                <w:sz w:val="20"/>
                <w:szCs w:val="20"/>
                <w:color w:val="auto"/>
              </w:rPr>
            </w:pPr>
            <w:r>
              <w:rPr>
                <w:rFonts w:ascii="Arial" w:cs="Arial" w:eastAsia="Arial" w:hAnsi="Arial"/>
                <w:sz w:val="18"/>
                <w:szCs w:val="18"/>
                <w:color w:val="auto"/>
                <w:w w:val="99"/>
              </w:rPr>
              <w:t>Equity compensation plans not approved by security holders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2,605,028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1,351,913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4625975</wp:posOffset>
            </wp:positionH>
            <wp:positionV relativeFrom="paragraph">
              <wp:posOffset>-624840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-624840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-624840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jc w:val="both"/>
        <w:ind w:left="640" w:right="339" w:hanging="348"/>
        <w:spacing w:after="0" w:line="264" w:lineRule="auto"/>
        <w:tabs>
          <w:tab w:leader="none" w:pos="6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Comprised of (i) stock options to purchase 1,137,558 shares of Common Stock under the 2011 Plan, at a weighted average exercise price of $10.64 per share, (ii) 1,467,470 shares of Common Stock subject to RSUs and performance restricted awards under the 2011 Plan and 2020 Plan, which are calculated at maximum performance levels. There are no outstanding securities under the suspended Purchase Plan.</w:t>
      </w:r>
    </w:p>
    <w:p>
      <w:pPr>
        <w:spacing w:after="0" w:line="6" w:lineRule="exact"/>
        <w:rPr>
          <w:rFonts w:ascii="Arial" w:cs="Arial" w:eastAsia="Arial" w:hAnsi="Arial"/>
          <w:sz w:val="13"/>
          <w:szCs w:val="13"/>
          <w:color w:val="auto"/>
        </w:rPr>
      </w:pPr>
    </w:p>
    <w:p>
      <w:pPr>
        <w:ind w:left="640" w:right="679" w:hanging="348"/>
        <w:spacing w:after="0" w:line="253" w:lineRule="auto"/>
        <w:tabs>
          <w:tab w:leader="none" w:pos="6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Excludes 1,163,880 shares of Common Stock that remain available as of December 31, 2022, for future issuance under the suspended Purchase Plan.</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Compensation Plan Summary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MagnaChip Semiconductor Corporation 2011 Equity Incentive Plan</w:t>
      </w:r>
    </w:p>
    <w:p>
      <w:pPr>
        <w:spacing w:after="0" w:line="117"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In March 2011, our Board and our stockholders approved the MagnaChip Semiconductor Corporation 2011 Equity Incentive Plan (the “2011 Plan”). Following the approval of our 2020 Equity and Incentive Compensation Plan by stockholders at the 2020 Annual Meeting of Stockholders, no further awards are to be issued under the 2011 Plan. Shares subject to awards granted under our 2011 Plan which expire, are repurchased, or are cancelled or forfeited will again become available for issuance under the 2020 Plan. As of December 31, 2022, there were 1,137,558 outstanding options and 274,675 outstanding RSUs and PSUs under our 2011 Plan, and no shares remained available for issuance. Awards granted under the 2011 Plan are subject to recoupment or clawback in accordance with our clawback policy. The 2011 Plan allows for withholding of shares of our Common Stock to cover tax withholding obligations up to an amount determined by the maximum applicable statutory rates, subject to certain limitations.</w:t>
      </w:r>
    </w:p>
    <w:p>
      <w:pPr>
        <w:spacing w:after="0" w:line="77" w:lineRule="exact"/>
        <w:rPr>
          <w:sz w:val="20"/>
          <w:szCs w:val="20"/>
          <w:color w:val="auto"/>
        </w:rPr>
      </w:pPr>
    </w:p>
    <w:p>
      <w:pPr>
        <w:ind w:left="300" w:right="419" w:firstLine="360"/>
        <w:spacing w:after="0" w:line="296" w:lineRule="auto"/>
        <w:rPr>
          <w:sz w:val="20"/>
          <w:szCs w:val="20"/>
          <w:color w:val="auto"/>
        </w:rPr>
      </w:pPr>
      <w:r>
        <w:rPr>
          <w:rFonts w:ascii="Arial" w:cs="Arial" w:eastAsia="Arial" w:hAnsi="Arial"/>
          <w:sz w:val="16"/>
          <w:szCs w:val="16"/>
          <w:color w:val="auto"/>
        </w:rPr>
        <w:t>In the event of a change in control as described in the 2011 Plan, the acquiring or successor entity may assume or continue all or any awards outstanding under the 2011 Plan or substitute substantially equivalent awards. Any awards which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59"/>
        <w:spacing w:after="0" w:line="293" w:lineRule="auto"/>
        <w:rPr>
          <w:sz w:val="20"/>
          <w:szCs w:val="20"/>
          <w:color w:val="auto"/>
        </w:rPr>
      </w:pPr>
      <w:r>
        <w:rPr>
          <w:rFonts w:ascii="Arial" w:cs="Arial" w:eastAsia="Arial" w:hAnsi="Arial"/>
          <w:sz w:val="16"/>
          <w:szCs w:val="16"/>
          <w:color w:val="auto"/>
        </w:rPr>
        <w:t>such terms, and to such extent as it determines, except that the vesting of all awards held by members of our Board who are not employees will automatically be accelerated in full. The 2011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MagnaChip Semiconductor Corporation 2020 Equity and Incentive Compensation Plan</w:t>
      </w:r>
    </w:p>
    <w:p>
      <w:pPr>
        <w:spacing w:after="0" w:line="11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On June 11, 2020, at the Annual Meeting of Stockholders, the MagnaChip Semiconductor Corporation 2020 Equity and Incentive Compensation Plan (the “2020 Plan”), was approved and adopted to succeed the 2011 Plan, which was otherwise set to expire in March 2021 (after which no further grants could be made thereunder). The 2011 Plan, together with the 2009 Plan, are referred to as the “Predecessor Plans.” As the 2020 Plan was approved, it made available for awards under the 2020 Plan 1,309,000 new shares of Common Stock. The 2020 Plan also includes the 1,149,921 shares of Common Stock that remained available for awards under the 2011 Plan as of the approval date for the 2020 Plan.</w:t>
      </w:r>
    </w:p>
    <w:p>
      <w:pPr>
        <w:spacing w:after="0" w:line="87" w:lineRule="exact"/>
        <w:rPr>
          <w:sz w:val="20"/>
          <w:szCs w:val="20"/>
          <w:color w:val="auto"/>
        </w:rPr>
      </w:pPr>
    </w:p>
    <w:p>
      <w:pPr>
        <w:ind w:left="300" w:right="479" w:firstLine="360"/>
        <w:spacing w:after="0" w:line="293" w:lineRule="auto"/>
        <w:rPr>
          <w:sz w:val="20"/>
          <w:szCs w:val="20"/>
          <w:color w:val="auto"/>
        </w:rPr>
      </w:pPr>
      <w:r>
        <w:rPr>
          <w:rFonts w:ascii="Arial" w:cs="Arial" w:eastAsia="Arial" w:hAnsi="Arial"/>
          <w:sz w:val="16"/>
          <w:szCs w:val="16"/>
          <w:color w:val="auto"/>
        </w:rPr>
        <w:t>Generally, awards under the 2020 Plan are limited to 1,309,000 shares of Common Stock plus, as of the effective date of the 2020 Plan, the total number of shares of Common Stock remaining available for awards under the 2011 Plan, plus Common Stock subject to any forfeitures (or similar events) that occur under the Predecessor Plans or the 2020 Plan after the effective date of the 2020 Plan. This design means that we essentially “rolled” into the new 2020 Plan the shares that we had remaining under the 2011 Plan as of the effective date of the 2020 Plan. These shares may be shares of original issuance or treasury shares, or a combination of the two.</w:t>
      </w:r>
    </w:p>
    <w:p>
      <w:pPr>
        <w:spacing w:after="0" w:line="56" w:lineRule="exact"/>
        <w:rPr>
          <w:sz w:val="20"/>
          <w:szCs w:val="20"/>
          <w:color w:val="auto"/>
        </w:rPr>
      </w:pPr>
    </w:p>
    <w:p>
      <w:pPr>
        <w:ind w:left="300" w:right="439" w:firstLine="360"/>
        <w:spacing w:after="0" w:line="293" w:lineRule="auto"/>
        <w:rPr>
          <w:sz w:val="20"/>
          <w:szCs w:val="20"/>
          <w:color w:val="auto"/>
        </w:rPr>
      </w:pPr>
      <w:r>
        <w:rPr>
          <w:rFonts w:ascii="Arial" w:cs="Arial" w:eastAsia="Arial" w:hAnsi="Arial"/>
          <w:sz w:val="16"/>
          <w:szCs w:val="16"/>
          <w:color w:val="auto"/>
        </w:rPr>
        <w:t>Awards may be granted under the 2020 Plan to the Company’s employees, officers, directors, or certain consultants or those of any subsidiary of the Company. While the Company may grant incentive stock options only to employees, the Company may grant non-statutory stock options, SARs, restricted stock, RSUs, performance shares, performance units, dividend equivalents and cash-based awards or other stock-based awards to any eligible participant, subject to terms and conditions determined by the Compensation Committee. The term of any options granted under the 2020 Plan shall not exceed ten years from the date of grant.</w:t>
      </w:r>
    </w:p>
    <w:p>
      <w:pPr>
        <w:spacing w:after="0" w:line="56"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The 2020 Plan includes a definition of “change in control.” In general, a change in control shall be deemed to have occurred upon the occurrence of any of the following events (subject to certain exceptions and limitations and as further described in the 2020 Plan): (1) any individual, entity or group is or becomes the beneficial owner of 50% or more of the combined voting power of the then-outstanding Common Stock or voting shares of the Company (subject to certain exceptions); (2) a transaction in which the stockholders immediately before the transaction do not retain ownership of more than 50% of the combined voting power of the outstanding voting securities of the Company (or the entity to which the assets of the Company were transferred); or (3) consummation of a complete liquidation or dissolution of the Company after approval of the same by the stockholders of the Company; provided, however, the transactions described in (1) or (2) above shall not constitute a change in control if a majority of the members of the board of directors of the continuing, surviving or successor entity (or parent thereof) immediately after such transaction is comprised of incumbent directors.</w:t>
      </w:r>
    </w:p>
    <w:p>
      <w:pPr>
        <w:spacing w:after="0" w:line="64" w:lineRule="exact"/>
        <w:rPr>
          <w:sz w:val="20"/>
          <w:szCs w:val="20"/>
          <w:color w:val="auto"/>
        </w:rPr>
      </w:pPr>
    </w:p>
    <w:p>
      <w:pPr>
        <w:ind w:left="300" w:right="419" w:firstLine="360"/>
        <w:spacing w:after="0" w:line="286" w:lineRule="auto"/>
        <w:rPr>
          <w:sz w:val="20"/>
          <w:szCs w:val="20"/>
          <w:color w:val="auto"/>
        </w:rPr>
      </w:pPr>
      <w:r>
        <w:rPr>
          <w:rFonts w:ascii="Arial" w:cs="Arial" w:eastAsia="Arial" w:hAnsi="Arial"/>
          <w:sz w:val="16"/>
          <w:szCs w:val="16"/>
          <w:color w:val="auto"/>
        </w:rPr>
        <w:t>The Board generally may amend the 2020 Plan from time to time in whole or in part. If any amendment, however, for purposes of applicable stock exchange rules (and except as permitted under the adjustment provisions of the 2020 Plan) (1) would materially increase the benefits accruing to participants under the 2020 Plan, (2) would materially increase the number of securities which may be issued under the 2020 Plan, (3) would materially modify the requirements for participation in the 2020 Plan, or (4) must otherwise be approved by our stockholders in order to comply with applicable law or the rules of the NYSE, or if the Common Stock is not traded on the NYSE, the principal national securities exchange upon which the Common Stock is traded or quoted, all as determined by the Board, then such amendment will be subject to stockholder approval and will not be effective unless and until such approval has been obtained. The Board may, in its discretion, terminate the 2020 Plan at any time. Termination of the 2020 Plan will not affect the rights of participants or their successors under any awards outstanding and not exercised in full on the date of termination. No grant will be made under the 2020 Plan on or after the tenth anniversary of the effective date of the 2020 Plan, but all grants made prior to such date will continue in effect thereafter subject to their terms and the terms of the 2020 Plan.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MagnaChip Semiconductor Corporation 2011 Employee Stock Purchase Plan</w:t>
      </w:r>
    </w:p>
    <w:p>
      <w:pPr>
        <w:spacing w:after="0" w:line="117"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In March 2010, our Board approved the MagnaChip Semiconductor Corporation 2011 Employee Stock Purchase Plan (the “Purchase Plan”). Our Board amended and restated the Purchase Plan in February 2011 to reflect that the Purchase Plan would become effective in 2011 upon the commencement of our initial publicoffering in March 2011. The Purchase Plan was approved by our stockholders in March 2011 and became effective upon the commencement of our initial public offering in March 2011. We initially authorized and reserved 789,890 shares for sale under the Purchase Plan. However, in August 2012, the Compensation Committee suspended the Purchase Plan. The following summary describes the terms of the Purchase Plan that would be in effect if the Purchase Plan were to be removed from suspension and reinstated.</w:t>
      </w:r>
    </w:p>
    <w:p>
      <w:pPr>
        <w:spacing w:after="0" w:line="70" w:lineRule="exact"/>
        <w:rPr>
          <w:sz w:val="20"/>
          <w:szCs w:val="20"/>
          <w:color w:val="auto"/>
        </w:rPr>
      </w:pPr>
    </w:p>
    <w:p>
      <w:pPr>
        <w:ind w:left="300" w:right="399" w:firstLine="360"/>
        <w:spacing w:after="0" w:line="289" w:lineRule="auto"/>
        <w:rPr>
          <w:sz w:val="20"/>
          <w:szCs w:val="20"/>
          <w:color w:val="auto"/>
        </w:rPr>
      </w:pPr>
      <w:r>
        <w:rPr>
          <w:rFonts w:ascii="Arial" w:cs="Arial" w:eastAsia="Arial" w:hAnsi="Arial"/>
          <w:sz w:val="16"/>
          <w:szCs w:val="16"/>
          <w:color w:val="auto"/>
        </w:rPr>
        <w:t>The Purchase Plan provides for an automatic annual increase in the number of shares available for issuance under the plan on January 1 of each year beginning in 2012 and continuing through and including January 1, 2021, equal to the lesser of (i) 1% of our then issued and outstanding shares of Common Stock on the immediately preceding December 31, (ii) 789,980 shares, or (iii)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 Because the Purchase Plan was suspended in August 2012, no annual increase in the number of shares authorized under such plan occurred on January 1, 2013 or in subsequent years.</w:t>
      </w:r>
    </w:p>
    <w:p>
      <w:pPr>
        <w:spacing w:after="0" w:line="58" w:lineRule="exact"/>
        <w:rPr>
          <w:sz w:val="20"/>
          <w:szCs w:val="20"/>
          <w:color w:val="auto"/>
        </w:rPr>
      </w:pPr>
    </w:p>
    <w:p>
      <w:pPr>
        <w:ind w:left="300" w:right="379" w:firstLine="360"/>
        <w:spacing w:after="0" w:line="271" w:lineRule="auto"/>
        <w:rPr>
          <w:sz w:val="20"/>
          <w:szCs w:val="20"/>
          <w:color w:val="auto"/>
        </w:rPr>
      </w:pPr>
      <w:r>
        <w:rPr>
          <w:rFonts w:ascii="Arial" w:cs="Arial" w:eastAsia="Arial" w:hAnsi="Arial"/>
          <w:sz w:val="17"/>
          <w:szCs w:val="17"/>
          <w:color w:val="auto"/>
        </w:rPr>
        <w:t>The terms of the Purchase Plan provide that our employees and employees of any parent or subsidiary corporation designated by the Compensation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w:t>
      </w:r>
    </w:p>
    <w:p>
      <w:pPr>
        <w:spacing w:after="0" w:line="70"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The terms of the Purchase Plan provide that it is to be implemented through a series of sequential offering periods, generally three months in duration beginning on the first trading days of February, May, August, and November each year. The Compensation Committee is authorized to establish additional or alternative concurrent, sequential or overlapping offering periods and offering periods having a different duration or different starting or ending dates, provided that no offering period may have a duration exceeding 27 months.</w:t>
      </w:r>
    </w:p>
    <w:p>
      <w:pPr>
        <w:spacing w:after="0" w:line="53" w:lineRule="exact"/>
        <w:rPr>
          <w:sz w:val="20"/>
          <w:szCs w:val="20"/>
          <w:color w:val="auto"/>
        </w:rPr>
      </w:pPr>
    </w:p>
    <w:p>
      <w:pPr>
        <w:ind w:left="300" w:right="439" w:firstLine="360"/>
        <w:spacing w:after="0" w:line="273" w:lineRule="auto"/>
        <w:rPr>
          <w:sz w:val="20"/>
          <w:szCs w:val="20"/>
          <w:color w:val="auto"/>
        </w:rPr>
      </w:pPr>
      <w:r>
        <w:rPr>
          <w:rFonts w:ascii="Arial" w:cs="Arial" w:eastAsia="Arial" w:hAnsi="Arial"/>
          <w:sz w:val="17"/>
          <w:szCs w:val="17"/>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Compensation Committee is authorized to change the purchase price discount for that offering period, but the purchase price may not be less than 85% of the lower of the fair market value of our Common Stock at the beginning of the offering period or on the purchase date.</w:t>
      </w:r>
    </w:p>
    <w:p>
      <w:pPr>
        <w:spacing w:after="0" w:line="70"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8"/>
          <w:szCs w:val="18"/>
          <w:color w:val="auto"/>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Compensation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Compensation Committee will make a pro rata allocation of the available shares. Any amounts withheld from participants’ compensation in excess of the amounts used to purchase shares will be refunded, without interest.</w:t>
      </w:r>
    </w:p>
    <w:p>
      <w:pPr>
        <w:spacing w:after="0" w:line="88" w:lineRule="exact"/>
        <w:rPr>
          <w:sz w:val="20"/>
          <w:szCs w:val="20"/>
          <w:color w:val="auto"/>
        </w:rPr>
      </w:pPr>
    </w:p>
    <w:p>
      <w:pPr>
        <w:ind w:left="300" w:right="499" w:firstLine="360"/>
        <w:spacing w:after="0" w:line="257" w:lineRule="auto"/>
        <w:rPr>
          <w:sz w:val="20"/>
          <w:szCs w:val="20"/>
          <w:color w:val="auto"/>
        </w:rPr>
      </w:pPr>
      <w:r>
        <w:rPr>
          <w:rFonts w:ascii="Arial" w:cs="Arial" w:eastAsia="Arial" w:hAnsi="Arial"/>
          <w:sz w:val="18"/>
          <w:szCs w:val="18"/>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Compensation Committee, but the number of shares subject to outstanding purchase rights shall not be adjusted.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 </w:t>
      </w:r>
    </w:p>
    <w:p>
      <w:pPr>
        <w:spacing w:after="0" w:line="149" w:lineRule="exact"/>
        <w:rPr>
          <w:sz w:val="20"/>
          <w:szCs w:val="20"/>
          <w:color w:val="auto"/>
        </w:rPr>
      </w:pPr>
    </w:p>
    <w:p>
      <w:pPr>
        <w:ind w:left="14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Pay Versus Performance</w:t>
      </w:r>
    </w:p>
    <w:p>
      <w:pPr>
        <w:spacing w:after="0" w:line="121" w:lineRule="exact"/>
        <w:rPr>
          <w:sz w:val="20"/>
          <w:szCs w:val="20"/>
          <w:color w:val="auto"/>
        </w:rPr>
      </w:pPr>
    </w:p>
    <w:p>
      <w:pPr>
        <w:ind w:left="1420" w:right="359" w:firstLine="360"/>
        <w:spacing w:after="0" w:line="291" w:lineRule="auto"/>
        <w:rPr>
          <w:sz w:val="20"/>
          <w:szCs w:val="20"/>
          <w:color w:val="auto"/>
        </w:rPr>
      </w:pPr>
      <w:r>
        <w:rPr>
          <w:rFonts w:ascii="Arial" w:cs="Arial" w:eastAsia="Arial" w:hAnsi="Arial"/>
          <w:sz w:val="16"/>
          <w:szCs w:val="16"/>
          <w:color w:val="auto"/>
        </w:rPr>
        <w:t xml:space="preserve">As required by Section 953(a) of the Dodd-Frank Act and Item 402(v) of Regulation S-K, we are providing information about the relationship between executive “Compensation Actually Paid” to our principal executive officer (“PEO”) and our other named executive officers (“NEOs”), as calculated in accordance with Item 402(v) of Regulation S-K, and certain financial performance measures. For a discussion of our compensation philosophy, how our Compensation Committee assessed “pay-for-performance,” and how our executive compensation program is designed to link executive compensation with the achievement of our financial and strategic objectives, as well as stockholder value creation each year, see the section titled “Compensation Discussion and Analysis” on page </w:t>
      </w:r>
      <w:r>
        <w:rPr>
          <w:rFonts w:ascii="Arial" w:cs="Arial" w:eastAsia="Arial" w:hAnsi="Arial"/>
          <w:sz w:val="16"/>
          <w:szCs w:val="16"/>
          <w:u w:val="single" w:color="auto"/>
          <w:color w:val="0000EE"/>
        </w:rPr>
        <w:t>18</w:t>
      </w:r>
      <w:r>
        <w:rPr>
          <w:rFonts w:ascii="Arial" w:cs="Arial" w:eastAsia="Arial" w:hAnsi="Arial"/>
          <w:sz w:val="16"/>
          <w:szCs w:val="16"/>
          <w:color w:val="auto"/>
        </w:rPr>
        <w:t>.</w:t>
      </w:r>
    </w:p>
    <w:p>
      <w:pPr>
        <w:sectPr>
          <w:pgSz w:w="11900" w:h="16838" w:orient="portrait"/>
          <w:cols w:equalWidth="0" w:num="1">
            <w:col w:w="10139"/>
          </w:cols>
          <w:pgMar w:left="320" w:top="125" w:right="1440" w:bottom="1440" w:gutter="0" w:footer="0" w:header="0"/>
        </w:sectPr>
      </w:pPr>
    </w:p>
    <w:p>
      <w:pPr>
        <w:spacing w:after="0" w:line="328" w:lineRule="exact"/>
        <w:rPr>
          <w:sz w:val="20"/>
          <w:szCs w:val="20"/>
          <w:color w:val="auto"/>
        </w:rPr>
      </w:pPr>
    </w:p>
    <w:p>
      <w:pPr>
        <w:ind w:left="1420"/>
        <w:spacing w:after="0"/>
        <w:rPr>
          <w:sz w:val="20"/>
          <w:szCs w:val="20"/>
          <w:color w:val="auto"/>
        </w:rPr>
      </w:pPr>
      <w:r>
        <w:rPr>
          <w:rFonts w:ascii="Arial" w:cs="Arial" w:eastAsia="Arial" w:hAnsi="Arial"/>
          <w:sz w:val="18"/>
          <w:szCs w:val="18"/>
          <w:b w:val="1"/>
          <w:bCs w:val="1"/>
          <w:i w:val="1"/>
          <w:iCs w:val="1"/>
          <w:color w:val="auto"/>
        </w:rPr>
        <w:t>Pay Versus Performance Table</w:t>
      </w:r>
    </w:p>
    <w:p>
      <w:pPr>
        <w:spacing w:after="0" w:line="16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Value of Initial Fixed $100</w:t>
            </w: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Investment Based On:</w:t>
            </w:r>
          </w:p>
        </w:tc>
        <w:tc>
          <w:tcPr>
            <w:tcW w:w="0" w:type="dxa"/>
            <w:vAlign w:val="bottom"/>
          </w:tcPr>
          <w:p>
            <w:pPr>
              <w:spacing w:after="0"/>
              <w:rPr>
                <w:sz w:val="1"/>
                <w:szCs w:val="1"/>
                <w:color w:val="auto"/>
              </w:rPr>
            </w:pPr>
          </w:p>
        </w:tc>
      </w:tr>
      <w:tr>
        <w:trPr>
          <w:trHeight w:val="53"/>
        </w:trPr>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80" w:type="dxa"/>
            <w:vAlign w:val="bottom"/>
            <w:vMerge w:val="restart"/>
          </w:tcPr>
          <w:p>
            <w:pPr>
              <w:jc w:val="center"/>
              <w:ind w:right="30"/>
              <w:spacing w:after="0"/>
              <w:rPr>
                <w:sz w:val="20"/>
                <w:szCs w:val="20"/>
                <w:color w:val="auto"/>
              </w:rPr>
            </w:pPr>
            <w:r>
              <w:rPr>
                <w:rFonts w:ascii="Arial" w:cs="Arial" w:eastAsia="Arial" w:hAnsi="Arial"/>
                <w:sz w:val="14"/>
                <w:szCs w:val="14"/>
                <w:b w:val="1"/>
                <w:bCs w:val="1"/>
                <w:color w:val="auto"/>
                <w:w w:val="90"/>
              </w:rPr>
              <w:t>Average</w:t>
            </w: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Summary</w:t>
            </w:r>
          </w:p>
        </w:tc>
        <w:tc>
          <w:tcPr>
            <w:tcW w:w="100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Summary</w:t>
            </w:r>
          </w:p>
        </w:tc>
        <w:tc>
          <w:tcPr>
            <w:tcW w:w="10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Peer Group</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tcPr>
          <w:p>
            <w:pPr>
              <w:jc w:val="center"/>
              <w:ind w:right="1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0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Table Total</w:t>
            </w:r>
          </w:p>
        </w:tc>
        <w:tc>
          <w:tcPr>
            <w:tcW w:w="1080" w:type="dxa"/>
            <w:vAlign w:val="bottom"/>
          </w:tcPr>
          <w:p>
            <w:pPr>
              <w:jc w:val="center"/>
              <w:ind w:right="10"/>
              <w:spacing w:after="0" w:line="149" w:lineRule="exact"/>
              <w:rPr>
                <w:sz w:val="20"/>
                <w:szCs w:val="20"/>
                <w:color w:val="auto"/>
              </w:rPr>
            </w:pPr>
            <w:r>
              <w:rPr>
                <w:rFonts w:ascii="Arial" w:cs="Arial" w:eastAsia="Arial" w:hAnsi="Arial"/>
                <w:sz w:val="14"/>
                <w:szCs w:val="14"/>
                <w:b w:val="1"/>
                <w:bCs w:val="1"/>
                <w:color w:val="auto"/>
                <w:w w:val="95"/>
              </w:rPr>
              <w:t>Actually Paid</w:t>
            </w:r>
          </w:p>
        </w:tc>
        <w:tc>
          <w:tcPr>
            <w:tcW w:w="8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23"/>
                <w:szCs w:val="23"/>
                <w:b w:val="1"/>
                <w:bCs w:val="1"/>
                <w:color w:val="auto"/>
                <w:vertAlign w:val="superscript"/>
              </w:rPr>
              <w:t>(1)</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Table Total</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Actually Paid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Non-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for Non-PEO</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Shareholder</w:t>
            </w:r>
          </w:p>
        </w:tc>
        <w:tc>
          <w:tcPr>
            <w:tcW w:w="8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Shareholder</w:t>
            </w:r>
          </w:p>
        </w:tc>
        <w:tc>
          <w:tcPr>
            <w:tcW w:w="0" w:type="dxa"/>
            <w:vAlign w:val="bottom"/>
          </w:tcPr>
          <w:p>
            <w:pPr>
              <w:spacing w:after="0"/>
              <w:rPr>
                <w:sz w:val="1"/>
                <w:szCs w:val="1"/>
                <w:color w:val="auto"/>
              </w:rPr>
            </w:pPr>
          </w:p>
        </w:tc>
      </w:tr>
      <w:tr>
        <w:trPr>
          <w:trHeight w:val="243"/>
        </w:trPr>
        <w:tc>
          <w:tcPr>
            <w:tcW w:w="520" w:type="dxa"/>
            <w:vAlign w:val="bottom"/>
            <w:vMerge w:val="continue"/>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for PEO</w:t>
            </w:r>
          </w:p>
        </w:tc>
        <w:tc>
          <w:tcPr>
            <w:tcW w:w="100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9"/>
              </w:rPr>
              <w:t>for PEO</w:t>
            </w:r>
            <w:r>
              <w:rPr>
                <w:rFonts w:ascii="Arial" w:cs="Arial" w:eastAsia="Arial" w:hAnsi="Arial"/>
                <w:sz w:val="23"/>
                <w:szCs w:val="23"/>
                <w:b w:val="1"/>
                <w:bCs w:val="1"/>
                <w:color w:val="auto"/>
                <w:w w:val="89"/>
                <w:vertAlign w:val="superscript"/>
              </w:rPr>
              <w:t>(2)(3)</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PEO NEOs</w:t>
            </w:r>
          </w:p>
        </w:tc>
        <w:tc>
          <w:tcPr>
            <w:tcW w:w="1080" w:type="dxa"/>
            <w:vAlign w:val="bottom"/>
          </w:tcPr>
          <w:p>
            <w:pPr>
              <w:jc w:val="center"/>
              <w:ind w:right="50"/>
              <w:spacing w:after="0" w:line="243" w:lineRule="exact"/>
              <w:rPr>
                <w:sz w:val="20"/>
                <w:szCs w:val="20"/>
                <w:color w:val="auto"/>
              </w:rPr>
            </w:pPr>
            <w:r>
              <w:rPr>
                <w:rFonts w:ascii="Arial" w:cs="Arial" w:eastAsia="Arial" w:hAnsi="Arial"/>
                <w:sz w:val="28"/>
                <w:szCs w:val="28"/>
                <w:b w:val="1"/>
                <w:bCs w:val="1"/>
                <w:color w:val="auto"/>
                <w:w w:val="79"/>
                <w:vertAlign w:val="subscript"/>
              </w:rPr>
              <w:t>NEOs</w:t>
            </w:r>
            <w:r>
              <w:rPr>
                <w:rFonts w:ascii="Arial" w:cs="Arial" w:eastAsia="Arial" w:hAnsi="Arial"/>
                <w:sz w:val="12"/>
                <w:szCs w:val="12"/>
                <w:b w:val="1"/>
                <w:bCs w:val="1"/>
                <w:color w:val="auto"/>
                <w:w w:val="79"/>
              </w:rPr>
              <w:t>(4)(5)</w:t>
            </w:r>
          </w:p>
        </w:tc>
        <w:tc>
          <w:tcPr>
            <w:tcW w:w="84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90"/>
              </w:rPr>
              <w:t>Return</w:t>
            </w:r>
            <w:r>
              <w:rPr>
                <w:rFonts w:ascii="Arial" w:cs="Arial" w:eastAsia="Arial" w:hAnsi="Arial"/>
                <w:sz w:val="23"/>
                <w:szCs w:val="23"/>
                <w:b w:val="1"/>
                <w:bCs w:val="1"/>
                <w:color w:val="auto"/>
                <w:w w:val="90"/>
                <w:vertAlign w:val="superscript"/>
              </w:rPr>
              <w:t>(6)</w:t>
            </w:r>
          </w:p>
        </w:tc>
        <w:tc>
          <w:tcPr>
            <w:tcW w:w="84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90"/>
              </w:rPr>
              <w:t>Return</w:t>
            </w:r>
            <w:r>
              <w:rPr>
                <w:rFonts w:ascii="Arial" w:cs="Arial" w:eastAsia="Arial" w:hAnsi="Arial"/>
                <w:sz w:val="23"/>
                <w:szCs w:val="23"/>
                <w:b w:val="1"/>
                <w:bCs w:val="1"/>
                <w:color w:val="auto"/>
                <w:w w:val="90"/>
                <w:vertAlign w:val="superscript"/>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Gross</w:t>
      </w:r>
    </w:p>
    <w:p>
      <w:pPr>
        <w:ind w:left="180"/>
        <w:spacing w:after="0" w:line="238" w:lineRule="auto"/>
        <w:tabs>
          <w:tab w:leader="none" w:pos="1100" w:val="left"/>
        </w:tabs>
        <w:rPr>
          <w:sz w:val="20"/>
          <w:szCs w:val="20"/>
          <w:color w:val="auto"/>
        </w:rPr>
      </w:pPr>
      <w:r>
        <w:rPr>
          <w:rFonts w:ascii="Arial" w:cs="Arial" w:eastAsia="Arial" w:hAnsi="Arial"/>
          <w:sz w:val="14"/>
          <w:szCs w:val="14"/>
          <w:b w:val="1"/>
          <w:bCs w:val="1"/>
          <w:color w:val="auto"/>
        </w:rPr>
        <w:t>Net</w:t>
      </w:r>
      <w:r>
        <w:rPr>
          <w:sz w:val="20"/>
          <w:szCs w:val="20"/>
          <w:color w:val="auto"/>
        </w:rPr>
        <w:tab/>
      </w:r>
      <w:r>
        <w:rPr>
          <w:rFonts w:ascii="Arial" w:cs="Arial" w:eastAsia="Arial" w:hAnsi="Arial"/>
          <w:sz w:val="14"/>
          <w:szCs w:val="14"/>
          <w:b w:val="1"/>
          <w:bCs w:val="1"/>
          <w:color w:val="auto"/>
        </w:rPr>
        <w:t>Profit</w:t>
      </w:r>
    </w:p>
    <w:p>
      <w:pPr>
        <w:spacing w:after="0"/>
        <w:tabs>
          <w:tab w:leader="none" w:pos="980" w:val="left"/>
        </w:tabs>
        <w:rPr>
          <w:sz w:val="20"/>
          <w:szCs w:val="20"/>
          <w:color w:val="auto"/>
        </w:rPr>
      </w:pPr>
      <w:r>
        <w:rPr>
          <w:rFonts w:ascii="Arial" w:cs="Arial" w:eastAsia="Arial" w:hAnsi="Arial"/>
          <w:sz w:val="14"/>
          <w:szCs w:val="14"/>
          <w:b w:val="1"/>
          <w:bCs w:val="1"/>
          <w:color w:val="auto"/>
        </w:rPr>
        <w:t>Income</w:t>
      </w:r>
      <w:r>
        <w:rPr>
          <w:rFonts w:ascii="Arial" w:cs="Arial" w:eastAsia="Arial" w:hAnsi="Arial"/>
          <w:sz w:val="23"/>
          <w:szCs w:val="23"/>
          <w:b w:val="1"/>
          <w:bCs w:val="1"/>
          <w:color w:val="auto"/>
          <w:vertAlign w:val="superscript"/>
        </w:rPr>
        <w:t>(8)</w:t>
      </w:r>
      <w:r>
        <w:rPr>
          <w:sz w:val="20"/>
          <w:szCs w:val="20"/>
          <w:color w:val="auto"/>
        </w:rPr>
        <w:tab/>
      </w:r>
      <w:r>
        <w:rPr>
          <w:rFonts w:ascii="Arial" w:cs="Arial" w:eastAsia="Arial" w:hAnsi="Arial"/>
          <w:sz w:val="13"/>
          <w:szCs w:val="13"/>
          <w:b w:val="1"/>
          <w:bCs w:val="1"/>
          <w:color w:val="auto"/>
        </w:rPr>
        <w:t>Margin</w:t>
      </w:r>
      <w:r>
        <w:rPr>
          <w:rFonts w:ascii="Arial" w:cs="Arial" w:eastAsia="Arial" w:hAnsi="Arial"/>
          <w:sz w:val="21"/>
          <w:szCs w:val="21"/>
          <w:b w:val="1"/>
          <w:bCs w:val="1"/>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635</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7840" w:space="400"/>
            <w:col w:w="1899"/>
          </w:cols>
          <w:pgMar w:left="320" w:top="125" w:right="1440" w:bottom="1440" w:gutter="0" w:footer="0" w:header="0"/>
          <w:type w:val="continuous"/>
        </w:sectPr>
      </w:pPr>
    </w:p>
    <w:tbl>
      <w:tblPr>
        <w:tblLayout w:type="fixed"/>
        <w:tblInd w:w="1420" w:type="dxa"/>
        <w:tblCellMar>
          <w:top w:w="0" w:type="dxa"/>
          <w:left w:w="0" w:type="dxa"/>
          <w:bottom w:w="0" w:type="dxa"/>
          <w:right w:w="0" w:type="dxa"/>
        </w:tblCellMar>
      </w:tblPr>
      <w:tr>
        <w:trPr>
          <w:trHeight w:val="311"/>
        </w:trPr>
        <w:tc>
          <w:tcPr>
            <w:tcW w:w="58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2022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$7,043,045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$2,131,915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$1,575,706</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778,297</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78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$ 81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78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(8,036,000)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70"/>
        </w:trPr>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2021</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$5,572,785</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$6,004,697</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$1,260,484</w:t>
            </w:r>
          </w:p>
        </w:tc>
        <w:tc>
          <w:tcPr>
            <w:tcW w:w="1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0"/>
              </w:rPr>
              <w:t>$1,379,361</w:t>
            </w:r>
          </w:p>
        </w:tc>
        <w:tc>
          <w:tcPr>
            <w:tcW w:w="140" w:type="dxa"/>
            <w:vAlign w:val="bottom"/>
          </w:tcPr>
          <w:p>
            <w:pPr>
              <w:spacing w:after="0"/>
              <w:rPr>
                <w:sz w:val="23"/>
                <w:szCs w:val="23"/>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3"/>
                <w:szCs w:val="23"/>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3"/>
              </w:rPr>
              <w:t>56,708,000</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54"/>
        </w:trPr>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70"/>
        </w:trPr>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2020</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$2,951,667</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$2,943,599</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746,414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780,349</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$344,965,000</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54"/>
        </w:trPr>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8229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1760" w:right="539" w:hanging="348"/>
        <w:spacing w:after="0" w:line="253" w:lineRule="auto"/>
        <w:tabs>
          <w:tab w:leader="none" w:pos="17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Young-Joon Kim served as the Company's PEO for the entirety of 2020, 2021, and 2022. The Company’s other NEOs for the applicable years were as follows:</w:t>
      </w:r>
    </w:p>
    <w:p>
      <w:pPr>
        <w:spacing w:after="0" w:line="38" w:lineRule="exact"/>
        <w:rPr>
          <w:rFonts w:ascii="Arial" w:cs="Arial" w:eastAsia="Arial" w:hAnsi="Arial"/>
          <w:sz w:val="14"/>
          <w:szCs w:val="14"/>
          <w:color w:val="auto"/>
        </w:rPr>
      </w:pPr>
    </w:p>
    <w:p>
      <w:pPr>
        <w:ind w:left="1780"/>
        <w:spacing w:after="0"/>
        <w:rPr>
          <w:rFonts w:ascii="Arial" w:cs="Arial" w:eastAsia="Arial" w:hAnsi="Arial"/>
          <w:sz w:val="14"/>
          <w:szCs w:val="14"/>
          <w:color w:val="auto"/>
        </w:rPr>
      </w:pPr>
      <w:r>
        <w:rPr>
          <w:rFonts w:ascii="Arial" w:cs="Arial" w:eastAsia="Arial" w:hAnsi="Arial"/>
          <w:sz w:val="14"/>
          <w:szCs w:val="14"/>
          <w:color w:val="auto"/>
        </w:rPr>
        <w:t>– 2022: Theodore Kim, Woung Moo Lee, Chan Ho Park, Shin Young Park</w:t>
      </w:r>
    </w:p>
    <w:p>
      <w:pPr>
        <w:spacing w:after="0" w:line="68" w:lineRule="exact"/>
        <w:rPr>
          <w:rFonts w:ascii="Arial" w:cs="Arial" w:eastAsia="Arial" w:hAnsi="Arial"/>
          <w:sz w:val="14"/>
          <w:szCs w:val="14"/>
          <w:color w:val="auto"/>
        </w:rPr>
      </w:pPr>
    </w:p>
    <w:p>
      <w:pPr>
        <w:ind w:left="1780"/>
        <w:spacing w:after="0"/>
        <w:rPr>
          <w:rFonts w:ascii="Arial" w:cs="Arial" w:eastAsia="Arial" w:hAnsi="Arial"/>
          <w:sz w:val="14"/>
          <w:szCs w:val="14"/>
          <w:color w:val="auto"/>
        </w:rPr>
      </w:pPr>
      <w:r>
        <w:rPr>
          <w:rFonts w:ascii="Arial" w:cs="Arial" w:eastAsia="Arial" w:hAnsi="Arial"/>
          <w:sz w:val="14"/>
          <w:szCs w:val="14"/>
          <w:color w:val="auto"/>
        </w:rPr>
        <w:t>– 2021: Theodore Kim, Woung Moo Lee, Chan Ho Park, Young Soo Woo</w:t>
      </w:r>
    </w:p>
    <w:p>
      <w:pPr>
        <w:spacing w:after="0" w:line="68" w:lineRule="exact"/>
        <w:rPr>
          <w:rFonts w:ascii="Arial" w:cs="Arial" w:eastAsia="Arial" w:hAnsi="Arial"/>
          <w:sz w:val="14"/>
          <w:szCs w:val="14"/>
          <w:color w:val="auto"/>
        </w:rPr>
      </w:pPr>
    </w:p>
    <w:p>
      <w:pPr>
        <w:ind w:left="1780"/>
        <w:spacing w:after="0"/>
        <w:rPr>
          <w:rFonts w:ascii="Arial" w:cs="Arial" w:eastAsia="Arial" w:hAnsi="Arial"/>
          <w:sz w:val="14"/>
          <w:szCs w:val="14"/>
          <w:color w:val="auto"/>
        </w:rPr>
      </w:pPr>
      <w:r>
        <w:rPr>
          <w:rFonts w:ascii="Arial" w:cs="Arial" w:eastAsia="Arial" w:hAnsi="Arial"/>
          <w:sz w:val="14"/>
          <w:szCs w:val="14"/>
          <w:color w:val="auto"/>
        </w:rPr>
        <w:t>– 2020: Jonathan Kim, Theodore Kim, Woung Moo Lee, Chan Ho Park, Young Soo Woo</w:t>
      </w:r>
    </w:p>
    <w:p>
      <w:pPr>
        <w:spacing w:after="0" w:line="42" w:lineRule="exact"/>
        <w:rPr>
          <w:sz w:val="20"/>
          <w:szCs w:val="20"/>
          <w:color w:val="auto"/>
        </w:rPr>
      </w:pPr>
    </w:p>
    <w:p>
      <w:pPr>
        <w:ind w:left="1780" w:right="459"/>
        <w:spacing w:after="0" w:line="253" w:lineRule="auto"/>
        <w:rPr>
          <w:sz w:val="20"/>
          <w:szCs w:val="20"/>
          <w:color w:val="auto"/>
        </w:rPr>
      </w:pPr>
      <w:r>
        <w:rPr>
          <w:rFonts w:ascii="Arial" w:cs="Arial" w:eastAsia="Arial" w:hAnsi="Arial"/>
          <w:sz w:val="14"/>
          <w:szCs w:val="14"/>
          <w:color w:val="auto"/>
        </w:rPr>
        <w:t>Jonathan Kim, Chan Ho Park and Young Soo Woo each served partial years in 2020. Jonathan Kim resigned on March 27 2020, Chan Ho Park’s date of hire was June 1, 2020, and Young Soo Woo’s date of hire was May 25, 2020.</w:t>
      </w:r>
    </w:p>
    <w:p>
      <w:pPr>
        <w:spacing w:after="0" w:line="12" w:lineRule="exact"/>
        <w:rPr>
          <w:sz w:val="20"/>
          <w:szCs w:val="20"/>
          <w:color w:val="auto"/>
        </w:rPr>
      </w:pPr>
    </w:p>
    <w:p>
      <w:pPr>
        <w:ind w:left="1760" w:right="299" w:hanging="348"/>
        <w:spacing w:after="0" w:line="233" w:lineRule="auto"/>
        <w:tabs>
          <w:tab w:leader="none" w:pos="1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reported represent the “Compensation Actually Paid” to our PEO, computed in accordance with Item 402(v) of Regulation S-K, but do not reflect the actual amount of compensation earned by or paid to our PEO in the applicable year. The valuation assumptions used to calculate fair values were updated for the applicable fiscal year, and the assumptions for the applicable fiscal year are set forth in the notes to the financial statements in our annual on Form 10-K for the applicable fiscal year.</w:t>
      </w:r>
    </w:p>
    <w:p>
      <w:pPr>
        <w:spacing w:after="0" w:line="22" w:lineRule="exact"/>
        <w:rPr>
          <w:rFonts w:ascii="Arial" w:cs="Arial" w:eastAsia="Arial" w:hAnsi="Arial"/>
          <w:sz w:val="14"/>
          <w:szCs w:val="14"/>
          <w:color w:val="auto"/>
        </w:rPr>
      </w:pPr>
    </w:p>
    <w:p>
      <w:pPr>
        <w:ind w:left="1760" w:right="499" w:hanging="348"/>
        <w:spacing w:after="0" w:line="248" w:lineRule="auto"/>
        <w:tabs>
          <w:tab w:leader="none" w:pos="17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 accordance with Item 402(v) of Regulation S-K, the table below describes the adjustments that were made to the amounts reported for our PEO in the “Total” column of the Summary Compensation Table for each year to calculate the “Compensation Actually Paid”.</w:t>
      </w:r>
    </w:p>
    <w:p>
      <w:pPr>
        <w:ind w:left="1760"/>
        <w:spacing w:after="0"/>
        <w:rPr>
          <w:rFonts w:ascii="Arial" w:cs="Arial" w:eastAsia="Arial" w:hAnsi="Arial"/>
          <w:sz w:val="13"/>
          <w:szCs w:val="13"/>
          <w:color w:val="auto"/>
        </w:rPr>
      </w:pPr>
      <w:r>
        <w:rPr>
          <w:rFonts w:ascii="Arial" w:cs="Arial" w:eastAsia="Arial" w:hAnsi="Arial"/>
          <w:sz w:val="14"/>
          <w:szCs w:val="14"/>
          <w:color w:val="auto"/>
        </w:rPr>
        <w:t>No dividends or other earnings were paid on stock or option awards in the covered fiscal year.</w:t>
      </w:r>
    </w:p>
    <w:p>
      <w:pPr>
        <w:spacing w:after="0" w:line="147"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49530</wp:posOffset>
            </wp:positionV>
            <wp:extent cx="4886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59"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246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620" w:type="dxa"/>
            <w:vAlign w:val="bottom"/>
          </w:tcPr>
          <w:p>
            <w:pPr>
              <w:ind w:left="2340"/>
              <w:spacing w:after="0"/>
              <w:rPr>
                <w:sz w:val="20"/>
                <w:szCs w:val="20"/>
                <w:color w:val="auto"/>
              </w:rPr>
            </w:pPr>
            <w:r>
              <w:rPr>
                <w:rFonts w:ascii="Arial" w:cs="Arial" w:eastAsia="Arial" w:hAnsi="Arial"/>
                <w:sz w:val="4"/>
                <w:szCs w:val="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ind w:left="12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ind w:left="100"/>
              <w:spacing w:after="0"/>
              <w:rPr>
                <w:sz w:val="20"/>
                <w:szCs w:val="20"/>
                <w:color w:val="auto"/>
              </w:rPr>
            </w:pPr>
            <w:r>
              <w:rPr>
                <w:rFonts w:ascii="Arial" w:cs="Arial" w:eastAsia="Arial" w:hAnsi="Arial"/>
                <w:sz w:val="4"/>
                <w:szCs w:val="4"/>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79375</wp:posOffset>
            </wp:positionV>
            <wp:extent cx="4886325"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86325" cy="17970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p>
      <w:pPr>
        <w:spacing w:after="0" w:line="185" w:lineRule="exact"/>
        <w:rPr>
          <w:sz w:val="20"/>
          <w:szCs w:val="20"/>
          <w:color w:val="auto"/>
        </w:rPr>
      </w:pPr>
    </w:p>
    <w:p>
      <w:pPr>
        <w:ind w:left="1960" w:hanging="94"/>
        <w:spacing w:after="0"/>
        <w:tabs>
          <w:tab w:leader="none" w:pos="1960" w:val="left"/>
        </w:tabs>
        <w:numPr>
          <w:ilvl w:val="1"/>
          <w:numId w:val="53"/>
        </w:numPr>
        <w:rPr>
          <w:rFonts w:ascii="Arial" w:cs="Arial" w:eastAsia="Arial" w:hAnsi="Arial"/>
          <w:sz w:val="4"/>
          <w:szCs w:val="4"/>
          <w:color w:val="auto"/>
        </w:rPr>
      </w:pPr>
      <w:r>
        <w:rPr>
          <w:rFonts w:ascii="Arial" w:cs="Arial" w:eastAsia="Arial" w:hAnsi="Arial"/>
          <w:sz w:val="4"/>
          <w:szCs w:val="4"/>
          <w:color w:val="auto"/>
        </w:rPr>
        <w:t>​</w:t>
      </w:r>
      <w:r>
        <w:rPr>
          <w:rFonts w:ascii="Arial" w:cs="Arial" w:eastAsia="Arial" w:hAnsi="Arial"/>
          <w:sz w:val="12"/>
          <w:szCs w:val="12"/>
          <w:color w:val="auto"/>
        </w:rPr>
        <w:t>Summary Compensation Table - Total Compensation</w:t>
      </w:r>
    </w:p>
    <w:p>
      <w:pPr>
        <w:spacing w:after="0" w:line="104" w:lineRule="exact"/>
        <w:rPr>
          <w:rFonts w:ascii="Arial" w:cs="Arial" w:eastAsia="Arial" w:hAnsi="Arial"/>
          <w:sz w:val="4"/>
          <w:szCs w:val="4"/>
          <w:color w:val="auto"/>
        </w:rPr>
      </w:pPr>
    </w:p>
    <w:p>
      <w:pPr>
        <w:ind w:left="2060" w:hanging="288"/>
        <w:spacing w:after="0"/>
        <w:tabs>
          <w:tab w:leader="none" w:pos="20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Grant Date Fair Value of Stock Awards and Option Awards Granted in Fiscal</w:t>
      </w:r>
    </w:p>
    <w:p>
      <w:pPr>
        <w:ind w:left="1960" w:hanging="94"/>
        <w:spacing w:after="0"/>
        <w:tabs>
          <w:tab w:leader="none" w:pos="1960" w:val="left"/>
        </w:tabs>
        <w:numPr>
          <w:ilvl w:val="1"/>
          <w:numId w:val="53"/>
        </w:numPr>
        <w:rPr>
          <w:rFonts w:ascii="Arial" w:cs="Arial" w:eastAsia="Arial" w:hAnsi="Arial"/>
          <w:sz w:val="7"/>
          <w:szCs w:val="7"/>
          <w:color w:val="auto"/>
          <w:vertAlign w:val="superscript"/>
        </w:rPr>
      </w:pPr>
      <w:r>
        <w:rPr>
          <w:rFonts w:ascii="Arial" w:cs="Arial" w:eastAsia="Arial" w:hAnsi="Arial"/>
          <w:sz w:val="7"/>
          <w:szCs w:val="7"/>
          <w:color w:val="auto"/>
          <w:vertAlign w:val="superscript"/>
        </w:rPr>
        <w:t>​</w:t>
      </w:r>
      <w:r>
        <w:rPr>
          <w:rFonts w:ascii="Arial" w:cs="Arial" w:eastAsia="Arial" w:hAnsi="Arial"/>
          <w:sz w:val="14"/>
          <w:szCs w:val="14"/>
          <w:color w:val="auto"/>
        </w:rPr>
        <w:t xml:space="preser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46990</wp:posOffset>
            </wp:positionV>
            <wp:extent cx="4886325" cy="2571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86325" cy="257175"/>
                    </a:xfrm>
                    <a:prstGeom prst="rect">
                      <a:avLst/>
                    </a:prstGeom>
                    <a:noFill/>
                  </pic:spPr>
                </pic:pic>
              </a:graphicData>
            </a:graphic>
          </wp:anchor>
        </w:drawing>
      </w:r>
    </w:p>
    <w:p>
      <w:pPr>
        <w:spacing w:after="0" w:line="89" w:lineRule="exact"/>
        <w:rPr>
          <w:sz w:val="20"/>
          <w:szCs w:val="20"/>
          <w:color w:val="auto"/>
        </w:rPr>
      </w:pPr>
    </w:p>
    <w:p>
      <w:pPr>
        <w:ind w:left="2060" w:hanging="288"/>
        <w:spacing w:after="0"/>
        <w:tabs>
          <w:tab w:leader="none" w:pos="20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Fair Value at Fiscal Year End of Outstanding and Unvested Stock Awards and</w:t>
      </w:r>
    </w:p>
    <w:p>
      <w:pPr>
        <w:spacing w:after="0" w:line="22" w:lineRule="exact"/>
        <w:rPr>
          <w:rFonts w:ascii="Arial" w:cs="Arial" w:eastAsia="Arial" w:hAnsi="Arial"/>
          <w:sz w:val="12"/>
          <w:szCs w:val="12"/>
          <w:color w:val="auto"/>
        </w:rPr>
      </w:pPr>
    </w:p>
    <w:p>
      <w:pPr>
        <w:ind w:left="1960" w:hanging="94"/>
        <w:spacing w:after="0"/>
        <w:tabs>
          <w:tab w:leader="none" w:pos="1960" w:val="left"/>
        </w:tabs>
        <w:numPr>
          <w:ilvl w:val="1"/>
          <w:numId w:val="54"/>
        </w:numPr>
        <w:rPr>
          <w:rFonts w:ascii="Arial" w:cs="Arial" w:eastAsia="Arial" w:hAnsi="Arial"/>
          <w:sz w:val="7"/>
          <w:szCs w:val="7"/>
          <w:color w:val="auto"/>
          <w:vertAlign w:val="superscript"/>
        </w:rPr>
      </w:pPr>
      <w:r>
        <w:rPr>
          <w:rFonts w:ascii="Arial" w:cs="Arial" w:eastAsia="Arial" w:hAnsi="Arial"/>
          <w:sz w:val="7"/>
          <w:szCs w:val="7"/>
          <w:color w:val="auto"/>
          <w:vertAlign w:val="superscript"/>
        </w:rPr>
        <w:t>​</w:t>
      </w:r>
      <w:r>
        <w:rPr>
          <w:rFonts w:ascii="Arial" w:cs="Arial" w:eastAsia="Arial" w:hAnsi="Arial"/>
          <w:sz w:val="14"/>
          <w:szCs w:val="14"/>
          <w:color w:val="auto"/>
        </w:rPr>
        <w:t xml:space="preserve">      Option Awards Granted in Fiscal Year</w:t>
      </w:r>
    </w:p>
    <w:p>
      <w:pPr>
        <w:spacing w:after="0" w:line="83" w:lineRule="exact"/>
        <w:rPr>
          <w:rFonts w:ascii="Arial" w:cs="Arial" w:eastAsia="Arial" w:hAnsi="Arial"/>
          <w:sz w:val="7"/>
          <w:szCs w:val="7"/>
          <w:color w:val="auto"/>
          <w:vertAlign w:val="superscript"/>
        </w:rPr>
      </w:pPr>
    </w:p>
    <w:p>
      <w:pPr>
        <w:ind w:left="2060" w:hanging="288"/>
        <w:spacing w:after="0"/>
        <w:tabs>
          <w:tab w:leader="none" w:pos="20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Change in Fair Value of Outstanding and Unvested Stock Awards and Option</w:t>
      </w:r>
    </w:p>
    <w:p>
      <w:pPr>
        <w:spacing w:after="0" w:line="11" w:lineRule="exact"/>
        <w:rPr>
          <w:rFonts w:ascii="Arial" w:cs="Arial" w:eastAsia="Arial" w:hAnsi="Arial"/>
          <w:sz w:val="13"/>
          <w:szCs w:val="13"/>
          <w:color w:val="auto"/>
        </w:rPr>
      </w:pPr>
    </w:p>
    <w:p>
      <w:pPr>
        <w:ind w:left="1960" w:hanging="94"/>
        <w:spacing w:after="0"/>
        <w:tabs>
          <w:tab w:leader="none" w:pos="1960" w:val="left"/>
        </w:tabs>
        <w:numPr>
          <w:ilvl w:val="1"/>
          <w:numId w:val="54"/>
        </w:numPr>
        <w:rPr>
          <w:rFonts w:ascii="Arial" w:cs="Arial" w:eastAsia="Arial" w:hAnsi="Arial"/>
          <w:sz w:val="7"/>
          <w:szCs w:val="7"/>
          <w:color w:val="auto"/>
          <w:vertAlign w:val="superscript"/>
        </w:rPr>
      </w:pPr>
      <w:r>
        <w:rPr>
          <w:rFonts w:ascii="Arial" w:cs="Arial" w:eastAsia="Arial" w:hAnsi="Arial"/>
          <w:sz w:val="7"/>
          <w:szCs w:val="7"/>
          <w:color w:val="auto"/>
          <w:vertAlign w:val="superscript"/>
        </w:rPr>
        <w:t>​</w:t>
      </w:r>
      <w:r>
        <w:rPr>
          <w:rFonts w:ascii="Arial" w:cs="Arial" w:eastAsia="Arial" w:hAnsi="Arial"/>
          <w:sz w:val="14"/>
          <w:szCs w:val="14"/>
          <w:color w:val="auto"/>
        </w:rPr>
        <w:t xml:space="preserve">      Awards Granted in Prior Fiscal Years</w:t>
      </w:r>
    </w:p>
    <w:p>
      <w:pPr>
        <w:spacing w:after="0" w:line="83" w:lineRule="exact"/>
        <w:rPr>
          <w:rFonts w:ascii="Arial" w:cs="Arial" w:eastAsia="Arial" w:hAnsi="Arial"/>
          <w:sz w:val="7"/>
          <w:szCs w:val="7"/>
          <w:color w:val="auto"/>
          <w:vertAlign w:val="superscript"/>
        </w:rPr>
      </w:pPr>
    </w:p>
    <w:p>
      <w:pPr>
        <w:ind w:left="2060" w:hanging="288"/>
        <w:spacing w:after="0"/>
        <w:tabs>
          <w:tab w:leader="none" w:pos="20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Fair Value at Vesting of Stock Awards and Option Awards Granted in Fiscal</w:t>
      </w:r>
    </w:p>
    <w:p>
      <w:pPr>
        <w:spacing w:after="0" w:line="11" w:lineRule="exact"/>
        <w:rPr>
          <w:rFonts w:ascii="Arial" w:cs="Arial" w:eastAsia="Arial" w:hAnsi="Arial"/>
          <w:sz w:val="13"/>
          <w:szCs w:val="13"/>
          <w:color w:val="auto"/>
        </w:rPr>
      </w:pPr>
    </w:p>
    <w:p>
      <w:pPr>
        <w:ind w:left="1960" w:hanging="94"/>
        <w:spacing w:after="0"/>
        <w:tabs>
          <w:tab w:leader="none" w:pos="1960" w:val="left"/>
        </w:tabs>
        <w:numPr>
          <w:ilvl w:val="1"/>
          <w:numId w:val="54"/>
        </w:numPr>
        <w:rPr>
          <w:rFonts w:ascii="Arial" w:cs="Arial" w:eastAsia="Arial" w:hAnsi="Arial"/>
          <w:sz w:val="7"/>
          <w:szCs w:val="7"/>
          <w:color w:val="auto"/>
          <w:vertAlign w:val="superscript"/>
        </w:rPr>
      </w:pPr>
      <w:r>
        <w:rPr>
          <w:rFonts w:ascii="Arial" w:cs="Arial" w:eastAsia="Arial" w:hAnsi="Arial"/>
          <w:sz w:val="7"/>
          <w:szCs w:val="7"/>
          <w:color w:val="auto"/>
          <w:vertAlign w:val="superscript"/>
        </w:rPr>
        <w:t>​</w:t>
      </w:r>
      <w:r>
        <w:rPr>
          <w:rFonts w:ascii="Arial" w:cs="Arial" w:eastAsia="Arial" w:hAnsi="Arial"/>
          <w:sz w:val="14"/>
          <w:szCs w:val="14"/>
          <w:color w:val="auto"/>
        </w:rPr>
        <w:t xml:space="preserve">      Year That Vested During Fiscal Year</w:t>
      </w:r>
    </w:p>
    <w:p>
      <w:pPr>
        <w:spacing w:after="0" w:line="83" w:lineRule="exact"/>
        <w:rPr>
          <w:rFonts w:ascii="Arial" w:cs="Arial" w:eastAsia="Arial" w:hAnsi="Arial"/>
          <w:sz w:val="7"/>
          <w:szCs w:val="7"/>
          <w:color w:val="auto"/>
          <w:vertAlign w:val="superscript"/>
        </w:rPr>
      </w:pPr>
    </w:p>
    <w:p>
      <w:pPr>
        <w:ind w:left="2060" w:hanging="288"/>
        <w:spacing w:after="0"/>
        <w:tabs>
          <w:tab w:leader="none" w:pos="20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Change in Fair Value as of Vesting Date of Stock Awards and Option Awards</w:t>
      </w:r>
    </w:p>
    <w:p>
      <w:pPr>
        <w:spacing w:after="0" w:line="11" w:lineRule="exact"/>
        <w:rPr>
          <w:rFonts w:ascii="Arial" w:cs="Arial" w:eastAsia="Arial" w:hAnsi="Arial"/>
          <w:sz w:val="13"/>
          <w:szCs w:val="13"/>
          <w:color w:val="auto"/>
        </w:rPr>
      </w:pPr>
    </w:p>
    <w:p>
      <w:pPr>
        <w:ind w:left="2060" w:hanging="194"/>
        <w:spacing w:after="0" w:line="237" w:lineRule="auto"/>
        <w:tabs>
          <w:tab w:leader="none" w:pos="1952" w:val="left"/>
        </w:tabs>
        <w:numPr>
          <w:ilvl w:val="1"/>
          <w:numId w:val="54"/>
        </w:numPr>
        <w:rPr>
          <w:rFonts w:ascii="Arial" w:cs="Arial" w:eastAsia="Arial" w:hAnsi="Arial"/>
          <w:sz w:val="4"/>
          <w:szCs w:val="4"/>
          <w:color w:val="auto"/>
        </w:rPr>
      </w:pPr>
      <w:r>
        <w:rPr>
          <w:rFonts w:ascii="Arial" w:cs="Arial" w:eastAsia="Arial" w:hAnsi="Arial"/>
          <w:sz w:val="4"/>
          <w:szCs w:val="4"/>
          <w:color w:val="auto"/>
        </w:rPr>
        <w:t>​</w:t>
      </w:r>
      <w:r>
        <w:rPr>
          <w:rFonts w:ascii="Arial" w:cs="Arial" w:eastAsia="Arial" w:hAnsi="Arial"/>
          <w:sz w:val="14"/>
          <w:szCs w:val="14"/>
          <w:color w:val="auto"/>
        </w:rPr>
        <w:t>Granted in Prior Fiscal Years For Which Applicable Vesting Conditions Were Satisfied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-582930</wp:posOffset>
            </wp:positionV>
            <wp:extent cx="4886325" cy="2571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886325" cy="25717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25400</wp:posOffset>
            </wp:positionV>
            <wp:extent cx="4886325" cy="3600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886325" cy="360045"/>
                    </a:xfrm>
                    <a:prstGeom prst="rect">
                      <a:avLst/>
                    </a:prstGeom>
                    <a:noFill/>
                  </pic:spPr>
                </pic:pic>
              </a:graphicData>
            </a:graphic>
          </wp:anchor>
        </w:drawing>
      </w:r>
    </w:p>
    <w:p>
      <w:pPr>
        <w:spacing w:after="0" w:line="55" w:lineRule="exact"/>
        <w:rPr>
          <w:sz w:val="20"/>
          <w:szCs w:val="20"/>
          <w:color w:val="auto"/>
        </w:rPr>
      </w:pPr>
    </w:p>
    <w:p>
      <w:pPr>
        <w:ind w:left="2060" w:hanging="288"/>
        <w:spacing w:after="0"/>
        <w:tabs>
          <w:tab w:leader="none" w:pos="20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Fair Value as of Prior Fiscal Year End of Stock Awards and Option Awards</w:t>
      </w:r>
    </w:p>
    <w:p>
      <w:pPr>
        <w:spacing w:after="0" w:line="11" w:lineRule="exact"/>
        <w:rPr>
          <w:rFonts w:ascii="Arial" w:cs="Arial" w:eastAsia="Arial" w:hAnsi="Arial"/>
          <w:sz w:val="13"/>
          <w:szCs w:val="13"/>
          <w:color w:val="auto"/>
        </w:rPr>
      </w:pPr>
    </w:p>
    <w:p>
      <w:pPr>
        <w:ind w:left="2060" w:right="500" w:hanging="194"/>
        <w:spacing w:after="0" w:line="237" w:lineRule="auto"/>
        <w:tabs>
          <w:tab w:leader="none" w:pos="1952" w:val="left"/>
        </w:tabs>
        <w:numPr>
          <w:ilvl w:val="1"/>
          <w:numId w:val="55"/>
        </w:numPr>
        <w:rPr>
          <w:rFonts w:ascii="Arial" w:cs="Arial" w:eastAsia="Arial" w:hAnsi="Arial"/>
          <w:sz w:val="4"/>
          <w:szCs w:val="4"/>
          <w:color w:val="auto"/>
        </w:rPr>
      </w:pPr>
      <w:r>
        <w:rPr>
          <w:rFonts w:ascii="Arial" w:cs="Arial" w:eastAsia="Arial" w:hAnsi="Arial"/>
          <w:sz w:val="4"/>
          <w:szCs w:val="4"/>
          <w:color w:val="auto"/>
        </w:rPr>
        <w:t>​</w:t>
      </w:r>
      <w:r>
        <w:rPr>
          <w:rFonts w:ascii="Arial" w:cs="Arial" w:eastAsia="Arial" w:hAnsi="Arial"/>
          <w:sz w:val="14"/>
          <w:szCs w:val="14"/>
          <w:color w:val="auto"/>
        </w:rPr>
        <w:t>Granted in Prior Fiscal Years That Failed to Meet Applicable Vesting Conditions During Fiscal Year</w:t>
      </w:r>
    </w:p>
    <w:p>
      <w:pPr>
        <w:spacing w:after="0" w:line="102"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w:t>
      </w:r>
      <w:r>
        <w:rPr>
          <w:rFonts w:ascii="Arial" w:cs="Arial" w:eastAsia="Arial" w:hAnsi="Arial"/>
          <w:sz w:val="3"/>
          <w:szCs w:val="3"/>
          <w:color w:val="auto"/>
        </w:rPr>
        <w:t>​     ​</w:t>
      </w:r>
      <w:r>
        <w:rPr>
          <w:rFonts w:ascii="Arial" w:cs="Arial" w:eastAsia="Arial" w:hAnsi="Arial"/>
          <w:sz w:val="14"/>
          <w:szCs w:val="14"/>
          <w:color w:val="auto"/>
        </w:rPr>
        <w:t xml:space="preserve">      Compensation Actually Paid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640" w:type="dxa"/>
            <w:vAlign w:val="bottom"/>
            <w:gridSpan w:val="2"/>
          </w:tcPr>
          <w:p>
            <w:pPr>
              <w:spacing w:after="0"/>
              <w:rPr>
                <w:sz w:val="20"/>
                <w:szCs w:val="20"/>
                <w:color w:val="auto"/>
              </w:rPr>
            </w:pPr>
            <w:r>
              <w:rPr>
                <w:rFonts w:ascii="Arial" w:cs="Arial" w:eastAsia="Arial" w:hAnsi="Arial"/>
                <w:sz w:val="14"/>
                <w:szCs w:val="14"/>
                <w:color w:val="auto"/>
                <w:w w:val="88"/>
              </w:rPr>
              <w:t>$2,951,667</w:t>
            </w:r>
          </w:p>
        </w:tc>
        <w:tc>
          <w:tcPr>
            <w:tcW w:w="160" w:type="dxa"/>
            <w:vAlign w:val="bottom"/>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60" w:type="dxa"/>
            <w:vAlign w:val="bottom"/>
            <w:gridSpan w:val="5"/>
          </w:tcPr>
          <w:p>
            <w:pPr>
              <w:jc w:val="right"/>
              <w:ind w:right="60"/>
              <w:spacing w:after="0"/>
              <w:rPr>
                <w:sz w:val="20"/>
                <w:szCs w:val="20"/>
                <w:color w:val="auto"/>
              </w:rPr>
            </w:pPr>
            <w:r>
              <w:rPr>
                <w:rFonts w:ascii="Arial" w:cs="Arial" w:eastAsia="Arial" w:hAnsi="Arial"/>
                <w:sz w:val="14"/>
                <w:szCs w:val="14"/>
                <w:color w:val="auto"/>
                <w:w w:val="96"/>
              </w:rPr>
              <w:t>$5,572,785</w:t>
            </w:r>
            <w:r>
              <w:rPr>
                <w:rFonts w:ascii="Arial" w:cs="Arial" w:eastAsia="Arial" w:hAnsi="Arial"/>
                <w:sz w:val="3"/>
                <w:szCs w:val="3"/>
                <w:color w:val="auto"/>
                <w:w w:val="96"/>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700" w:type="dxa"/>
            <w:vAlign w:val="bottom"/>
            <w:gridSpan w:val="3"/>
          </w:tcPr>
          <w:p>
            <w:pPr>
              <w:ind w:left="60"/>
              <w:spacing w:after="0"/>
              <w:rPr>
                <w:sz w:val="20"/>
                <w:szCs w:val="20"/>
                <w:color w:val="auto"/>
              </w:rPr>
            </w:pPr>
            <w:r>
              <w:rPr>
                <w:rFonts w:ascii="Arial" w:cs="Arial" w:eastAsia="Arial" w:hAnsi="Arial"/>
                <w:sz w:val="14"/>
                <w:szCs w:val="14"/>
                <w:color w:val="auto"/>
                <w:w w:val="88"/>
              </w:rPr>
              <w:t>$7,043,045</w:t>
            </w:r>
          </w:p>
        </w:tc>
        <w:tc>
          <w:tcPr>
            <w:tcW w:w="100" w:type="dxa"/>
            <w:vAlign w:val="bottom"/>
          </w:tcPr>
          <w:p>
            <w:pPr>
              <w:spacing w:after="0"/>
              <w:rPr>
                <w:sz w:val="15"/>
                <w:szCs w:val="15"/>
                <w:color w:val="auto"/>
              </w:rPr>
            </w:pPr>
          </w:p>
        </w:tc>
      </w:tr>
      <w:tr>
        <w:trPr>
          <w:trHeight w:val="405"/>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640" w:type="dxa"/>
            <w:vAlign w:val="bottom"/>
            <w:gridSpan w:val="2"/>
          </w:tcPr>
          <w:p>
            <w:pPr>
              <w:spacing w:after="0"/>
              <w:rPr>
                <w:sz w:val="20"/>
                <w:szCs w:val="20"/>
                <w:color w:val="auto"/>
              </w:rPr>
            </w:pPr>
            <w:r>
              <w:rPr>
                <w:rFonts w:ascii="Arial" w:cs="Arial" w:eastAsia="Arial" w:hAnsi="Arial"/>
                <w:sz w:val="14"/>
                <w:szCs w:val="14"/>
                <w:color w:val="auto"/>
                <w:w w:val="88"/>
              </w:rPr>
              <w:t>$1,486,335</w:t>
            </w:r>
          </w:p>
        </w:tc>
        <w:tc>
          <w:tcPr>
            <w:tcW w:w="160" w:type="dxa"/>
            <w:vAlign w:val="bottom"/>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60" w:type="dxa"/>
            <w:vAlign w:val="bottom"/>
            <w:gridSpan w:val="5"/>
          </w:tcPr>
          <w:p>
            <w:pPr>
              <w:jc w:val="right"/>
              <w:ind w:right="60"/>
              <w:spacing w:after="0"/>
              <w:rPr>
                <w:sz w:val="20"/>
                <w:szCs w:val="20"/>
                <w:color w:val="auto"/>
              </w:rPr>
            </w:pPr>
            <w:r>
              <w:rPr>
                <w:rFonts w:ascii="Arial" w:cs="Arial" w:eastAsia="Arial" w:hAnsi="Arial"/>
                <w:sz w:val="14"/>
                <w:szCs w:val="14"/>
                <w:color w:val="auto"/>
                <w:w w:val="96"/>
              </w:rPr>
              <w:t>$2,335,967</w:t>
            </w:r>
            <w:r>
              <w:rPr>
                <w:rFonts w:ascii="Arial" w:cs="Arial" w:eastAsia="Arial" w:hAnsi="Arial"/>
                <w:sz w:val="7"/>
                <w:szCs w:val="7"/>
                <w:color w:val="auto"/>
                <w:w w:val="96"/>
                <w:vertAlign w:val="superscript"/>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700" w:type="dxa"/>
            <w:vAlign w:val="bottom"/>
            <w:gridSpan w:val="3"/>
          </w:tcPr>
          <w:p>
            <w:pPr>
              <w:ind w:left="60"/>
              <w:spacing w:after="0"/>
              <w:rPr>
                <w:sz w:val="20"/>
                <w:szCs w:val="20"/>
                <w:color w:val="auto"/>
              </w:rPr>
            </w:pPr>
            <w:r>
              <w:rPr>
                <w:rFonts w:ascii="Arial" w:cs="Arial" w:eastAsia="Arial" w:hAnsi="Arial"/>
                <w:sz w:val="14"/>
                <w:szCs w:val="14"/>
                <w:color w:val="auto"/>
                <w:w w:val="88"/>
              </w:rPr>
              <w:t>$4,211,480</w:t>
            </w:r>
          </w:p>
        </w:tc>
        <w:tc>
          <w:tcPr>
            <w:tcW w:w="100" w:type="dxa"/>
            <w:vAlign w:val="bottom"/>
          </w:tcPr>
          <w:p>
            <w:pPr>
              <w:spacing w:after="0"/>
              <w:rPr>
                <w:sz w:val="24"/>
                <w:szCs w:val="24"/>
                <w:color w:val="auto"/>
              </w:rPr>
            </w:pPr>
          </w:p>
        </w:tc>
      </w:tr>
      <w:tr>
        <w:trPr>
          <w:trHeight w:val="405"/>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560,754</w:t>
            </w:r>
          </w:p>
        </w:tc>
        <w:tc>
          <w:tcPr>
            <w:tcW w:w="160" w:type="dxa"/>
            <w:vAlign w:val="bottom"/>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w w:val="98"/>
              </w:rPr>
              <w:t>961,177</w:t>
            </w:r>
            <w:r>
              <w:rPr>
                <w:rFonts w:ascii="Arial" w:cs="Arial" w:eastAsia="Arial" w:hAnsi="Arial"/>
                <w:sz w:val="7"/>
                <w:szCs w:val="7"/>
                <w:color w:val="auto"/>
                <w:w w:val="98"/>
                <w:vertAlign w:val="superscript"/>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20" w:type="dxa"/>
            <w:vAlign w:val="bottom"/>
          </w:tcPr>
          <w:p>
            <w:pPr>
              <w:ind w:left="60"/>
              <w:spacing w:after="0"/>
              <w:rPr>
                <w:sz w:val="20"/>
                <w:szCs w:val="20"/>
                <w:color w:val="auto"/>
              </w:rPr>
            </w:pPr>
            <w:r>
              <w:rPr>
                <w:rFonts w:ascii="Arial" w:cs="Arial" w:eastAsia="Arial" w:hAnsi="Arial"/>
                <w:sz w:val="14"/>
                <w:szCs w:val="14"/>
                <w:color w:val="auto"/>
                <w:w w:val="86"/>
              </w:rPr>
              <w:t>415,751</w:t>
            </w:r>
          </w:p>
        </w:tc>
        <w:tc>
          <w:tcPr>
            <w:tcW w:w="100" w:type="dxa"/>
            <w:vAlign w:val="bottom"/>
          </w:tcPr>
          <w:p>
            <w:pPr>
              <w:spacing w:after="0"/>
              <w:rPr>
                <w:sz w:val="24"/>
                <w:szCs w:val="24"/>
                <w:color w:val="auto"/>
              </w:rPr>
            </w:pPr>
          </w:p>
        </w:tc>
      </w:tr>
      <w:tr>
        <w:trPr>
          <w:trHeight w:val="405"/>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
              <w:spacing w:after="0"/>
              <w:rPr>
                <w:sz w:val="20"/>
                <w:szCs w:val="20"/>
                <w:color w:val="auto"/>
              </w:rPr>
            </w:pPr>
            <w:r>
              <w:rPr>
                <w:rFonts w:ascii="Arial" w:cs="Arial" w:eastAsia="Arial" w:hAnsi="Arial"/>
                <w:sz w:val="14"/>
                <w:szCs w:val="14"/>
                <w:color w:val="auto"/>
              </w:rPr>
              <w:t xml:space="preserve">(74,744) </w:t>
            </w:r>
            <w:r>
              <w:rPr>
                <w:rFonts w:ascii="Arial" w:cs="Arial" w:eastAsia="Arial" w:hAnsi="Arial"/>
                <w:sz w:val="7"/>
                <w:szCs w:val="7"/>
                <w:color w:val="auto"/>
                <w:vertAlign w:val="superscript"/>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w w:val="98"/>
              </w:rPr>
              <w:t>232,027</w:t>
            </w:r>
            <w:r>
              <w:rPr>
                <w:rFonts w:ascii="Arial" w:cs="Arial" w:eastAsia="Arial" w:hAnsi="Arial"/>
                <w:sz w:val="7"/>
                <w:szCs w:val="7"/>
                <w:color w:val="auto"/>
                <w:w w:val="98"/>
                <w:vertAlign w:val="superscript"/>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60"/>
              <w:spacing w:after="0"/>
              <w:rPr>
                <w:sz w:val="20"/>
                <w:szCs w:val="20"/>
                <w:color w:val="auto"/>
              </w:rPr>
            </w:pPr>
            <w:r>
              <w:rPr>
                <w:rFonts w:ascii="Arial" w:cs="Arial" w:eastAsia="Arial" w:hAnsi="Arial"/>
                <w:sz w:val="14"/>
                <w:szCs w:val="14"/>
                <w:color w:val="auto"/>
                <w:w w:val="90"/>
              </w:rPr>
              <w:t>(592,567)</w:t>
            </w:r>
          </w:p>
        </w:tc>
      </w:tr>
      <w:tr>
        <w:trPr>
          <w:trHeight w:val="405"/>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640" w:type="dxa"/>
            <w:vAlign w:val="bottom"/>
            <w:gridSpan w:val="2"/>
          </w:tcPr>
          <w:p>
            <w:pPr>
              <w:spacing w:after="0"/>
              <w:rPr>
                <w:sz w:val="20"/>
                <w:szCs w:val="20"/>
                <w:color w:val="auto"/>
              </w:rPr>
            </w:pPr>
            <w:r>
              <w:rPr>
                <w:rFonts w:ascii="Arial" w:cs="Arial" w:eastAsia="Arial" w:hAnsi="Arial"/>
                <w:sz w:val="14"/>
                <w:szCs w:val="14"/>
                <w:color w:val="auto"/>
                <w:w w:val="88"/>
              </w:rPr>
              <w:t>$1,071,771</w:t>
            </w:r>
          </w:p>
        </w:tc>
        <w:tc>
          <w:tcPr>
            <w:tcW w:w="160" w:type="dxa"/>
            <w:vAlign w:val="bottom"/>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60" w:type="dxa"/>
            <w:vAlign w:val="bottom"/>
            <w:gridSpan w:val="5"/>
          </w:tcPr>
          <w:p>
            <w:pPr>
              <w:jc w:val="right"/>
              <w:ind w:right="60"/>
              <w:spacing w:after="0"/>
              <w:rPr>
                <w:sz w:val="20"/>
                <w:szCs w:val="20"/>
                <w:color w:val="auto"/>
              </w:rPr>
            </w:pPr>
            <w:r>
              <w:rPr>
                <w:rFonts w:ascii="Arial" w:cs="Arial" w:eastAsia="Arial" w:hAnsi="Arial"/>
                <w:sz w:val="14"/>
                <w:szCs w:val="14"/>
                <w:color w:val="auto"/>
                <w:w w:val="96"/>
              </w:rPr>
              <w:t>$1,324,256</w:t>
            </w:r>
            <w:r>
              <w:rPr>
                <w:rFonts w:ascii="Arial" w:cs="Arial" w:eastAsia="Arial" w:hAnsi="Arial"/>
                <w:sz w:val="7"/>
                <w:szCs w:val="7"/>
                <w:color w:val="auto"/>
                <w:w w:val="96"/>
                <w:vertAlign w:val="superscript"/>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20" w:type="dxa"/>
            <w:vAlign w:val="bottom"/>
          </w:tcPr>
          <w:p>
            <w:pPr>
              <w:ind w:left="60"/>
              <w:spacing w:after="0"/>
              <w:rPr>
                <w:sz w:val="20"/>
                <w:szCs w:val="20"/>
                <w:color w:val="auto"/>
              </w:rPr>
            </w:pPr>
            <w:r>
              <w:rPr>
                <w:rFonts w:ascii="Arial" w:cs="Arial" w:eastAsia="Arial" w:hAnsi="Arial"/>
                <w:sz w:val="14"/>
                <w:szCs w:val="14"/>
                <w:color w:val="auto"/>
                <w:w w:val="86"/>
              </w:rPr>
              <w:t>134,587</w:t>
            </w:r>
          </w:p>
        </w:tc>
        <w:tc>
          <w:tcPr>
            <w:tcW w:w="100" w:type="dxa"/>
            <w:vAlign w:val="bottom"/>
          </w:tcPr>
          <w:p>
            <w:pPr>
              <w:spacing w:after="0"/>
              <w:rPr>
                <w:sz w:val="24"/>
                <w:szCs w:val="24"/>
                <w:color w:val="auto"/>
              </w:rPr>
            </w:pPr>
          </w:p>
        </w:tc>
      </w:tr>
      <w:tr>
        <w:trPr>
          <w:trHeight w:val="333"/>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gridSpan w:val="2"/>
          </w:tcPr>
          <w:p>
            <w:pPr>
              <w:jc w:val="right"/>
              <w:ind w:right="60"/>
              <w:spacing w:after="0"/>
              <w:rPr>
                <w:sz w:val="20"/>
                <w:szCs w:val="20"/>
                <w:color w:val="auto"/>
              </w:rPr>
            </w:pPr>
            <w:r>
              <w:rPr>
                <w:rFonts w:ascii="Arial" w:cs="Arial" w:eastAsia="Arial" w:hAnsi="Arial"/>
                <w:sz w:val="2"/>
                <w:szCs w:val="2"/>
                <w:color w:val="auto"/>
                <w:w w:val="4294942296"/>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46,222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250,419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60"/>
              <w:spacing w:after="0"/>
              <w:rPr>
                <w:sz w:val="20"/>
                <w:szCs w:val="20"/>
                <w:color w:val="auto"/>
              </w:rPr>
            </w:pPr>
            <w:r>
              <w:rPr>
                <w:rFonts w:ascii="Arial" w:cs="Arial" w:eastAsia="Arial" w:hAnsi="Arial"/>
                <w:sz w:val="14"/>
                <w:szCs w:val="14"/>
                <w:color w:val="auto"/>
                <w:w w:val="90"/>
              </w:rPr>
              <w:t>(238,374)</w:t>
            </w:r>
          </w:p>
        </w:tc>
      </w:tr>
      <w:tr>
        <w:trPr>
          <w:trHeight w:val="332"/>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gridSpan w:val="2"/>
          </w:tcPr>
          <w:p>
            <w:pPr>
              <w:jc w:val="right"/>
              <w:ind w:right="60"/>
              <w:spacing w:after="0"/>
              <w:rPr>
                <w:sz w:val="20"/>
                <w:szCs w:val="20"/>
                <w:color w:val="auto"/>
              </w:rPr>
            </w:pPr>
            <w:r>
              <w:rPr>
                <w:rFonts w:ascii="Arial" w:cs="Arial" w:eastAsia="Arial" w:hAnsi="Arial"/>
                <w:sz w:val="2"/>
                <w:szCs w:val="2"/>
                <w:color w:val="auto"/>
                <w:w w:val="4294942296"/>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125,736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20" w:type="dxa"/>
            <w:vAlign w:val="bottom"/>
          </w:tcPr>
          <w:p>
            <w:pPr>
              <w:ind w:left="60"/>
              <w:spacing w:after="0"/>
              <w:rPr>
                <w:sz w:val="20"/>
                <w:szCs w:val="20"/>
                <w:color w:val="auto"/>
              </w:rPr>
            </w:pPr>
            <w:r>
              <w:rPr>
                <w:rFonts w:ascii="Arial" w:cs="Arial" w:eastAsia="Arial" w:hAnsi="Arial"/>
                <w:sz w:val="14"/>
                <w:szCs w:val="14"/>
                <w:color w:val="auto"/>
                <w:w w:val="86"/>
              </w:rPr>
              <w:t>419,047</w:t>
            </w:r>
          </w:p>
        </w:tc>
        <w:tc>
          <w:tcPr>
            <w:tcW w:w="1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640" w:type="dxa"/>
            <w:vAlign w:val="bottom"/>
            <w:gridSpan w:val="2"/>
          </w:tcPr>
          <w:p>
            <w:pPr>
              <w:spacing w:after="0"/>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2,943,599</w:t>
            </w:r>
          </w:p>
        </w:tc>
        <w:tc>
          <w:tcPr>
            <w:tcW w:w="160" w:type="dxa"/>
            <w:vAlign w:val="bottom"/>
          </w:tcPr>
          <w:p>
            <w:pPr>
              <w:jc w:val="right"/>
              <w:ind w:right="2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60" w:type="dxa"/>
            <w:vAlign w:val="bottom"/>
            <w:gridSpan w:val="5"/>
          </w:tcPr>
          <w:p>
            <w:pPr>
              <w:jc w:val="right"/>
              <w:ind w:right="60"/>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6,004,697</w:t>
            </w:r>
            <w:r>
              <w:rPr>
                <w:rFonts w:ascii="Arial" w:cs="Arial" w:eastAsia="Arial" w:hAnsi="Arial"/>
                <w:sz w:val="3"/>
                <w:szCs w:val="3"/>
                <w:color w:val="auto"/>
                <w:w w:val="96"/>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700" w:type="dxa"/>
            <w:vAlign w:val="bottom"/>
            <w:gridSpan w:val="3"/>
          </w:tcPr>
          <w:p>
            <w:pPr>
              <w:ind w:left="60"/>
              <w:spacing w:after="0"/>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2,131,915</w:t>
            </w:r>
          </w:p>
        </w:tc>
        <w:tc>
          <w:tcPr>
            <w:tcW w:w="100" w:type="dxa"/>
            <w:vAlign w:val="bottom"/>
          </w:tcPr>
          <w:p>
            <w:pPr>
              <w:spacing w:after="0"/>
              <w:rPr>
                <w:sz w:val="21"/>
                <w:szCs w:val="21"/>
                <w:color w:val="auto"/>
              </w:rPr>
            </w:pPr>
          </w:p>
        </w:tc>
      </w:tr>
      <w:tr>
        <w:trPr>
          <w:trHeight w:val="21"/>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2">
            <w:col w:w="6540" w:space="120"/>
            <w:col w:w="3479"/>
          </w:cols>
          <w:pgMar w:left="320" w:top="125" w:right="1440" w:bottom="1440" w:gutter="0" w:footer="0" w:header="0"/>
          <w:type w:val="continuous"/>
        </w:sectPr>
      </w:pPr>
    </w:p>
    <w:p>
      <w:pPr>
        <w:ind w:left="1760" w:right="399" w:hanging="348"/>
        <w:spacing w:after="0" w:line="231" w:lineRule="auto"/>
        <w:tabs>
          <w:tab w:leader="none" w:pos="1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amounts reported represent the average “Compensation Actually Paid” to the NEOs other than our PEO as a group, computed in accordance with Item 402(v) of Regulation S-K. The amounts do not reflect the actual average amount of compensation earned by or paid to such NEOs as a group in the applicable year. The valuation assumptions used to calculate fair values were updated for the applicable fiscal year and the assumptions for the applicable fiscal year are set forth in the notes to the financial statements in our annual on Form 10-K for the applicable fiscal year.</w:t>
      </w:r>
    </w:p>
    <w:p>
      <w:pPr>
        <w:spacing w:after="0" w:line="18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51" w:name="page52"/>
    <w:bookmarkEnd w:id="5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640" w:right="439" w:hanging="348"/>
        <w:spacing w:after="0" w:line="233" w:lineRule="auto"/>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accordance with Item 402(v) of Regulation S-K, the table below describes the adjustments that were made were made to the average of the amounts reported in the “Total” column of the Summary Compensation Table for the NEOs as a group (excluding our PEO) for each year to determine the “Compensation Actually Paid”. No dividends or other earnings were paid on stock or option awards in the covered fiscal year.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NEO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49530</wp:posOffset>
            </wp:positionV>
            <wp:extent cx="4886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59"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2480" w:type="dxa"/>
            <w:vAlign w:val="bottom"/>
          </w:tcPr>
          <w:p>
            <w:pPr>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2620" w:type="dxa"/>
            <w:vAlign w:val="bottom"/>
          </w:tcPr>
          <w:p>
            <w:pPr>
              <w:ind w:left="2340"/>
              <w:spacing w:after="0"/>
              <w:rPr>
                <w:sz w:val="20"/>
                <w:szCs w:val="20"/>
                <w:color w:val="auto"/>
              </w:rPr>
            </w:pPr>
            <w:r>
              <w:rPr>
                <w:rFonts w:ascii="Arial" w:cs="Arial" w:eastAsia="Arial" w:hAnsi="Arial"/>
                <w:sz w:val="4"/>
                <w:szCs w:val="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ind w:left="100"/>
              <w:spacing w:after="0"/>
              <w:rPr>
                <w:sz w:val="20"/>
                <w:szCs w:val="20"/>
                <w:color w:val="auto"/>
              </w:rPr>
            </w:pPr>
            <w:r>
              <w:rPr>
                <w:rFonts w:ascii="Arial" w:cs="Arial" w:eastAsia="Arial" w:hAnsi="Arial"/>
                <w:sz w:val="4"/>
                <w:szCs w:val="4"/>
                <w:color w:val="auto"/>
                <w:w w:val="4294942296"/>
              </w:rPr>
              <w:t>​</w:t>
            </w:r>
            <w:r>
              <w:rPr>
                <w:rFonts w:ascii="Arial" w:cs="Arial" w:eastAsia="Arial" w:hAnsi="Arial"/>
                <w:sz w:val="2"/>
                <w:szCs w:val="2"/>
                <w:color w:val="auto"/>
                <w:w w:val="4294942296"/>
              </w:rPr>
              <w:t>​</w:t>
            </w: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ind w:left="80"/>
              <w:spacing w:after="0"/>
              <w:rPr>
                <w:sz w:val="20"/>
                <w:szCs w:val="20"/>
                <w:color w:val="auto"/>
              </w:rPr>
            </w:pPr>
            <w:r>
              <w:rPr>
                <w:rFonts w:ascii="Arial" w:cs="Arial" w:eastAsia="Arial" w:hAnsi="Arial"/>
                <w:sz w:val="4"/>
                <w:szCs w:val="4"/>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79375</wp:posOffset>
            </wp:positionV>
            <wp:extent cx="4886325"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86325" cy="17970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46"/>
        </w:trPr>
        <w:tc>
          <w:tcPr>
            <w:tcW w:w="140" w:type="dxa"/>
            <w:vAlign w:val="bottom"/>
          </w:tcPr>
          <w:p>
            <w:pPr>
              <w:jc w:val="right"/>
              <w:spacing w:after="0"/>
              <w:rPr>
                <w:sz w:val="20"/>
                <w:szCs w:val="20"/>
                <w:color w:val="auto"/>
              </w:rPr>
            </w:pPr>
            <w:r>
              <w:rPr>
                <w:rFonts w:ascii="Arial" w:cs="Arial" w:eastAsia="Arial" w:hAnsi="Arial"/>
                <w:sz w:val="4"/>
                <w:szCs w:val="4"/>
                <w:color w:val="auto"/>
              </w:rPr>
              <w:t>​</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343"/>
        </w:trPr>
        <w:tc>
          <w:tcPr>
            <w:tcW w:w="140" w:type="dxa"/>
            <w:vAlign w:val="bottom"/>
          </w:tcPr>
          <w:p>
            <w:pPr>
              <w:jc w:val="right"/>
              <w:spacing w:after="0"/>
              <w:rPr>
                <w:sz w:val="20"/>
                <w:szCs w:val="20"/>
                <w:color w:val="auto"/>
              </w:rPr>
            </w:pPr>
            <w:r>
              <w:rPr>
                <w:rFonts w:ascii="Arial" w:cs="Arial" w:eastAsia="Arial" w:hAnsi="Arial"/>
                <w:sz w:val="14"/>
                <w:szCs w:val="14"/>
                <w:color w:val="auto"/>
                <w:w w:val="92"/>
              </w:rPr>
              <w:t xml:space="preserve">- </w:t>
            </w:r>
            <w:r>
              <w:rPr>
                <w:rFonts w:ascii="Arial" w:cs="Arial" w:eastAsia="Arial" w:hAnsi="Arial"/>
                <w:sz w:val="7"/>
                <w:szCs w:val="7"/>
                <w:color w:val="auto"/>
                <w:w w:val="92"/>
                <w:vertAlign w:val="subscript"/>
              </w:rPr>
              <w:t>​</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405"/>
        </w:trPr>
        <w:tc>
          <w:tcPr>
            <w:tcW w:w="140" w:type="dxa"/>
            <w:vAlign w:val="bottom"/>
          </w:tcPr>
          <w:p>
            <w:pPr>
              <w:jc w:val="right"/>
              <w:spacing w:after="0"/>
              <w:rPr>
                <w:sz w:val="20"/>
                <w:szCs w:val="20"/>
                <w:color w:val="auto"/>
              </w:rPr>
            </w:pPr>
            <w:r>
              <w:rPr>
                <w:rFonts w:ascii="Arial" w:cs="Arial" w:eastAsia="Arial" w:hAnsi="Arial"/>
                <w:sz w:val="14"/>
                <w:szCs w:val="14"/>
                <w:color w:val="auto"/>
                <w:w w:val="97"/>
              </w:rPr>
              <w:t>+</w:t>
            </w:r>
            <w:r>
              <w:rPr>
                <w:rFonts w:ascii="Arial" w:cs="Arial" w:eastAsia="Arial" w:hAnsi="Arial"/>
                <w:sz w:val="7"/>
                <w:szCs w:val="7"/>
                <w:color w:val="auto"/>
                <w:w w:val="97"/>
                <w:vertAlign w:val="subscript"/>
              </w:rPr>
              <w:t>​</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405"/>
        </w:trPr>
        <w:tc>
          <w:tcPr>
            <w:tcW w:w="140" w:type="dxa"/>
            <w:vAlign w:val="bottom"/>
          </w:tcPr>
          <w:p>
            <w:pPr>
              <w:jc w:val="right"/>
              <w:spacing w:after="0"/>
              <w:rPr>
                <w:sz w:val="20"/>
                <w:szCs w:val="20"/>
                <w:color w:val="auto"/>
              </w:rPr>
            </w:pPr>
            <w:r>
              <w:rPr>
                <w:rFonts w:ascii="Arial" w:cs="Arial" w:eastAsia="Arial" w:hAnsi="Arial"/>
                <w:sz w:val="14"/>
                <w:szCs w:val="14"/>
                <w:color w:val="auto"/>
                <w:w w:val="97"/>
              </w:rPr>
              <w:t>+</w:t>
            </w:r>
            <w:r>
              <w:rPr>
                <w:rFonts w:ascii="Arial" w:cs="Arial" w:eastAsia="Arial" w:hAnsi="Arial"/>
                <w:sz w:val="7"/>
                <w:szCs w:val="7"/>
                <w:color w:val="auto"/>
                <w:w w:val="97"/>
                <w:vertAlign w:val="subscript"/>
              </w:rPr>
              <w:t>​</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405"/>
        </w:trPr>
        <w:tc>
          <w:tcPr>
            <w:tcW w:w="140" w:type="dxa"/>
            <w:vAlign w:val="bottom"/>
          </w:tcPr>
          <w:p>
            <w:pPr>
              <w:jc w:val="right"/>
              <w:spacing w:after="0"/>
              <w:rPr>
                <w:sz w:val="20"/>
                <w:szCs w:val="20"/>
                <w:color w:val="auto"/>
              </w:rPr>
            </w:pPr>
            <w:r>
              <w:rPr>
                <w:rFonts w:ascii="Arial" w:cs="Arial" w:eastAsia="Arial" w:hAnsi="Arial"/>
                <w:sz w:val="14"/>
                <w:szCs w:val="14"/>
                <w:color w:val="auto"/>
                <w:w w:val="97"/>
              </w:rPr>
              <w:t>+</w:t>
            </w:r>
            <w:r>
              <w:rPr>
                <w:rFonts w:ascii="Arial" w:cs="Arial" w:eastAsia="Arial" w:hAnsi="Arial"/>
                <w:sz w:val="7"/>
                <w:szCs w:val="7"/>
                <w:color w:val="auto"/>
                <w:w w:val="97"/>
                <w:vertAlign w:val="subscript"/>
              </w:rPr>
              <w:t>​</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405"/>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r>
      <w:tr>
        <w:trPr>
          <w:trHeight w:val="76"/>
        </w:trPr>
        <w:tc>
          <w:tcPr>
            <w:tcW w:w="140" w:type="dxa"/>
            <w:vAlign w:val="bottom"/>
          </w:tcPr>
          <w:p>
            <w:pPr>
              <w:jc w:val="right"/>
              <w:spacing w:after="0"/>
              <w:rPr>
                <w:sz w:val="20"/>
                <w:szCs w:val="20"/>
                <w:color w:val="auto"/>
              </w:rPr>
            </w:pPr>
            <w:r>
              <w:rPr>
                <w:rFonts w:ascii="Arial" w:cs="Arial" w:eastAsia="Arial" w:hAnsi="Arial"/>
                <w:sz w:val="4"/>
                <w:szCs w:val="4"/>
                <w:color w:val="auto"/>
              </w:rPr>
              <w:t>​</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478"/>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r>
      <w:tr>
        <w:trPr>
          <w:trHeight w:val="76"/>
        </w:trPr>
        <w:tc>
          <w:tcPr>
            <w:tcW w:w="140" w:type="dxa"/>
            <w:vAlign w:val="bottom"/>
          </w:tcPr>
          <w:p>
            <w:pPr>
              <w:jc w:val="right"/>
              <w:spacing w:after="0"/>
              <w:rPr>
                <w:sz w:val="20"/>
                <w:szCs w:val="20"/>
                <w:color w:val="auto"/>
              </w:rPr>
            </w:pPr>
            <w:r>
              <w:rPr>
                <w:rFonts w:ascii="Arial" w:cs="Arial" w:eastAsia="Arial" w:hAnsi="Arial"/>
                <w:sz w:val="4"/>
                <w:szCs w:val="4"/>
                <w:color w:val="auto"/>
              </w:rPr>
              <w:t>​</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r>
        <w:trPr>
          <w:trHeight w:val="504"/>
        </w:trPr>
        <w:tc>
          <w:tcPr>
            <w:tcW w:w="140" w:type="dxa"/>
            <w:vAlign w:val="bottom"/>
          </w:tcPr>
          <w:p>
            <w:pPr>
              <w:jc w:val="right"/>
              <w:spacing w:after="0"/>
              <w:rPr>
                <w:sz w:val="20"/>
                <w:szCs w:val="20"/>
                <w:color w:val="auto"/>
              </w:rPr>
            </w:pPr>
            <w:r>
              <w:rPr>
                <w:rFonts w:ascii="Arial" w:cs="Arial" w:eastAsia="Arial" w:hAnsi="Arial"/>
                <w:sz w:val="14"/>
                <w:szCs w:val="14"/>
                <w:color w:val="auto"/>
                <w:w w:val="97"/>
              </w:rPr>
              <w:t>=</w:t>
            </w:r>
            <w:r>
              <w:rPr>
                <w:rFonts w:ascii="Arial" w:cs="Arial" w:eastAsia="Arial" w:hAnsi="Arial"/>
                <w:sz w:val="7"/>
                <w:szCs w:val="7"/>
                <w:color w:val="auto"/>
                <w:w w:val="97"/>
                <w:vertAlign w:val="superscript"/>
              </w:rPr>
              <w:t>​</w:t>
            </w:r>
          </w:p>
        </w:tc>
        <w:tc>
          <w:tcPr>
            <w:tcW w:w="60" w:type="dxa"/>
            <w:vAlign w:val="bottom"/>
          </w:tcPr>
          <w:p>
            <w:pPr>
              <w:ind w:left="60"/>
              <w:spacing w:after="0"/>
              <w:rPr>
                <w:sz w:val="20"/>
                <w:szCs w:val="20"/>
                <w:color w:val="auto"/>
              </w:rPr>
            </w:pPr>
            <w:r>
              <w:rPr>
                <w:rFonts w:ascii="Arial" w:cs="Arial" w:eastAsia="Arial" w:hAnsi="Arial"/>
                <w:sz w:val="4"/>
                <w:szCs w:val="4"/>
                <w:color w:val="auto"/>
              </w:rPr>
              <w:t>​</w:t>
            </w: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20"/>
                <w:szCs w:val="20"/>
                <w:color w:val="auto"/>
              </w:rPr>
            </w:pPr>
            <w:r>
              <w:rPr>
                <w:rFonts w:ascii="Arial" w:cs="Arial" w:eastAsia="Arial" w:hAnsi="Arial"/>
                <w:sz w:val="14"/>
                <w:szCs w:val="14"/>
                <w:color w:val="auto"/>
              </w:rPr>
              <w:t>Summary Compensation Table - Total Compensation</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tcPr>
          <w:p>
            <w:pPr>
              <w:ind w:left="40"/>
              <w:spacing w:after="0"/>
              <w:rPr>
                <w:sz w:val="20"/>
                <w:szCs w:val="20"/>
                <w:color w:val="auto"/>
              </w:rPr>
            </w:pPr>
            <w:r>
              <w:rPr>
                <w:rFonts w:ascii="Arial" w:cs="Arial" w:eastAsia="Arial" w:hAnsi="Arial"/>
                <w:sz w:val="4"/>
                <w:szCs w:val="4"/>
                <w:color w:val="auto"/>
              </w:rPr>
              <w:t>​</w:t>
            </w:r>
          </w:p>
        </w:tc>
        <w:tc>
          <w:tcPr>
            <w:tcW w:w="540" w:type="dxa"/>
            <w:vAlign w:val="bottom"/>
            <w:gridSpan w:val="3"/>
          </w:tcPr>
          <w:p>
            <w:pPr>
              <w:spacing w:after="0"/>
              <w:rPr>
                <w:sz w:val="20"/>
                <w:szCs w:val="20"/>
                <w:color w:val="auto"/>
              </w:rPr>
            </w:pPr>
            <w:r>
              <w:rPr>
                <w:rFonts w:ascii="Arial" w:cs="Arial" w:eastAsia="Arial" w:hAnsi="Arial"/>
                <w:sz w:val="14"/>
                <w:szCs w:val="14"/>
                <w:color w:val="auto"/>
                <w:w w:val="88"/>
              </w:rPr>
              <w:t>$746,414</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80" w:type="dxa"/>
            <w:vAlign w:val="bottom"/>
            <w:gridSpan w:val="5"/>
          </w:tcPr>
          <w:p>
            <w:pPr>
              <w:jc w:val="right"/>
              <w:ind w:right="60"/>
              <w:spacing w:after="0"/>
              <w:rPr>
                <w:sz w:val="20"/>
                <w:szCs w:val="20"/>
                <w:color w:val="auto"/>
              </w:rPr>
            </w:pPr>
            <w:r>
              <w:rPr>
                <w:rFonts w:ascii="Arial" w:cs="Arial" w:eastAsia="Arial" w:hAnsi="Arial"/>
                <w:sz w:val="14"/>
                <w:szCs w:val="14"/>
                <w:color w:val="auto"/>
                <w:w w:val="99"/>
              </w:rPr>
              <w:t>$1,260,484</w:t>
            </w:r>
            <w:r>
              <w:rPr>
                <w:rFonts w:ascii="Arial" w:cs="Arial" w:eastAsia="Arial" w:hAnsi="Arial"/>
                <w:sz w:val="3"/>
                <w:szCs w:val="3"/>
                <w:color w:val="auto"/>
                <w:w w:val="99"/>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700" w:type="dxa"/>
            <w:vAlign w:val="bottom"/>
            <w:gridSpan w:val="4"/>
          </w:tcPr>
          <w:p>
            <w:pPr>
              <w:ind w:left="60"/>
              <w:spacing w:after="0"/>
              <w:rPr>
                <w:sz w:val="20"/>
                <w:szCs w:val="20"/>
                <w:color w:val="auto"/>
              </w:rPr>
            </w:pPr>
            <w:r>
              <w:rPr>
                <w:rFonts w:ascii="Arial" w:cs="Arial" w:eastAsia="Arial" w:hAnsi="Arial"/>
                <w:sz w:val="14"/>
                <w:szCs w:val="14"/>
                <w:color w:val="auto"/>
                <w:w w:val="88"/>
              </w:rPr>
              <w:t>$1,575,706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540" w:type="dxa"/>
            <w:vAlign w:val="bottom"/>
          </w:tcPr>
          <w:p>
            <w:pPr>
              <w:spacing w:after="0"/>
              <w:rPr>
                <w:sz w:val="20"/>
                <w:szCs w:val="20"/>
                <w:color w:val="auto"/>
              </w:rPr>
            </w:pPr>
            <w:r>
              <w:rPr>
                <w:rFonts w:ascii="Arial" w:cs="Arial" w:eastAsia="Arial" w:hAnsi="Arial"/>
                <w:sz w:val="14"/>
                <w:szCs w:val="14"/>
                <w:color w:val="auto"/>
                <w:w w:val="95"/>
              </w:rPr>
              <w:t>Grant Date Fair Value of Stock Awards and Option Awards Granted in Fiscal</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tcPr>
          <w:p>
            <w:pPr>
              <w:ind w:left="40"/>
              <w:spacing w:after="0"/>
              <w:rPr>
                <w:sz w:val="20"/>
                <w:szCs w:val="20"/>
                <w:color w:val="auto"/>
              </w:rPr>
            </w:pPr>
            <w:r>
              <w:rPr>
                <w:rFonts w:ascii="Arial" w:cs="Arial" w:eastAsia="Arial" w:hAnsi="Arial"/>
                <w:sz w:val="4"/>
                <w:szCs w:val="4"/>
                <w:color w:val="auto"/>
              </w:rPr>
              <w:t>​</w:t>
            </w:r>
          </w:p>
        </w:tc>
        <w:tc>
          <w:tcPr>
            <w:tcW w:w="540" w:type="dxa"/>
            <w:vAlign w:val="bottom"/>
            <w:gridSpan w:val="3"/>
            <w:vMerge w:val="restart"/>
          </w:tcPr>
          <w:p>
            <w:pPr>
              <w:spacing w:after="0"/>
              <w:rPr>
                <w:sz w:val="20"/>
                <w:szCs w:val="20"/>
                <w:color w:val="auto"/>
              </w:rPr>
            </w:pPr>
            <w:r>
              <w:rPr>
                <w:rFonts w:ascii="Arial" w:cs="Arial" w:eastAsia="Arial" w:hAnsi="Arial"/>
                <w:sz w:val="14"/>
                <w:szCs w:val="14"/>
                <w:color w:val="auto"/>
                <w:w w:val="88"/>
              </w:rPr>
              <w:t>$261,010</w:t>
            </w:r>
          </w:p>
        </w:tc>
        <w:tc>
          <w:tcPr>
            <w:tcW w:w="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8"/>
              </w:rPr>
              <w:t>454,812</w:t>
            </w:r>
          </w:p>
        </w:tc>
        <w:tc>
          <w:tcPr>
            <w:tcW w:w="80" w:type="dxa"/>
            <w:vAlign w:val="bottom"/>
            <w:gridSpan w:val="2"/>
          </w:tcPr>
          <w:p>
            <w:pPr>
              <w:jc w:val="right"/>
              <w:ind w:right="60"/>
              <w:spacing w:after="0"/>
              <w:rPr>
                <w:sz w:val="20"/>
                <w:szCs w:val="20"/>
                <w:color w:val="auto"/>
              </w:rPr>
            </w:pPr>
            <w:r>
              <w:rPr>
                <w:rFonts w:ascii="Arial" w:cs="Arial" w:eastAsia="Arial" w:hAnsi="Arial"/>
                <w:sz w:val="2"/>
                <w:szCs w:val="2"/>
                <w:color w:val="auto"/>
                <w:w w:val="4294942296"/>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w w:val="98"/>
              </w:rPr>
              <w:t>693,161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20"/>
                <w:szCs w:val="20"/>
                <w:color w:val="auto"/>
              </w:rPr>
            </w:pPr>
            <w:r>
              <w:rPr>
                <w:rFonts w:ascii="Arial" w:cs="Arial" w:eastAsia="Arial" w:hAnsi="Arial"/>
                <w:sz w:val="14"/>
                <w:szCs w:val="14"/>
                <w:color w:val="auto"/>
              </w:rPr>
              <w:t>Year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4"/>
                <w:szCs w:val="14"/>
                <w:color w:val="auto"/>
                <w:w w:val="93"/>
              </w:rPr>
              <w:t>Fair Value at Fiscal Year End of Outstanding and Unvested Stock Awards and</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tcPr>
          <w:p>
            <w:pPr>
              <w:ind w:left="40"/>
              <w:spacing w:after="0"/>
              <w:rPr>
                <w:sz w:val="20"/>
                <w:szCs w:val="20"/>
                <w:color w:val="auto"/>
              </w:rPr>
            </w:pPr>
            <w:r>
              <w:rPr>
                <w:rFonts w:ascii="Arial" w:cs="Arial" w:eastAsia="Arial" w:hAnsi="Arial"/>
                <w:sz w:val="4"/>
                <w:szCs w:val="4"/>
                <w:color w:val="auto"/>
              </w:rPr>
              <w:t>​</w:t>
            </w:r>
          </w:p>
        </w:tc>
        <w:tc>
          <w:tcPr>
            <w:tcW w:w="540" w:type="dxa"/>
            <w:vAlign w:val="bottom"/>
            <w:gridSpan w:val="3"/>
            <w:vMerge w:val="restart"/>
          </w:tcPr>
          <w:p>
            <w:pPr>
              <w:spacing w:after="0"/>
              <w:rPr>
                <w:sz w:val="20"/>
                <w:szCs w:val="20"/>
                <w:color w:val="auto"/>
              </w:rPr>
            </w:pPr>
            <w:r>
              <w:rPr>
                <w:rFonts w:ascii="Arial" w:cs="Arial" w:eastAsia="Arial" w:hAnsi="Arial"/>
                <w:sz w:val="14"/>
                <w:szCs w:val="14"/>
                <w:color w:val="auto"/>
                <w:w w:val="88"/>
              </w:rPr>
              <w:t>$196,508</w:t>
            </w:r>
          </w:p>
        </w:tc>
        <w:tc>
          <w:tcPr>
            <w:tcW w:w="8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8"/>
              </w:rPr>
              <w:t>196,048</w:t>
            </w:r>
          </w:p>
        </w:tc>
        <w:tc>
          <w:tcPr>
            <w:tcW w:w="80" w:type="dxa"/>
            <w:vAlign w:val="bottom"/>
            <w:gridSpan w:val="2"/>
          </w:tcPr>
          <w:p>
            <w:pPr>
              <w:jc w:val="right"/>
              <w:ind w:right="60"/>
              <w:spacing w:after="0"/>
              <w:rPr>
                <w:sz w:val="20"/>
                <w:szCs w:val="20"/>
                <w:color w:val="auto"/>
              </w:rPr>
            </w:pPr>
            <w:r>
              <w:rPr>
                <w:rFonts w:ascii="Arial" w:cs="Arial" w:eastAsia="Arial" w:hAnsi="Arial"/>
                <w:sz w:val="2"/>
                <w:szCs w:val="2"/>
                <w:color w:val="auto"/>
                <w:w w:val="4294942296"/>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w w:val="98"/>
              </w:rPr>
              <w:t>113,865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20"/>
                <w:szCs w:val="20"/>
                <w:color w:val="auto"/>
              </w:rPr>
            </w:pPr>
            <w:r>
              <w:rPr>
                <w:rFonts w:ascii="Arial" w:cs="Arial" w:eastAsia="Arial" w:hAnsi="Arial"/>
                <w:sz w:val="14"/>
                <w:szCs w:val="14"/>
                <w:color w:val="auto"/>
              </w:rPr>
              <w:t>Option Awards Granted in Fiscal Year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4"/>
                <w:szCs w:val="14"/>
                <w:color w:val="auto"/>
                <w:w w:val="94"/>
              </w:rPr>
              <w:t>Change in Fair Value of Outstanding and Unvested Stock Awards and Option</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520" w:type="dxa"/>
            <w:vAlign w:val="bottom"/>
            <w:gridSpan w:val="3"/>
            <w:vMerge w:val="restart"/>
          </w:tcPr>
          <w:p>
            <w:pPr>
              <w:jc w:val="right"/>
              <w:spacing w:after="0"/>
              <w:rPr>
                <w:sz w:val="20"/>
                <w:szCs w:val="20"/>
                <w:color w:val="auto"/>
              </w:rPr>
            </w:pPr>
            <w:r>
              <w:rPr>
                <w:rFonts w:ascii="Arial" w:cs="Arial" w:eastAsia="Arial" w:hAnsi="Arial"/>
                <w:sz w:val="14"/>
                <w:szCs w:val="14"/>
                <w:color w:val="auto"/>
              </w:rPr>
              <w:t>(2,781)</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56,561</w:t>
            </w:r>
          </w:p>
        </w:tc>
        <w:tc>
          <w:tcPr>
            <w:tcW w:w="80" w:type="dxa"/>
            <w:vAlign w:val="bottom"/>
            <w:gridSpan w:val="2"/>
          </w:tcPr>
          <w:p>
            <w:pPr>
              <w:jc w:val="right"/>
              <w:ind w:right="60"/>
              <w:spacing w:after="0"/>
              <w:rPr>
                <w:sz w:val="20"/>
                <w:szCs w:val="20"/>
                <w:color w:val="auto"/>
              </w:rPr>
            </w:pPr>
            <w:r>
              <w:rPr>
                <w:rFonts w:ascii="Arial" w:cs="Arial" w:eastAsia="Arial" w:hAnsi="Arial"/>
                <w:sz w:val="2"/>
                <w:szCs w:val="2"/>
                <w:color w:val="auto"/>
                <w:w w:val="4294942296"/>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auto"/>
              </w:rPr>
              <w:t>(130,216)</w:t>
            </w:r>
          </w:p>
        </w:tc>
        <w:tc>
          <w:tcPr>
            <w:tcW w:w="0" w:type="dxa"/>
            <w:vAlign w:val="bottom"/>
          </w:tcPr>
          <w:p>
            <w:pPr>
              <w:spacing w:after="0"/>
              <w:rPr>
                <w:sz w:val="1"/>
                <w:szCs w:val="1"/>
                <w:color w:val="auto"/>
              </w:rPr>
            </w:pPr>
          </w:p>
        </w:tc>
      </w:tr>
      <w:tr>
        <w:trPr>
          <w:trHeight w:val="182"/>
        </w:trPr>
        <w:tc>
          <w:tcPr>
            <w:tcW w:w="4540" w:type="dxa"/>
            <w:vAlign w:val="bottom"/>
          </w:tcPr>
          <w:p>
            <w:pPr>
              <w:spacing w:after="0"/>
              <w:rPr>
                <w:sz w:val="20"/>
                <w:szCs w:val="20"/>
                <w:color w:val="auto"/>
              </w:rPr>
            </w:pPr>
            <w:r>
              <w:rPr>
                <w:rFonts w:ascii="Arial" w:cs="Arial" w:eastAsia="Arial" w:hAnsi="Arial"/>
                <w:sz w:val="14"/>
                <w:szCs w:val="14"/>
                <w:color w:val="auto"/>
              </w:rPr>
              <w:t>Awards Granted in Prior Fiscal Years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4"/>
                <w:szCs w:val="14"/>
                <w:color w:val="auto"/>
                <w:w w:val="96"/>
              </w:rPr>
              <w:t>Fair Value at Vesting of Stock Awards and Option Awards Granted in Fiscal</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tcPr>
          <w:p>
            <w:pPr>
              <w:ind w:left="40"/>
              <w:spacing w:after="0"/>
              <w:rPr>
                <w:sz w:val="20"/>
                <w:szCs w:val="20"/>
                <w:color w:val="auto"/>
              </w:rPr>
            </w:pPr>
            <w:r>
              <w:rPr>
                <w:rFonts w:ascii="Arial" w:cs="Arial" w:eastAsia="Arial" w:hAnsi="Arial"/>
                <w:sz w:val="4"/>
                <w:szCs w:val="4"/>
                <w:color w:val="auto"/>
              </w:rPr>
              <w:t>​</w:t>
            </w:r>
          </w:p>
        </w:tc>
        <w:tc>
          <w:tcPr>
            <w:tcW w:w="540" w:type="dxa"/>
            <w:vAlign w:val="bottom"/>
            <w:gridSpan w:val="3"/>
            <w:vMerge w:val="restart"/>
          </w:tcPr>
          <w:p>
            <w:pPr>
              <w:spacing w:after="0"/>
              <w:rPr>
                <w:sz w:val="20"/>
                <w:szCs w:val="20"/>
                <w:color w:val="auto"/>
              </w:rPr>
            </w:pPr>
            <w:r>
              <w:rPr>
                <w:rFonts w:ascii="Arial" w:cs="Arial" w:eastAsia="Arial" w:hAnsi="Arial"/>
                <w:sz w:val="14"/>
                <w:szCs w:val="14"/>
                <w:color w:val="auto"/>
                <w:w w:val="88"/>
              </w:rPr>
              <w:t>$105,488</w:t>
            </w:r>
          </w:p>
        </w:tc>
        <w:tc>
          <w:tcPr>
            <w:tcW w:w="8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8"/>
              </w:rPr>
              <w:t>228,300</w:t>
            </w:r>
          </w:p>
        </w:tc>
        <w:tc>
          <w:tcPr>
            <w:tcW w:w="80" w:type="dxa"/>
            <w:vAlign w:val="bottom"/>
            <w:gridSpan w:val="2"/>
          </w:tcPr>
          <w:p>
            <w:pPr>
              <w:jc w:val="right"/>
              <w:ind w:right="60"/>
              <w:spacing w:after="0"/>
              <w:rPr>
                <w:sz w:val="20"/>
                <w:szCs w:val="20"/>
                <w:color w:val="auto"/>
              </w:rPr>
            </w:pPr>
            <w:r>
              <w:rPr>
                <w:rFonts w:ascii="Arial" w:cs="Arial" w:eastAsia="Arial" w:hAnsi="Arial"/>
                <w:sz w:val="2"/>
                <w:szCs w:val="2"/>
                <w:color w:val="auto"/>
                <w:w w:val="4294942296"/>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rPr>
              <w:t>48,314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20"/>
                <w:szCs w:val="20"/>
                <w:color w:val="auto"/>
              </w:rPr>
            </w:pPr>
            <w:r>
              <w:rPr>
                <w:rFonts w:ascii="Arial" w:cs="Arial" w:eastAsia="Arial" w:hAnsi="Arial"/>
                <w:sz w:val="14"/>
                <w:szCs w:val="14"/>
                <w:color w:val="auto"/>
              </w:rPr>
              <w:t>Year That Vested During Fiscal Year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540" w:type="dxa"/>
            <w:vAlign w:val="bottom"/>
          </w:tcPr>
          <w:p>
            <w:pPr>
              <w:spacing w:after="0"/>
              <w:rPr>
                <w:sz w:val="20"/>
                <w:szCs w:val="20"/>
                <w:color w:val="auto"/>
              </w:rPr>
            </w:pPr>
            <w:r>
              <w:rPr>
                <w:rFonts w:ascii="Arial" w:cs="Arial" w:eastAsia="Arial" w:hAnsi="Arial"/>
                <w:sz w:val="14"/>
                <w:szCs w:val="14"/>
                <w:color w:val="auto"/>
                <w:w w:val="94"/>
              </w:rPr>
              <w:t>Change in Fair Value as of Vesting Date of Stock Awards and Option Awards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Arial" w:cs="Arial" w:eastAsia="Arial" w:hAnsi="Arial"/>
                <w:sz w:val="14"/>
                <w:szCs w:val="14"/>
                <w:color w:val="auto"/>
                <w:w w:val="95"/>
              </w:rPr>
              <w:t>Granted in Prior Fiscal Years For Which Applicable Vesting Conditions Were</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gridSpan w:val="2"/>
          </w:tcPr>
          <w:p>
            <w:pPr>
              <w:jc w:val="right"/>
              <w:ind w:right="60"/>
              <w:spacing w:after="0"/>
              <w:rPr>
                <w:sz w:val="20"/>
                <w:szCs w:val="20"/>
                <w:color w:val="auto"/>
              </w:rPr>
            </w:pPr>
            <w:r>
              <w:rPr>
                <w:rFonts w:ascii="Arial" w:cs="Arial" w:eastAsia="Arial" w:hAnsi="Arial"/>
                <w:sz w:val="2"/>
                <w:szCs w:val="2"/>
                <w:color w:val="auto"/>
                <w:w w:val="4294942296"/>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20"/>
                <w:szCs w:val="20"/>
                <w:color w:val="auto"/>
              </w:rPr>
            </w:pPr>
            <w:r>
              <w:rPr>
                <w:rFonts w:ascii="Arial" w:cs="Arial" w:eastAsia="Arial" w:hAnsi="Arial"/>
                <w:sz w:val="14"/>
                <w:szCs w:val="14"/>
                <w:color w:val="auto"/>
              </w:rPr>
              <w:t>Satisfied During Fiscal Year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13,306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121,510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(90,215)</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4"/>
                <w:szCs w:val="14"/>
                <w:color w:val="auto"/>
                <w:w w:val="97"/>
              </w:rPr>
              <w:t>Fair Value as of Prior Fiscal Year End of Stock Awards and Option Awards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540" w:type="dxa"/>
            <w:vAlign w:val="bottom"/>
          </w:tcPr>
          <w:p>
            <w:pPr>
              <w:spacing w:after="0" w:line="100" w:lineRule="exact"/>
              <w:rPr>
                <w:sz w:val="20"/>
                <w:szCs w:val="20"/>
                <w:color w:val="auto"/>
              </w:rPr>
            </w:pPr>
            <w:r>
              <w:rPr>
                <w:rFonts w:ascii="Arial" w:cs="Arial" w:eastAsia="Arial" w:hAnsi="Arial"/>
                <w:sz w:val="11"/>
                <w:szCs w:val="11"/>
                <w:color w:val="auto"/>
              </w:rPr>
              <w:t>Granted in Prior Fiscal Years That Failed to Meet Applicable Vesting</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tcPr>
          <w:p>
            <w:pPr>
              <w:ind w:left="4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gridSpan w:val="2"/>
          </w:tcPr>
          <w:p>
            <w:pPr>
              <w:jc w:val="right"/>
              <w:ind w:right="60"/>
              <w:spacing w:after="0"/>
              <w:rPr>
                <w:sz w:val="20"/>
                <w:szCs w:val="20"/>
                <w:color w:val="auto"/>
              </w:rPr>
            </w:pPr>
            <w:r>
              <w:rPr>
                <w:rFonts w:ascii="Arial" w:cs="Arial" w:eastAsia="Arial" w:hAnsi="Arial"/>
                <w:sz w:val="2"/>
                <w:szCs w:val="2"/>
                <w:color w:val="auto"/>
                <w:w w:val="4294942296"/>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540" w:type="dxa"/>
            <w:vAlign w:val="bottom"/>
          </w:tcPr>
          <w:p>
            <w:pPr>
              <w:spacing w:after="0"/>
              <w:rPr>
                <w:sz w:val="20"/>
                <w:szCs w:val="20"/>
                <w:color w:val="auto"/>
              </w:rPr>
            </w:pPr>
            <w:r>
              <w:rPr>
                <w:rFonts w:ascii="Arial" w:cs="Arial" w:eastAsia="Arial" w:hAnsi="Arial"/>
                <w:sz w:val="14"/>
                <w:szCs w:val="14"/>
                <w:color w:val="auto"/>
              </w:rPr>
              <w:t>Conditions During Fiscal Year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17,576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28,730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45,996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40" w:type="dxa"/>
            <w:vAlign w:val="bottom"/>
          </w:tcPr>
          <w:p>
            <w:pPr>
              <w:spacing w:after="0"/>
              <w:rPr>
                <w:sz w:val="20"/>
                <w:szCs w:val="20"/>
                <w:color w:val="auto"/>
              </w:rPr>
            </w:pPr>
            <w:r>
              <w:rPr>
                <w:rFonts w:ascii="Arial" w:cs="Arial" w:eastAsia="Arial" w:hAnsi="Arial"/>
                <w:sz w:val="14"/>
                <w:szCs w:val="14"/>
                <w:color w:val="auto"/>
              </w:rPr>
              <w:t>Compensation Actually Paid</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tcPr>
          <w:p>
            <w:pPr>
              <w:ind w:left="40"/>
              <w:spacing w:after="0"/>
              <w:rPr>
                <w:sz w:val="20"/>
                <w:szCs w:val="20"/>
                <w:color w:val="auto"/>
              </w:rPr>
            </w:pPr>
            <w:r>
              <w:rPr>
                <w:rFonts w:ascii="Arial" w:cs="Arial" w:eastAsia="Arial" w:hAnsi="Arial"/>
                <w:sz w:val="4"/>
                <w:szCs w:val="4"/>
                <w:color w:val="auto"/>
              </w:rPr>
              <w:t>​</w:t>
            </w:r>
          </w:p>
        </w:tc>
        <w:tc>
          <w:tcPr>
            <w:tcW w:w="540" w:type="dxa"/>
            <w:vAlign w:val="bottom"/>
            <w:gridSpan w:val="3"/>
          </w:tcPr>
          <w:p>
            <w:pPr>
              <w:spacing w:after="0"/>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780,349</w:t>
            </w:r>
          </w:p>
        </w:tc>
        <w:tc>
          <w:tcPr>
            <w:tcW w:w="80" w:type="dxa"/>
            <w:vAlign w:val="bottom"/>
          </w:tcPr>
          <w:p>
            <w:pPr>
              <w:spacing w:after="0"/>
              <w:rPr>
                <w:sz w:val="22"/>
                <w:szCs w:val="22"/>
                <w:color w:val="auto"/>
              </w:rPr>
            </w:pP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80" w:type="dxa"/>
            <w:vAlign w:val="bottom"/>
            <w:gridSpan w:val="5"/>
          </w:tcPr>
          <w:p>
            <w:pPr>
              <w:jc w:val="right"/>
              <w:ind w:right="60"/>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1,379,361</w:t>
            </w:r>
            <w:r>
              <w:rPr>
                <w:rFonts w:ascii="Arial" w:cs="Arial" w:eastAsia="Arial" w:hAnsi="Arial"/>
                <w:sz w:val="3"/>
                <w:szCs w:val="3"/>
                <w:color w:val="auto"/>
                <w:w w:val="99"/>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778,297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-1653540</wp:posOffset>
            </wp:positionV>
            <wp:extent cx="4886325" cy="2571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886325" cy="25717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-1139190</wp:posOffset>
            </wp:positionV>
            <wp:extent cx="4886325" cy="2571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86325" cy="25717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-530860</wp:posOffset>
            </wp:positionV>
            <wp:extent cx="4886325" cy="3600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86325" cy="36004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860" w:space="120"/>
            <w:col w:w="8039"/>
          </w:cols>
          <w:pgMar w:left="1440" w:top="265" w:right="1440" w:bottom="1440" w:gutter="0" w:footer="0" w:header="0"/>
          <w:type w:val="continuous"/>
        </w:sectPr>
      </w:pPr>
    </w:p>
    <w:p>
      <w:pPr>
        <w:ind w:left="640" w:right="439" w:hanging="348"/>
        <w:spacing w:after="0" w:line="233"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Cumulative total shareholder return (“TSR”) is calculated by dividing the sum of the cumulative amount of dividends for the performance period, assuming dividend reinvestment, and the difference between our company’s share price at the end and the beginning of the performance period by our company’s share price at the beginning of the performance period. No dividends were paid on stock or option awards in 2022, 2021, or 2020.</w:t>
      </w:r>
    </w:p>
    <w:p>
      <w:pPr>
        <w:spacing w:after="0" w:line="22" w:lineRule="exact"/>
        <w:rPr>
          <w:rFonts w:ascii="Arial" w:cs="Arial" w:eastAsia="Arial" w:hAnsi="Arial"/>
          <w:sz w:val="14"/>
          <w:szCs w:val="14"/>
          <w:color w:val="auto"/>
        </w:rPr>
      </w:pPr>
    </w:p>
    <w:p>
      <w:pPr>
        <w:ind w:left="640" w:right="439" w:hanging="348"/>
        <w:spacing w:after="0" w:line="253"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TSR Peer Group consists of the Philadelphia Semiconductor Index, an independently prepared index composed of the 30 largest U.S. companies primarily involved in the design, distribution, manufacture, and sale of semiconductors.</w:t>
      </w:r>
    </w:p>
    <w:p>
      <w:pPr>
        <w:spacing w:after="0" w:line="11" w:lineRule="exact"/>
        <w:rPr>
          <w:rFonts w:ascii="Arial" w:cs="Arial" w:eastAsia="Arial" w:hAnsi="Arial"/>
          <w:sz w:val="14"/>
          <w:szCs w:val="14"/>
          <w:color w:val="auto"/>
        </w:rPr>
      </w:pPr>
    </w:p>
    <w:p>
      <w:pPr>
        <w:ind w:left="640" w:right="359" w:hanging="348"/>
        <w:spacing w:after="0" w:line="229"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Among various factors that can affect the Company’s net income year-over-year, a substantial portion of non-cash translation gain or loss recorded in the Company’s net income is associated with the intercompany long-term loans, which is denominated in U.S. dollars, to the Company’s Korean subsidiary (using Korean Won as its functional currency) by the Dutch Subsidiary. As of December 31, 2022, 2021 and 2020, the outstanding intercompany long-term loan balance including accrued interest was $311.0 million, $344.4 million and $378.9 million, respectively. Due to the foreign currency fluctuations year-over-year, it can be difficult to detect underlying trends in net income as a result of the Company’s business and results of operations.</w:t>
      </w:r>
    </w:p>
    <w:p>
      <w:pPr>
        <w:spacing w:after="0" w:line="23" w:lineRule="exact"/>
        <w:rPr>
          <w:rFonts w:ascii="Arial" w:cs="Arial" w:eastAsia="Arial" w:hAnsi="Arial"/>
          <w:sz w:val="14"/>
          <w:szCs w:val="14"/>
          <w:color w:val="auto"/>
        </w:rPr>
      </w:pPr>
    </w:p>
    <w:p>
      <w:pPr>
        <w:ind w:left="660" w:right="339"/>
        <w:spacing w:after="0" w:line="227" w:lineRule="auto"/>
        <w:rPr>
          <w:rFonts w:ascii="Arial" w:cs="Arial" w:eastAsia="Arial" w:hAnsi="Arial"/>
          <w:sz w:val="14"/>
          <w:szCs w:val="14"/>
          <w:color w:val="auto"/>
        </w:rPr>
      </w:pPr>
      <w:r>
        <w:rPr>
          <w:rFonts w:ascii="Arial" w:cs="Arial" w:eastAsia="Arial" w:hAnsi="Arial"/>
          <w:sz w:val="14"/>
          <w:szCs w:val="14"/>
          <w:color w:val="auto"/>
        </w:rPr>
        <w:t>In addition, certain non-recurring events that were not expected to represent the Company’s ongoing operating income or expense had an impact on net income. For the year ended December 31, 2021, total net income of $56.7 million included net gain of $35.5 million that represented $70.2 million income from the recognition of a reverse termination fee, net of professional service fees and expenses of $34.7 million incurred in connection with the previously contemplated merger. For the year ended December 31, 2020, total net income of $345.0 million included income from discontinued operations, net of tax, of $287.9 million, primarily attributable to the recognition of $287.1 million as gain on sale of the Company’s Foundry Service Group business and its fabrication facility located in Cheongju known as “Fab 4”. It also included income tax benefits of $46.2 million, mainly attributable to the recognition of differences between GAAP and cash tax expense of $43.9 million.</w:t>
      </w:r>
    </w:p>
    <w:p>
      <w:pPr>
        <w:spacing w:after="0" w:line="23" w:lineRule="exact"/>
        <w:rPr>
          <w:rFonts w:ascii="Arial" w:cs="Arial" w:eastAsia="Arial" w:hAnsi="Arial"/>
          <w:sz w:val="14"/>
          <w:szCs w:val="14"/>
          <w:color w:val="auto"/>
        </w:rPr>
      </w:pPr>
    </w:p>
    <w:p>
      <w:pPr>
        <w:ind w:left="640" w:right="659" w:hanging="348"/>
        <w:spacing w:after="0" w:line="264"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As noted in the section titled “Compensation Discussion and Analysis,” for 2022, the Compensation Committee determined that gross profit as a percentage of revenue (“Gross Profit Margin”) continues to be viewed as a core driver of the Company’s performance and stockholder value creation and, accordingly, was utilized as a component in the 2022 long term incentive program.</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Tabular List of Financial Performance Measures</w:t>
      </w:r>
    </w:p>
    <w:p>
      <w:pPr>
        <w:spacing w:after="0" w:line="117"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The following is a list of the financial performance measures, which in the Company’s assessment represent the most important financial performance measures used by the Company to link the “Compensation Actually Paid” to the PEO and the other NEOs in 2022:</w:t>
      </w:r>
    </w:p>
    <w:p>
      <w:pPr>
        <w:spacing w:after="0" w:line="76" w:lineRule="exact"/>
        <w:rPr>
          <w:sz w:val="20"/>
          <w:szCs w:val="20"/>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Gross Profit Margin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Relationship Between Pay and Performance</w:t>
      </w:r>
    </w:p>
    <w:p>
      <w:pPr>
        <w:spacing w:after="0" w:line="117"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“Compensation Actually Paid”, as calculated in accordance with Item 402(v) of Regulation S-K, reflects adjusted values to unvested and vested equity awards during the years shown in the Pay Versus Performance Table based on year-end stock prices, various accounting valuation assumptions, and projected performance modifiers, but does not reflect actual amounts paid out for those awards. “Compensation Actually Paid” generally fluctuates due to stock price achievement and varying levels of projected and actual achievement of performance goals.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719" w:firstLine="360"/>
        <w:spacing w:after="0" w:line="263" w:lineRule="auto"/>
        <w:rPr>
          <w:sz w:val="20"/>
          <w:szCs w:val="20"/>
          <w:color w:val="auto"/>
        </w:rPr>
      </w:pPr>
      <w:r>
        <w:rPr>
          <w:rFonts w:ascii="Arial" w:cs="Arial" w:eastAsia="Arial" w:hAnsi="Arial"/>
          <w:sz w:val="18"/>
          <w:szCs w:val="18"/>
          <w:color w:val="auto"/>
        </w:rPr>
        <w:t>The following graphs show the relationship between “Compensation Actually Paid” to our CEO and other NEOs in our fiscal years 2020, 2021 and 2022 and (1) TSR of both our Common Stock and the Philadelphia Semiconductor Index, (2) our net income, and (3) our Gross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168275</wp:posOffset>
            </wp:positionV>
            <wp:extent cx="3446145" cy="30518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4614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109220</wp:posOffset>
            </wp:positionV>
            <wp:extent cx="3402965" cy="3008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0296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92075</wp:posOffset>
            </wp:positionV>
            <wp:extent cx="3402965" cy="3008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0296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 xml:space="preserve">We believe the “Compensation Actually Paid” in each of the years reported above and over the three-year cumulative period are reflective of the Compensation Committee’s emphasis on “pay-for-performance” as the “Compensation Actually Paid” fluctuated year-over-year, primarily as a result of variable compensation being tied to the performance of our stock and pre-established performance goals and/or criteria under our short-term incentive program and our performance-vesting equity awards. For further details on the terms of our short-term incentive program and our performance-vesting equity awards, see the section titled “Compensation Discussion and Analysis” on page </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300" w:right="1159" w:firstLine="360"/>
        <w:spacing w:after="0" w:line="342" w:lineRule="auto"/>
        <w:rPr>
          <w:sz w:val="20"/>
          <w:szCs w:val="20"/>
          <w:color w:val="auto"/>
        </w:rPr>
      </w:pPr>
      <w:r>
        <w:rPr>
          <w:rFonts w:ascii="Arial" w:cs="Arial" w:eastAsia="Arial" w:hAnsi="Arial"/>
          <w:sz w:val="16"/>
          <w:szCs w:val="16"/>
          <w:color w:val="auto"/>
        </w:rPr>
        <w:t>Other than the compensation arrangements with directors and executive officers, there have been no transactions since January 1, 2022 (and there are no currently proposed transactions) in which:</w:t>
      </w:r>
    </w:p>
    <w:p>
      <w:pPr>
        <w:spacing w:after="0" w:line="16" w:lineRule="exact"/>
        <w:rPr>
          <w:sz w:val="20"/>
          <w:szCs w:val="20"/>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involved exceeds $120,000; and</w:t>
      </w:r>
    </w:p>
    <w:p>
      <w:pPr>
        <w:spacing w:after="0" w:line="117" w:lineRule="exact"/>
        <w:rPr>
          <w:rFonts w:ascii="Arial" w:cs="Arial" w:eastAsia="Arial" w:hAnsi="Arial"/>
          <w:sz w:val="18"/>
          <w:szCs w:val="18"/>
          <w:color w:val="auto"/>
        </w:rPr>
      </w:pPr>
    </w:p>
    <w:p>
      <w:pPr>
        <w:ind w:left="1000" w:right="619" w:hanging="348"/>
        <w:spacing w:after="0" w:line="286" w:lineRule="auto"/>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Common Stock, or any immediate family member of or person sharing the household with any of these individuals (other than tenants or employees), had or will have a direct or indirect material interest.</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Person Transactions Policy</w:t>
      </w:r>
    </w:p>
    <w:p>
      <w:pPr>
        <w:spacing w:after="0" w:line="121" w:lineRule="exact"/>
        <w:rPr>
          <w:sz w:val="20"/>
          <w:szCs w:val="20"/>
          <w:color w:val="auto"/>
        </w:rPr>
      </w:pPr>
    </w:p>
    <w:p>
      <w:pPr>
        <w:ind w:left="300" w:right="519" w:firstLine="360"/>
        <w:spacing w:after="0" w:line="286" w:lineRule="auto"/>
        <w:rPr>
          <w:sz w:val="20"/>
          <w:szCs w:val="20"/>
          <w:color w:val="auto"/>
        </w:rPr>
      </w:pPr>
      <w:r>
        <w:rPr>
          <w:rFonts w:ascii="Arial" w:cs="Arial" w:eastAsia="Arial" w:hAnsi="Arial"/>
          <w:sz w:val="16"/>
          <w:szCs w:val="16"/>
          <w:color w:val="auto"/>
        </w:rPr>
        <w:t>Under our Related Person Transactions Policy, transactions involving our directors, executive officers, significant stockholders and other related persons that involve an amount in excess of $120,000 must be approved by the Company’s Audit Committee or, in the event it is determined that it is not practicable or desirable for the Company to wait until the next meeting of the full Audit Committee, the Chair of the Audit Committee</w:t>
      </w:r>
    </w:p>
    <w:p>
      <w:pPr>
        <w:spacing w:after="0" w:line="1"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(who possesses delegated authority to act between Audit Committee meetings). The Audit Committee (or the Chair of the Audit Committee, as applicable) will consider all of the relevant facts and circumstances available to it, including (if applicable) but not limited to: the benefits to the Company; the impact on a director’s independence in the event the related person is a director, an immediately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The Audit Committee may seek bids, quotes or independent valuations from third parties in connection with assessing any related person transaction. The Audit Committee (or the Chair of the Audit Committee, as applicable) will approve only those transactions that are in, or are not inconsistent with, the best interests of the Company, as the Audit Committee (or the Chair of the Audit Committee, as applicable) determines in good faith.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300" w:right="399" w:firstLine="360"/>
        <w:spacing w:after="0" w:line="285" w:lineRule="auto"/>
        <w:rPr>
          <w:sz w:val="20"/>
          <w:szCs w:val="20"/>
          <w:color w:val="auto"/>
        </w:rPr>
      </w:pPr>
      <w:r>
        <w:rPr>
          <w:rFonts w:ascii="Arial" w:cs="Arial" w:eastAsia="Arial" w:hAnsi="Arial"/>
          <w:sz w:val="16"/>
          <w:szCs w:val="16"/>
          <w:color w:val="auto"/>
        </w:rPr>
        <w:t>The following table sets forth information regarding the beneficial ownership of our outstanding Common Stock for: (1) each person or entity known to us to beneficially own more than five percent (5%) of any class of our outstanding securities; (2) each member of our Board; (3) each of our named executive officers; and (4) all of the members of our Board and current executive officers, as a group. The following tables list the number of shares and percentage of shares beneficially owned on 42,514,556 shares of Common Stock outstanding as of April 6, 2023. 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the securities as to which he or she has no economic interest.Except as indicated by footnote, the persons named in the table below have sole voting and investment power with respect to all shares of Common Stock shown as beneficially owned by them. Unless otherwise indicated, the address of each person listed in the table below is Magnachip Semiconductor Corporation c/o Magnachip Semiconductor, Ltd., 15F, 76 Jikji-daero 436beon-gil, Heungdeok-gu, Cheongju-si, Chungcheongbuk-do, Republic of Korea 28581.</w:t>
      </w:r>
    </w:p>
    <w:p>
      <w:pPr>
        <w:spacing w:after="0" w:line="12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Amount and</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Nature of</w:t>
            </w: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90"/>
              </w:rPr>
              <w:t>Beneficial</w:t>
            </w:r>
          </w:p>
        </w:tc>
        <w:tc>
          <w:tcPr>
            <w:tcW w:w="5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269"/>
        </w:trPr>
        <w:tc>
          <w:tcPr>
            <w:tcW w:w="6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2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Ownership</w:t>
            </w:r>
            <w:r>
              <w:rPr>
                <w:rFonts w:ascii="Arial" w:cs="Arial" w:eastAsia="Arial" w:hAnsi="Arial"/>
                <w:sz w:val="23"/>
                <w:szCs w:val="23"/>
                <w:b w:val="1"/>
                <w:bCs w:val="1"/>
                <w:color w:val="auto"/>
                <w:w w:val="89"/>
                <w:vertAlign w:val="superscript"/>
              </w:rPr>
              <w:t>(1)</w:t>
            </w:r>
          </w:p>
        </w:tc>
        <w:tc>
          <w:tcPr>
            <w:tcW w:w="3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Class</w:t>
            </w:r>
            <w:r>
              <w:rPr>
                <w:rFonts w:ascii="Arial" w:cs="Arial" w:eastAsia="Arial" w:hAnsi="Arial"/>
                <w:sz w:val="23"/>
                <w:szCs w:val="23"/>
                <w:b w:val="1"/>
                <w:bCs w:val="1"/>
                <w:color w:val="auto"/>
                <w:w w:val="81"/>
                <w:vertAlign w:val="superscript"/>
              </w:rPr>
              <w:t>(1)</w:t>
            </w:r>
          </w:p>
        </w:tc>
        <w:tc>
          <w:tcPr>
            <w:tcW w:w="0" w:type="dxa"/>
            <w:vAlign w:val="bottom"/>
          </w:tcPr>
          <w:p>
            <w:pPr>
              <w:spacing w:after="0"/>
              <w:rPr>
                <w:sz w:val="1"/>
                <w:szCs w:val="1"/>
                <w:color w:val="auto"/>
              </w:rPr>
            </w:pPr>
          </w:p>
        </w:tc>
      </w:tr>
      <w:tr>
        <w:trPr>
          <w:trHeight w:val="311"/>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Stockholders</w:t>
            </w:r>
          </w:p>
        </w:tc>
        <w:tc>
          <w:tcPr>
            <w:tcW w:w="8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60" w:type="dxa"/>
            <w:vAlign w:val="bottom"/>
            <w:gridSpan w:val="2"/>
          </w:tcPr>
          <w:p>
            <w:pPr>
              <w:spacing w:after="0"/>
              <w:rPr>
                <w:sz w:val="20"/>
                <w:szCs w:val="20"/>
                <w:color w:val="auto"/>
              </w:rPr>
            </w:pPr>
            <w:r>
              <w:rPr>
                <w:rFonts w:ascii="Arial" w:cs="Arial" w:eastAsia="Arial" w:hAnsi="Arial"/>
                <w:sz w:val="18"/>
                <w:szCs w:val="18"/>
                <w:color w:val="auto"/>
              </w:rPr>
              <w:t>AllianceBernstein L.P.</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3,190,906</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64"/>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Toronado Partners LLC</w:t>
            </w:r>
            <w:r>
              <w:rPr>
                <w:rFonts w:ascii="Arial" w:cs="Arial" w:eastAsia="Arial" w:hAnsi="Arial"/>
                <w:sz w:val="29"/>
                <w:szCs w:val="29"/>
                <w:color w:val="auto"/>
                <w:vertAlign w:val="superscript"/>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2,692,261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Kyo-Hwa (Liz) Chung</w:t>
            </w:r>
            <w:r>
              <w:rPr>
                <w:rFonts w:ascii="Arial" w:cs="Arial" w:eastAsia="Arial" w:hAnsi="Arial"/>
                <w:sz w:val="29"/>
                <w:szCs w:val="29"/>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760" w:type="dxa"/>
            <w:vAlign w:val="bottom"/>
            <w:gridSpan w:val="2"/>
          </w:tcPr>
          <w:p>
            <w:pPr>
              <w:spacing w:after="0"/>
              <w:rPr>
                <w:sz w:val="20"/>
                <w:szCs w:val="20"/>
                <w:color w:val="auto"/>
              </w:rPr>
            </w:pPr>
            <w:r>
              <w:rPr>
                <w:rFonts w:ascii="Arial" w:cs="Arial" w:eastAsia="Arial" w:hAnsi="Arial"/>
                <w:sz w:val="18"/>
                <w:szCs w:val="18"/>
                <w:color w:val="auto"/>
              </w:rPr>
              <w:t>Melvin Keating</w:t>
            </w:r>
            <w:r>
              <w:rPr>
                <w:rFonts w:ascii="Arial" w:cs="Arial" w:eastAsia="Arial" w:hAnsi="Arial"/>
                <w:sz w:val="29"/>
                <w:szCs w:val="29"/>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139,831</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w:t>
            </w:r>
            <w:r>
              <w:rPr>
                <w:rFonts w:ascii="Arial" w:cs="Arial" w:eastAsia="Arial" w:hAnsi="Arial"/>
                <w:sz w:val="29"/>
                <w:szCs w:val="29"/>
                <w:color w:val="auto"/>
                <w:vertAlign w:val="superscript"/>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269,173</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6760" w:type="dxa"/>
            <w:vAlign w:val="bottom"/>
            <w:gridSpan w:val="2"/>
          </w:tcPr>
          <w:p>
            <w:pPr>
              <w:spacing w:after="0"/>
              <w:rPr>
                <w:sz w:val="20"/>
                <w:szCs w:val="20"/>
                <w:color w:val="auto"/>
              </w:rPr>
            </w:pPr>
            <w:r>
              <w:rPr>
                <w:rFonts w:ascii="Arial" w:cs="Arial" w:eastAsia="Arial" w:hAnsi="Arial"/>
                <w:sz w:val="18"/>
                <w:szCs w:val="18"/>
                <w:color w:val="auto"/>
              </w:rPr>
              <w:t>Camillo Martino</w:t>
            </w:r>
            <w:r>
              <w:rPr>
                <w:rFonts w:ascii="Arial" w:cs="Arial" w:eastAsia="Arial" w:hAnsi="Arial"/>
                <w:sz w:val="29"/>
                <w:szCs w:val="29"/>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8"/>
                <w:szCs w:val="18"/>
                <w:color w:val="auto"/>
              </w:rPr>
              <w:t>158,338</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Tanner</w:t>
            </w:r>
            <w:r>
              <w:rPr>
                <w:rFonts w:ascii="Arial" w:cs="Arial" w:eastAsia="Arial" w:hAnsi="Arial"/>
                <w:sz w:val="29"/>
                <w:szCs w:val="29"/>
                <w:color w:val="auto"/>
                <w:vertAlign w:val="superscript"/>
              </w:rPr>
              <w:t>(8)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188,012</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760" w:type="dxa"/>
            <w:vAlign w:val="bottom"/>
            <w:gridSpan w:val="2"/>
          </w:tcPr>
          <w:p>
            <w:pPr>
              <w:spacing w:after="0"/>
              <w:rPr>
                <w:sz w:val="20"/>
                <w:szCs w:val="20"/>
                <w:color w:val="auto"/>
              </w:rPr>
            </w:pPr>
            <w:r>
              <w:rPr>
                <w:rFonts w:ascii="Arial" w:cs="Arial" w:eastAsia="Arial" w:hAnsi="Arial"/>
                <w:sz w:val="18"/>
                <w:szCs w:val="18"/>
                <w:color w:val="auto"/>
              </w:rPr>
              <w:t>Young-Joon Kim</w:t>
            </w:r>
            <w:r>
              <w:rPr>
                <w:rFonts w:ascii="Arial" w:cs="Arial" w:eastAsia="Arial" w:hAnsi="Arial"/>
                <w:sz w:val="29"/>
                <w:szCs w:val="29"/>
                <w:color w:val="auto"/>
                <w:vertAlign w:val="superscript"/>
              </w:rPr>
              <w:t>(9)</w:t>
            </w:r>
          </w:p>
        </w:tc>
        <w:tc>
          <w:tcPr>
            <w:tcW w:w="840" w:type="dxa"/>
            <w:vAlign w:val="bottom"/>
          </w:tcPr>
          <w:p>
            <w:pPr>
              <w:jc w:val="right"/>
              <w:spacing w:after="0"/>
              <w:rPr>
                <w:sz w:val="20"/>
                <w:szCs w:val="20"/>
                <w:color w:val="auto"/>
              </w:rPr>
            </w:pPr>
            <w:r>
              <w:rPr>
                <w:rFonts w:ascii="Arial" w:cs="Arial" w:eastAsia="Arial" w:hAnsi="Arial"/>
                <w:sz w:val="18"/>
                <w:szCs w:val="18"/>
                <w:color w:val="auto"/>
              </w:rPr>
              <w:t>668,644</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64"/>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r>
              <w:rPr>
                <w:rFonts w:ascii="Arial" w:cs="Arial" w:eastAsia="Arial" w:hAnsi="Arial"/>
                <w:sz w:val="29"/>
                <w:szCs w:val="29"/>
                <w:color w:val="auto"/>
                <w:vertAlign w:val="superscript"/>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271,232</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760" w:type="dxa"/>
            <w:vAlign w:val="bottom"/>
            <w:gridSpan w:val="2"/>
          </w:tcPr>
          <w:p>
            <w:pPr>
              <w:spacing w:after="0"/>
              <w:rPr>
                <w:sz w:val="20"/>
                <w:szCs w:val="20"/>
                <w:color w:val="auto"/>
              </w:rPr>
            </w:pPr>
            <w:r>
              <w:rPr>
                <w:rFonts w:ascii="Arial" w:cs="Arial" w:eastAsia="Arial" w:hAnsi="Arial"/>
                <w:sz w:val="18"/>
                <w:szCs w:val="18"/>
                <w:color w:val="auto"/>
              </w:rPr>
              <w:t>Woung Moo Lee</w:t>
            </w:r>
            <w:r>
              <w:rPr>
                <w:rFonts w:ascii="Arial" w:cs="Arial" w:eastAsia="Arial" w:hAnsi="Arial"/>
                <w:sz w:val="29"/>
                <w:szCs w:val="29"/>
                <w:color w:val="auto"/>
                <w:vertAlign w:val="superscript"/>
              </w:rPr>
              <w:t>(11)</w:t>
            </w:r>
          </w:p>
        </w:tc>
        <w:tc>
          <w:tcPr>
            <w:tcW w:w="840" w:type="dxa"/>
            <w:vAlign w:val="bottom"/>
          </w:tcPr>
          <w:p>
            <w:pPr>
              <w:jc w:val="right"/>
              <w:spacing w:after="0"/>
              <w:rPr>
                <w:sz w:val="20"/>
                <w:szCs w:val="20"/>
                <w:color w:val="auto"/>
              </w:rPr>
            </w:pPr>
            <w:r>
              <w:rPr>
                <w:rFonts w:ascii="Arial" w:cs="Arial" w:eastAsia="Arial" w:hAnsi="Arial"/>
                <w:sz w:val="18"/>
                <w:szCs w:val="18"/>
                <w:color w:val="auto"/>
              </w:rPr>
              <w:t>209,186</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w:t>
            </w:r>
            <w:r>
              <w:rPr>
                <w:rFonts w:ascii="Arial" w:cs="Arial" w:eastAsia="Arial" w:hAnsi="Arial"/>
                <w:sz w:val="29"/>
                <w:szCs w:val="29"/>
                <w:color w:val="auto"/>
                <w:vertAlign w:val="superscript"/>
              </w:rPr>
              <w:t>(12)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760" w:type="dxa"/>
            <w:vAlign w:val="bottom"/>
            <w:gridSpan w:val="2"/>
          </w:tcPr>
          <w:p>
            <w:pPr>
              <w:spacing w:after="0"/>
              <w:rPr>
                <w:sz w:val="20"/>
                <w:szCs w:val="20"/>
                <w:color w:val="auto"/>
              </w:rPr>
            </w:pPr>
            <w:r>
              <w:rPr>
                <w:rFonts w:ascii="Arial" w:cs="Arial" w:eastAsia="Arial" w:hAnsi="Arial"/>
                <w:sz w:val="18"/>
                <w:szCs w:val="18"/>
                <w:color w:val="auto"/>
              </w:rPr>
              <w:t>Shin Young Park</w:t>
            </w:r>
            <w:r>
              <w:rPr>
                <w:rFonts w:ascii="Arial" w:cs="Arial" w:eastAsia="Arial" w:hAnsi="Arial"/>
                <w:sz w:val="29"/>
                <w:szCs w:val="29"/>
                <w:color w:val="auto"/>
                <w:vertAlign w:val="superscript"/>
              </w:rPr>
              <w:t>(13)</w:t>
            </w:r>
          </w:p>
        </w:tc>
        <w:tc>
          <w:tcPr>
            <w:tcW w:w="840" w:type="dxa"/>
            <w:vAlign w:val="bottom"/>
          </w:tcPr>
          <w:p>
            <w:pPr>
              <w:jc w:val="right"/>
              <w:spacing w:after="0"/>
              <w:rPr>
                <w:sz w:val="20"/>
                <w:szCs w:val="20"/>
                <w:color w:val="auto"/>
              </w:rPr>
            </w:pPr>
            <w:r>
              <w:rPr>
                <w:rFonts w:ascii="Arial" w:cs="Arial" w:eastAsia="Arial" w:hAnsi="Arial"/>
                <w:sz w:val="18"/>
                <w:szCs w:val="18"/>
                <w:color w:val="auto"/>
              </w:rPr>
              <w:t>30,674</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current Executive Officers as a group (10 persons)</w:t>
            </w:r>
            <w:r>
              <w:rPr>
                <w:rFonts w:ascii="Arial" w:cs="Arial" w:eastAsia="Arial" w:hAnsi="Arial"/>
                <w:sz w:val="29"/>
                <w:szCs w:val="29"/>
                <w:color w:val="auto"/>
                <w:vertAlign w:val="superscript"/>
              </w:rPr>
              <w:t>(14)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1,972,167</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-3436620</wp:posOffset>
            </wp:positionV>
            <wp:extent cx="2057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-3436620</wp:posOffset>
            </wp:positionV>
            <wp:extent cx="2057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42" w:lineRule="exact"/>
        <w:rPr>
          <w:sz w:val="20"/>
          <w:szCs w:val="20"/>
          <w:color w:val="auto"/>
        </w:rPr>
      </w:pPr>
    </w:p>
    <w:p>
      <w:pPr>
        <w:ind w:left="640" w:right="879" w:hanging="348"/>
        <w:spacing w:after="0" w:line="253"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any outstanding Common Stock held and, to the extent applicable, shares issuable upon the exercise or conversion of any securities that are exercisable or convertible within 60 days of April 6, 2023.</w:t>
      </w:r>
    </w:p>
    <w:p>
      <w:pPr>
        <w:spacing w:after="0" w:line="11" w:lineRule="exact"/>
        <w:rPr>
          <w:rFonts w:ascii="Arial" w:cs="Arial" w:eastAsia="Arial" w:hAnsi="Arial"/>
          <w:sz w:val="14"/>
          <w:szCs w:val="14"/>
          <w:color w:val="auto"/>
        </w:rPr>
      </w:pPr>
    </w:p>
    <w:p>
      <w:pPr>
        <w:ind w:left="640" w:right="339" w:hanging="348"/>
        <w:spacing w:after="0" w:line="226"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the information contained in a Schedule 13G filed with the SEC on February 14, 2023 by AllianceBernstein L.P. (“AllianceBernstein”). AllianceBernstein beneficially owns and has the sole power to dispose or to direct the disposition of the shares of Common Stock listed in the table above and has the sole power to vote or to direct the vote over 2,812,555 of such shares. The shares of Common Stock listed in the table above were acquired solely for investment purposes on behalf of client discretionary investment advisory accounts. AllianceBernstein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 The business address for AllianceBernstein is 1345 Avenue of the Americas, New York, NY 10105.</w:t>
      </w:r>
    </w:p>
    <w:p>
      <w:pPr>
        <w:spacing w:after="0" w:line="26" w:lineRule="exact"/>
        <w:rPr>
          <w:rFonts w:ascii="Arial" w:cs="Arial" w:eastAsia="Arial" w:hAnsi="Arial"/>
          <w:sz w:val="14"/>
          <w:szCs w:val="14"/>
          <w:color w:val="auto"/>
        </w:rPr>
      </w:pPr>
    </w:p>
    <w:p>
      <w:pPr>
        <w:ind w:left="640" w:right="319" w:hanging="348"/>
        <w:spacing w:after="0" w:line="248" w:lineRule="auto"/>
        <w:tabs>
          <w:tab w:leader="none" w:pos="6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Based on the information contained in an Amendment No. 3 to Schedule 13G filed with the SEC on February 14, 2023 by Toronado Fund, L.P., Toronado Partners LLC, Toronado Capital Management LLC, and John Stephen Perkins. Toronado Fund, L.P. directly holds 2,410,910 shares of our Common Stock. Toronado Partners LLC acts as investment manager for the Toronado Fund, L.P., Toronado Capital Management LLC acts as general partner for Toronado Fund, L.P., and John Stephen Perkins acts as Managing Member of Toronado Partners LLC. Toronado Partners LLC, Toronado Capital Management LLC, and John Stephen Perkins directly or indirectly control an additional 281,351 shares of our Common Stock for a cumulative total of 2,692,261 shares. Each of Toronado Fund, L.P.,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660" w:right="339"/>
        <w:spacing w:after="0" w:line="245" w:lineRule="auto"/>
        <w:rPr>
          <w:sz w:val="20"/>
          <w:szCs w:val="20"/>
          <w:color w:val="auto"/>
        </w:rPr>
      </w:pPr>
      <w:r>
        <w:rPr>
          <w:rFonts w:ascii="Arial" w:cs="Arial" w:eastAsia="Arial" w:hAnsi="Arial"/>
          <w:sz w:val="13"/>
          <w:szCs w:val="13"/>
          <w:color w:val="auto"/>
        </w:rPr>
        <w:t>Toronado Partners LLC, Toronado Capital Management LLC, and John Stephen Perkins may be deemed to be the beneficial owner of 2,692,261 shares of our Common Stock. Each of Toronado Fund, L.P., Toronado Partners LLC, Toronado Capital Management LLC, and John Stephen Perkins disclaims beneficial ownership of our shares of Common Stock not held directly by such reporting person. Toronado Fund, L.P. has sole voting power and sole dispositive power over 2,410,910 shares of our Common Stock. Each of Toronado Partners LLC, Toronado Capital Management LLC, and John Stephen Perkins has sole voting power over 2,692,261 shares of our Common Stock, sole dispositive power over 2,410,910 shares of our Common Stock and shared dispositive power over 281,351 shares of our Common Stock. The business address of each of Toronado Fund, L.P., Toronado Partners LLC, Toronado Capital Management LLC, and John Stephen Perkins is 44 Montgomery Street, Suite 1200, San Francisco, CA 94104.</w:t>
      </w:r>
    </w:p>
    <w:p>
      <w:pPr>
        <w:spacing w:after="0" w:line="21" w:lineRule="exact"/>
        <w:rPr>
          <w:sz w:val="20"/>
          <w:szCs w:val="20"/>
          <w:color w:val="auto"/>
        </w:rPr>
      </w:pPr>
    </w:p>
    <w:p>
      <w:pPr>
        <w:ind w:left="640" w:hanging="348"/>
        <w:spacing w:after="0"/>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12,946 shares of Common Stock subject to RSUs that will be vested and may be settled as of June 5, 2023.</w:t>
      </w:r>
    </w:p>
    <w:p>
      <w:pPr>
        <w:spacing w:after="0" w:line="41" w:lineRule="exact"/>
        <w:rPr>
          <w:rFonts w:ascii="Arial" w:cs="Arial" w:eastAsia="Arial" w:hAnsi="Arial"/>
          <w:sz w:val="14"/>
          <w:szCs w:val="14"/>
          <w:color w:val="auto"/>
        </w:rPr>
      </w:pPr>
    </w:p>
    <w:p>
      <w:pPr>
        <w:ind w:left="640" w:right="559" w:hanging="348"/>
        <w:spacing w:after="0" w:line="253"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10,100 shares of Common Stock, options to purchase 49,737 shares of Common Stock and 79,994 shares of Common Stock subject to RSUs that will be vested and may be exercised or settled, as applicable, as of June 5, 2023.</w:t>
      </w:r>
    </w:p>
    <w:p>
      <w:pPr>
        <w:spacing w:after="0" w:line="11" w:lineRule="exact"/>
        <w:rPr>
          <w:rFonts w:ascii="Arial" w:cs="Arial" w:eastAsia="Arial" w:hAnsi="Arial"/>
          <w:sz w:val="14"/>
          <w:szCs w:val="14"/>
          <w:color w:val="auto"/>
        </w:rPr>
      </w:pPr>
    </w:p>
    <w:p>
      <w:pPr>
        <w:ind w:left="640" w:right="479" w:hanging="348"/>
        <w:spacing w:after="0" w:line="253"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33,272 shares of Common Stock, options to purchase 149,593 shares of Common Stock and 86,308 shares of Common Stock subject to RSUs that will be vested and may be exercised or settled, as applicable, as of June 5, 2023.</w:t>
      </w:r>
    </w:p>
    <w:p>
      <w:pPr>
        <w:spacing w:after="0" w:line="11" w:lineRule="exact"/>
        <w:rPr>
          <w:rFonts w:ascii="Arial" w:cs="Arial" w:eastAsia="Arial" w:hAnsi="Arial"/>
          <w:sz w:val="14"/>
          <w:szCs w:val="14"/>
          <w:color w:val="auto"/>
        </w:rPr>
      </w:pPr>
    </w:p>
    <w:p>
      <w:pPr>
        <w:ind w:left="640" w:right="559" w:hanging="348"/>
        <w:spacing w:after="0" w:line="253"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28,000 shares of Common Stock, options to purchase 49,737 shares of Common Stock and 80,601 shares of Common Stock subject to RSUs that will be vested and may be exercised or settled, as applicable, as of June 5, 2023.</w:t>
      </w:r>
    </w:p>
    <w:p>
      <w:pPr>
        <w:spacing w:after="0" w:line="11" w:lineRule="exact"/>
        <w:rPr>
          <w:rFonts w:ascii="Arial" w:cs="Arial" w:eastAsia="Arial" w:hAnsi="Arial"/>
          <w:sz w:val="14"/>
          <w:szCs w:val="14"/>
          <w:color w:val="auto"/>
        </w:rPr>
      </w:pPr>
    </w:p>
    <w:p>
      <w:pPr>
        <w:ind w:left="640" w:right="639" w:hanging="348"/>
        <w:spacing w:after="0" w:line="253"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5,408 shares of Common Stock, options to purchase 93,117 shares of Common Stock and 89,487 shares of Common Stock subject to RSUs that will be vested and may be exercised or settled, as applicable, as of June 5, 2023.</w:t>
      </w:r>
    </w:p>
    <w:p>
      <w:pPr>
        <w:spacing w:after="0" w:line="11" w:lineRule="exact"/>
        <w:rPr>
          <w:rFonts w:ascii="Arial" w:cs="Arial" w:eastAsia="Arial" w:hAnsi="Arial"/>
          <w:sz w:val="14"/>
          <w:szCs w:val="14"/>
          <w:color w:val="auto"/>
        </w:rPr>
      </w:pPr>
    </w:p>
    <w:p>
      <w:pPr>
        <w:ind w:left="640" w:right="579" w:hanging="348"/>
        <w:spacing w:after="0" w:line="253"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332,729 shares of Common Stock and options to purchase 335,915 shares of Common Stock that will be vested and may be exercised as of June 5, 2023.</w:t>
      </w:r>
    </w:p>
    <w:p>
      <w:pPr>
        <w:spacing w:after="0" w:line="11" w:lineRule="exact"/>
        <w:rPr>
          <w:rFonts w:ascii="Arial" w:cs="Arial" w:eastAsia="Arial" w:hAnsi="Arial"/>
          <w:sz w:val="14"/>
          <w:szCs w:val="14"/>
          <w:color w:val="auto"/>
        </w:rPr>
      </w:pPr>
    </w:p>
    <w:p>
      <w:pPr>
        <w:ind w:left="640" w:right="579" w:hanging="348"/>
        <w:spacing w:after="0" w:line="253"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143,622 shares of Common Stock and options to purchase 127,610 shares of Common Stock that will be vested and may be exercised as of June 5, 2023.</w:t>
      </w:r>
    </w:p>
    <w:p>
      <w:pPr>
        <w:spacing w:after="0" w:line="11" w:lineRule="exact"/>
        <w:rPr>
          <w:rFonts w:ascii="Arial" w:cs="Arial" w:eastAsia="Arial" w:hAnsi="Arial"/>
          <w:sz w:val="14"/>
          <w:szCs w:val="14"/>
          <w:color w:val="auto"/>
        </w:rPr>
      </w:pPr>
    </w:p>
    <w:p>
      <w:pPr>
        <w:ind w:left="640" w:right="659" w:hanging="348"/>
        <w:spacing w:after="0" w:line="253"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89,376 shares of Common Stock and options to purchase 119,810 shares of Common Stock that will be vested and may be exercised as of June 5, 2023.</w:t>
      </w:r>
    </w:p>
    <w:p>
      <w:pPr>
        <w:spacing w:after="0" w:line="11" w:lineRule="exact"/>
        <w:rPr>
          <w:rFonts w:ascii="Arial" w:cs="Arial" w:eastAsia="Arial" w:hAnsi="Arial"/>
          <w:sz w:val="14"/>
          <w:szCs w:val="14"/>
          <w:color w:val="auto"/>
        </w:rPr>
      </w:pPr>
    </w:p>
    <w:p>
      <w:pPr>
        <w:ind w:left="640" w:right="419" w:hanging="348"/>
        <w:spacing w:after="0" w:line="253"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19,131 shares of Common Stock and 5,000 shares of Common Stock subject to RSUs that will be vested and may be settled as of June 5, 2023.</w:t>
      </w:r>
    </w:p>
    <w:p>
      <w:pPr>
        <w:spacing w:after="0" w:line="11" w:lineRule="exact"/>
        <w:rPr>
          <w:rFonts w:ascii="Arial" w:cs="Arial" w:eastAsia="Arial" w:hAnsi="Arial"/>
          <w:sz w:val="14"/>
          <w:szCs w:val="14"/>
          <w:color w:val="auto"/>
        </w:rPr>
      </w:pPr>
    </w:p>
    <w:p>
      <w:pPr>
        <w:ind w:left="640" w:right="799" w:hanging="348"/>
        <w:spacing w:after="0" w:line="253"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28,174 shares of Common Stock and options to purchase 2,500 shares of Common Stock that will be vested and may be exercised as of June 5, 2023.</w:t>
      </w:r>
    </w:p>
    <w:p>
      <w:pPr>
        <w:spacing w:after="0" w:line="11" w:lineRule="exact"/>
        <w:rPr>
          <w:rFonts w:ascii="Arial" w:cs="Arial" w:eastAsia="Arial" w:hAnsi="Arial"/>
          <w:sz w:val="14"/>
          <w:szCs w:val="14"/>
          <w:color w:val="auto"/>
        </w:rPr>
      </w:pPr>
    </w:p>
    <w:p>
      <w:pPr>
        <w:ind w:left="640" w:right="379" w:hanging="348"/>
        <w:spacing w:after="0" w:line="238"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Our directors and executive officers as of April 6, 2023 as a group beneficially own 1,972,167 shares of Common Stock or 4.5%, which represents 689,812 shares of Common Stock, options to purchase 928,019 shares of Common Stock and 354,336 shares of Common Stock subject to RSUs that will be vested and may be exercised or settled, as applicable, as of June 5,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VOTE 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103"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In accordance with the Dodd-Frank Act, and Section 14A of the Exchange Act, the Board is asking stockholders to approve an advisory (non-binding) resolution on the compensation of our named executive officers. The vote is not intended to address any specific item of compensation, but rather the overall compensation of our named executive officers and the philosophy, policies and practices described in this Proxy Statement. The text of the resolution is as follows:</w:t>
      </w:r>
    </w:p>
    <w:p>
      <w:pPr>
        <w:spacing w:after="0" w:line="80" w:lineRule="exact"/>
        <w:rPr>
          <w:sz w:val="20"/>
          <w:szCs w:val="20"/>
          <w:color w:val="auto"/>
        </w:rPr>
      </w:pPr>
    </w:p>
    <w:p>
      <w:pPr>
        <w:ind w:left="660" w:right="339" w:firstLine="360"/>
        <w:spacing w:after="0" w:line="293" w:lineRule="auto"/>
        <w:rPr>
          <w:sz w:val="20"/>
          <w:szCs w:val="20"/>
          <w:color w:val="auto"/>
        </w:rPr>
      </w:pPr>
      <w:r>
        <w:rPr>
          <w:rFonts w:ascii="Arial" w:cs="Arial" w:eastAsia="Arial" w:hAnsi="Arial"/>
          <w:sz w:val="16"/>
          <w:szCs w:val="16"/>
          <w:color w:val="auto"/>
        </w:rPr>
        <w:t>RESOLVED, that the stockholders of Magnachip Semiconductor Corporation approve, on an advisory basis, the compensation of the Company’s named executive officers as disclosed in the proxy statement for the Company’s 2023 annual meeting of stockholders pursuant to the compensation disclosure rules of the Securities Exchange Act of 1934, as amended (which disclosure includes the Compensation Discussion and Analysis section, the Summary Compensation Table for 2022 and the related compensation tables and narrative disclosure within the executive compensation sections of the proxy statement).</w:t>
      </w:r>
    </w:p>
    <w:p>
      <w:pPr>
        <w:spacing w:after="0" w:line="56"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The Company urges you to read the disclosure under “Compensation Discussion and Analysis,” in this Proxy Statement, which discusses how our compensation policies and procedures implement our pay-for-performance compensation philosophy. You should also read the Summary Compensation Table and other related compensation tables and narrative disclosure which provide additional details about the compensation of our named executive officers for fiscal year 2022. We have designed our executive compensation structure to attract, motivate, and retain executives with the skills required to formulate and implement the Company’s strategic objectives and create stockholder value. We believe that our executive compensation program is reasonable, competitive and strongly focused on pay for performance principles, and provides an appropriate balance between risk and incentives.</w:t>
      </w:r>
    </w:p>
    <w:p>
      <w:pPr>
        <w:spacing w:after="0" w:line="57"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The vote regarding the compensation of the named executive officers described above, referred to as a “say-on-pay advisory vote,” is advisory, and is therefore not binding on the Company, the Compensation Committee or the Board. Although non-binding, the Board and the Compensation Committee value the opinions that stockholders express in their votes and will review the voting results and take them into consideration when making future decisions regarding our executive compensation programs as they deem appropriate.</w:t>
      </w:r>
    </w:p>
    <w:p>
      <w:pPr>
        <w:spacing w:after="0" w:line="53" w:lineRule="exact"/>
        <w:rPr>
          <w:sz w:val="20"/>
          <w:szCs w:val="20"/>
          <w:color w:val="auto"/>
        </w:rPr>
      </w:pPr>
    </w:p>
    <w:p>
      <w:pPr>
        <w:jc w:val="both"/>
        <w:ind w:left="300" w:right="479" w:firstLine="360"/>
        <w:spacing w:after="0" w:line="263" w:lineRule="auto"/>
        <w:rPr>
          <w:sz w:val="20"/>
          <w:szCs w:val="20"/>
          <w:color w:val="auto"/>
        </w:rPr>
      </w:pPr>
      <w:r>
        <w:rPr>
          <w:rFonts w:ascii="Arial" w:cs="Arial" w:eastAsia="Arial" w:hAnsi="Arial"/>
          <w:sz w:val="18"/>
          <w:szCs w:val="18"/>
          <w:color w:val="auto"/>
        </w:rPr>
        <w:t>If no voting specification is made on a properly returned or voted proxy card, the proxies named on the proxy card will vote “FOR” the approval of the compensation of the named executive officers as disclosed in this Proxy Statement and described above.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Board recommends that you vote “FOR” the approval of our named executive officer compensation.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ind w:left="1300" w:right="1019" w:hanging="346"/>
        <w:spacing w:after="0" w:line="260" w:lineRule="auto"/>
        <w:rPr>
          <w:sz w:val="20"/>
          <w:szCs w:val="20"/>
          <w:color w:val="auto"/>
        </w:rPr>
      </w:pPr>
      <w:r>
        <w:rPr>
          <w:rFonts w:ascii="Arial" w:cs="Arial" w:eastAsia="Arial" w:hAnsi="Arial"/>
          <w:sz w:val="18"/>
          <w:szCs w:val="18"/>
          <w:b w:val="1"/>
          <w:bCs w:val="1"/>
          <w:color w:val="auto"/>
        </w:rPr>
        <w:t>RATIFICATION OF APPOINTMENT OF OUR INDEPENDENT REGISTERED PUBLIC ACCOUNTING FIRM FOR THE FISCAL YEAR ENDING DECEMBER 31, 2023</w:t>
      </w:r>
    </w:p>
    <w:p>
      <w:pPr>
        <w:spacing w:after="0" w:line="77"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Samil PricewaterhouseCoopers has been selected by the Audit Committee as the principal independent registered public accounting firm for the fiscal year ending December 31, 2023 for us and our subsidiaries. Our Board recommends a vote for ratification of the appointment of Samil PricewaterhouseCoopers as the independent registered public accounting firm to audit the books and accounts for us and our subsidiaries for the fiscal year ending December 31, 2023. It is expected that representatives of Samil PricewaterhouseCoopers will attend the Annual Meeting, with the opportunity to make a statement if they so desire, and, if a representative is in attendance, the representative will be available to answer appropriate questions.</w:t>
      </w:r>
    </w:p>
    <w:p>
      <w:pPr>
        <w:spacing w:after="0" w:line="58"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The appointment of Samil PricewaterhouseCoopers as our independent registered public accounting firm is not required to be submitted to a vote of our stockholders for ratification. However, our Board believes that obtaining stockholder ratification is a sound governance practice. If our stockholders fail to vote on an advisory basis in favor of the appointment of Samil PricewaterhouseCoopers, the Audit Committee will take such actions as it deems necessary as a result of such stockholder vote.</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121"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The following table presents fees billed for professional services rendered by Samil PricewaterhouseCoopers and its affiliates for the years ended December 31, 2022 and 2021.</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7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2"/>
              </w:rPr>
              <w:t>Year Ended December 31</w:t>
            </w:r>
          </w:p>
        </w:tc>
      </w:tr>
      <w:tr>
        <w:trPr>
          <w:trHeight w:val="53"/>
        </w:trPr>
        <w:tc>
          <w:tcPr>
            <w:tcW w:w="67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4"/>
        </w:trPr>
        <w:tc>
          <w:tcPr>
            <w:tcW w:w="67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9"/>
                <w:szCs w:val="19"/>
                <w:color w:val="auto"/>
              </w:rPr>
            </w:pPr>
          </w:p>
        </w:tc>
        <w:tc>
          <w:tcPr>
            <w:tcW w:w="640" w:type="dxa"/>
            <w:vAlign w:val="bottom"/>
            <w:gridSpan w:val="3"/>
          </w:tcPr>
          <w:p>
            <w:pPr>
              <w:ind w:left="340"/>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9"/>
                <w:szCs w:val="19"/>
                <w:color w:val="auto"/>
              </w:rPr>
            </w:pPr>
          </w:p>
        </w:tc>
      </w:tr>
      <w:tr>
        <w:trPr>
          <w:trHeight w:val="53"/>
        </w:trPr>
        <w:tc>
          <w:tcPr>
            <w:tcW w:w="67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4"/>
        </w:trPr>
        <w:tc>
          <w:tcPr>
            <w:tcW w:w="6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4"/>
          </w:tcPr>
          <w:p>
            <w:pPr>
              <w:jc w:val="center"/>
              <w:ind w:left="115"/>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3"/>
        </w:trPr>
        <w:tc>
          <w:tcPr>
            <w:tcW w:w="6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8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Audit Related fees</w:t>
            </w:r>
          </w:p>
        </w:tc>
        <w:tc>
          <w:tcPr>
            <w:tcW w:w="220" w:type="dxa"/>
            <w:vAlign w:val="bottom"/>
          </w:tcPr>
          <w:p>
            <w:pPr>
              <w:spacing w:after="0"/>
              <w:rPr>
                <w:sz w:val="23"/>
                <w:szCs w:val="23"/>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r>
      <w:tr>
        <w:trPr>
          <w:trHeight w:val="54"/>
        </w:trPr>
        <w:tc>
          <w:tcPr>
            <w:tcW w:w="6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r>
      <w:tr>
        <w:trPr>
          <w:trHeight w:val="256"/>
        </w:trPr>
        <w:tc>
          <w:tcPr>
            <w:tcW w:w="6720" w:type="dxa"/>
            <w:vAlign w:val="bottom"/>
          </w:tcPr>
          <w:p>
            <w:pPr>
              <w:spacing w:after="0"/>
              <w:rPr>
                <w:sz w:val="20"/>
                <w:szCs w:val="20"/>
                <w:color w:val="auto"/>
              </w:rPr>
            </w:pPr>
            <w:r>
              <w:rPr>
                <w:rFonts w:ascii="Arial" w:cs="Arial" w:eastAsia="Arial" w:hAnsi="Arial"/>
                <w:sz w:val="18"/>
                <w:szCs w:val="18"/>
                <w:color w:val="auto"/>
              </w:rPr>
              <w:t>All other fees</w:t>
            </w:r>
          </w:p>
        </w:tc>
        <w:tc>
          <w:tcPr>
            <w:tcW w:w="220" w:type="dxa"/>
            <w:vAlign w:val="bottom"/>
          </w:tcPr>
          <w:p>
            <w:pPr>
              <w:spacing w:after="0"/>
              <w:rPr>
                <w:sz w:val="22"/>
                <w:szCs w:val="22"/>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r>
      <w:tr>
        <w:trPr>
          <w:trHeight w:val="61"/>
        </w:trPr>
        <w:tc>
          <w:tcPr>
            <w:tcW w:w="6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29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w:t>
            </w:r>
          </w:p>
        </w:tc>
        <w:tc>
          <w:tcPr>
            <w:tcW w:w="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w:t>
            </w:r>
          </w:p>
        </w:tc>
      </w:tr>
      <w:tr>
        <w:trPr>
          <w:trHeight w:val="27"/>
        </w:trPr>
        <w:tc>
          <w:tcPr>
            <w:tcW w:w="6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-1242695</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Policy and Procedure for Approval of Audit and Permitted Non-Audit Services</w:t>
      </w:r>
    </w:p>
    <w:p>
      <w:pPr>
        <w:spacing w:after="0" w:line="121"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All audit fees were pre-approved by the Company’s Audit Committee, which concluded that the provision of such services by Samil PricewaterhouseCoopers and its affiliates was compatible with the maintenance of that firm’s independence in the conduct of its auditing functions. With respect to outside auditor independence, the Audit Committee Charter provides for pre-approval of audit services and non-audit services, based on independence, qualifications and, if applicable, performance, and approve the fees and other terms of any such engagement. The Audit Committee Charter authorizes the Audit Committee to delegate to one or more of its members the authority to grant pre-approvals for such services, provided that the decisions of such member(s) to grant any such pre-approval shall be presented to the Audit Committee at its next scheduled meeting. The Audit Committee followed these guidelines in approving all services rendered by Samil PricewaterhouseCoopers and its affiliates.</w:t>
      </w:r>
    </w:p>
    <w:p>
      <w:pPr>
        <w:spacing w:after="0" w:line="54" w:lineRule="exact"/>
        <w:rPr>
          <w:sz w:val="20"/>
          <w:szCs w:val="20"/>
          <w:color w:val="auto"/>
        </w:rPr>
      </w:pPr>
    </w:p>
    <w:p>
      <w:pPr>
        <w:ind w:left="300" w:right="739" w:firstLine="360"/>
        <w:spacing w:after="0" w:line="266" w:lineRule="auto"/>
        <w:rPr>
          <w:sz w:val="20"/>
          <w:szCs w:val="20"/>
          <w:color w:val="auto"/>
        </w:rPr>
      </w:pPr>
      <w:r>
        <w:rPr>
          <w:rFonts w:ascii="Arial" w:cs="Arial" w:eastAsia="Arial" w:hAnsi="Arial"/>
          <w:sz w:val="18"/>
          <w:szCs w:val="18"/>
          <w:b w:val="1"/>
          <w:bCs w:val="1"/>
          <w:color w:val="auto"/>
        </w:rPr>
        <w:t>The Board recommends that you vote “FOR” the ratification of the appointment of Samil PricewaterhouseCoopers as our independent registered public accounting firm for the fiscal year ending December 31, 2023.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FOUR</w:t>
      </w:r>
    </w:p>
    <w:p>
      <w:pPr>
        <w:spacing w:after="0" w:line="360" w:lineRule="exact"/>
        <w:rPr>
          <w:sz w:val="20"/>
          <w:szCs w:val="20"/>
          <w:color w:val="auto"/>
        </w:rPr>
      </w:pPr>
    </w:p>
    <w:p>
      <w:pPr>
        <w:jc w:val="center"/>
        <w:ind w:left="1760" w:right="40"/>
        <w:spacing w:after="0" w:line="282" w:lineRule="auto"/>
        <w:rPr>
          <w:sz w:val="20"/>
          <w:szCs w:val="20"/>
          <w:color w:val="auto"/>
        </w:rPr>
      </w:pPr>
      <w:r>
        <w:rPr>
          <w:rFonts w:ascii="Arial" w:cs="Arial" w:eastAsia="Arial" w:hAnsi="Arial"/>
          <w:sz w:val="18"/>
          <w:szCs w:val="18"/>
          <w:b w:val="1"/>
          <w:bCs w:val="1"/>
          <w:color w:val="auto"/>
        </w:rPr>
        <w:t>APPROVAL OF OUR AMENDED AND RESTATED 2020 EQUITY AND INCENTIVE COMPENSATION PLAN</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On April 14, 2023, upon the recommendation of the Compensation Committee, the Board amended and restated our 2020 Equity and Incentive Compensation Plan (the “Plan”), subject to the approval of the Company’s stockholders at the Annual Meeting, in order to increase the aggregate number of shares of the Company’s Common Stock, available for issuance thereunder by 1,990,000 shares (as amended, the “Amended Plan”). As of April 6, 2023, 601,536 shares remained available for future grants under the Plan.</w:t>
      </w:r>
    </w:p>
    <w:p>
      <w:pPr>
        <w:spacing w:after="0" w:line="68"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The Board recommends that you vote to approve the Amended Plan, so that the Company has a sufficient reserve of Common Stock to incentivize, attract and retain talent in the highly competitive market and industry in which we operate, and to align the interests of our employees and non-employee directors essential to the Company’s long-term growth and success with those of our stockholders. We expect that the total number of shares available under the Amended Plan, if approved, would meet our equity compensation needs for approximately the next two to three years.</w:t>
      </w:r>
    </w:p>
    <w:p>
      <w:pPr>
        <w:spacing w:after="0" w:line="84" w:lineRule="exact"/>
        <w:rPr>
          <w:sz w:val="20"/>
          <w:szCs w:val="20"/>
          <w:color w:val="auto"/>
        </w:rPr>
      </w:pPr>
    </w:p>
    <w:p>
      <w:pPr>
        <w:ind w:left="300" w:right="679" w:firstLine="360"/>
        <w:spacing w:after="0" w:line="279" w:lineRule="auto"/>
        <w:rPr>
          <w:sz w:val="20"/>
          <w:szCs w:val="20"/>
          <w:color w:val="auto"/>
        </w:rPr>
      </w:pPr>
      <w:r>
        <w:rPr>
          <w:rFonts w:ascii="Arial" w:cs="Arial" w:eastAsia="Arial" w:hAnsi="Arial"/>
          <w:sz w:val="17"/>
          <w:szCs w:val="17"/>
          <w:color w:val="auto"/>
        </w:rPr>
        <w:t>If the Amended Plan is approved by stockholders at the Annual Meeting, the share reserve increase will be effective as of the day of the Annual Meeting. If the Amended Plan is not approved by our stockholders, the Amended Plan will not become effective and the Plan, as in effect prior to the amendment and restatement, will continue in effect without giving effect to the proposed share increase.</w:t>
      </w:r>
    </w:p>
    <w:p>
      <w:pPr>
        <w:spacing w:after="0" w:line="63"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The Amended Plan is attached to this Proxy Statement as Appendix A. The following description of the Amended Plan is only a summary of its principal terms and provisions and is qualified by reference to the actual text as set forth in Appendix A.</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Rationale for the Proposed Share Increase</w:t>
      </w:r>
    </w:p>
    <w:p>
      <w:pPr>
        <w:spacing w:after="0" w:line="121"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The Plan authorizes the Board and the Compensation Committee to provide cash awards and equity-based compensation for the purpose of providing incentives and rewards for service and/or performance to our non-employee directors, officers and other employees of the Company and its subsidiaries, and certain consultants to the Company and its subsidiaries.</w:t>
      </w:r>
    </w:p>
    <w:p>
      <w:pPr>
        <w:spacing w:after="0" w:line="79"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We believe our future success depends in part on our ability to attract, motivate and retain high quality employees and directors and that the ability to provide equity-based and incentive-based awards under the Plan is critical to achieving this success. We would be at a severe competitive disadvantage if we could not use stock-based awards to recruit and compensate our employees and directors. The use of Common Stock as part of our compensation program is important because equity-based awards are an essential component of our compensation program for key employees, as they help link compensation with long-term stockholder value creation and reward participants based on service and/or performance.</w:t>
      </w:r>
    </w:p>
    <w:p>
      <w:pPr>
        <w:spacing w:after="0" w:line="69"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As of April 6, 2023, 601,536 shares of Common Stock remained available for new awards under the Plan. This amount does not reflect the additional 1,990,000 shares reserved under the Amended Plan, as set forth in this proposal. If the Amended Plan is not approved, we may be compelled to significantly increase the cash component of our employee and director compensation. This approach may not necessarily align employee and director compensation interests with the investment interests of our stockholders. Replacing equity awards with cash also would increase cash compensation expense and use cash that could be better utilized in other ways.</w:t>
      </w:r>
    </w:p>
    <w:p>
      <w:pPr>
        <w:spacing w:after="0" w:line="56"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The following includes information regarding our view of the overhang and dilution associated with the Amended Plan. This information is as of April 6, 2023. As of that date, there were approximately 42,514,556 shares of Common Stock outstanding.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Proposed shares of Common Stock available for awards under the Amended Plan:</w:t>
      </w:r>
    </w:p>
    <w:p>
      <w:pPr>
        <w:spacing w:after="0" w:line="117" w:lineRule="exact"/>
        <w:rPr>
          <w:sz w:val="20"/>
          <w:szCs w:val="20"/>
          <w:color w:val="auto"/>
        </w:rPr>
      </w:pPr>
    </w:p>
    <w:p>
      <w:pPr>
        <w:ind w:left="1000" w:right="339" w:hanging="348"/>
        <w:spacing w:after="0" w:line="25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1,990,000 new shares (approximately 4.68% of our outstanding Common Stock, which percentage reflects the simple dilution of our stockholders that would occur if the Amended Plan is approved) plus 601,536 shares that were available as of April 6, 2023 under the Plan, or an aggregate of 2,591,536 shares (approximately 6.1% of our outstanding Common Stock) all subject to adjustment, including under the share counting rules of the Amended Plan.</w:t>
      </w:r>
    </w:p>
    <w:p>
      <w:pPr>
        <w:spacing w:after="0" w:line="79" w:lineRule="exact"/>
        <w:rPr>
          <w:rFonts w:ascii="Arial" w:cs="Arial" w:eastAsia="Arial" w:hAnsi="Arial"/>
          <w:sz w:val="18"/>
          <w:szCs w:val="18"/>
          <w:color w:val="auto"/>
        </w:rPr>
      </w:pPr>
    </w:p>
    <w:p>
      <w:pPr>
        <w:ind w:left="1000" w:right="359" w:hanging="348"/>
        <w:spacing w:after="0" w:line="25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total number of shares of Common Stock subject to outstanding awards under the Plan as of April 6, 2023 (3,347,638 shares), plus the 2,591,536 of shares of Common Stock available for future awards under the Amended Plan, represent a total overhang of 5,939,174 shares (13.97%) under the Amended Plan. The 1,990,000 new shares represent an increase in the overhang percentage from approximately 9.29% to approximately 13.97%.</w:t>
      </w:r>
    </w:p>
    <w:p>
      <w:pPr>
        <w:spacing w:after="0" w:line="80"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Based on the closing price on the New York Stock Exchange for our Common Stock on April 6, 2023 of $9.08 per share, the aggregate market value as of April 6, 2023 of the new 1,990,000 shares of Common Stock requested under the Amended Plan was $18,069,200.</w:t>
      </w:r>
    </w:p>
    <w:p>
      <w:pPr>
        <w:spacing w:after="0" w:line="76"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In fiscal years 2020, 2021 and 2022, we granted awards (including stock options, RSUs and PSUs) under the Plan covering 118,608 shares, 429,556 shares, and 725,910 shares, respectively. Based on our basic weighted average shares of Common Stock outstanding for those three fiscal years of 35,213,525, 44,879,412, and 44,850,791, respectively, for the three-fiscal-year period 2020-2022, our average burn rate, not taking into account forfeitures, was 1.0%. (Our individual years’ burn rates were 0.3% for fiscal 2020, 1.0% for fiscal 2021 and 1.6% for fiscal 2022.)</w:t>
      </w:r>
    </w:p>
    <w:p>
      <w:pPr>
        <w:spacing w:after="0" w:line="84" w:lineRule="exact"/>
        <w:rPr>
          <w:sz w:val="20"/>
          <w:szCs w:val="20"/>
          <w:color w:val="auto"/>
        </w:rPr>
      </w:pPr>
    </w:p>
    <w:p>
      <w:pPr>
        <w:ind w:left="300" w:right="399" w:firstLine="360"/>
        <w:spacing w:after="0" w:line="270" w:lineRule="auto"/>
        <w:rPr>
          <w:sz w:val="20"/>
          <w:szCs w:val="20"/>
          <w:color w:val="auto"/>
        </w:rPr>
      </w:pPr>
      <w:r>
        <w:rPr>
          <w:rFonts w:ascii="Arial" w:cs="Arial" w:eastAsia="Arial" w:hAnsi="Arial"/>
          <w:sz w:val="17"/>
          <w:szCs w:val="17"/>
          <w:color w:val="auto"/>
        </w:rPr>
        <w:t>In determining the size of the requested share increase under the Amended Plan, our Board and Compensation Committee worked with management and the Compensation Committee’s independent compensation consultant to evaluate a number of factors, including our corporate strategy and compensation needs, our recent and projected share usage, share usage at companies in our compensation peer group, the total potential dilution level, and criteria expected to be utilized by institutional proxy advisory firms in evaluating our proposal for the Amended Plan. The Board and Compensation Committee believe that approving an additional 1,990,000 shares for issuance under the Amended Plan is appropriate and in the best interests of stockholders given the current expectations on hiring, the highly competitive environment in which we recruit and retain employees, the Company’s current stock price and our projected share usage.</w:t>
      </w:r>
    </w:p>
    <w:p>
      <w:pPr>
        <w:spacing w:after="0" w:line="73"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If the Amended Plan is approved, we intend to utilize the additional shares authorized under the Amended Plan to continue our practice of incentivizing key individuals through equity grants. We currently anticipate that the shares requested in connection with the approval of the Amended Plan will last for about two to three years, including based on our historic grant rates, new hiring and the approximate current share price, but could last for a different period of time if actual practice does not match recent rates or our share price changes materially.</w:t>
      </w:r>
    </w:p>
    <w:p>
      <w:pPr>
        <w:spacing w:after="0" w:line="53"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Future benefits that may be received by our non-employee directors in 2023 under the Amended Plan are set forth below in the New Plan Benefits table. Any other benefits to be granted in the future under the Amended Plan cannot be determined at this time, as the actual awards will be made at the discretion of the Compensation Committee.</w:t>
      </w:r>
    </w:p>
    <w:p>
      <w:pPr>
        <w:spacing w:after="0" w:line="79"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We believe that we have demonstrated a commitment to sound equity compensation practices in recent years. We recognize that equity compensation awards dilute stockholders’ equity, so we have carefully managed our equity incentive compensation program. Our equity compensation practices are intended to be competitive and consistent with market practices, and we believe our historical share usage has been responsible and mindful of stockholder interests, as described above.</w:t>
      </w:r>
    </w:p>
    <w:p>
      <w:pPr>
        <w:spacing w:after="0" w:line="332" w:lineRule="exact"/>
        <w:rPr>
          <w:sz w:val="20"/>
          <w:szCs w:val="20"/>
          <w:color w:val="auto"/>
        </w:rPr>
      </w:pPr>
    </w:p>
    <w:p>
      <w:pPr>
        <w:ind w:left="300" w:right="499"/>
        <w:spacing w:after="0" w:line="282" w:lineRule="auto"/>
        <w:rPr>
          <w:sz w:val="20"/>
          <w:szCs w:val="20"/>
          <w:color w:val="auto"/>
        </w:rPr>
      </w:pPr>
      <w:r>
        <w:rPr>
          <w:rFonts w:ascii="Arial" w:cs="Arial" w:eastAsia="Arial" w:hAnsi="Arial"/>
          <w:sz w:val="18"/>
          <w:szCs w:val="18"/>
          <w:b w:val="1"/>
          <w:bCs w:val="1"/>
          <w:u w:val="single" w:color="auto"/>
          <w:color w:val="auto"/>
        </w:rPr>
        <w:t>As Approved by the Stockholders in 2020, the Plan Already Contains Good Compensation and Governance Practices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evergreen; reasonable award limits</w:t>
      </w:r>
    </w:p>
    <w:p>
      <w:pPr>
        <w:spacing w:after="0" w:line="117" w:lineRule="exact"/>
        <w:rPr>
          <w:sz w:val="20"/>
          <w:szCs w:val="20"/>
          <w:color w:val="auto"/>
        </w:rPr>
      </w:pPr>
    </w:p>
    <w:p>
      <w:pPr>
        <w:ind w:left="300" w:right="719" w:firstLine="360"/>
        <w:spacing w:after="0" w:line="263" w:lineRule="auto"/>
        <w:rPr>
          <w:sz w:val="20"/>
          <w:szCs w:val="20"/>
          <w:color w:val="auto"/>
        </w:rPr>
      </w:pPr>
      <w:r>
        <w:rPr>
          <w:rFonts w:ascii="Arial" w:cs="Arial" w:eastAsia="Arial" w:hAnsi="Arial"/>
          <w:sz w:val="18"/>
          <w:szCs w:val="18"/>
          <w:color w:val="auto"/>
        </w:rPr>
        <w:t>Neither the Plan nor the Amended Plan contains an evergreen provision that automatically adds additional shares of Common Stock to the available pool of stock available for grant under the plan every year without additional stockholder approval.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879" w:firstLine="360"/>
        <w:spacing w:after="0" w:line="277" w:lineRule="auto"/>
        <w:rPr>
          <w:sz w:val="20"/>
          <w:szCs w:val="20"/>
          <w:color w:val="auto"/>
        </w:rPr>
      </w:pPr>
      <w:r>
        <w:rPr>
          <w:rFonts w:ascii="Arial" w:cs="Arial" w:eastAsia="Arial" w:hAnsi="Arial"/>
          <w:sz w:val="18"/>
          <w:szCs w:val="18"/>
          <w:color w:val="auto"/>
        </w:rPr>
        <w:t>The Amended Plan provides that, subject as applicable to adjustment and the applicable Common Stock counting provisions as described in the Amended Plan:</w:t>
      </w:r>
    </w:p>
    <w:p>
      <w:pPr>
        <w:spacing w:after="0" w:line="62" w:lineRule="exact"/>
        <w:rPr>
          <w:sz w:val="20"/>
          <w:szCs w:val="20"/>
          <w:color w:val="auto"/>
        </w:rPr>
      </w:pPr>
    </w:p>
    <w:p>
      <w:pPr>
        <w:ind w:left="1000" w:right="719" w:hanging="348"/>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aggregate number of shares of Common Stock actually issued or transferred upon the exercise of incentive stock options (as defined below) will not exceed 1,309,000 shares of Common Stock. This number is unchanged from the number in the Plan.</w:t>
      </w:r>
    </w:p>
    <w:p>
      <w:pPr>
        <w:spacing w:after="0" w:line="75" w:lineRule="exact"/>
        <w:rPr>
          <w:rFonts w:ascii="Arial" w:cs="Arial" w:eastAsia="Arial" w:hAnsi="Arial"/>
          <w:sz w:val="18"/>
          <w:szCs w:val="18"/>
          <w:color w:val="auto"/>
        </w:rPr>
      </w:pPr>
    </w:p>
    <w:p>
      <w:pPr>
        <w:ind w:left="1000" w:right="339" w:hanging="348"/>
        <w:spacing w:after="0" w:line="279"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 non-employee director will be granted, in any one calendar year, compensation for such service having an aggregate maximum value (measured at the date of grant as applicable, and calculating the value of any awards based on the grant date fair value for financial reporting purposes) in excess of $650,000. This number is unchanged from the maximum value number in the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Limited share recycling provisions</w:t>
      </w:r>
    </w:p>
    <w:p>
      <w:pPr>
        <w:spacing w:after="0" w:line="117" w:lineRule="exact"/>
        <w:rPr>
          <w:sz w:val="20"/>
          <w:szCs w:val="20"/>
          <w:color w:val="auto"/>
        </w:rPr>
      </w:pPr>
    </w:p>
    <w:p>
      <w:pPr>
        <w:ind w:left="300" w:right="359" w:firstLine="360"/>
        <w:spacing w:after="0" w:line="285" w:lineRule="auto"/>
        <w:rPr>
          <w:sz w:val="20"/>
          <w:szCs w:val="20"/>
          <w:color w:val="auto"/>
        </w:rPr>
      </w:pPr>
      <w:r>
        <w:rPr>
          <w:rFonts w:ascii="Arial" w:cs="Arial" w:eastAsia="Arial" w:hAnsi="Arial"/>
          <w:sz w:val="16"/>
          <w:szCs w:val="16"/>
          <w:color w:val="auto"/>
        </w:rPr>
        <w:t>Subject to certain exceptions described in the Amended Plan, if any award granted under the Amended Plan (in whole or in part) is canceled or forfeited, expires, is settled for cash or is unearned, the Common Stock subject to such award, to the extent of such cancellation, forfeiture, expiration, cash settlement or unearned amount, will again be available under the Amended Plan. Additionally, if after the effective date of the Amended Plan, any Common Stock subject to an award granted under the “Predecessor Plans” (the Company’s 2011 Equity Incentive Plan and 2009 Common Unit Plan) is forfeited, or an award granted under the Predecessor Plans (in whole or in part) is cancelled or forfeited, expires, is settled for cash or is unearned, the Common Stock subject to such award will, to the extent of such cancellation, forfeiture, expiration, cash settlement or unearned amount, be available for awards under the Amended Plan. The following Common Stock will not be added (or added back, as applicable) to the aggregate share limit under the Amended Plan: (1) Common Stock withheld by us, tendered or otherwise used in payment of the exercise price of a stock option granted under the Amended Plan; and (2) Common Stock reacquired by the Company on the open market or otherwise using cash proceeds from the exercise of stock options granted under the Amended Plan. Further, Common Stock covered by share-settled SARs that is exercised and settled in shares, but that is not actually issued to the participant upon exercise, will not be added back to the aggregate number of shares available under the Amended Plan. In addition, Common Stock withheld by us, tendered or otherwise used to satisfy tax withholding will not be added (or added back, as applicable) to the aggregate share limit under the Amended Plan. If a participant elects to give up the right to receive compensation in exchange for Common Stock based on fair market value, such Common Stock will not count against the aggregate number of shares available under the Amended Plan. The share recycling provisions in the Amended Plan are unchanged from the provisions in the Plan.</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repricing without stockholder approval</w:t>
      </w:r>
    </w:p>
    <w:p>
      <w:pPr>
        <w:spacing w:after="0" w:line="117"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Outside of certain corporate transactions or adjustment events described in the Amended Plan or in connection with a “change in control,” the exercise or base price of outstanding stock options and SARs cannot be reduced, and outstanding “underwater” stock options or SARs cannot be cancelled in exchange for cash or replaced with other awards, stock options or SARs with a lower exercise or base price, as applicable, without stockholder approval under the Amended Plan. The repricing provision in the Amended Plan is unchanged from the provision in the Plan.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Non-liberal change in control definition</w:t>
      </w:r>
    </w:p>
    <w:p>
      <w:pPr>
        <w:spacing w:after="0" w:line="117"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The Amended Plan and the Plan both include the same non-liberal definition of “change in control,” which is described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Exercise or base price limitation</w:t>
      </w:r>
    </w:p>
    <w:p>
      <w:pPr>
        <w:spacing w:after="0" w:line="117"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The Amended Plan and the Plan both provide that, except with respect to certain converted, assumed or substituted awards as described in the Amended Plan or the Plan, as the case may be, no stock options or SARs will be granted with an exercise or base price less than the fair market value of a share of Common Stock on the date of grant.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dividends paid on unvested awards</w:t>
      </w:r>
    </w:p>
    <w:p>
      <w:pPr>
        <w:spacing w:after="0" w:line="117"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The Amended Plan and the Plan both provide that any dividends or dividend equivalent rights on restricted stock, RSUs, performance shares and performance units will be deferred until, and paid contingent upon, the vesting of the underlying award.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Summary of Other Material Terms of the Amended Plan</w:t>
      </w:r>
    </w:p>
    <w:p>
      <w:pPr>
        <w:spacing w:after="0" w:line="121"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The Amended Plan authorizes the Board and the Compensation Committee to provide cash awards and equity-based compensation in the form of stock options, SARs, restricted stock, RSUs, performance shares, performance units, dividend equivalents and certain other awards, including those denominated or payable in, or otherwise based on, Common Stock, for the purpose of providing incentives and rewards for service and/or performance to our non-employee directors, officers and other employees of the Company and its subsidiaries, and certain consultants to the Company and its subsidiaries.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The Amended Plan is generally administered by the Compensation Committee (or its successor), or any other committee of the Board designated by the Board to administer the Amended Plan; provided, however, that notwithstanding anything in the Amended Plan to the contrary, the Board may grant awards under the Amended Plan to non-employee directors and administer the Amended Plan with respect to such awards. References to the “Committee” in this proposal generally refer to the Compensation Committee or such other committee designated by the Board, or the Board, as applicable. The Committee may from time to time delegate all or any part of its authority under the Amended Plan to a subcommittee. Any interpretation, construction and determination by the Committee of any provision of the Amended Plan, or of any agreement, notification or document evidencing the grant of awards under the Amended Plan, will be final and conclusive. To the extent permitted by applicable law, the Committee may delegate to one or more of its members or to one or more officers, or to one or more agents or advisors, such administrative duties or powers as it deems advisable, and the Committee, the subcommittee or any other such person to whom duties or powers have been delegated may employ persons to render advice with respect to a responsibility of the Committee, subcommittee or other such person. In addition, the Committee may by resolution, subject to certain restrictions set forth in the Amended Plan, authorize one or more officers of the Company to (1) designate employees to be recipients of awards under the Amended Plan and (2) determine the size of such awards. The Committee may not, however, delegate such responsibilities to officers for awards granted to non-employee directors or certain officers who are subject to the reporting requirements of Section 16 of the Securities Exchange Act of 1934, as amended (the “Exchange Act”). The Committee is authorized to take any other action it determines to be appropriate subject to the express limitations contained in the Amended Plan.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Any person who is selected by the Committee to receive benefits under the Amended Plan and who is at that time an officer or other employee of the Company or any of its subsidiaries is eligible to participate in the Amended Plan. In addition, non-employee directors of the Company and certain consultants who provide services to the Company or any of its subsidiaries that are equivalent to those typically provided by an employee (provided that such persons satisfy the Form S-8 definition of “employee”) may also be selected by the Committee to participate in the Amended Plan. As of March 31, 2023, there were approximately 903 employees of the Company and its subsidiaries, 4 consultants to the Company and its subsidiaries and 5 non-employee directors of the Company eligible to participate in the Amended Plan. The basis for participation in the Amended Plan by eligible persons is the selection of such persons for participation by the Committee (or its proper delegate) in its discretion.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Shares available for awards under the Amended Plan</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Subject to adjustment as described in the Amended Plan share counting rules, the number of shares of Common Stock available under the Amended Plan for awards of:</w:t>
      </w:r>
    </w:p>
    <w:p>
      <w:pPr>
        <w:spacing w:after="0" w:line="62" w:lineRule="exact"/>
        <w:rPr>
          <w:sz w:val="20"/>
          <w:szCs w:val="20"/>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 options or SARs;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RSUs;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performance shares or performance units;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stock-based awards under the Amended Plan;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dividend equivalents paid with respect to awards under the Amended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99"/>
        <w:spacing w:after="0" w:line="259" w:lineRule="auto"/>
        <w:rPr>
          <w:sz w:val="20"/>
          <w:szCs w:val="20"/>
          <w:color w:val="auto"/>
        </w:rPr>
      </w:pPr>
      <w:r>
        <w:rPr>
          <w:rFonts w:ascii="Arial" w:cs="Arial" w:eastAsia="Arial" w:hAnsi="Arial"/>
          <w:sz w:val="18"/>
          <w:szCs w:val="18"/>
          <w:color w:val="auto"/>
        </w:rPr>
        <w:t xml:space="preserve">will not exceed, in the aggregate, 1,990,000 shares of Common Stock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Common Stock that becomes available under the Amended Plan as a result of cancellation, forfeiture, expiration, cash settlement or less-than-maximum earning of Amended Plan awards (or, as described, awards under the Predecessor Plans), after the effective date of the Amended Plan.</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counting</w:t>
      </w:r>
    </w:p>
    <w:p>
      <w:pPr>
        <w:spacing w:after="0" w:line="117" w:lineRule="exact"/>
        <w:rPr>
          <w:sz w:val="20"/>
          <w:szCs w:val="20"/>
          <w:color w:val="auto"/>
        </w:rPr>
      </w:pPr>
    </w:p>
    <w:p>
      <w:pPr>
        <w:ind w:left="300" w:right="299" w:firstLine="360"/>
        <w:spacing w:after="0" w:line="263" w:lineRule="auto"/>
        <w:rPr>
          <w:sz w:val="20"/>
          <w:szCs w:val="20"/>
          <w:color w:val="auto"/>
        </w:rPr>
      </w:pPr>
      <w:r>
        <w:rPr>
          <w:rFonts w:ascii="Arial" w:cs="Arial" w:eastAsia="Arial" w:hAnsi="Arial"/>
          <w:sz w:val="18"/>
          <w:szCs w:val="18"/>
          <w:color w:val="auto"/>
        </w:rPr>
        <w:t>Generally, the aggregate number of shares of Common Stock available under the Amended Plan will be reduced by one share of Common Stock for every one share of Common Stock subject to an award granted under the Amended Plan.</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Types of awards under the Amended Plan</w:t>
      </w:r>
    </w:p>
    <w:p>
      <w:pPr>
        <w:spacing w:after="0" w:line="117"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Pursuant to the Amended Plan, the Company may grant cash incentive awards and stock options (including stock options intended to be “incentive stock options” as defined in Section 422 of the Code or any successor provision), SARs, restricted stock, RSUs, performance shares, performance units and certain other awards based on or related to our Common Stock.</w:t>
      </w:r>
    </w:p>
    <w:p>
      <w:pPr>
        <w:spacing w:after="0" w:line="79"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Generally, each grant of an award under the Amended Plan will be evidenced by an award agreement, certificate, resolution or other type or form of writing or other evidence approved by the Committee (an “Evidence of Award”), which will contain such terms and provisions as the Committee may determine, consistent with the Amended Plan. A brief description of the types of awards which may be granted under the Amended Plan is set forth below.</w:t>
      </w: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A stock option is a right to purchase Common Stock upon exercise of the stock option. Stock options granted to an employee under the Amended Plan may consist of either an incentive stock option, a non-qualified stock option that is not intended to be an “incentive stock option” under Section 422 of the Code, or a combination of both. Incentive stock options may only be granted to employees of the Company or certain of our related corporations. Except with respect to awards issued in substitution for, in conversion of, or in connection with an assumption of stock options held by awardees of an entity engaging in a corporate acquisition or merger with us or any of our subsidiaries, stock options must have an exercise price per share of Common Stock that is not less than the fair market value of a share of Common Stock on the date of grant. The term of a stock option may not extend more than 10 years from the date of grant. The Committee may provide in an Evidence of Award for the automatic exercise of a stock option upon such terms and conditions as established by the Committee.</w:t>
      </w:r>
    </w:p>
    <w:p>
      <w:pPr>
        <w:spacing w:after="0" w:line="60"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Each grant of a stock option will specify the applicable terms of the stock option, including the number of shares of Common Stock subject to the stock option and the required period or periods of the participant’s continuous service, if any, before any stock option or portion of a stock option will become exercisable. Stock options may provide for continued vesting or the earlier vesting of the stock options, including in the event of retirement, death, disability or termination of employment or service of the participant or in the event of a change in control.</w:t>
      </w:r>
    </w:p>
    <w:p>
      <w:pPr>
        <w:spacing w:after="0" w:line="84" w:lineRule="exact"/>
        <w:rPr>
          <w:sz w:val="20"/>
          <w:szCs w:val="20"/>
          <w:color w:val="auto"/>
        </w:rPr>
      </w:pPr>
    </w:p>
    <w:p>
      <w:pPr>
        <w:ind w:left="300" w:right="299" w:firstLine="360"/>
        <w:spacing w:after="0" w:line="288" w:lineRule="auto"/>
        <w:rPr>
          <w:sz w:val="20"/>
          <w:szCs w:val="20"/>
          <w:color w:val="auto"/>
        </w:rPr>
      </w:pPr>
      <w:r>
        <w:rPr>
          <w:rFonts w:ascii="Arial" w:cs="Arial" w:eastAsia="Arial" w:hAnsi="Arial"/>
          <w:sz w:val="16"/>
          <w:szCs w:val="16"/>
          <w:color w:val="auto"/>
        </w:rPr>
        <w:t>Any grant of stock options may specify management objectives regarding the vesting of the stock options. Each grant will specify whether the consideration to be paid in satisfaction of the exercise price will be payable: (1) in cash, by check acceptable to the Company, or by wire transfer of immediately available funds; (2) by the actual or constructive transfer to the Company of Common Stock owned by the participant with a value at the time of exercise that is equal to the total exercise price; (3) subject to any conditions or limitations established by the Committee, by a net exercise arrangement pursuant to which the Company will withhold Common Stock otherwise issuable upon exercise of a stock option; (4) by a combination of the foregoing methods; or (5) by such other methods as may be approved by the Committee. To the extent permitted by law, any grant may provide for deferred payment of the exercise price from the proceeds of a sale through a bank or broker of some or all of the shares to which the exercise relates. Stock options granted under the Amended Plan may not provide for dividends or dividend equivalents.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SARs</w:t>
      </w:r>
    </w:p>
    <w:p>
      <w:pPr>
        <w:spacing w:after="0" w:line="11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 Committee may, from time to time and upon such terms and conditions as it may determine, authorize the granting of SARs. A SAR is a right to receive from us an amount equal to 100%, or such lesser percentage as the Committee may determine, of the spread between the base price and the fair market value of a share of Common Stock on the date of exercise.</w:t>
      </w:r>
    </w:p>
    <w:p>
      <w:pPr>
        <w:spacing w:after="0" w:line="79" w:lineRule="exact"/>
        <w:rPr>
          <w:sz w:val="20"/>
          <w:szCs w:val="20"/>
          <w:color w:val="auto"/>
        </w:rPr>
      </w:pPr>
    </w:p>
    <w:p>
      <w:pPr>
        <w:ind w:left="300" w:right="439" w:firstLine="360"/>
        <w:spacing w:after="0" w:line="255" w:lineRule="auto"/>
        <w:rPr>
          <w:sz w:val="20"/>
          <w:szCs w:val="20"/>
          <w:color w:val="auto"/>
        </w:rPr>
      </w:pPr>
      <w:r>
        <w:rPr>
          <w:rFonts w:ascii="Arial" w:cs="Arial" w:eastAsia="Arial" w:hAnsi="Arial"/>
          <w:sz w:val="18"/>
          <w:szCs w:val="18"/>
          <w:color w:val="auto"/>
        </w:rPr>
        <w:t>Each grant of SARs will specify the period or periods of continuous service, if any, by the participant with the Company or any subsidiary that is necessary before the SARs or installments of such SARs will vest. SARs may provide for continued vesting or earlier vesting, including in the case of retirement, death, disability or termination of employment or service of the participant or in the event of a change in control. Any grant of SARs may specify management objectives regarding the vesting of such SARs. A SAR may be paid in cash, Common Stock or any combination of the two.</w:t>
      </w:r>
    </w:p>
    <w:p>
      <w:pPr>
        <w:spacing w:after="0" w:line="84"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Except with respect to awards issued in substitution for, in conversion of, or in connection with an assumption of SARs held by awardees of an entity engaging in a corporate acquisition or merger with us or any of our subsidiaries, the base price of a SAR may not be less than the fair market value of a share of Common Stock on the date of grant. The term of a SAR may not extend more than 10 years from the date of grant. The Committee may provide in an Evidence of Award for the automatic exercise of a SAR upon such terms and conditions as established by the Committee. SARs granted under the Amended Plan may not provide for dividends or dividend equivalents.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Each grant or sale of restricted stock constitutes an immediate transfer of the ownership of Common Stock to the participant in consideration of the performance of services, entitling such participant to voting, dividend and other ownership rights (subject in particular to certain dividend provisions in the Amended Plan, as described below), but subject to the substantial risk of forfeiture and restrictions on transfer determined by the Committee for a period of time determined by the Committee or until certain management objectives specified by the Committee are achieved. Each such grant or sale of restricted stock may be made without additional consideration or in consideration of a payment by the participant that is less than the fair market value per share of Common Stock on the date of grant.</w:t>
      </w:r>
    </w:p>
    <w:p>
      <w:pPr>
        <w:spacing w:after="0" w:line="84" w:lineRule="exact"/>
        <w:rPr>
          <w:sz w:val="20"/>
          <w:szCs w:val="20"/>
          <w:color w:val="auto"/>
        </w:rPr>
      </w:pPr>
    </w:p>
    <w:p>
      <w:pPr>
        <w:ind w:left="300" w:right="399" w:firstLine="360"/>
        <w:spacing w:after="0" w:line="288" w:lineRule="auto"/>
        <w:rPr>
          <w:sz w:val="20"/>
          <w:szCs w:val="20"/>
          <w:color w:val="auto"/>
        </w:rPr>
      </w:pPr>
      <w:r>
        <w:rPr>
          <w:rFonts w:ascii="Arial" w:cs="Arial" w:eastAsia="Arial" w:hAnsi="Arial"/>
          <w:sz w:val="16"/>
          <w:szCs w:val="16"/>
          <w:color w:val="auto"/>
        </w:rPr>
        <w:t>Any grant of restricted stock may specify management objectives regarding the vesting of the restricted stock. Any grant of restricted stock may require that any and all dividends or other distributions paid on restricted stock that remains subject to a substantial risk of forfeiture be automatically deferred and/or reinvested in additional restricted stock, which will be subject to the same restrictions as the underlying restricted stock, but any such dividends or other distributions on restricted stock must be deferred until, and paid contingent upon, the vesting of such restricted stock. Restricted shares may provide for continued vesting or the earlier vesting of such restricted stock, including in the event of retirement, death, disability or termination of employment or service of the participant or in the event of a change in control. Each grant of restricted stock will be evidenced by an Evidence of Award. Each Evidence of Award will be subject to the Amended Plan and will contain such terms and provisions, consistent with the Amended Plan, as the Committee may approve.</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color w:val="auto"/>
        </w:rPr>
        <w:t>Each grant or sale of RSUs awarded under the Amended Plan will be evidenced by an Evidence of Award and constitutes an agreement by the Company to deliver Common Stock, cash or a combination of the two to the participant in the future in consideration of the performance of services, but subject to the fulfillment of such conditions (which may include achievement regarding management objectives) during the restriction period as the Committee may specify in the Evidence of Award. Each grant or sale of RSUs may be made without additional consideration or in consideration of a payment by the participant that is less than the fair market value per share of Common Stock on the date of grant.</w:t>
      </w:r>
    </w:p>
    <w:p>
      <w:pPr>
        <w:spacing w:after="0" w:line="87"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RSUs may provide for continued vesting or the earlier lapse or other modification of the restriction period, including in the event of retirement, death, disability or termination of employment or service of the participant or in the event of a change in control. During the restriction period applicable to RSUs, the participant will have no right to transfer any rights under the award and will have no rights of ownership in the Common Stock deliverable upon payment of the RSUs and no right to vote them. Rights to dividend equivalents may be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extended to and made part of any RSU award at the discretion of the Committee, on a deferred and contingent basis, based upon the vesting of such RSUs. Each grant or sale of RSUs will specify the time and manner of payment of the RSUs that have been earned and that the amount payable with respect thereto will be paid in cash, Common Stock or any combination of the two.</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shares, performance units and cash incentive awards</w:t>
      </w:r>
    </w:p>
    <w:p>
      <w:pPr>
        <w:spacing w:after="0" w:line="117"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Performance shares, performance units and cash incentive awards may also be granted to participants under the Amended Plan, and will be evidenced by an Evidence of Award. A performance share is a bookkeeping entry that records the equivalent of one share of Common Stock, and a performance unit is a bookkeeping entry that records a unit equivalent to $1.00 or such other value as determined by the Committee. Each grant will specify the number or amount of performance shares or performance units, or the amount payable with respect to a cash incentive award being awarded, which number or amount may be subject to adjustment to reflect changes in compensation or other factors.</w:t>
      </w:r>
    </w:p>
    <w:p>
      <w:pPr>
        <w:spacing w:after="0" w:line="87" w:lineRule="exact"/>
        <w:rPr>
          <w:sz w:val="20"/>
          <w:szCs w:val="20"/>
          <w:color w:val="auto"/>
        </w:rPr>
      </w:pPr>
    </w:p>
    <w:p>
      <w:pPr>
        <w:ind w:left="300" w:right="819" w:firstLine="360"/>
        <w:spacing w:after="0" w:line="286" w:lineRule="auto"/>
        <w:rPr>
          <w:sz w:val="20"/>
          <w:szCs w:val="20"/>
          <w:color w:val="auto"/>
        </w:rPr>
      </w:pPr>
      <w:r>
        <w:rPr>
          <w:rFonts w:ascii="Arial" w:cs="Arial" w:eastAsia="Arial" w:hAnsi="Arial"/>
          <w:sz w:val="17"/>
          <w:szCs w:val="17"/>
          <w:color w:val="auto"/>
        </w:rPr>
        <w:t>Each grant of a cash incentive award, performance shares or performance units will specify management objectives regarding the earning of the award. Each grant will specify the time and manner of payment of performance shares, performance units or a cash incentive award that have been earned.</w:t>
      </w:r>
    </w:p>
    <w:p>
      <w:pPr>
        <w:spacing w:after="0" w:line="57"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At the discretion of the Committee, any grant of performance shares or performance units may provide for the payment of dividend equivalents in cash or in additional Common Stock, which dividend equivalents will be subject to deferral and payment on a contingent basis based on the participant’s earning and vesting of the performance shares or performance units, as applicable, with respect to which such dividend equivalents are paid.</w:t>
      </w:r>
    </w:p>
    <w:p>
      <w:pPr>
        <w:spacing w:after="0" w:line="49"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The performance period with respect to each grant of performance shares or performance units or cash incentive award will be a period of time determined by the Committee and within which the management objectives relating to such award are to be achieved. The performance period may be subject to continued vesting or earlier lapse or other modification, including in the event of retirement, death, disability or termination of employment or service of the participant or in the event of a change in control.</w:t>
      </w: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awards</w:t>
      </w:r>
    </w:p>
    <w:p>
      <w:pPr>
        <w:spacing w:after="0" w:line="117"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Subject to applicable law and applicable share limits under the Amended Plan, the Committee may grant to any participant Common Stock or such other awards (“Other Awards”) that may be denominated or payable in, valued in whole or in part by reference to, or otherwise based on, or related to, Common Stock or factors that may influence the value of such Common Stock, including, without limitation: convertible or exchangeable debt securities; other rights convertible or exchangeable into Common Stock; purchase rights for Common Stock; awards with value and payment contingent upon performance of the Company or specified subsidiaries or affiliates or other business units or any other factors designated by the Committee; and awards valued by reference to the book value of the Common Stock or the value of securities of, or the performance of, the Company or specified subsidiaries or affiliates or other business units of the Company. The terms and conditions of any such awards will be determined by the Committee. Common Stock delivered under such an award in the nature of a purchase right granted under the Amended Plan will be purchased for such consideration, paid for at such time, by such methods, and in such forms, including, without limitation, Common Stock, other awards, notes or other property, as the Committee determines.</w:t>
      </w:r>
    </w:p>
    <w:p>
      <w:pPr>
        <w:spacing w:after="0" w:line="60"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In addition, the Committee may grant cash awards, as an element of or supplement to any other awards granted under the Amended Plan. The Committee may also authorize the grant of Common Stock as a bonus or may authorize the grant of Other Awards in lieu of obligations of the Company or a subsidiary to pay cash or deliver other property under the Amended Plan or under other plans or compensatory arrangements, subject to terms determined by the Committee in a manner that complies with Section 409A of the Code.</w:t>
      </w:r>
    </w:p>
    <w:p>
      <w:pPr>
        <w:spacing w:after="0" w:line="68"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Other Awards may provide for the earning or vesting of, or earlier elimination of restrictions applicable to, such award, including in the event of the retirement, death, disability or termination of employment or service of the participant or in the event of a change in control. The Committee may provide for the payment of dividends or dividend equivalents on Other Awards on a deferred and contingent basis, in cash or in additional Common Stock, based upon the earning and vesting of such awards.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left="300" w:right="319" w:firstLine="360"/>
        <w:spacing w:after="0" w:line="283" w:lineRule="auto"/>
        <w:rPr>
          <w:sz w:val="20"/>
          <w:szCs w:val="20"/>
          <w:color w:val="auto"/>
        </w:rPr>
      </w:pPr>
      <w:r>
        <w:rPr>
          <w:rFonts w:ascii="Arial" w:cs="Arial" w:eastAsia="Arial" w:hAnsi="Arial"/>
          <w:sz w:val="16"/>
          <w:szCs w:val="16"/>
          <w:color w:val="auto"/>
        </w:rPr>
        <w:t>The Amended Plan includes a definition of “change in control.” In general, except as may be otherwise prescribed by the Committee in an Evidence of Award, a change in control shall be deemed to have occurred upon the occurrence of any one or a combination of the following events (subject to certain exceptions and limitations and as further described in the Amended Plan): (1) any individual, entity or group is or becomes the beneficial owner, directly or indirectly, of 50% or more of the total fair market value or the total combined voting power of the then-outstanding Common Stock or voting shares of the Company (subject to certain exceptions); (2) a transaction in which the stockholders immediately before the transaction do not retain ownership of more than 50% of the total combined voting power of the outstanding voting securities of the Company (or the entity to which the assets of the Company were transferred); or (3) consummation of a complete liquidation or dissolution of the Company after approval of the same by the stockholders of the Company; provided, however, the transactions described in (1) or</w:t>
      </w:r>
    </w:p>
    <w:p>
      <w:pPr>
        <w:spacing w:after="0" w:line="5" w:lineRule="exact"/>
        <w:rPr>
          <w:sz w:val="20"/>
          <w:szCs w:val="20"/>
          <w:color w:val="auto"/>
        </w:rPr>
      </w:pPr>
    </w:p>
    <w:p>
      <w:pPr>
        <w:ind w:left="300" w:right="759" w:hanging="8"/>
        <w:spacing w:after="0" w:line="255" w:lineRule="auto"/>
        <w:tabs>
          <w:tab w:leader="none" w:pos="5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above shall not constitute a change in control if a majority of the members of the board of directors of the continuing, surviving or successor entity (or parent thereof) immediately after such transaction is comprised of incumbent directors.</w:t>
      </w: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 objectives</w:t>
      </w:r>
    </w:p>
    <w:p>
      <w:pPr>
        <w:spacing w:after="0" w:line="117"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The Amended Plan generally provides that any of the awards set forth above may be granted subject to the achievement of specified management objectives. Management objectives are defined as the measurable performance objective or objectives established pursuant to the Amended Plan for participants who have received grants of performance shares, performance units or cash incentive awards or, when so determined by the Committee, stock options, SARs, restricted stock, RSUs, dividend equivalents or Other Awards.</w:t>
      </w:r>
    </w:p>
    <w:p>
      <w:pPr>
        <w:spacing w:after="0" w:line="68"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Additionally,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in whole or in part, as the Committee deems appropriate and equitable.</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Transferability of awards</w:t>
      </w:r>
    </w:p>
    <w:p>
      <w:pPr>
        <w:spacing w:after="0" w:line="117"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Except as otherwise provided by the Committee, and subject to the terms of the Amended Plan with respect to Section 409A of the Code, no stock option, SAR, restricted stock, RSU, performance share, performance unit, cash incentive award, Other Award or dividend equivalents paid with respect to awards made under the Amended Plan will be transferable by a participant except by will or the laws of descent and distribution. In no event will any such award granted under the Amended Plan be transferred for value. Except as otherwise determined by the Committee, stock options and SARs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57" w:lineRule="exact"/>
        <w:rPr>
          <w:sz w:val="20"/>
          <w:szCs w:val="20"/>
          <w:color w:val="auto"/>
        </w:rPr>
      </w:pPr>
    </w:p>
    <w:p>
      <w:pPr>
        <w:jc w:val="both"/>
        <w:ind w:left="300" w:right="659" w:firstLine="360"/>
        <w:spacing w:after="0" w:line="263" w:lineRule="auto"/>
        <w:rPr>
          <w:sz w:val="20"/>
          <w:szCs w:val="20"/>
          <w:color w:val="auto"/>
        </w:rPr>
      </w:pPr>
      <w:r>
        <w:rPr>
          <w:rFonts w:ascii="Arial" w:cs="Arial" w:eastAsia="Arial" w:hAnsi="Arial"/>
          <w:sz w:val="18"/>
          <w:szCs w:val="18"/>
          <w:color w:val="auto"/>
        </w:rPr>
        <w:t>The Committee may specify on the grant date that all or part of certain types of the Common Stock that is subject to awards under the Amended Plan will be subject to further restrictions on transfer, including minimum holding periods.</w:t>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Adjustments</w:t>
      </w:r>
    </w:p>
    <w:p>
      <w:pPr>
        <w:spacing w:after="0" w:line="117"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The Committee will make or provide for such adjustments in: (1) the number and kind of shares of Common Stock covered by outstanding stock options, SARs, restricted stock, RSUs, performance shares and performance units granted under the Amended Plan; (2) if applicable, the number and kind of shares of Common Stock covered by Other Awards granted pursuant to the Amended Plan; (3) the exercise price or base price provided in outstanding stock options and SARs, respectively; (4) cash incentive awards; and (5) other award terms, as the Committee in its sole discretion, exercised in good faith determines to be equitably required in order to prevent dilution or enlargement of the rights of participants that otherwise would result from (a) any extraordinary cash dividend, stock dividend, stock split, combination of shares, recapitalization or other change in the capital structure of the Company;</w:t>
      </w:r>
    </w:p>
    <w:p>
      <w:pPr>
        <w:spacing w:after="0" w:line="1" w:lineRule="exact"/>
        <w:rPr>
          <w:sz w:val="20"/>
          <w:szCs w:val="20"/>
          <w:color w:val="auto"/>
        </w:rPr>
      </w:pPr>
    </w:p>
    <w:p>
      <w:pPr>
        <w:ind w:left="300" w:right="379" w:hanging="8"/>
        <w:spacing w:after="0" w:line="255" w:lineRule="auto"/>
        <w:tabs>
          <w:tab w:leader="none" w:pos="5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merger, consolidation, spin-off, spin-out, split-off, split-up, reorganization, partial or complete liquidation or other distribution of assets, issuance of rights or warrants to purchase securities; or (c) any other corporate transaction or event having an effect similar to any of the foregoing.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In the event of any such transaction or event, or in the event of a change in control of the Company, the Committee may provide in substitution for any or all outstanding awards under the Amended Plan such alternative consideration (including cash), if any, as it may in good faith determine to be equitable under the circumstances and will require in connection therewith the surrender of all awards so replaced in a manner that complies with Section 409A of the Code. In addition, for each stock option or SAR with an exercise price or base price, respectively, greater than the consideration offered in connection with any such transaction or event or change in control of the Company, the Committee may in its discretion elect to cancel such stock option or SAR without any payment to the person holding such stock option or SAR. The Committee will make or provide for such adjustments to the numbers of shares of Common Stock available under the Amended Plan and the share limits of the Amended Plan as the Committee in its sole discretion may in good faith determine to be appropriate to reflect such transaction or event. Any adjustment to the limit on the number of shares of Common Stock that may be issued upon exercise of incentive stock options, however, will be made only if and to the extent such adjustment would not cause any stock option intended to qualify as an incentive stock option to fail to so qualify.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Prohibition on repricing</w:t>
      </w:r>
    </w:p>
    <w:p>
      <w:pPr>
        <w:spacing w:after="0" w:line="117"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Except in connection with certain corporate transactions or changes in the capital structure of the Company or in connection with a change in control, the terms of outstanding awards may not be amended to (1) reduce the exercise price or base price of outstanding stock options or SARs, respectively, or (2) cancel outstanding “underwater” stock options or SARs in exchange for cash, Other Awards or stock options or SARs with an exercise price or base price, as applicable, that is less than the exercise price or base price of the original stock options or SARs, as applicable, without stockholder approval. The Amended Plan specifically provides that this provision is intended to prohibit the repricing of “underwater” stock options and SARs and that it may not be amended without approval by our stockholders.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Detrimental activity and recapture</w:t>
      </w:r>
    </w:p>
    <w:p>
      <w:pPr>
        <w:spacing w:after="0" w:line="117"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Any Evidence of Award may reference a clawback policy of the Company or provide for the cancellation or forfeiture of an award or forfeiture and repayment to us of any gain related to an award, or other provisions intended to have a similar effect, upon such terms and conditions as may be determined by the Committee from time to time, if any participant, either during employment or other service with us or a subsidiary or within a specified period after such employment or service, engages in any detrimental activity, as described in the applicable Evidence of Award or such clawback policy. In addition, any Evidence of Award or such clawback policy may provide for cancellation or forfeiture of an award or the forfeiture and repayment of any Common Stock issued under and/or any other benefit related to an award, or other provisions intended to have a similar effect, including upon such terms and conditions as may be required by the Committee or under Section 10D of the Exchange Act and any applicable rules and regulations promulgated by the Securities and Exchange Commission or any national securities exchange or national securities association on which the Common Stock may be traded.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Accommodations for participants of different nationalities</w:t>
      </w:r>
    </w:p>
    <w:p>
      <w:pPr>
        <w:spacing w:after="0" w:line="117"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In order to facilitate the making of any grant or combination of grants under the Amended Plan, the Committee may provide for such special terms for awards to participants as the Committee may consider necessary or appropriate to accommodate differences in local law, tax policy or custom given that participants are expected to be nationals of the United States and other countries, or to be employed by us or one of our subsidiaries within and outside of the United States. The Committee may approve such supplements to, or amendments, restatements or alternative versions of, the Amended Plan (including sub-plans) (to be considered part of the Amended Plan) as it may consider necessary or appropriate for such purposes, without thereby affecting the terms of the Amended Plan as in effect for any other purpose, provided that no such special terms, supplements, amendments or restatements will include any provisions that are inconsistent with the terms of the Amended Plan as then in effect unless the Amended Plan could have been amended to eliminate such inconsistency without further approval by our stockholders.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Withholding</w:t>
      </w:r>
    </w:p>
    <w:p>
      <w:pPr>
        <w:spacing w:after="0" w:line="117"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To the extent the Company is required to withhold federal, state, local or foreign taxes or other amounts in connection with any payment made or benefit realized by a participant or other person under the Amended Plan, and the amounts available to us for such withholding are insufficient, it will be a condition to the receipt of such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payment or the realization of such benefit that the participant or such other person make arrangements satisfactory to the Company for payment of the balance of such taxes or other amounts required to be withheld, which arrangements may include relinquishment of a portion of such benefit. If a participant’s benefit is to be received in the form of Common Stock, then, (i) for participants who are “officers” subject to Section 16 of the Exchange Act, unless otherwise determined by the Committee, we will withhold Common Stock having a value equal to the amount required to be withheld under applicable income and employment tax laws and (ii) for participants who are not “officers” subject to Section 16 of the Exchange Act, we may withhold Common Stock having a value equal to the amount required to be withheld under applicable income and employment tax laws. The Common Stock used for tax or other withholding will be valued at an amount equal to the fair market value of such Common Stock on the date the benefit is to be included in the participant’s income. In no event will the fair market value of the Common Stock to be withheld and delivered pursuant to the Amended Plan exceed the minimum amount required to be withheld, unless (1) an additional amount can be withheld and not result in adverse accounting consequences, (2) such additional withholding amount is authorized by the Committee, and (3) the total amount withheld does not exceed the participant’s estimated tax obligations attributable to the applicable transaction. Participants will also make such arrangements as the Company may require for the payment of any withholding tax or other obligation that may arise in connection with the disposition of Common Stock acquired upon the exercise of stock options.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right to continued employment</w:t>
      </w:r>
    </w:p>
    <w:p>
      <w:pPr>
        <w:spacing w:after="0" w:line="117" w:lineRule="exact"/>
        <w:rPr>
          <w:sz w:val="20"/>
          <w:szCs w:val="20"/>
          <w:color w:val="auto"/>
        </w:rPr>
      </w:pPr>
    </w:p>
    <w:p>
      <w:pPr>
        <w:jc w:val="both"/>
        <w:ind w:left="300" w:right="459" w:firstLine="360"/>
        <w:spacing w:after="0" w:line="277" w:lineRule="auto"/>
        <w:rPr>
          <w:sz w:val="20"/>
          <w:szCs w:val="20"/>
          <w:color w:val="auto"/>
        </w:rPr>
      </w:pPr>
      <w:r>
        <w:rPr>
          <w:rFonts w:ascii="Arial" w:cs="Arial" w:eastAsia="Arial" w:hAnsi="Arial"/>
          <w:sz w:val="18"/>
          <w:szCs w:val="18"/>
          <w:color w:val="auto"/>
        </w:rPr>
        <w:t>The Amended Plan does not confer upon any participant any right with respect to continuance of employment or service with the Company or any of its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Effective date of the Amended Plan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Amended Plan will become effective on the date it is approved by the Company’s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and termination of the Amended Plan</w:t>
      </w:r>
    </w:p>
    <w:p>
      <w:pPr>
        <w:spacing w:after="0" w:line="117" w:lineRule="exact"/>
        <w:rPr>
          <w:sz w:val="20"/>
          <w:szCs w:val="20"/>
          <w:color w:val="auto"/>
        </w:rPr>
      </w:pPr>
    </w:p>
    <w:p>
      <w:pPr>
        <w:jc w:val="both"/>
        <w:ind w:left="300" w:right="459" w:firstLine="360"/>
        <w:spacing w:after="0" w:line="287" w:lineRule="auto"/>
        <w:rPr>
          <w:sz w:val="20"/>
          <w:szCs w:val="20"/>
          <w:color w:val="auto"/>
        </w:rPr>
      </w:pPr>
      <w:r>
        <w:rPr>
          <w:rFonts w:ascii="Arial" w:cs="Arial" w:eastAsia="Arial" w:hAnsi="Arial"/>
          <w:sz w:val="16"/>
          <w:szCs w:val="16"/>
          <w:color w:val="auto"/>
        </w:rPr>
        <w:t>The Board generally may amend the Amended Plan from time to time in whole or in part. If any amendment, however, for purposes of applicable stock exchange rules (and except as permitted under the adjustment provisions of the Amended Plan) (1) would materially increase the benefits accruing to participants under the Amended Plan,</w:t>
      </w:r>
    </w:p>
    <w:p>
      <w:pPr>
        <w:spacing w:after="0" w:line="2" w:lineRule="exact"/>
        <w:rPr>
          <w:sz w:val="20"/>
          <w:szCs w:val="20"/>
          <w:color w:val="auto"/>
        </w:rPr>
      </w:pPr>
    </w:p>
    <w:p>
      <w:pPr>
        <w:ind w:left="300" w:right="339" w:hanging="8"/>
        <w:spacing w:after="0" w:line="270" w:lineRule="auto"/>
        <w:tabs>
          <w:tab w:leader="none" w:pos="5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would materially increase the number of securities which may be issued under the Amended Plan, (3) would materially modify the requirements for participation in the Amended Plan, or (4) must otherwise be approved by our stockholders in order to comply with applicable law or the rules of the New York Stock Exchange, or, if the Common Stock is not traded on the New York Stock Exchange, the principal national securities exchange upon which the Common Stock is traded or quoted, all as determined by the Board, then such amendment will be subject to stockholder approval and will not be effective unless and until such approval has been obtained.</w:t>
      </w:r>
    </w:p>
    <w:p>
      <w:pPr>
        <w:spacing w:after="0" w:line="70"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Further, subject to the Amended Plan’s prohibition on repricing, the Committee generally may amend the terms of any award prospectively or retroactively. Except in the case of certain adjustments permitted under the Amended Plan, no such amendment may be made that would materially impair the rights of any participant without his or her consent. If permitted by Section 409A of the Code and subject to certain other limitations set forth in the Amended Plan, including in the case of termination of employment or service, or in the case of unforeseeable emergency or other circumstances or in the event of a change in control, the Committee may provide for continued vesting or accelerate the vesting of certain awards granted under the Amended Plan or waive any other limitation or requirement under any such award.</w:t>
      </w:r>
    </w:p>
    <w:p>
      <w:pPr>
        <w:spacing w:after="0" w:line="70"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The Board may, in its discretion, terminate the Amended Plan at any time. Termination of the Amended Plan will not affect the rights of participants or their successors under any awards outstanding and not exercised in full on the date of termination. No grant will be made under the Amended Plan on or after the tenth (10th) anniversary of the effective date of the Amended Plan, but all grants made prior to such date will continue in effect thereafter subject to their terms and the terms of the Amended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Allowances for conversion awards and assumed plans</w:t>
      </w:r>
    </w:p>
    <w:p>
      <w:pPr>
        <w:spacing w:after="0" w:line="117"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Common Stock issued or transferred under awards granted under the Amended Plan in substitution for or conversion of, or in connection with an assumption of, stock options, SARs, restricted stock, RSUs or other share or share-based awards held by awardees of an entity engaging in a corporate acquisition or merger transaction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with us or any of our subsidiaries will not count against (or be added to) the aggregate share limit or other Amended Plan limits described above. Additionally, shares available under certain plans that we or our subsidiaries may assume in connection with corporate transactions from another entity may be available for certain awards under the Amended Plan, under circumstances further described in the Amended Plan, but will not count against the aggregate share limit or other Amended Plan limits described above.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New Plan Benefits</w:t>
      </w:r>
    </w:p>
    <w:p>
      <w:pPr>
        <w:spacing w:after="0" w:line="121"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Other than the annual grant of RSUs to our non-employee directors under our director compensation policy (the amounts of which are set forth in the table below for 2023), any equity- or cash-based compensation awards to be granted in the future under the Amended Plan to eligible individuals, including employees, officers and non-employee directors, cannot be determined at this time because the grants are made in the discretion of the Committee.</w:t>
      </w:r>
    </w:p>
    <w:p>
      <w:pPr>
        <w:spacing w:after="0" w:line="12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Dollar</w:t>
            </w:r>
          </w:p>
        </w:tc>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1"/>
              </w:rPr>
              <w:t>of RSUs</w:t>
            </w:r>
          </w:p>
        </w:tc>
        <w:tc>
          <w:tcPr>
            <w:tcW w:w="780" w:type="dxa"/>
            <w:vAlign w:val="bottom"/>
          </w:tcPr>
          <w:p>
            <w:pPr>
              <w:ind w:left="140"/>
              <w:spacing w:after="0" w:line="159" w:lineRule="exact"/>
              <w:rPr>
                <w:sz w:val="20"/>
                <w:szCs w:val="20"/>
                <w:color w:val="auto"/>
              </w:rPr>
            </w:pPr>
            <w:r>
              <w:rPr>
                <w:rFonts w:ascii="Arial" w:cs="Arial" w:eastAsia="Arial" w:hAnsi="Arial"/>
                <w:sz w:val="14"/>
                <w:szCs w:val="14"/>
                <w:b w:val="1"/>
                <w:bCs w:val="1"/>
                <w:color w:val="auto"/>
              </w:rPr>
              <w:t>of RSUs</w:t>
            </w:r>
          </w:p>
        </w:tc>
        <w:tc>
          <w:tcPr>
            <w:tcW w:w="0" w:type="dxa"/>
            <w:vAlign w:val="bottom"/>
          </w:tcPr>
          <w:p>
            <w:pPr>
              <w:spacing w:after="0"/>
              <w:rPr>
                <w:sz w:val="1"/>
                <w:szCs w:val="1"/>
                <w:color w:val="auto"/>
              </w:rPr>
            </w:pPr>
          </w:p>
        </w:tc>
      </w:tr>
      <w:tr>
        <w:trPr>
          <w:trHeight w:val="269"/>
        </w:trPr>
        <w:tc>
          <w:tcPr>
            <w:tcW w:w="6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Position</w:t>
            </w:r>
          </w:p>
        </w:tc>
        <w:tc>
          <w:tcPr>
            <w:tcW w:w="2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(1)</w:t>
            </w:r>
          </w:p>
        </w:tc>
        <w:tc>
          <w:tcPr>
            <w:tcW w:w="18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(1)</w:t>
            </w:r>
          </w:p>
        </w:tc>
        <w:tc>
          <w:tcPr>
            <w:tcW w:w="0" w:type="dxa"/>
            <w:vAlign w:val="bottom"/>
          </w:tcPr>
          <w:p>
            <w:pPr>
              <w:spacing w:after="0"/>
              <w:rPr>
                <w:sz w:val="1"/>
                <w:szCs w:val="1"/>
                <w:color w:val="auto"/>
              </w:rPr>
            </w:pPr>
          </w:p>
        </w:tc>
      </w:tr>
      <w:tr>
        <w:trPr>
          <w:trHeight w:val="311"/>
        </w:trPr>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Young-Joon Kim, </w:t>
            </w:r>
            <w:r>
              <w:rPr>
                <w:rFonts w:ascii="Arial" w:cs="Arial" w:eastAsia="Arial" w:hAnsi="Arial"/>
                <w:sz w:val="18"/>
                <w:szCs w:val="18"/>
                <w:i w:val="1"/>
                <w:iCs w:val="1"/>
                <w:color w:val="auto"/>
              </w:rPr>
              <w:t>Chief Executive Officer</w:t>
            </w:r>
          </w:p>
        </w:tc>
        <w:tc>
          <w:tcPr>
            <w:tcW w:w="9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 xml:space="preserve">Shin Young Park, </w:t>
            </w:r>
            <w:r>
              <w:rPr>
                <w:rFonts w:ascii="Arial" w:cs="Arial" w:eastAsia="Arial" w:hAnsi="Arial"/>
                <w:sz w:val="18"/>
                <w:szCs w:val="18"/>
                <w:i w:val="1"/>
                <w:iCs w:val="1"/>
                <w:color w:val="auto"/>
              </w:rPr>
              <w:t>Chief Financial Officer</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 xml:space="preserve">Theodore Kim, </w:t>
            </w:r>
            <w:r>
              <w:rPr>
                <w:rFonts w:ascii="Arial" w:cs="Arial" w:eastAsia="Arial" w:hAnsi="Arial"/>
                <w:sz w:val="18"/>
                <w:szCs w:val="18"/>
                <w:i w:val="1"/>
                <w:iCs w:val="1"/>
                <w:color w:val="auto"/>
                <w:w w:val="98"/>
              </w:rPr>
              <w:t>Chief Compliance Officer, Executive Vice President, General Counsel</w:t>
            </w: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and Secretary</w:t>
            </w:r>
          </w:p>
        </w:tc>
        <w:tc>
          <w:tcPr>
            <w:tcW w:w="9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6680" w:type="dxa"/>
            <w:vAlign w:val="bottom"/>
            <w:gridSpan w:val="2"/>
          </w:tcPr>
          <w:p>
            <w:pPr>
              <w:spacing w:after="0"/>
              <w:rPr>
                <w:sz w:val="20"/>
                <w:szCs w:val="20"/>
                <w:color w:val="auto"/>
              </w:rPr>
            </w:pPr>
            <w:r>
              <w:rPr>
                <w:rFonts w:ascii="Arial" w:cs="Arial" w:eastAsia="Arial" w:hAnsi="Arial"/>
                <w:sz w:val="18"/>
                <w:szCs w:val="18"/>
                <w:color w:val="auto"/>
                <w:w w:val="97"/>
              </w:rPr>
              <w:t xml:space="preserve">Woung Moo Lee, </w:t>
            </w:r>
            <w:r>
              <w:rPr>
                <w:rFonts w:ascii="Arial" w:cs="Arial" w:eastAsia="Arial" w:hAnsi="Arial"/>
                <w:sz w:val="18"/>
                <w:szCs w:val="18"/>
                <w:i w:val="1"/>
                <w:iCs w:val="1"/>
                <w:color w:val="auto"/>
                <w:w w:val="97"/>
              </w:rPr>
              <w:t>Executive Vice President and General Manager of Display Solutions</w:t>
            </w: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ind w:left="180"/>
              <w:spacing w:after="0"/>
              <w:rPr>
                <w:sz w:val="20"/>
                <w:szCs w:val="20"/>
                <w:color w:val="auto"/>
              </w:rPr>
            </w:pPr>
            <w:r>
              <w:rPr>
                <w:rFonts w:ascii="Arial" w:cs="Arial" w:eastAsia="Arial" w:hAnsi="Arial"/>
                <w:sz w:val="18"/>
                <w:szCs w:val="18"/>
                <w:i w:val="1"/>
                <w:iCs w:val="1"/>
                <w:color w:val="auto"/>
              </w:rPr>
              <w:t>and Worldwide Sales</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 Ho Park</w:t>
            </w:r>
            <w:r>
              <w:rPr>
                <w:rFonts w:ascii="Arial" w:cs="Arial" w:eastAsia="Arial" w:hAnsi="Arial"/>
                <w:sz w:val="18"/>
                <w:szCs w:val="18"/>
                <w:i w:val="1"/>
                <w:iCs w:val="1"/>
                <w:color w:val="auto"/>
              </w:rPr>
              <w:t>, General Manager of Power Solutions</w:t>
            </w:r>
          </w:p>
        </w:tc>
        <w:tc>
          <w:tcPr>
            <w:tcW w:w="9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Executive Group</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Non-Executive Director Group</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975,000</w:t>
            </w:r>
            <w:r>
              <w:rPr>
                <w:rFonts w:ascii="Arial" w:cs="Arial" w:eastAsia="Arial" w:hAnsi="Arial"/>
                <w:sz w:val="29"/>
                <w:szCs w:val="29"/>
                <w:color w:val="auto"/>
                <w:w w:val="85"/>
                <w:vertAlign w:val="superscript"/>
              </w:rPr>
              <w:t>(2)</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107,382</w:t>
            </w:r>
            <w:r>
              <w:rPr>
                <w:rFonts w:ascii="Arial" w:cs="Arial" w:eastAsia="Arial" w:hAnsi="Arial"/>
                <w:sz w:val="29"/>
                <w:szCs w:val="29"/>
                <w:color w:val="auto"/>
                <w:w w:val="85"/>
                <w:vertAlign w:val="superscript"/>
              </w:rPr>
              <w:t>(3)</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Non-Executive Officer Employee Group</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-1928495</wp:posOffset>
            </wp:positionV>
            <wp:extent cx="120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-1928495</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2" w:lineRule="exact"/>
        <w:rPr>
          <w:sz w:val="20"/>
          <w:szCs w:val="20"/>
          <w:color w:val="auto"/>
        </w:rPr>
      </w:pPr>
    </w:p>
    <w:p>
      <w:pPr>
        <w:ind w:left="640" w:right="719" w:hanging="348"/>
        <w:spacing w:after="0" w:line="253"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Please see “</w:t>
      </w:r>
      <w:r>
        <w:rPr>
          <w:rFonts w:ascii="Arial" w:cs="Arial" w:eastAsia="Arial" w:hAnsi="Arial"/>
          <w:sz w:val="14"/>
          <w:szCs w:val="14"/>
          <w:i w:val="1"/>
          <w:iCs w:val="1"/>
          <w:color w:val="auto"/>
        </w:rPr>
        <w:t>Compensation Philosophy and Objectives</w:t>
      </w:r>
      <w:r>
        <w:rPr>
          <w:rFonts w:ascii="Arial" w:cs="Arial" w:eastAsia="Arial" w:hAnsi="Arial"/>
          <w:sz w:val="14"/>
          <w:szCs w:val="14"/>
          <w:color w:val="auto"/>
        </w:rPr>
        <w:t>” and “</w:t>
      </w:r>
      <w:r>
        <w:rPr>
          <w:rFonts w:ascii="Arial" w:cs="Arial" w:eastAsia="Arial" w:hAnsi="Arial"/>
          <w:sz w:val="14"/>
          <w:szCs w:val="14"/>
          <w:i w:val="1"/>
          <w:iCs w:val="1"/>
          <w:color w:val="auto"/>
        </w:rPr>
        <w:t>Timing of Compensation Decisions</w:t>
      </w:r>
      <w:r>
        <w:rPr>
          <w:rFonts w:ascii="Arial" w:cs="Arial" w:eastAsia="Arial" w:hAnsi="Arial"/>
          <w:sz w:val="14"/>
          <w:szCs w:val="14"/>
          <w:color w:val="auto"/>
        </w:rPr>
        <w:t>” in the section titled “Compensation Discussion and Analysis” of this Proxy Statement for a detailed description of our named executive officers.</w:t>
      </w:r>
    </w:p>
    <w:p>
      <w:pPr>
        <w:spacing w:after="0" w:line="11" w:lineRule="exact"/>
        <w:rPr>
          <w:rFonts w:ascii="Arial" w:cs="Arial" w:eastAsia="Arial" w:hAnsi="Arial"/>
          <w:sz w:val="14"/>
          <w:szCs w:val="14"/>
          <w:color w:val="auto"/>
        </w:rPr>
      </w:pPr>
    </w:p>
    <w:p>
      <w:pPr>
        <w:ind w:left="640" w:right="299" w:hanging="348"/>
        <w:spacing w:after="0" w:line="231"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Under our director compensation policy, in 2023, each of our non-employee directors is expected to receive an RSU grant with a value of $165,000; the chairpersons of the Audit Committee, Compensation Committee, Nominating and Corporate Governance Committee and Risk Committee are expected to receive additional RSU grants of $20,000 each; non-chair members of the Audit Committee, Compensation Committee, Nominating and Corporate Governance Committee and Risk Committee are expected to receive additional RSU grants of $10,000 each.</w:t>
      </w:r>
    </w:p>
    <w:p>
      <w:pPr>
        <w:spacing w:after="0" w:line="21" w:lineRule="exact"/>
        <w:rPr>
          <w:rFonts w:ascii="Arial" w:cs="Arial" w:eastAsia="Arial" w:hAnsi="Arial"/>
          <w:sz w:val="14"/>
          <w:szCs w:val="14"/>
          <w:color w:val="auto"/>
        </w:rPr>
      </w:pPr>
    </w:p>
    <w:p>
      <w:pPr>
        <w:ind w:left="640" w:right="319" w:hanging="348"/>
        <w:spacing w:after="0" w:line="255" w:lineRule="auto"/>
        <w:tabs>
          <w:tab w:leader="none" w:pos="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is the estimated total number of 2023 RSUs to be granted to our non-employee directors (assuming our current non-employee directors continue serving their directorship) under the director compensation policy. Equity compensation for our non-employee directors is based on dollar value, which is already determined by the Company’s director compensation policy, and we used the closing price of the Company’s Common Stock on April 6, 2023, or $9.08, to estimate the number of RSUs to be granted.</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U.S. Federal Income Tax Consequences</w:t>
      </w:r>
    </w:p>
    <w:p>
      <w:pPr>
        <w:spacing w:after="0" w:line="121" w:lineRule="exact"/>
        <w:rPr>
          <w:sz w:val="20"/>
          <w:szCs w:val="20"/>
          <w:color w:val="auto"/>
        </w:rPr>
      </w:pPr>
    </w:p>
    <w:p>
      <w:pPr>
        <w:ind w:left="300" w:right="439" w:firstLine="360"/>
        <w:spacing w:after="0" w:line="275" w:lineRule="auto"/>
        <w:rPr>
          <w:sz w:val="20"/>
          <w:szCs w:val="20"/>
          <w:color w:val="auto"/>
        </w:rPr>
      </w:pPr>
      <w:r>
        <w:rPr>
          <w:rFonts w:ascii="Arial" w:cs="Arial" w:eastAsia="Arial" w:hAnsi="Arial"/>
          <w:sz w:val="17"/>
          <w:szCs w:val="17"/>
          <w:color w:val="auto"/>
        </w:rPr>
        <w:t>The following is a brief summary of certain of the federal income tax consequences of certain transactions under the Amended Plan based on federal income tax laws in effect. This summary, which is presented for the information of stockholders considering how to vote on this proposal and not for Amended Plan participants, is not intended to be complete and does not describe federal taxes other than income taxes (such as Medicare and social security taxes), or state, local or foreign tax consequences.</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consequences to participants</w:t>
      </w:r>
    </w:p>
    <w:p>
      <w:pPr>
        <w:spacing w:after="0" w:line="117"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i w:val="1"/>
          <w:iCs w:val="1"/>
          <w:u w:val="single" w:color="auto"/>
          <w:color w:val="auto"/>
        </w:rPr>
        <w:t>Restricted shares</w:t>
      </w:r>
      <w:r>
        <w:rPr>
          <w:rFonts w:ascii="Arial" w:cs="Arial" w:eastAsia="Arial" w:hAnsi="Arial"/>
          <w:sz w:val="17"/>
          <w:szCs w:val="17"/>
          <w:color w:val="auto"/>
        </w:rPr>
        <w:t>: The recipient of restricted stock generally will be subject to tax at ordinary income rates on</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market value of the restricted stock (reduced by any amount paid by the recipient for such restricted stock) at such time as the restricted stock are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restricted shares equal to the excess (if any) of the fair market value of such shares (determined without regard to the Restrictions) over the purchase price, if any, of such restricted stock. If a Section 83(b) election has not been made, any dividends received with respect to restricted stock that are subject to the Restrictions generally will be treated as compensation that is taxable as ordinary income to the recipient.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79" w:firstLine="360"/>
        <w:spacing w:after="0" w:line="275" w:lineRule="auto"/>
        <w:rPr>
          <w:sz w:val="20"/>
          <w:szCs w:val="20"/>
          <w:color w:val="auto"/>
        </w:rPr>
      </w:pPr>
      <w:r>
        <w:rPr>
          <w:rFonts w:ascii="Arial" w:cs="Arial" w:eastAsia="Arial" w:hAnsi="Arial"/>
          <w:sz w:val="17"/>
          <w:szCs w:val="17"/>
          <w:i w:val="1"/>
          <w:iCs w:val="1"/>
          <w:u w:val="single" w:color="auto"/>
          <w:color w:val="auto"/>
        </w:rPr>
        <w:t>Performance shares, performance units and cash incentive awards</w:t>
      </w:r>
      <w:r>
        <w:rPr>
          <w:rFonts w:ascii="Arial" w:cs="Arial" w:eastAsia="Arial" w:hAnsi="Arial"/>
          <w:sz w:val="17"/>
          <w:szCs w:val="17"/>
          <w:color w:val="auto"/>
        </w:rPr>
        <w:t>: No taxable income generally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upon the grant of performance shares, performance units or cash incentive awards. Upon payment in respect of the earn-out of performance shares, performance units or cash incentive awards, the recipient generally will be required to include as taxable ordinary income in the year of receipt an amount equal to the amount of cash received and the fair market value of any unrestricted Common Stock received.</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Nonqualified stock options</w:t>
      </w:r>
      <w:r>
        <w:rPr>
          <w:rFonts w:ascii="Arial" w:cs="Arial" w:eastAsia="Arial" w:hAnsi="Arial"/>
          <w:sz w:val="18"/>
          <w:szCs w:val="18"/>
          <w:color w:val="auto"/>
        </w:rPr>
        <w:t>: In general:</w:t>
      </w:r>
    </w:p>
    <w:p>
      <w:pPr>
        <w:spacing w:after="0" w:line="117" w:lineRule="exact"/>
        <w:rPr>
          <w:sz w:val="20"/>
          <w:szCs w:val="20"/>
          <w:color w:val="auto"/>
        </w:rPr>
      </w:pPr>
    </w:p>
    <w:p>
      <w:pPr>
        <w:ind w:left="1000" w:hanging="348"/>
        <w:spacing w:after="0"/>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 taxable income will be recognized by an optionee at the time a non-qualified stock option is granted;</w:t>
      </w:r>
    </w:p>
    <w:p>
      <w:pPr>
        <w:spacing w:after="0" w:line="140" w:lineRule="exact"/>
        <w:rPr>
          <w:rFonts w:ascii="Arial" w:cs="Arial" w:eastAsia="Arial" w:hAnsi="Arial"/>
          <w:sz w:val="16"/>
          <w:szCs w:val="16"/>
          <w:color w:val="auto"/>
        </w:rPr>
      </w:pPr>
    </w:p>
    <w:p>
      <w:pPr>
        <w:jc w:val="both"/>
        <w:ind w:left="1000" w:right="359" w:hanging="348"/>
        <w:spacing w:after="0" w:line="263"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the time of exercise of a non-qualified stock option, ordinary income will be recognized by the optionee in an amount equal to the difference between the option price paid for the shares and the fair market value of the shares, if unrestricted, on the date of exercise; and</w:t>
      </w:r>
    </w:p>
    <w:p>
      <w:pPr>
        <w:spacing w:after="0" w:line="75" w:lineRule="exact"/>
        <w:rPr>
          <w:rFonts w:ascii="Arial" w:cs="Arial" w:eastAsia="Arial" w:hAnsi="Arial"/>
          <w:sz w:val="18"/>
          <w:szCs w:val="18"/>
          <w:color w:val="auto"/>
        </w:rPr>
      </w:pPr>
    </w:p>
    <w:p>
      <w:pPr>
        <w:ind w:left="1000" w:right="399" w:hanging="348"/>
        <w:spacing w:after="0" w:line="286" w:lineRule="auto"/>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w:t>
      </w:r>
    </w:p>
    <w:p>
      <w:pPr>
        <w:spacing w:after="0" w:line="5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i w:val="1"/>
          <w:iCs w:val="1"/>
          <w:u w:val="single" w:color="auto"/>
          <w:color w:val="auto"/>
        </w:rPr>
        <w:t>Incentive stock options</w:t>
      </w:r>
      <w:r>
        <w:rPr>
          <w:rFonts w:ascii="Arial" w:cs="Arial" w:eastAsia="Arial" w:hAnsi="Arial"/>
          <w:sz w:val="18"/>
          <w:szCs w:val="18"/>
          <w:color w:val="auto"/>
        </w:rPr>
        <w:t>: No taxable income generally will be recognized by an optionee upon the grant or</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 “incentive stock option” as defined in Section 422 of the Code, except for purpose of the alternative minimum tax. If Common Stock is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w:t>
      </w:r>
    </w:p>
    <w:p>
      <w:pPr>
        <w:spacing w:after="0" w:line="87"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If Common Stock acquired upon the exercise of an incentive stock option is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recognized by the participant generally will be taxed as short-term or long-term capital gain (or loss) depending on the holding period.</w:t>
      </w:r>
    </w:p>
    <w:p>
      <w:pPr>
        <w:spacing w:after="0" w:line="70"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i w:val="1"/>
          <w:iCs w:val="1"/>
          <w:u w:val="single" w:color="auto"/>
          <w:color w:val="auto"/>
        </w:rPr>
        <w:t>SARs</w:t>
      </w:r>
      <w:r>
        <w:rPr>
          <w:rFonts w:ascii="Arial" w:cs="Arial" w:eastAsia="Arial" w:hAnsi="Arial"/>
          <w:sz w:val="16"/>
          <w:szCs w:val="16"/>
          <w:color w:val="auto"/>
        </w:rPr>
        <w:t>: No taxable income will be recognized by a participant in connection with the grant of a SAR.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SAR is exercised, the participant normally will be required to include as taxable ordinary income in the year of exercise an amount equal to the amount of cash received and the fair market value of any unrestricted shares of Common Stock received on the exercise. Any further gain (or loss) recognized by the participant upon any later disposition will be taxed as short-term or long-term capital gain (or loss) depending on the holding period.</w:t>
      </w:r>
    </w:p>
    <w:p>
      <w:pPr>
        <w:spacing w:after="0" w:line="53"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i w:val="1"/>
          <w:iCs w:val="1"/>
          <w:u w:val="single" w:color="auto"/>
          <w:color w:val="auto"/>
        </w:rPr>
        <w:t>RSUs</w:t>
      </w:r>
      <w:r>
        <w:rPr>
          <w:rFonts w:ascii="Arial" w:cs="Arial" w:eastAsia="Arial" w:hAnsi="Arial"/>
          <w:sz w:val="18"/>
          <w:szCs w:val="18"/>
          <w:color w:val="auto"/>
        </w:rPr>
        <w:t>: No taxable income generally will be recognized upon the award of RSUs. The recipient of an RSU</w:t>
      </w:r>
      <w:r>
        <w:rPr>
          <w:rFonts w:ascii="Arial" w:cs="Arial" w:eastAsia="Arial" w:hAnsi="Arial"/>
          <w:sz w:val="18"/>
          <w:szCs w:val="18"/>
          <w:i w:val="1"/>
          <w:iCs w:val="1"/>
          <w:color w:val="auto"/>
        </w:rPr>
        <w:t xml:space="preserve"> </w:t>
      </w:r>
      <w:r>
        <w:rPr>
          <w:rFonts w:ascii="Arial" w:cs="Arial" w:eastAsia="Arial" w:hAnsi="Arial"/>
          <w:sz w:val="18"/>
          <w:szCs w:val="18"/>
          <w:color w:val="auto"/>
        </w:rPr>
        <w:t>award generally will be subject to tax at ordinary income rates on the fair market value of unrestricted shares of Common Stock on the date that such shares are transferred to the participant under the award (reduced by any amount paid by the participant for such RSUs), and the capital gains/loss holding period for such shares will also commence on such date. In addition, Federal Insurance Contributions Act (“FICA”) taxes are imposed in the year of vesting.</w:t>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consequences to the Company or its subsidiaries</w:t>
      </w:r>
    </w:p>
    <w:p>
      <w:pPr>
        <w:spacing w:after="0" w:line="117"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To the extent that a participant recognizes ordinary income in the circumstances described above, the Company or the subsidiary for which the participant performs services will be entitled to a corresponding deduction from any applicable federal income tax; provided that, among other things, the income meets the test of reasonableness, is an ordinary and necessary business expense, is not an “excess parachute payment” within the meaning of Section 280G of the Code and is not disallowed by the $1.0 million limitation on certain executive compensation under Section 162(m) of the Code.</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Registration with the SEC</w:t>
      </w:r>
    </w:p>
    <w:p>
      <w:pPr>
        <w:spacing w:after="0" w:line="121" w:lineRule="exact"/>
        <w:rPr>
          <w:sz w:val="20"/>
          <w:szCs w:val="20"/>
          <w:color w:val="auto"/>
        </w:rPr>
      </w:pPr>
    </w:p>
    <w:p>
      <w:pPr>
        <w:ind w:left="300" w:right="539" w:firstLine="360"/>
        <w:spacing w:after="0" w:line="286" w:lineRule="auto"/>
        <w:rPr>
          <w:sz w:val="20"/>
          <w:szCs w:val="20"/>
          <w:color w:val="auto"/>
        </w:rPr>
      </w:pPr>
      <w:r>
        <w:rPr>
          <w:rFonts w:ascii="Arial" w:cs="Arial" w:eastAsia="Arial" w:hAnsi="Arial"/>
          <w:sz w:val="17"/>
          <w:szCs w:val="17"/>
          <w:color w:val="auto"/>
        </w:rPr>
        <w:t>We intend to file a Registration Statement on Form S-8 relating to the issuance of shares of Common Stock under the Amended Plan with the Securities and Exchange Commission pursuant to the Securities Act of 1933, as amended, as soon as practicable after approval of the Amended Plan by our stockholders.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Board recommends that you vote “FOR” the approval of the Amended Plan.</w:t>
      </w:r>
    </w:p>
    <w:p>
      <w:pPr>
        <w:spacing w:after="0" w:line="121" w:lineRule="exact"/>
        <w:rPr>
          <w:sz w:val="20"/>
          <w:szCs w:val="20"/>
          <w:color w:val="auto"/>
        </w:rPr>
      </w:pPr>
    </w:p>
    <w:p>
      <w:pPr>
        <w:ind w:left="300" w:right="719" w:firstLine="360"/>
        <w:spacing w:after="0" w:line="308" w:lineRule="auto"/>
        <w:rPr>
          <w:sz w:val="20"/>
          <w:szCs w:val="20"/>
          <w:color w:val="auto"/>
        </w:rPr>
      </w:pPr>
      <w:r>
        <w:rPr>
          <w:rFonts w:ascii="Arial" w:cs="Arial" w:eastAsia="Arial" w:hAnsi="Arial"/>
          <w:sz w:val="17"/>
          <w:szCs w:val="17"/>
          <w:color w:val="auto"/>
        </w:rPr>
        <w:t>Please see “Equity Compensation Plan Information” table above for information as of December 31, 2022 regarding securities authorized for issuance under the Company’s equity compensation plans.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STOCKHOLDER PROPOSALS FOR 2024 ANNUAL MEETING</w:t>
      </w:r>
    </w:p>
    <w:p>
      <w:pPr>
        <w:spacing w:after="0" w:line="121" w:lineRule="exact"/>
        <w:rPr>
          <w:sz w:val="20"/>
          <w:szCs w:val="20"/>
          <w:color w:val="auto"/>
        </w:rPr>
      </w:pPr>
    </w:p>
    <w:p>
      <w:pPr>
        <w:jc w:val="both"/>
        <w:ind w:left="300" w:right="399" w:firstLine="360"/>
        <w:spacing w:after="0" w:line="311" w:lineRule="auto"/>
        <w:rPr>
          <w:sz w:val="20"/>
          <w:szCs w:val="20"/>
          <w:color w:val="auto"/>
        </w:rPr>
      </w:pPr>
      <w:r>
        <w:rPr>
          <w:rFonts w:ascii="Arial" w:cs="Arial" w:eastAsia="Arial" w:hAnsi="Arial"/>
          <w:sz w:val="16"/>
          <w:szCs w:val="16"/>
          <w:color w:val="auto"/>
        </w:rPr>
        <w:t>A stockholder who would like a proposal considered for inclusion in our proxy statement relating to our 2024 annual meeting pursuant to Rule 14a-8 (“Rule 14a-8”) under the Exchange Act must be received by the Corporate Secretary of the Company no later than December 19, 2023 and must otherwise comply with Rule 14a-8.</w:t>
      </w:r>
    </w:p>
    <w:p>
      <w:pPr>
        <w:spacing w:after="0" w:line="41" w:lineRule="exact"/>
        <w:rPr>
          <w:sz w:val="20"/>
          <w:szCs w:val="20"/>
          <w:color w:val="auto"/>
        </w:rPr>
      </w:pPr>
    </w:p>
    <w:p>
      <w:pPr>
        <w:ind w:left="300" w:right="479" w:firstLine="360"/>
        <w:spacing w:after="0" w:line="269" w:lineRule="auto"/>
        <w:rPr>
          <w:sz w:val="20"/>
          <w:szCs w:val="20"/>
          <w:color w:val="auto"/>
        </w:rPr>
      </w:pPr>
      <w:r>
        <w:rPr>
          <w:rFonts w:ascii="Arial" w:cs="Arial" w:eastAsia="Arial" w:hAnsi="Arial"/>
          <w:sz w:val="17"/>
          <w:szCs w:val="17"/>
          <w:color w:val="auto"/>
        </w:rPr>
        <w:t>Any stockholder proposals received outside of the Rule 14a-8 procedure for consideration at our 2024 annual meeting must be received by the Corporate Secretary of the Company between January 19, 2024 and February 18, 2024. If, however, the date of the 2024 annual meeting is changed by more than 30 days from the anniversary date of this year’s Annual Meeting, the stockholder notice described above will be deemed timely if it is received not later than the close of business on the later of the 90th calendar day prior to such annual meeting and the 10th calendar day after public announcement of the date of such meeting. Such proposals must be addressed to Magnachip Semiconductor Corporation, c/o Magnachip Semiconductor, Ltd., 15F, 76 Jikji-daero 436beon-gil, Heungdeok-gu, Cheongju-si, Chungcheongbuk-do, Republic of Korea 28581, Attention: Secretary. We also encourage you to also submit any such proposal via email to investors@magnachip.com. If we do not receive such notice within the timeframe described above, the notice will be considered untimely and the proposal may not be brought.</w:t>
      </w:r>
    </w:p>
    <w:p>
      <w:pPr>
        <w:spacing w:after="0" w:line="74" w:lineRule="exact"/>
        <w:rPr>
          <w:sz w:val="20"/>
          <w:szCs w:val="20"/>
          <w:color w:val="auto"/>
        </w:rPr>
      </w:pPr>
    </w:p>
    <w:p>
      <w:pPr>
        <w:ind w:left="300" w:right="419" w:firstLine="360"/>
        <w:spacing w:after="0" w:line="293" w:lineRule="auto"/>
        <w:rPr>
          <w:sz w:val="20"/>
          <w:szCs w:val="20"/>
          <w:color w:val="auto"/>
        </w:rPr>
      </w:pPr>
      <w:r>
        <w:rPr>
          <w:rFonts w:ascii="Arial" w:cs="Arial" w:eastAsia="Arial" w:hAnsi="Arial"/>
          <w:sz w:val="16"/>
          <w:szCs w:val="16"/>
          <w:color w:val="auto"/>
        </w:rPr>
        <w:t>In addition to the timely notice requirements, a stockholder’s proposal for nominees for directors must comply with Section 2.15 of the Company’s bylaws and other applicable procedures described therein or established by our Nominating and Corporate Governance Committee. See “The Board of Directors and Corporate Governance— Nominating and Corporate Governance Committee.” Stockholder proposals related to other business must also comply with Section 1.10 of the Company’s bylaws. Furthermore, any stockholder proposal must comply with all applicable requirements of the Exchange Act and the rules and regulations thereunder.</w:t>
      </w:r>
    </w:p>
    <w:p>
      <w:pPr>
        <w:spacing w:after="0" w:line="56" w:lineRule="exact"/>
        <w:rPr>
          <w:sz w:val="20"/>
          <w:szCs w:val="20"/>
          <w:color w:val="auto"/>
        </w:rPr>
      </w:pPr>
    </w:p>
    <w:p>
      <w:pPr>
        <w:jc w:val="both"/>
        <w:ind w:left="300" w:right="799" w:firstLine="360"/>
        <w:spacing w:after="0" w:line="286" w:lineRule="auto"/>
        <w:rPr>
          <w:sz w:val="20"/>
          <w:szCs w:val="20"/>
          <w:color w:val="auto"/>
        </w:rPr>
      </w:pPr>
      <w:r>
        <w:rPr>
          <w:rFonts w:ascii="Arial" w:cs="Arial" w:eastAsia="Arial" w:hAnsi="Arial"/>
          <w:sz w:val="17"/>
          <w:szCs w:val="17"/>
          <w:color w:val="auto"/>
        </w:rPr>
        <w:t>Our proxy for the 2024 annual meeting will grant authority to the persons named therein to exercise their voting discretion with respect to any matter of which we did not receive notice between January 19, 2024 and February 18, 2024. Notices should be submitted to the address set forth above.</w:t>
      </w:r>
    </w:p>
    <w:p>
      <w:pPr>
        <w:spacing w:after="0" w:line="57"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To comply with the universal proxy rules, stockholders who intend to solicit proxies in support of director nominees other than the Company’s nominees must provide notice that sets forth the information required by Rule 14a-19 under the Exchange Act no later than March 19, 2024.</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We will bear the costs of soliciting proxies from our stockholders. In addition to the use of the mails, proxies may be solicited by our directors, officers and employees by personal interview, telephone or telegram. Such directors, officers and employees will not be additionally compensated for such solicitation, but may be reimbursed for out-of-pocket expenses incurred in connection therewith. Arrangements will also be made with brokerage houses and other custodians, nominees and fiduciaries for the forwarding of solicitation materials to the beneficial owners of our Common Stock held of record by such persons, and we will reimburse such brokerage houses, custodians, nominees and fiduciaries for reasonable out-of-pocket expenses incurred in connection therewith.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The directors know of no other matters which are likely to be brought before the Annual Meeting. The enclosed proxy card grants to the persons named in the proxy card the authority to vote in their best judgment regarding all other matters properly raised at the Annual Meeting.</w:t>
      </w:r>
    </w:p>
    <w:p>
      <w:pPr>
        <w:spacing w:after="0" w:line="1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57785</wp:posOffset>
            </wp:positionV>
            <wp:extent cx="260604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Theodore Kim</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Chief Compliance Officer, Executive Vice President,</w:t>
      </w:r>
    </w:p>
    <w:p>
      <w:pPr>
        <w:spacing w:after="0" w:line="1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General Counsel and Secretary</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17, 2023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Appendix 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EQUITY AND INCENTIVE COMPENSATION PLAN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as of May 18, 2023</w:t>
      </w:r>
    </w:p>
    <w:p>
      <w:pPr>
        <w:spacing w:after="0" w:line="117" w:lineRule="exact"/>
        <w:rPr>
          <w:sz w:val="20"/>
          <w:szCs w:val="20"/>
          <w:color w:val="auto"/>
        </w:rPr>
      </w:pPr>
    </w:p>
    <w:p>
      <w:pPr>
        <w:ind w:left="640" w:right="599" w:hanging="348"/>
        <w:spacing w:after="0" w:line="266"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this Plan is to permit award grants to non-employee Directors, Officers,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Consultants of the Participating Company Group, and to provide to such persons incentives and rewards for Service and/or performance.</w:t>
      </w:r>
    </w:p>
    <w:p>
      <w:pPr>
        <w:spacing w:after="0" w:line="67" w:lineRule="exact"/>
        <w:rPr>
          <w:rFonts w:ascii="Arial" w:cs="Arial" w:eastAsia="Arial" w:hAnsi="Arial"/>
          <w:sz w:val="18"/>
          <w:szCs w:val="18"/>
          <w:color w:val="auto"/>
        </w:rPr>
      </w:pPr>
    </w:p>
    <w:p>
      <w:pPr>
        <w:ind w:left="640" w:hanging="348"/>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this Plan: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Appreciation Right</w:t>
      </w:r>
      <w:r>
        <w:rPr>
          <w:rFonts w:ascii="Arial" w:cs="Arial" w:eastAsia="Arial" w:hAnsi="Arial"/>
          <w:sz w:val="18"/>
          <w:szCs w:val="18"/>
          <w:color w:val="auto"/>
        </w:rPr>
        <w:t xml:space="preserve">” means a right granted pursuant to </w:t>
      </w:r>
      <w:r>
        <w:rPr>
          <w:rFonts w:ascii="Arial" w:cs="Arial" w:eastAsia="Arial" w:hAnsi="Arial"/>
          <w:sz w:val="18"/>
          <w:szCs w:val="18"/>
          <w:b w:val="1"/>
          <w:bCs w:val="1"/>
          <w:u w:val="single" w:color="auto"/>
          <w:color w:val="auto"/>
        </w:rPr>
        <w:t>Section 5</w:t>
      </w:r>
      <w:r>
        <w:rPr>
          <w:rFonts w:ascii="Arial" w:cs="Arial" w:eastAsia="Arial" w:hAnsi="Arial"/>
          <w:sz w:val="18"/>
          <w:szCs w:val="18"/>
          <w:color w:val="auto"/>
        </w:rPr>
        <w:t xml:space="preserve"> of this Plan.</w:t>
      </w:r>
    </w:p>
    <w:p>
      <w:pPr>
        <w:spacing w:after="0" w:line="121" w:lineRule="exact"/>
        <w:rPr>
          <w:rFonts w:ascii="Arial" w:cs="Arial" w:eastAsia="Arial" w:hAnsi="Arial"/>
          <w:sz w:val="18"/>
          <w:szCs w:val="18"/>
          <w:color w:val="auto"/>
        </w:rPr>
      </w:pPr>
    </w:p>
    <w:p>
      <w:pPr>
        <w:ind w:left="1000" w:right="639" w:hanging="348"/>
        <w:spacing w:after="0" w:line="342" w:lineRule="auto"/>
        <w:tabs>
          <w:tab w:leader="none" w:pos="10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any Option, Appreciation Right, Restricted Stock, Restricted Stock Unit, Performance Share, Performance Unit, Cash Incentive Award or other award granted under this Plan.</w:t>
      </w:r>
    </w:p>
    <w:p>
      <w:pPr>
        <w:spacing w:after="0" w:line="15" w:lineRule="exact"/>
        <w:rPr>
          <w:rFonts w:ascii="Arial" w:cs="Arial" w:eastAsia="Arial" w:hAnsi="Arial"/>
          <w:sz w:val="16"/>
          <w:szCs w:val="16"/>
          <w:color w:val="auto"/>
        </w:rPr>
      </w:pPr>
    </w:p>
    <w:p>
      <w:pPr>
        <w:ind w:left="1000" w:right="579" w:hanging="348"/>
        <w:spacing w:after="0" w:line="277"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Price</w:t>
      </w:r>
      <w:r>
        <w:rPr>
          <w:rFonts w:ascii="Arial" w:cs="Arial" w:eastAsia="Arial" w:hAnsi="Arial"/>
          <w:sz w:val="18"/>
          <w:szCs w:val="18"/>
          <w:color w:val="auto"/>
        </w:rPr>
        <w:t>” means the price to be used as the basis for determining the Spread upon the exercise of an Appreciation Right.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3" w:lineRule="exact"/>
        <w:rPr>
          <w:rFonts w:ascii="Arial" w:cs="Arial" w:eastAsia="Arial" w:hAnsi="Arial"/>
          <w:sz w:val="18"/>
          <w:szCs w:val="18"/>
          <w:color w:val="auto"/>
        </w:rPr>
      </w:pPr>
    </w:p>
    <w:p>
      <w:pPr>
        <w:ind w:left="1000" w:hanging="348"/>
        <w:spacing w:after="0"/>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Incentive Award</w:t>
      </w:r>
      <w:r>
        <w:rPr>
          <w:rFonts w:ascii="Arial" w:cs="Arial" w:eastAsia="Arial" w:hAnsi="Arial"/>
          <w:sz w:val="18"/>
          <w:szCs w:val="18"/>
          <w:color w:val="auto"/>
        </w:rPr>
        <w:t xml:space="preserve">” means a cash award granted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w:t>
      </w:r>
    </w:p>
    <w:p>
      <w:pPr>
        <w:spacing w:after="0" w:line="121" w:lineRule="exact"/>
        <w:rPr>
          <w:rFonts w:ascii="Arial" w:cs="Arial" w:eastAsia="Arial" w:hAnsi="Arial"/>
          <w:sz w:val="18"/>
          <w:szCs w:val="18"/>
          <w:color w:val="auto"/>
        </w:rPr>
      </w:pPr>
    </w:p>
    <w:p>
      <w:pPr>
        <w:ind w:left="1000" w:right="359" w:hanging="348"/>
        <w:spacing w:after="0" w:line="285" w:lineRule="auto"/>
        <w:tabs>
          <w:tab w:leader="none" w:pos="10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unless such term or an equivalent term is otherwise defined by the applicable Evidence of Award or other written agreement between a Participant and a Participating Company applicable to an Award, any of the following: (i) the Participant’s failure to substantially perform the Participant’s customary duties with a Participating Company in the ordinary course (other than such failure resulting from the Participant’s incapacity due to physical or mental illness) that, if susceptible to cure, has not been cured as determined by the Participating Company within 30 days after a written demand for substantial performance is delivered to the Participant by the Participating Company, which demand specifically identifies the manner in which such entity believes that the Participant has not substantially performed the Participant’s duties; (ii) the Participant’s gross negligence, intentional misconduct or fraud in the performance of his or her Service; (iii) the Participant’s indictment (or equivalent) for a felony or to a crime involving fraud or dishonesty; (iv) a judicial determination that the Participant committed fraud or dishonesty against any natural person, firm, partnership, limited liability company, association, corporation, company, trust, business trust, governmental authority or other entity; (v) the Participant’s material violation of one or more of the Participating Company Group’s policies applicable to the Participant’s Service as may be in effect from time to time; or (vi) the Participant’s conduct that brings or could reasonably be expected to bring the Participating Company Group into public disgrace or disrepute and that has a material adverse effect on the business of the Participating Company Group.</w:t>
      </w:r>
    </w:p>
    <w:p>
      <w:pPr>
        <w:spacing w:after="0" w:line="61" w:lineRule="exact"/>
        <w:rPr>
          <w:rFonts w:ascii="Arial" w:cs="Arial" w:eastAsia="Arial" w:hAnsi="Arial"/>
          <w:sz w:val="16"/>
          <w:szCs w:val="16"/>
          <w:color w:val="auto"/>
        </w:rPr>
      </w:pPr>
    </w:p>
    <w:p>
      <w:pPr>
        <w:ind w:left="1000" w:hanging="348"/>
        <w:spacing w:after="0"/>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has the meaning set forth in </w:t>
      </w:r>
      <w:r>
        <w:rPr>
          <w:rFonts w:ascii="Arial" w:cs="Arial" w:eastAsia="Arial" w:hAnsi="Arial"/>
          <w:sz w:val="18"/>
          <w:szCs w:val="18"/>
          <w:b w:val="1"/>
          <w:bCs w:val="1"/>
          <w:u w:val="single" w:color="auto"/>
          <w:color w:val="auto"/>
        </w:rPr>
        <w:t>Section 12</w:t>
      </w:r>
      <w:r>
        <w:rPr>
          <w:rFonts w:ascii="Arial" w:cs="Arial" w:eastAsia="Arial" w:hAnsi="Arial"/>
          <w:sz w:val="18"/>
          <w:szCs w:val="18"/>
          <w:color w:val="auto"/>
        </w:rPr>
        <w:t xml:space="preserve"> of this Plan.</w:t>
      </w:r>
    </w:p>
    <w:p>
      <w:pPr>
        <w:spacing w:after="0" w:line="121" w:lineRule="exact"/>
        <w:rPr>
          <w:rFonts w:ascii="Arial" w:cs="Arial" w:eastAsia="Arial" w:hAnsi="Arial"/>
          <w:sz w:val="18"/>
          <w:szCs w:val="18"/>
          <w:color w:val="auto"/>
        </w:rPr>
      </w:pPr>
    </w:p>
    <w:p>
      <w:pPr>
        <w:ind w:left="1000" w:right="959" w:hanging="348"/>
        <w:spacing w:after="0" w:line="277"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and the regulations thereunder, as such law and regulations may be amended from time to time.</w:t>
      </w:r>
    </w:p>
    <w:p>
      <w:pPr>
        <w:spacing w:after="0" w:line="62" w:lineRule="exact"/>
        <w:rPr>
          <w:rFonts w:ascii="Arial" w:cs="Arial" w:eastAsia="Arial" w:hAnsi="Arial"/>
          <w:sz w:val="18"/>
          <w:szCs w:val="18"/>
          <w:color w:val="auto"/>
        </w:rPr>
      </w:pPr>
    </w:p>
    <w:p>
      <w:pPr>
        <w:ind w:left="1000" w:right="679" w:hanging="348"/>
        <w:spacing w:after="0" w:line="263"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Compensation Committee of the Board (or its successor(s)), or any other committee of the Board designated by the Board to administer this Plan pursuant to </w:t>
      </w:r>
      <w:r>
        <w:rPr>
          <w:rFonts w:ascii="Arial" w:cs="Arial" w:eastAsia="Arial" w:hAnsi="Arial"/>
          <w:sz w:val="18"/>
          <w:szCs w:val="18"/>
          <w:b w:val="1"/>
          <w:bCs w:val="1"/>
          <w:u w:val="single" w:color="auto"/>
          <w:color w:val="auto"/>
        </w:rPr>
        <w:t>Section 10</w:t>
      </w:r>
      <w:r>
        <w:rPr>
          <w:rFonts w:ascii="Arial" w:cs="Arial" w:eastAsia="Arial" w:hAnsi="Arial"/>
          <w:sz w:val="18"/>
          <w:szCs w:val="18"/>
          <w:color w:val="auto"/>
        </w:rPr>
        <w:t xml:space="preserve"> of this Plan.</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MagnaChip Semiconductor Corporation, a Delaware corporation, and its successors.</w:t>
      </w:r>
    </w:p>
    <w:p>
      <w:pPr>
        <w:spacing w:after="0" w:line="140" w:lineRule="exact"/>
        <w:rPr>
          <w:rFonts w:ascii="Arial" w:cs="Arial" w:eastAsia="Arial" w:hAnsi="Arial"/>
          <w:sz w:val="16"/>
          <w:szCs w:val="16"/>
          <w:color w:val="auto"/>
        </w:rPr>
      </w:pPr>
    </w:p>
    <w:p>
      <w:pPr>
        <w:ind w:left="1000" w:right="579" w:hanging="348"/>
        <w:spacing w:after="0" w:line="257"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 person engaged to provide consulting or advisory services (other than as an Employee or a member of the Board) to a Participating Company, provided that the identity of such person, the nature of such services or the entity to which such services are provided would not preclude the Company from offering or selling securities to such person pursuant to this Plan in reliance on registration on Form S-8 under the Securities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359" w:hanging="348"/>
        <w:spacing w:after="0" w:line="275"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Date of Grant</w:t>
      </w:r>
      <w:r>
        <w:rPr>
          <w:rFonts w:ascii="Arial" w:cs="Arial" w:eastAsia="Arial" w:hAnsi="Arial"/>
          <w:sz w:val="17"/>
          <w:szCs w:val="17"/>
          <w:color w:val="auto"/>
        </w:rPr>
        <w:t xml:space="preserve">” means the date provided for by the Committee on which a grant of Options, Appreciation Rights, Performance Shares, Performance Units, Cash Incentive Awards, or other awards contemplated by </w:t>
      </w:r>
      <w:r>
        <w:rPr>
          <w:rFonts w:ascii="Arial" w:cs="Arial" w:eastAsia="Arial" w:hAnsi="Arial"/>
          <w:sz w:val="17"/>
          <w:szCs w:val="17"/>
          <w:b w:val="1"/>
          <w:bCs w:val="1"/>
          <w:u w:val="single" w:color="auto"/>
          <w:color w:val="auto"/>
        </w:rPr>
        <w:t>Section 9</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 or a grant or sale of Restricted Stock, Restricted Stock Units, or other awards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contemplated by </w:t>
      </w:r>
      <w:r>
        <w:rPr>
          <w:rFonts w:ascii="Arial" w:cs="Arial" w:eastAsia="Arial" w:hAnsi="Arial"/>
          <w:sz w:val="17"/>
          <w:szCs w:val="17"/>
          <w:b w:val="1"/>
          <w:bCs w:val="1"/>
          <w:u w:val="single" w:color="auto"/>
          <w:color w:val="auto"/>
        </w:rPr>
        <w:t>Section 9</w:t>
      </w:r>
      <w:r>
        <w:rPr>
          <w:rFonts w:ascii="Arial" w:cs="Arial" w:eastAsia="Arial" w:hAnsi="Arial"/>
          <w:sz w:val="17"/>
          <w:szCs w:val="17"/>
          <w:color w:val="auto"/>
        </w:rPr>
        <w:t xml:space="preserve"> of this Plan, will become effective (which date will not be earlier than the date on which the Committee takes action with respect thereto).</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color w:val="auto"/>
        </w:rPr>
      </w:pPr>
    </w:p>
    <w:p>
      <w:pPr>
        <w:ind w:left="1000" w:right="319" w:hanging="348"/>
        <w:spacing w:after="0" w:line="259"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unless such term or an equivalent term is otherwise defined by the applicable Evidence of Award or other written agreement between a Participant and a Participating Company applicable to an Award, the permanent and total disability of the Participant, within the meaning of Section 22(e)(3) of the Code.</w:t>
      </w:r>
    </w:p>
    <w:p>
      <w:pPr>
        <w:spacing w:after="0" w:line="78" w:lineRule="exact"/>
        <w:rPr>
          <w:rFonts w:ascii="Arial" w:cs="Arial" w:eastAsia="Arial" w:hAnsi="Arial"/>
          <w:sz w:val="18"/>
          <w:szCs w:val="18"/>
          <w:color w:val="auto"/>
        </w:rPr>
      </w:pPr>
    </w:p>
    <w:p>
      <w:pPr>
        <w:ind w:left="1000" w:right="479" w:hanging="348"/>
        <w:spacing w:after="0" w:line="259"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Equivalent Right</w:t>
      </w:r>
      <w:r>
        <w:rPr>
          <w:rFonts w:ascii="Arial" w:cs="Arial" w:eastAsia="Arial" w:hAnsi="Arial"/>
          <w:sz w:val="18"/>
          <w:szCs w:val="18"/>
          <w:color w:val="auto"/>
        </w:rPr>
        <w:t>” means the right of a Participant, granted at the discretion of the Committee or as otherwise provided by this Plan, to receive a credit for the account of such Participant in an amount equal to the cash dividends paid on one share of Stock for each share of Stock represented by an Award held by such Participant.</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date this Plan is approved by the Stockholders, which is June 11, 2020.</w:t>
      </w:r>
    </w:p>
    <w:p>
      <w:pPr>
        <w:spacing w:after="0" w:line="128" w:lineRule="exact"/>
        <w:rPr>
          <w:rFonts w:ascii="Arial" w:cs="Arial" w:eastAsia="Arial" w:hAnsi="Arial"/>
          <w:sz w:val="17"/>
          <w:szCs w:val="17"/>
          <w:color w:val="auto"/>
        </w:rPr>
      </w:pPr>
    </w:p>
    <w:p>
      <w:pPr>
        <w:ind w:left="1000" w:right="339" w:hanging="348"/>
        <w:spacing w:after="0" w:line="254"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person treated as an employee (including an Officer or a member of the Board who is also treated as an employee) in the records of a Participating Company and, with respect to any Incentive Stock Option granted to such person, who is an “employee” as defined under Section 3401(c)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service as a member of the Board nor payment of a Director’s fee shall be sufficient to constitute employment for purposes of this Plan. The Company shall determine in good faith and in the exercise of its discretion whether an individual has become or has ceased to be an Employee and the effective date of such individual’s employment or termination of employment, as the case may be.</w:t>
      </w:r>
    </w:p>
    <w:p>
      <w:pPr>
        <w:spacing w:after="0" w:line="83" w:lineRule="exact"/>
        <w:rPr>
          <w:rFonts w:ascii="Arial" w:cs="Arial" w:eastAsia="Arial" w:hAnsi="Arial"/>
          <w:sz w:val="18"/>
          <w:szCs w:val="18"/>
          <w:color w:val="auto"/>
        </w:rPr>
      </w:pPr>
    </w:p>
    <w:p>
      <w:pPr>
        <w:ind w:left="1000" w:right="339" w:hanging="348"/>
        <w:spacing w:after="0" w:line="25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Evidence of Award</w:t>
      </w:r>
      <w:r>
        <w:rPr>
          <w:rFonts w:ascii="Arial" w:cs="Arial" w:eastAsia="Arial" w:hAnsi="Arial"/>
          <w:sz w:val="18"/>
          <w:szCs w:val="18"/>
          <w:color w:val="auto"/>
        </w:rPr>
        <w:t>”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79" w:lineRule="exact"/>
        <w:rPr>
          <w:rFonts w:ascii="Arial" w:cs="Arial" w:eastAsia="Arial" w:hAnsi="Arial"/>
          <w:sz w:val="18"/>
          <w:szCs w:val="18"/>
          <w:color w:val="auto"/>
        </w:rPr>
      </w:pPr>
    </w:p>
    <w:p>
      <w:pPr>
        <w:ind w:left="1000" w:right="399" w:hanging="348"/>
        <w:spacing w:after="0" w:line="342" w:lineRule="auto"/>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 and the rules and regulations thereunder, as such law, rules and regulations may be amended from time to time.</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the purchase price payable on exercise of an Option.</w:t>
      </w:r>
    </w:p>
    <w:p>
      <w:pPr>
        <w:spacing w:after="0" w:line="117" w:lineRule="exact"/>
        <w:rPr>
          <w:rFonts w:ascii="Arial" w:cs="Arial" w:eastAsia="Arial" w:hAnsi="Arial"/>
          <w:sz w:val="18"/>
          <w:szCs w:val="18"/>
          <w:color w:val="auto"/>
        </w:rPr>
      </w:pPr>
    </w:p>
    <w:p>
      <w:pPr>
        <w:ind w:left="1000" w:right="339" w:hanging="348"/>
        <w:spacing w:after="0" w:line="271"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particular date, the closing price of a share of Stock as reported for that date on the New York Stock Exchange or, if the Stock is not then listed on the New York Stock Exchange, on any other national securities exchange on which the Stock is listed, or if there are no sales on such date, on the next preceding trading day during which a sale occurred. If there is no regular public trading market for the Stock, then the Fair Market Value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w:t>
      </w:r>
    </w:p>
    <w:p>
      <w:pPr>
        <w:spacing w:after="0" w:line="70" w:lineRule="exact"/>
        <w:rPr>
          <w:rFonts w:ascii="Arial" w:cs="Arial" w:eastAsia="Arial" w:hAnsi="Arial"/>
          <w:sz w:val="17"/>
          <w:szCs w:val="17"/>
          <w:color w:val="auto"/>
        </w:rPr>
      </w:pPr>
    </w:p>
    <w:p>
      <w:pPr>
        <w:ind w:left="1000" w:right="379" w:hanging="348"/>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qualify as an “incentive stock option” under Section 422 of the Code or any successor provision.</w:t>
      </w:r>
    </w:p>
    <w:p>
      <w:pPr>
        <w:spacing w:after="0" w:line="62" w:lineRule="exact"/>
        <w:rPr>
          <w:rFonts w:ascii="Arial" w:cs="Arial" w:eastAsia="Arial" w:hAnsi="Arial"/>
          <w:sz w:val="18"/>
          <w:szCs w:val="18"/>
          <w:color w:val="auto"/>
        </w:rPr>
      </w:pPr>
    </w:p>
    <w:p>
      <w:pPr>
        <w:ind w:left="1000" w:right="339" w:hanging="348"/>
        <w:spacing w:after="0" w:line="25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Incumbent Director</w:t>
      </w:r>
      <w:r>
        <w:rPr>
          <w:rFonts w:ascii="Arial" w:cs="Arial" w:eastAsia="Arial" w:hAnsi="Arial"/>
          <w:sz w:val="18"/>
          <w:szCs w:val="18"/>
          <w:color w:val="auto"/>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79" w:lineRule="exact"/>
        <w:rPr>
          <w:rFonts w:ascii="Arial" w:cs="Arial" w:eastAsia="Arial" w:hAnsi="Arial"/>
          <w:sz w:val="18"/>
          <w:szCs w:val="18"/>
          <w:color w:val="auto"/>
        </w:rPr>
      </w:pPr>
    </w:p>
    <w:p>
      <w:pPr>
        <w:ind w:left="1000" w:right="339" w:hanging="348"/>
        <w:spacing w:after="0" w:line="286"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Management Objectives</w:t>
      </w:r>
      <w:r>
        <w:rPr>
          <w:rFonts w:ascii="Arial" w:cs="Arial" w:eastAsia="Arial" w:hAnsi="Arial"/>
          <w:sz w:val="17"/>
          <w:szCs w:val="17"/>
          <w:color w:val="auto"/>
        </w:rPr>
        <w:t>” means the measurable performance objective or objectives established pursuant to this Plan for Participants who have received grants of Performance Shares, Performance Units or Cash Incentive Awards or, when so determined by the Committee, Options, Appreciation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379"/>
        <w:spacing w:after="0" w:line="254" w:lineRule="auto"/>
        <w:rPr>
          <w:sz w:val="20"/>
          <w:szCs w:val="20"/>
          <w:color w:val="auto"/>
        </w:rPr>
      </w:pPr>
      <w:r>
        <w:rPr>
          <w:rFonts w:ascii="Arial" w:cs="Arial" w:eastAsia="Arial" w:hAnsi="Arial"/>
          <w:sz w:val="18"/>
          <w:szCs w:val="18"/>
          <w:color w:val="auto"/>
        </w:rPr>
        <w:t>Rights, Restricted Stock, Restricted Stock Units, Dividend Equivalent Rights or other awards pursuant to this Plan.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 to the extent permitted by applicable law.</w:t>
      </w:r>
    </w:p>
    <w:p>
      <w:pPr>
        <w:spacing w:after="0" w:line="87" w:lineRule="exact"/>
        <w:rPr>
          <w:sz w:val="20"/>
          <w:szCs w:val="20"/>
          <w:color w:val="auto"/>
        </w:rPr>
      </w:pPr>
    </w:p>
    <w:p>
      <w:pPr>
        <w:jc w:val="both"/>
        <w:ind w:left="1000" w:right="459" w:hanging="348"/>
        <w:spacing w:after="0" w:line="342" w:lineRule="auto"/>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not intended to be (as set forth in the Evidence of Award) or which does not qualify as an incentive stock option within the meaning of Section 422(b) of the Code.</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any person designated by the Board as an officer of the Company.</w:t>
      </w:r>
    </w:p>
    <w:p>
      <w:pPr>
        <w:spacing w:after="0" w:line="117" w:lineRule="exact"/>
        <w:rPr>
          <w:sz w:val="20"/>
          <w:szCs w:val="20"/>
          <w:color w:val="auto"/>
        </w:rPr>
      </w:pPr>
    </w:p>
    <w:p>
      <w:pPr>
        <w:ind w:left="1000" w:hanging="348"/>
        <w:spacing w:after="0"/>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Optionee</w:t>
      </w:r>
      <w:r>
        <w:rPr>
          <w:rFonts w:ascii="Arial" w:cs="Arial" w:eastAsia="Arial" w:hAnsi="Arial"/>
          <w:sz w:val="17"/>
          <w:szCs w:val="17"/>
          <w:color w:val="auto"/>
        </w:rPr>
        <w:t>” means the optionee named in an Evidence of Award evidencing an outstanding Option.</w:t>
      </w:r>
    </w:p>
    <w:p>
      <w:pPr>
        <w:spacing w:after="0" w:line="124" w:lineRule="exact"/>
        <w:rPr>
          <w:rFonts w:ascii="Arial" w:cs="Arial" w:eastAsia="Arial" w:hAnsi="Arial"/>
          <w:sz w:val="17"/>
          <w:szCs w:val="17"/>
          <w:color w:val="auto"/>
        </w:rPr>
      </w:pPr>
    </w:p>
    <w:p>
      <w:pPr>
        <w:ind w:left="1000" w:right="539" w:hanging="348"/>
        <w:spacing w:after="0" w:line="282"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the right to purchase Stock upon exercise of an Award granted pursuant to </w:t>
      </w: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xml:space="preserve"> of this Plan.</w:t>
      </w:r>
    </w:p>
    <w:p>
      <w:pPr>
        <w:spacing w:after="0" w:line="57" w:lineRule="exact"/>
        <w:rPr>
          <w:rFonts w:ascii="Arial" w:cs="Arial" w:eastAsia="Arial" w:hAnsi="Arial"/>
          <w:sz w:val="18"/>
          <w:szCs w:val="18"/>
          <w:color w:val="auto"/>
        </w:rPr>
      </w:pPr>
    </w:p>
    <w:p>
      <w:pPr>
        <w:ind w:left="1000" w:hanging="348"/>
        <w:spacing w:after="0"/>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Ownership Change Event</w:t>
      </w:r>
      <w:r>
        <w:rPr>
          <w:rFonts w:ascii="Arial" w:cs="Arial" w:eastAsia="Arial" w:hAnsi="Arial"/>
          <w:sz w:val="16"/>
          <w:szCs w:val="16"/>
          <w:color w:val="auto"/>
        </w:rPr>
        <w:t>” means the occurrence of any of the following with respect to the Company:</w:t>
      </w:r>
    </w:p>
    <w:p>
      <w:pPr>
        <w:spacing w:after="0" w:line="46" w:lineRule="exact"/>
        <w:rPr>
          <w:rFonts w:ascii="Arial" w:cs="Arial" w:eastAsia="Arial" w:hAnsi="Arial"/>
          <w:sz w:val="16"/>
          <w:szCs w:val="16"/>
          <w:color w:val="auto"/>
        </w:rPr>
      </w:pPr>
    </w:p>
    <w:p>
      <w:pPr>
        <w:ind w:left="1000" w:right="359"/>
        <w:spacing w:after="0" w:line="252" w:lineRule="auto"/>
        <w:rPr>
          <w:rFonts w:ascii="Arial" w:cs="Arial" w:eastAsia="Arial" w:hAnsi="Arial"/>
          <w:sz w:val="16"/>
          <w:szCs w:val="16"/>
          <w:color w:val="auto"/>
        </w:rPr>
      </w:pPr>
      <w:r>
        <w:rPr>
          <w:rFonts w:ascii="Arial" w:cs="Arial" w:eastAsia="Arial" w:hAnsi="Arial"/>
          <w:sz w:val="18"/>
          <w:szCs w:val="18"/>
          <w:color w:val="auto"/>
        </w:rPr>
        <w:t>(i) the direct or indirect sale or exchange in a single or series of related transactions by the Stockholders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85" w:lineRule="exact"/>
        <w:rPr>
          <w:rFonts w:ascii="Arial" w:cs="Arial" w:eastAsia="Arial" w:hAnsi="Arial"/>
          <w:sz w:val="16"/>
          <w:szCs w:val="16"/>
          <w:color w:val="auto"/>
        </w:rPr>
      </w:pPr>
    </w:p>
    <w:p>
      <w:pPr>
        <w:jc w:val="both"/>
        <w:ind w:left="1000" w:right="659" w:hanging="348"/>
        <w:spacing w:after="0" w:line="342"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 person who is selected by the Committee to receive benefits under this Plan and who is at the time (i) a non-employee Director, (ii) an Officer or other Employee, or (iii) a Consultant.</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or any Subsidiary.</w:t>
      </w:r>
    </w:p>
    <w:p>
      <w:pPr>
        <w:spacing w:after="0" w:line="117" w:lineRule="exact"/>
        <w:rPr>
          <w:rFonts w:ascii="Arial" w:cs="Arial" w:eastAsia="Arial" w:hAnsi="Arial"/>
          <w:sz w:val="18"/>
          <w:szCs w:val="18"/>
          <w:color w:val="auto"/>
        </w:rPr>
      </w:pPr>
    </w:p>
    <w:p>
      <w:pPr>
        <w:ind w:left="1000" w:right="113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 Group</w:t>
      </w:r>
      <w:r>
        <w:rPr>
          <w:rFonts w:ascii="Arial" w:cs="Arial" w:eastAsia="Arial" w:hAnsi="Arial"/>
          <w:sz w:val="18"/>
          <w:szCs w:val="18"/>
          <w:color w:val="auto"/>
        </w:rPr>
        <w:t>” means, at any point in time, the Company and all other entities collectively which are then Participating Companies.</w:t>
      </w:r>
    </w:p>
    <w:p>
      <w:pPr>
        <w:spacing w:after="0" w:line="62" w:lineRule="exact"/>
        <w:rPr>
          <w:rFonts w:ascii="Arial" w:cs="Arial" w:eastAsia="Arial" w:hAnsi="Arial"/>
          <w:sz w:val="18"/>
          <w:szCs w:val="18"/>
          <w:color w:val="auto"/>
        </w:rPr>
      </w:pPr>
    </w:p>
    <w:p>
      <w:pPr>
        <w:ind w:left="1000" w:right="719" w:hanging="348"/>
        <w:spacing w:after="0" w:line="342"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in respect of any Award with Management Objectives, a period of time established within which the Management Objectives relating to such Award are to be achieved.</w:t>
      </w:r>
    </w:p>
    <w:p>
      <w:pPr>
        <w:spacing w:after="0" w:line="15" w:lineRule="exact"/>
        <w:rPr>
          <w:rFonts w:ascii="Arial" w:cs="Arial" w:eastAsia="Arial" w:hAnsi="Arial"/>
          <w:sz w:val="16"/>
          <w:szCs w:val="16"/>
          <w:color w:val="auto"/>
        </w:rPr>
      </w:pPr>
    </w:p>
    <w:p>
      <w:pPr>
        <w:ind w:left="1000" w:right="93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xml:space="preserve">” means a bookkeeping entry that records the equivalent of one share of Stock awarded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w:t>
      </w:r>
    </w:p>
    <w:p>
      <w:pPr>
        <w:spacing w:after="0" w:line="58" w:lineRule="exact"/>
        <w:rPr>
          <w:rFonts w:ascii="Arial" w:cs="Arial" w:eastAsia="Arial" w:hAnsi="Arial"/>
          <w:sz w:val="18"/>
          <w:szCs w:val="18"/>
          <w:color w:val="auto"/>
        </w:rPr>
      </w:pPr>
    </w:p>
    <w:p>
      <w:pPr>
        <w:ind w:left="1000" w:right="439" w:hanging="348"/>
        <w:spacing w:after="0" w:line="282"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xml:space="preserve">” means a bookkeeping entry awarded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 that records a unit equivalent to $1.00 or such other value as is determined by the Committee.</w:t>
      </w:r>
    </w:p>
    <w:p>
      <w:pPr>
        <w:spacing w:after="0" w:line="5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MagnaChip Semiconductor Corporation 2020 Equity and Incentive Compensation Plan, as may be amended or amended and restated from time to time.</w:t>
      </w:r>
    </w:p>
    <w:p>
      <w:pPr>
        <w:spacing w:after="0" w:line="62" w:lineRule="exact"/>
        <w:rPr>
          <w:rFonts w:ascii="Arial" w:cs="Arial" w:eastAsia="Arial" w:hAnsi="Arial"/>
          <w:sz w:val="18"/>
          <w:szCs w:val="18"/>
          <w:color w:val="auto"/>
        </w:rPr>
      </w:pPr>
    </w:p>
    <w:p>
      <w:pPr>
        <w:ind w:left="1000" w:right="599" w:hanging="348"/>
        <w:spacing w:after="0" w:line="286"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“Predecessor Plans</w:t>
      </w:r>
      <w:r>
        <w:rPr>
          <w:rFonts w:ascii="Arial" w:cs="Arial" w:eastAsia="Arial" w:hAnsi="Arial"/>
          <w:sz w:val="17"/>
          <w:szCs w:val="17"/>
          <w:color w:val="auto"/>
        </w:rPr>
        <w:t>” means the MagnaChip Semiconductor Corporation 2011 Equity Incentive Plan, as amended or amended and restated from time to time, and the MagnaChip Semiconductor LLC 2009 Common Unit Plan, as amended or amended and restated from time to time.</w:t>
      </w:r>
    </w:p>
    <w:p>
      <w:pPr>
        <w:spacing w:after="0" w:line="53" w:lineRule="exact"/>
        <w:rPr>
          <w:rFonts w:ascii="Arial" w:cs="Arial" w:eastAsia="Arial" w:hAnsi="Arial"/>
          <w:sz w:val="17"/>
          <w:szCs w:val="17"/>
          <w:color w:val="auto"/>
        </w:rPr>
      </w:pPr>
    </w:p>
    <w:p>
      <w:pPr>
        <w:ind w:left="1000" w:right="459" w:hanging="348"/>
        <w:spacing w:after="0" w:line="282"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xml:space="preserve">” means Stock granted or sold pursuant to </w:t>
      </w:r>
      <w:r>
        <w:rPr>
          <w:rFonts w:ascii="Arial" w:cs="Arial" w:eastAsia="Arial" w:hAnsi="Arial"/>
          <w:sz w:val="18"/>
          <w:szCs w:val="18"/>
          <w:b w:val="1"/>
          <w:bCs w:val="1"/>
          <w:u w:val="single" w:color="auto"/>
          <w:color w:val="auto"/>
        </w:rPr>
        <w:t>Section 6</w:t>
      </w:r>
      <w:r>
        <w:rPr>
          <w:rFonts w:ascii="Arial" w:cs="Arial" w:eastAsia="Arial" w:hAnsi="Arial"/>
          <w:sz w:val="18"/>
          <w:szCs w:val="18"/>
          <w:color w:val="auto"/>
        </w:rPr>
        <w:t xml:space="preserve"> of this Plan as to which neither the substantial risk of forfeiture nor the prohibition on transfers has expired.</w:t>
      </w:r>
    </w:p>
    <w:p>
      <w:pPr>
        <w:spacing w:after="0" w:line="54" w:lineRule="exact"/>
        <w:rPr>
          <w:sz w:val="20"/>
          <w:szCs w:val="20"/>
          <w:color w:val="auto"/>
        </w:rPr>
      </w:pPr>
    </w:p>
    <w:p>
      <w:pPr>
        <w:ind w:left="1060" w:right="459" w:hanging="404"/>
        <w:spacing w:after="0" w:line="282" w:lineRule="auto"/>
        <w:rPr>
          <w:sz w:val="20"/>
          <w:szCs w:val="20"/>
          <w:color w:val="auto"/>
        </w:rPr>
      </w:pPr>
      <w:r>
        <w:rPr>
          <w:rFonts w:ascii="Arial" w:cs="Arial" w:eastAsia="Arial" w:hAnsi="Arial"/>
          <w:sz w:val="18"/>
          <w:szCs w:val="18"/>
          <w:color w:val="auto"/>
        </w:rPr>
        <w:t>(mm)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xml:space="preserve">” means an Award made pursuant to </w:t>
      </w:r>
      <w:r>
        <w:rPr>
          <w:rFonts w:ascii="Arial" w:cs="Arial" w:eastAsia="Arial" w:hAnsi="Arial"/>
          <w:sz w:val="18"/>
          <w:szCs w:val="18"/>
          <w:b w:val="1"/>
          <w:bCs w:val="1"/>
          <w:u w:val="single" w:color="auto"/>
          <w:color w:val="auto"/>
        </w:rPr>
        <w:t>Section 7</w:t>
      </w:r>
      <w:r>
        <w:rPr>
          <w:rFonts w:ascii="Arial" w:cs="Arial" w:eastAsia="Arial" w:hAnsi="Arial"/>
          <w:sz w:val="18"/>
          <w:szCs w:val="18"/>
          <w:color w:val="auto"/>
        </w:rPr>
        <w:t xml:space="preserve"> of this Plan of the right to receive Stock, cash or a combination thereof at the end of the applicable Restriction Period.</w:t>
      </w:r>
    </w:p>
    <w:p>
      <w:pPr>
        <w:spacing w:after="0" w:line="58" w:lineRule="exact"/>
        <w:rPr>
          <w:sz w:val="20"/>
          <w:szCs w:val="20"/>
          <w:color w:val="auto"/>
        </w:rPr>
      </w:pPr>
    </w:p>
    <w:p>
      <w:pPr>
        <w:ind w:left="1000" w:right="1059" w:hanging="348"/>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Restriction Period</w:t>
      </w:r>
      <w:r>
        <w:rPr>
          <w:rFonts w:ascii="Arial" w:cs="Arial" w:eastAsia="Arial" w:hAnsi="Arial"/>
          <w:sz w:val="18"/>
          <w:szCs w:val="18"/>
          <w:color w:val="auto"/>
        </w:rPr>
        <w:t xml:space="preserve">” means the period of time during which Restricted Stock Units are subject to restrictions, as provided in </w:t>
      </w:r>
      <w:r>
        <w:rPr>
          <w:rFonts w:ascii="Arial" w:cs="Arial" w:eastAsia="Arial" w:hAnsi="Arial"/>
          <w:sz w:val="18"/>
          <w:szCs w:val="18"/>
          <w:b w:val="1"/>
          <w:bCs w:val="1"/>
          <w:u w:val="single" w:color="auto"/>
          <w:color w:val="auto"/>
        </w:rPr>
        <w:t>Section 7</w:t>
      </w:r>
      <w:r>
        <w:rPr>
          <w:rFonts w:ascii="Arial" w:cs="Arial" w:eastAsia="Arial" w:hAnsi="Arial"/>
          <w:sz w:val="18"/>
          <w:szCs w:val="18"/>
          <w:color w:val="auto"/>
        </w:rPr>
        <w:t xml:space="preserve"> of this Plan.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means Section 409A of the Code.</w:t>
      </w:r>
    </w:p>
    <w:p>
      <w:pPr>
        <w:spacing w:after="0" w:line="117" w:lineRule="exact"/>
        <w:rPr>
          <w:rFonts w:ascii="Arial" w:cs="Arial" w:eastAsia="Arial" w:hAnsi="Arial"/>
          <w:sz w:val="18"/>
          <w:szCs w:val="18"/>
          <w:color w:val="auto"/>
        </w:rPr>
      </w:pPr>
    </w:p>
    <w:p>
      <w:pPr>
        <w:ind w:left="1000" w:right="979" w:hanging="348"/>
        <w:spacing w:after="0" w:line="308"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409A Deferred Compensation</w:t>
      </w:r>
      <w:r>
        <w:rPr>
          <w:rFonts w:ascii="Arial" w:cs="Arial" w:eastAsia="Arial" w:hAnsi="Arial"/>
          <w:sz w:val="17"/>
          <w:szCs w:val="17"/>
          <w:color w:val="auto"/>
        </w:rPr>
        <w:t>” means compensation provided pursuant to an Award that constitutes nonqualified deferred compensation within the meaning of Section 409A.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hanging="348"/>
        <w:spacing w:after="0"/>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color w:val="auto"/>
        </w:rPr>
      </w:pPr>
    </w:p>
    <w:p>
      <w:pPr>
        <w:ind w:left="1000" w:right="459" w:hanging="348"/>
        <w:spacing w:after="0" w:line="286" w:lineRule="auto"/>
        <w:tabs>
          <w:tab w:leader="none" w:pos="10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w:t>
      </w:r>
      <w:r>
        <w:rPr>
          <w:rFonts w:ascii="Arial" w:cs="Arial" w:eastAsia="Arial" w:hAnsi="Arial"/>
          <w:sz w:val="16"/>
          <w:szCs w:val="16"/>
          <w:color w:val="auto"/>
        </w:rPr>
        <w:t xml:space="preserve">” means, unless such term or an equivalent term is otherwise defined by the applicable Evidence of Award or other written agreement between a Participant and a Participating Company applicable to an Award,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such Service or a change in the Participating Company for which the Participant renders such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discretion to determine the length of any such leave for the purposes of this definition.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62" w:lineRule="exact"/>
        <w:rPr>
          <w:rFonts w:ascii="Arial" w:cs="Arial" w:eastAsia="Arial" w:hAnsi="Arial"/>
          <w:sz w:val="16"/>
          <w:szCs w:val="16"/>
          <w:color w:val="auto"/>
        </w:rPr>
      </w:pPr>
    </w:p>
    <w:p>
      <w:pPr>
        <w:ind w:left="1000" w:right="459" w:hanging="348"/>
        <w:spacing w:after="0" w:line="277" w:lineRule="auto"/>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Spread</w:t>
      </w:r>
      <w:r>
        <w:rPr>
          <w:rFonts w:ascii="Arial" w:cs="Arial" w:eastAsia="Arial" w:hAnsi="Arial"/>
          <w:sz w:val="18"/>
          <w:szCs w:val="18"/>
          <w:color w:val="auto"/>
        </w:rPr>
        <w:t>” means the excess of the Fair Market Value on the date when an Appreciation Right is exercised over the Base Price provided for with respect to the Appreciation Right.</w:t>
      </w:r>
    </w:p>
    <w:p>
      <w:pPr>
        <w:spacing w:after="0" w:line="62" w:lineRule="exact"/>
        <w:rPr>
          <w:rFonts w:ascii="Arial" w:cs="Arial" w:eastAsia="Arial" w:hAnsi="Arial"/>
          <w:sz w:val="18"/>
          <w:szCs w:val="18"/>
          <w:color w:val="auto"/>
        </w:rPr>
      </w:pPr>
    </w:p>
    <w:p>
      <w:pPr>
        <w:ind w:left="1000" w:right="499" w:hanging="348"/>
        <w:spacing w:after="0" w:line="263" w:lineRule="auto"/>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xml:space="preserve">” means the common stock, par value $0.01 per share, of the Company or any security into which such common stock may be changed by reason of any transaction or event of the type referred to in </w:t>
      </w:r>
      <w:r>
        <w:rPr>
          <w:rFonts w:ascii="Arial" w:cs="Arial" w:eastAsia="Arial" w:hAnsi="Arial"/>
          <w:sz w:val="18"/>
          <w:szCs w:val="18"/>
          <w:b w:val="1"/>
          <w:bCs w:val="1"/>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an individual or entity that owns one or more shares of Stock.</w:t>
      </w:r>
    </w:p>
    <w:p>
      <w:pPr>
        <w:spacing w:after="0" w:line="117" w:lineRule="exact"/>
        <w:rPr>
          <w:rFonts w:ascii="Arial" w:cs="Arial" w:eastAsia="Arial" w:hAnsi="Arial"/>
          <w:sz w:val="18"/>
          <w:szCs w:val="18"/>
          <w:color w:val="auto"/>
        </w:rPr>
      </w:pPr>
    </w:p>
    <w:p>
      <w:pPr>
        <w:jc w:val="both"/>
        <w:ind w:left="1000" w:right="339" w:hanging="348"/>
        <w:spacing w:after="0" w:line="291" w:lineRule="auto"/>
        <w:tabs>
          <w:tab w:leader="none" w:pos="10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 corporation, company or other entity (i) more than 50% of whose outstanding shares or securities (representing the right to vote for the election of directors or other managing authority) are, or</w:t>
      </w:r>
    </w:p>
    <w:p>
      <w:pPr>
        <w:ind w:left="1000" w:right="319" w:firstLine="3"/>
        <w:spacing w:after="0" w:line="268" w:lineRule="auto"/>
        <w:tabs>
          <w:tab w:leader="none" w:pos="1265" w:val="left"/>
        </w:tabs>
        <w:numPr>
          <w:ilvl w:val="2"/>
          <w:numId w:val="77"/>
        </w:numPr>
        <w:rPr>
          <w:rFonts w:ascii="Arial" w:cs="Arial" w:eastAsia="Arial" w:hAnsi="Arial"/>
          <w:sz w:val="17"/>
          <w:szCs w:val="17"/>
          <w:color w:val="auto"/>
        </w:rPr>
      </w:pPr>
      <w:r>
        <w:rPr>
          <w:rFonts w:ascii="Arial" w:cs="Arial" w:eastAsia="Arial" w:hAnsi="Arial"/>
          <w:sz w:val="17"/>
          <w:szCs w:val="17"/>
          <w:color w:val="auto"/>
        </w:rPr>
        <w:t xml:space="preserve">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of the then outstanding securities entitled to vote generally in the election of Directors in the case of the Company or members of the board of directors or similar body in the case of another entity represented by all classes of stock issued by such corporation.</w:t>
      </w:r>
    </w:p>
    <w:p>
      <w:pPr>
        <w:spacing w:after="0" w:line="66" w:lineRule="exact"/>
        <w:rPr>
          <w:rFonts w:ascii="Arial" w:cs="Arial" w:eastAsia="Arial" w:hAnsi="Arial"/>
          <w:sz w:val="17"/>
          <w:szCs w:val="17"/>
          <w:color w:val="auto"/>
        </w:rPr>
      </w:pPr>
    </w:p>
    <w:p>
      <w:pPr>
        <w:ind w:left="640" w:hanging="348"/>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Shares Available Under this Plan.</w:t>
      </w:r>
    </w:p>
    <w:p>
      <w:pPr>
        <w:spacing w:after="0" w:line="121" w:lineRule="exact"/>
        <w:rPr>
          <w:rFonts w:ascii="Arial" w:cs="Arial" w:eastAsia="Arial" w:hAnsi="Arial"/>
          <w:sz w:val="18"/>
          <w:szCs w:val="18"/>
          <w:color w:val="auto"/>
        </w:rPr>
      </w:pPr>
    </w:p>
    <w:p>
      <w:pPr>
        <w:ind w:left="1000" w:hanging="348"/>
        <w:spacing w:after="0"/>
        <w:tabs>
          <w:tab w:leader="none" w:pos="100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Maximum Shares Available Under this Plan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360" w:right="399" w:hanging="348"/>
        <w:spacing w:after="0" w:line="308" w:lineRule="auto"/>
        <w:tabs>
          <w:tab w:leader="none" w:pos="1360" w:val="left"/>
        </w:tabs>
        <w:numPr>
          <w:ilvl w:val="2"/>
          <w:numId w:val="78"/>
        </w:numPr>
        <w:rPr>
          <w:rFonts w:ascii="Arial" w:cs="Arial" w:eastAsia="Arial" w:hAnsi="Arial"/>
          <w:sz w:val="15"/>
          <w:szCs w:val="15"/>
          <w:color w:val="auto"/>
        </w:rPr>
      </w:pPr>
      <w:r>
        <w:rPr>
          <w:rFonts w:ascii="Arial" w:cs="Arial" w:eastAsia="Arial" w:hAnsi="Arial"/>
          <w:sz w:val="15"/>
          <w:szCs w:val="15"/>
          <w:color w:val="auto"/>
        </w:rPr>
        <w:t xml:space="preserve">Subject to adjustment as provided in </w:t>
      </w:r>
      <w:r>
        <w:rPr>
          <w:rFonts w:ascii="Arial" w:cs="Arial" w:eastAsia="Arial" w:hAnsi="Arial"/>
          <w:sz w:val="15"/>
          <w:szCs w:val="15"/>
          <w:b w:val="1"/>
          <w:bCs w:val="1"/>
          <w:u w:val="single" w:color="auto"/>
          <w:color w:val="auto"/>
        </w:rPr>
        <w:t>Section 11</w:t>
      </w:r>
      <w:r>
        <w:rPr>
          <w:rFonts w:ascii="Arial" w:cs="Arial" w:eastAsia="Arial" w:hAnsi="Arial"/>
          <w:sz w:val="15"/>
          <w:szCs w:val="15"/>
          <w:color w:val="auto"/>
        </w:rPr>
        <w:t xml:space="preserve"> of this Plan and the share counting rules set forth in </w:t>
      </w:r>
      <w:r>
        <w:rPr>
          <w:rFonts w:ascii="Arial" w:cs="Arial" w:eastAsia="Arial" w:hAnsi="Arial"/>
          <w:sz w:val="15"/>
          <w:szCs w:val="15"/>
          <w:b w:val="1"/>
          <w:bCs w:val="1"/>
          <w:u w:val="single" w:color="auto"/>
          <w:color w:val="auto"/>
        </w:rPr>
        <w:t>Section 3(b)</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Plan, the number of shares of Stock available under this Plan for Awards of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Options or Appreciation Rights, (B) Restricted Stock, (C) Restricted Stock Units, (D) Performance Shares or Performance Units, (E) Awards contemplated by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 xml:space="preserve"> of this Plan, or (F) Dividend Equivalent Rights with respect to Awards made under this Plan will not exceed in the aggregate (x) 3,299,000 shares of Stock, which is inclusive of shares previously authorized for issuance under this Plan, plus (y) the total number of shares remaining available for Awards under the MagnaChip Semiconductor Corporation 2011 Equity Incentive Plan, as amended or amended and restated from time to time, as of the Effective Date, plus (z) the Stock that is subject to Awards granted under this Plan or the Predecessor Plans that is added (or added back, as applicable) to the aggregate number of shares of Stock available under this </w:t>
      </w:r>
      <w:r>
        <w:rPr>
          <w:rFonts w:ascii="Arial" w:cs="Arial" w:eastAsia="Arial" w:hAnsi="Arial"/>
          <w:sz w:val="15"/>
          <w:szCs w:val="15"/>
          <w:b w:val="1"/>
          <w:bCs w:val="1"/>
          <w:u w:val="single" w:color="auto"/>
          <w:color w:val="auto"/>
        </w:rPr>
        <w:t>Section 3(a)(i)</w:t>
      </w:r>
      <w:r>
        <w:rPr>
          <w:rFonts w:ascii="Arial" w:cs="Arial" w:eastAsia="Arial" w:hAnsi="Arial"/>
          <w:sz w:val="15"/>
          <w:szCs w:val="15"/>
          <w:color w:val="auto"/>
        </w:rPr>
        <w:t xml:space="preserve"> pursuant to the share counting rules of this Plan. Such shares may be shares of original issuance or treasury shares or a combination of the foregoing.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360" w:right="419" w:hanging="348"/>
        <w:spacing w:after="0" w:line="289" w:lineRule="auto"/>
        <w:tabs>
          <w:tab w:leader="none" w:pos="13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Subject to the share counting rules set forth in </w:t>
      </w:r>
      <w:r>
        <w:rPr>
          <w:rFonts w:ascii="Arial" w:cs="Arial" w:eastAsia="Arial" w:hAnsi="Arial"/>
          <w:sz w:val="17"/>
          <w:szCs w:val="17"/>
          <w:b w:val="1"/>
          <w:bCs w:val="1"/>
          <w:u w:val="single" w:color="auto"/>
          <w:color w:val="auto"/>
        </w:rPr>
        <w:t>Section 3(b)</w:t>
      </w:r>
      <w:r>
        <w:rPr>
          <w:rFonts w:ascii="Arial" w:cs="Arial" w:eastAsia="Arial" w:hAnsi="Arial"/>
          <w:sz w:val="17"/>
          <w:szCs w:val="17"/>
          <w:color w:val="auto"/>
        </w:rPr>
        <w:t xml:space="preserve"> of this Plan, the aggregate number of shares of Stock available under </w:t>
      </w:r>
      <w:r>
        <w:rPr>
          <w:rFonts w:ascii="Arial" w:cs="Arial" w:eastAsia="Arial" w:hAnsi="Arial"/>
          <w:sz w:val="17"/>
          <w:szCs w:val="17"/>
          <w:b w:val="1"/>
          <w:bCs w:val="1"/>
          <w:u w:val="single" w:color="auto"/>
          <w:color w:val="auto"/>
        </w:rPr>
        <w:t>Section 3(a)(i)</w:t>
      </w:r>
      <w:r>
        <w:rPr>
          <w:rFonts w:ascii="Arial" w:cs="Arial" w:eastAsia="Arial" w:hAnsi="Arial"/>
          <w:sz w:val="17"/>
          <w:szCs w:val="17"/>
          <w:color w:val="auto"/>
        </w:rPr>
        <w:t xml:space="preserve"> of this Plan will be reduced by one share of Stock for every one share of Stock subject to an Award granted under this Plan.</w:t>
      </w:r>
    </w:p>
    <w:p>
      <w:pPr>
        <w:spacing w:after="0" w:line="53" w:lineRule="exact"/>
        <w:rPr>
          <w:rFonts w:ascii="Arial" w:cs="Arial" w:eastAsia="Arial" w:hAnsi="Arial"/>
          <w:sz w:val="17"/>
          <w:szCs w:val="17"/>
          <w:color w:val="auto"/>
        </w:rPr>
      </w:pPr>
    </w:p>
    <w:p>
      <w:pPr>
        <w:ind w:left="1000" w:hanging="348"/>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Share Counting Rules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360" w:right="559" w:hanging="348"/>
        <w:spacing w:after="0" w:line="261" w:lineRule="auto"/>
        <w:tabs>
          <w:tab w:leader="none" w:pos="13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 xml:space="preserve"> of this Plan, if any Award granted under this Plan (in whole or in part) is cancelled or forfeited, expires, is settled for cash, or is unearned, the Stock subject to such Award will, to the extent of such cancellation, forfeiture, expiration, cash settlement, or unearned amount, again be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above.</w:t>
      </w:r>
    </w:p>
    <w:p>
      <w:pPr>
        <w:spacing w:after="0" w:line="76" w:lineRule="exact"/>
        <w:rPr>
          <w:sz w:val="20"/>
          <w:szCs w:val="20"/>
          <w:color w:val="auto"/>
        </w:rPr>
      </w:pPr>
    </w:p>
    <w:p>
      <w:pPr>
        <w:ind w:left="1360" w:right="459" w:hanging="348"/>
        <w:spacing w:after="0" w:line="257" w:lineRule="auto"/>
        <w:tabs>
          <w:tab w:leader="none" w:pos="1360" w:val="left"/>
        </w:tabs>
        <w:numPr>
          <w:ilvl w:val="2"/>
          <w:numId w:val="81"/>
        </w:numPr>
        <w:rPr>
          <w:rFonts w:ascii="Arial" w:cs="Arial" w:eastAsia="Arial" w:hAnsi="Arial"/>
          <w:sz w:val="18"/>
          <w:szCs w:val="18"/>
          <w:color w:val="auto"/>
        </w:rPr>
      </w:pPr>
      <w:r>
        <w:rPr>
          <w:rFonts w:ascii="Arial" w:cs="Arial" w:eastAsia="Arial" w:hAnsi="Arial"/>
          <w:sz w:val="18"/>
          <w:szCs w:val="18"/>
          <w:color w:val="auto"/>
        </w:rPr>
        <w:t>If, after the Effective Date, any Stock subject to an award granted under the Predecessor Plans is forfeited, or an award granted under the Predecessor Plans (in whole or in part) is cancelled or forfeited, expires, is settled for cash, or is unearned, the Stock subject to such award will, to the extent of such cancellation, forfeiture, expiration, cash settlement, or unearned amount, be available for Awards under this Plan.</w:t>
      </w:r>
    </w:p>
    <w:p>
      <w:pPr>
        <w:spacing w:after="0" w:line="79" w:lineRule="exact"/>
        <w:rPr>
          <w:rFonts w:ascii="Arial" w:cs="Arial" w:eastAsia="Arial" w:hAnsi="Arial"/>
          <w:sz w:val="18"/>
          <w:szCs w:val="18"/>
          <w:color w:val="auto"/>
        </w:rPr>
      </w:pPr>
    </w:p>
    <w:p>
      <w:pPr>
        <w:ind w:left="1360" w:right="339" w:hanging="348"/>
        <w:spacing w:after="0" w:line="287" w:lineRule="auto"/>
        <w:tabs>
          <w:tab w:leader="none" w:pos="1360" w:val="left"/>
        </w:tabs>
        <w:numPr>
          <w:ilvl w:val="2"/>
          <w:numId w:val="8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Plan: (A) Stock withheld by the Company, tendered or otherwise used in payment of the Exercise Price of an Option will not be added (or added back, as applicable) to the aggregate number of shares of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(B) Stock withheld by the Company, tendered or otherwise used to satisfy tax withholding will not be added (or added back, as applicable) to the aggregate number of shares of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(C) Stock subject to a share-settled Appreciation Right that is not actually issued in connection with the settlement of such Appreciation Right on the exercise thereof will not be added back to the aggregate number of shares of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and (D) Stock reacquired by the Company on the open market or otherwise using cash proceeds from the exercise of Options will not be added (or added back, as applicable) to the aggregate number of shares of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w:t>
      </w:r>
    </w:p>
    <w:p>
      <w:pPr>
        <w:spacing w:after="0" w:line="63" w:lineRule="exact"/>
        <w:rPr>
          <w:rFonts w:ascii="Arial" w:cs="Arial" w:eastAsia="Arial" w:hAnsi="Arial"/>
          <w:sz w:val="16"/>
          <w:szCs w:val="16"/>
          <w:color w:val="auto"/>
        </w:rPr>
      </w:pPr>
    </w:p>
    <w:p>
      <w:pPr>
        <w:ind w:left="1360" w:right="419" w:hanging="348"/>
        <w:spacing w:after="0" w:line="263" w:lineRule="auto"/>
        <w:tabs>
          <w:tab w:leader="none" w:pos="1360"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If, under this Plan, a Participant has elected to give up the right to receive compensation in exchange for Stock based on Fair Market Value, such Stock will not count against the aggregate limit under </w:t>
      </w:r>
      <w:r>
        <w:rPr>
          <w:rFonts w:ascii="Arial" w:cs="Arial" w:eastAsia="Arial" w:hAnsi="Arial"/>
          <w:sz w:val="18"/>
          <w:szCs w:val="18"/>
          <w:b w:val="1"/>
          <w:bCs w:val="1"/>
          <w:u w:val="single" w:color="auto"/>
          <w:color w:val="auto"/>
        </w:rPr>
        <w:t>Section 3(a)(i)</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75" w:lineRule="exact"/>
        <w:rPr>
          <w:rFonts w:ascii="Arial" w:cs="Arial" w:eastAsia="Arial" w:hAnsi="Arial"/>
          <w:sz w:val="18"/>
          <w:szCs w:val="18"/>
          <w:color w:val="auto"/>
        </w:rPr>
      </w:pPr>
    </w:p>
    <w:p>
      <w:pPr>
        <w:ind w:left="1000" w:right="599" w:hanging="348"/>
        <w:spacing w:after="0" w:line="259" w:lineRule="auto"/>
        <w:tabs>
          <w:tab w:leader="none" w:pos="100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Limit on Incentive Stock Options</w:t>
      </w:r>
      <w:r>
        <w:rPr>
          <w:rFonts w:ascii="Arial" w:cs="Arial" w:eastAsia="Arial" w:hAnsi="Arial"/>
          <w:sz w:val="18"/>
          <w:szCs w:val="18"/>
          <w:color w:val="auto"/>
        </w:rPr>
        <w:t xml:space="preserve">. Notwithstanding anything to the contrary contained in this Plan, and subject to adjustment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the aggregate number of shares of Stock actually issued or transferred by the Company upon the exercise of Incentive Stock Options will not exceed 1,309,000 shares of Stock.</w:t>
      </w:r>
    </w:p>
    <w:p>
      <w:pPr>
        <w:spacing w:after="0" w:line="78" w:lineRule="exact"/>
        <w:rPr>
          <w:rFonts w:ascii="Arial" w:cs="Arial" w:eastAsia="Arial" w:hAnsi="Arial"/>
          <w:sz w:val="18"/>
          <w:szCs w:val="18"/>
          <w:color w:val="auto"/>
        </w:rPr>
      </w:pPr>
    </w:p>
    <w:p>
      <w:pPr>
        <w:ind w:left="1000" w:right="439" w:hanging="348"/>
        <w:spacing w:after="0" w:line="257" w:lineRule="auto"/>
        <w:tabs>
          <w:tab w:leader="none" w:pos="100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Non-Employee Director Compensation Limit</w:t>
      </w:r>
      <w:r>
        <w:rPr>
          <w:rFonts w:ascii="Arial" w:cs="Arial" w:eastAsia="Arial" w:hAnsi="Arial"/>
          <w:sz w:val="18"/>
          <w:szCs w:val="18"/>
          <w:color w:val="auto"/>
        </w:rPr>
        <w:t>. Notwithstanding anything to the contrary contained in this Plan,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$650,000.</w:t>
      </w:r>
    </w:p>
    <w:p>
      <w:pPr>
        <w:spacing w:after="0" w:line="75" w:lineRule="exact"/>
        <w:rPr>
          <w:rFonts w:ascii="Arial" w:cs="Arial" w:eastAsia="Arial" w:hAnsi="Arial"/>
          <w:sz w:val="18"/>
          <w:szCs w:val="18"/>
          <w:color w:val="auto"/>
        </w:rPr>
      </w:pPr>
    </w:p>
    <w:p>
      <w:pPr>
        <w:ind w:left="640" w:right="519" w:hanging="348"/>
        <w:spacing w:after="0" w:line="289" w:lineRule="auto"/>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Options. </w:t>
      </w:r>
      <w:r>
        <w:rPr>
          <w:rFonts w:ascii="Arial" w:cs="Arial" w:eastAsia="Arial" w:hAnsi="Arial"/>
          <w:sz w:val="17"/>
          <w:szCs w:val="17"/>
          <w:color w:val="auto"/>
        </w:rPr>
        <w:t>The Committee may, from time to time and upon such terms and conditions as it may determine,</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 the granting to Participants of Options. Each such grant may utilize any or all of the authorizations, and will be subject to all of the requirements, contained in the following provisions:</w:t>
      </w:r>
    </w:p>
    <w:p>
      <w:pPr>
        <w:spacing w:after="0" w:line="53" w:lineRule="exact"/>
        <w:rPr>
          <w:rFonts w:ascii="Arial" w:cs="Arial" w:eastAsia="Arial" w:hAnsi="Arial"/>
          <w:sz w:val="17"/>
          <w:szCs w:val="17"/>
          <w:color w:val="auto"/>
        </w:rPr>
      </w:pPr>
    </w:p>
    <w:p>
      <w:pPr>
        <w:ind w:left="1000" w:right="659" w:hanging="348"/>
        <w:spacing w:after="0" w:line="277" w:lineRule="auto"/>
        <w:tabs>
          <w:tab w:leader="none" w:pos="10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Each grant will specify the number of shares of Stock to which it pertains subject to the limitations set forth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this Plan.</w:t>
      </w:r>
    </w:p>
    <w:p>
      <w:pPr>
        <w:spacing w:after="0" w:line="62" w:lineRule="exact"/>
        <w:rPr>
          <w:rFonts w:ascii="Arial" w:cs="Arial" w:eastAsia="Arial" w:hAnsi="Arial"/>
          <w:sz w:val="18"/>
          <w:szCs w:val="18"/>
          <w:color w:val="auto"/>
        </w:rPr>
      </w:pPr>
    </w:p>
    <w:p>
      <w:pPr>
        <w:ind w:left="1000" w:right="419" w:hanging="348"/>
        <w:spacing w:after="0" w:line="342" w:lineRule="auto"/>
        <w:tabs>
          <w:tab w:leader="none" w:pos="10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Each grant will specify an Exercise Price per share of Stock, which Exercise Price (except with respect to Awards under </w:t>
      </w:r>
      <w:r>
        <w:rPr>
          <w:rFonts w:ascii="Arial" w:cs="Arial" w:eastAsia="Arial" w:hAnsi="Arial"/>
          <w:sz w:val="16"/>
          <w:szCs w:val="16"/>
          <w:b w:val="1"/>
          <w:bCs w:val="1"/>
          <w:u w:val="single" w:color="auto"/>
          <w:color w:val="auto"/>
        </w:rPr>
        <w:t>Section 22</w:t>
      </w:r>
      <w:r>
        <w:rPr>
          <w:rFonts w:ascii="Arial" w:cs="Arial" w:eastAsia="Arial" w:hAnsi="Arial"/>
          <w:sz w:val="16"/>
          <w:szCs w:val="16"/>
          <w:color w:val="auto"/>
        </w:rPr>
        <w:t xml:space="preserve"> of this Plan) may not be less than the Fair Market Value on the Date of Grant.</w:t>
      </w:r>
    </w:p>
    <w:p>
      <w:pPr>
        <w:spacing w:after="0" w:line="15" w:lineRule="exact"/>
        <w:rPr>
          <w:rFonts w:ascii="Arial" w:cs="Arial" w:eastAsia="Arial" w:hAnsi="Arial"/>
          <w:sz w:val="16"/>
          <w:szCs w:val="16"/>
          <w:color w:val="auto"/>
        </w:rPr>
      </w:pPr>
    </w:p>
    <w:p>
      <w:pPr>
        <w:ind w:left="1000" w:right="479" w:hanging="348"/>
        <w:spacing w:after="0" w:line="296" w:lineRule="auto"/>
        <w:tabs>
          <w:tab w:leader="none" w:pos="10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Each grant will specify whether the Exercise Price will be payable (i) in cash, by check acceptable to the Company or by wire transfer of immediately available funds, (ii) by the actual or constructive transfer to the Company of Stock owned by the Optionee having a value at the time of exercise equal to the total Exercise Price, (iii) subject to any conditions or limitations established by the Committee, by the withholding of Stock otherwise issuable upon exercise of an Option pursuant to a “net exercise”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499"/>
        <w:spacing w:after="0" w:line="259" w:lineRule="auto"/>
        <w:rPr>
          <w:sz w:val="20"/>
          <w:szCs w:val="20"/>
          <w:color w:val="auto"/>
        </w:rPr>
      </w:pPr>
      <w:r>
        <w:rPr>
          <w:rFonts w:ascii="Arial" w:cs="Arial" w:eastAsia="Arial" w:hAnsi="Arial"/>
          <w:sz w:val="18"/>
          <w:szCs w:val="18"/>
          <w:color w:val="auto"/>
        </w:rPr>
        <w:t>arrangement (it being understood that, solely for purposes of determining the number of treasury shares held by the Company, the Stock so withheld will not be treated as issued and acquired by the Company upon such exercise), (iv) by a combination of such methods of payment, or (v) by such other methods as may be approved by the Committee.</w:t>
      </w:r>
    </w:p>
    <w:p>
      <w:pPr>
        <w:spacing w:after="0" w:line="79" w:lineRule="exact"/>
        <w:rPr>
          <w:sz w:val="20"/>
          <w:szCs w:val="20"/>
          <w:color w:val="auto"/>
        </w:rPr>
      </w:pPr>
    </w:p>
    <w:p>
      <w:pPr>
        <w:ind w:left="1000" w:right="359" w:hanging="348"/>
        <w:spacing w:after="0" w:line="263" w:lineRule="auto"/>
        <w:tabs>
          <w:tab w:leader="none" w:pos="10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the extent permitted by law, any grant may provide for deferred payment of the Exercise Price from the proceeds of sale through a bank or broker on a date satisfactory to the Company of some or all of the Stock to which such exercise relates.</w:t>
      </w:r>
    </w:p>
    <w:p>
      <w:pPr>
        <w:spacing w:after="0" w:line="75" w:lineRule="exact"/>
        <w:rPr>
          <w:rFonts w:ascii="Arial" w:cs="Arial" w:eastAsia="Arial" w:hAnsi="Arial"/>
          <w:sz w:val="18"/>
          <w:szCs w:val="18"/>
          <w:color w:val="auto"/>
        </w:rPr>
      </w:pPr>
    </w:p>
    <w:p>
      <w:pPr>
        <w:ind w:left="1000" w:right="419" w:hanging="348"/>
        <w:spacing w:after="0" w:line="257" w:lineRule="auto"/>
        <w:tabs>
          <w:tab w:leader="none" w:pos="10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Optionee with the Participating Company Group, if any, that is necessary before any Options or installments thereof will vest. Options may provide for continued vesting or the earlier vesting of such Options, including in the event of the retirement, death, Disability or termination of Service of a Participant or in the event of a Change in Control.</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grant of Options may specify Management Objectives regarding the vesting of such rights.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84"/>
        </w:numPr>
        <w:rPr>
          <w:rFonts w:ascii="Arial" w:cs="Arial" w:eastAsia="Arial" w:hAnsi="Arial"/>
          <w:sz w:val="17"/>
          <w:szCs w:val="17"/>
          <w:color w:val="auto"/>
        </w:rPr>
      </w:pPr>
      <w:r>
        <w:rPr>
          <w:rFonts w:ascii="Arial" w:cs="Arial" w:eastAsia="Arial" w:hAnsi="Arial"/>
          <w:sz w:val="17"/>
          <w:szCs w:val="17"/>
          <w:color w:val="auto"/>
        </w:rPr>
        <w:t>Options granted under this Plan may be (i) Incentive Stock Options (ii) Nonstatutory Stock Options or</w:t>
      </w:r>
    </w:p>
    <w:p>
      <w:pPr>
        <w:spacing w:after="0" w:line="34" w:lineRule="exact"/>
        <w:rPr>
          <w:rFonts w:ascii="Arial" w:cs="Arial" w:eastAsia="Arial" w:hAnsi="Arial"/>
          <w:sz w:val="17"/>
          <w:szCs w:val="17"/>
          <w:color w:val="auto"/>
        </w:rPr>
      </w:pPr>
    </w:p>
    <w:p>
      <w:pPr>
        <w:ind w:left="1320" w:hanging="317"/>
        <w:spacing w:after="0"/>
        <w:tabs>
          <w:tab w:leader="none" w:pos="13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combinations of the foregoing.</w:t>
      </w:r>
    </w:p>
    <w:p>
      <w:pPr>
        <w:spacing w:after="0" w:line="102" w:lineRule="exact"/>
        <w:rPr>
          <w:rFonts w:ascii="Arial" w:cs="Arial" w:eastAsia="Arial" w:hAnsi="Arial"/>
          <w:sz w:val="18"/>
          <w:szCs w:val="18"/>
          <w:color w:val="auto"/>
        </w:rPr>
      </w:pPr>
    </w:p>
    <w:p>
      <w:pPr>
        <w:ind w:left="1000" w:right="399" w:hanging="348"/>
        <w:spacing w:after="0" w:line="263" w:lineRule="auto"/>
        <w:tabs>
          <w:tab w:leader="none" w:pos="10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 Option will be exercisable more than 10 years from the Date of Grant. The Committee may provide in any Evidence of Award for the automatic exercise of an Option upon such terms and conditions as established by the Committee.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Options granted under this Plan may not provide for any dividends or Dividend Equivalent Rights thereon.</w:t>
      </w:r>
    </w:p>
    <w:p>
      <w:pPr>
        <w:spacing w:after="0" w:line="140" w:lineRule="exact"/>
        <w:rPr>
          <w:rFonts w:ascii="Arial" w:cs="Arial" w:eastAsia="Arial" w:hAnsi="Arial"/>
          <w:sz w:val="16"/>
          <w:szCs w:val="16"/>
          <w:color w:val="auto"/>
        </w:rPr>
      </w:pPr>
    </w:p>
    <w:p>
      <w:pPr>
        <w:ind w:left="1000" w:right="339" w:hanging="348"/>
        <w:spacing w:after="0" w:line="263" w:lineRule="auto"/>
        <w:tabs>
          <w:tab w:leader="none" w:pos="10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Each grant of Options will be evidenced by an Evidence of Award. Each Evidence of Award will be subject to this Plan and will contain such terms and provisions, consistent with this Plan, as the Committee may approve.</w:t>
      </w:r>
    </w:p>
    <w:p>
      <w:pPr>
        <w:spacing w:after="0" w:line="71" w:lineRule="exact"/>
        <w:rPr>
          <w:rFonts w:ascii="Arial" w:cs="Arial" w:eastAsia="Arial" w:hAnsi="Arial"/>
          <w:sz w:val="18"/>
          <w:szCs w:val="18"/>
          <w:color w:val="auto"/>
        </w:rPr>
      </w:pPr>
    </w:p>
    <w:p>
      <w:pPr>
        <w:ind w:left="640" w:hanging="348"/>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Appreciation Rights.</w:t>
      </w:r>
    </w:p>
    <w:p>
      <w:pPr>
        <w:spacing w:after="0" w:line="121" w:lineRule="exact"/>
        <w:rPr>
          <w:rFonts w:ascii="Arial" w:cs="Arial" w:eastAsia="Arial" w:hAnsi="Arial"/>
          <w:sz w:val="18"/>
          <w:szCs w:val="18"/>
          <w:color w:val="auto"/>
        </w:rPr>
      </w:pPr>
    </w:p>
    <w:p>
      <w:pPr>
        <w:ind w:left="1000" w:right="339" w:hanging="348"/>
        <w:spacing w:after="0" w:line="279" w:lineRule="auto"/>
        <w:tabs>
          <w:tab w:leader="none" w:pos="10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63" w:lineRule="exact"/>
        <w:rPr>
          <w:rFonts w:ascii="Arial" w:cs="Arial" w:eastAsia="Arial" w:hAnsi="Arial"/>
          <w:sz w:val="17"/>
          <w:szCs w:val="17"/>
          <w:color w:val="auto"/>
        </w:rPr>
      </w:pPr>
    </w:p>
    <w:p>
      <w:pPr>
        <w:ind w:left="1000" w:right="399" w:hanging="348"/>
        <w:spacing w:after="0" w:line="277" w:lineRule="auto"/>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Each grant of Appreciation Rights may utilize any or all of the authorizations, and will be subject to all of the requirements, contained in the following provisions:</w:t>
      </w:r>
    </w:p>
    <w:p>
      <w:pPr>
        <w:spacing w:after="0" w:line="62" w:lineRule="exact"/>
        <w:rPr>
          <w:rFonts w:ascii="Arial" w:cs="Arial" w:eastAsia="Arial" w:hAnsi="Arial"/>
          <w:sz w:val="18"/>
          <w:szCs w:val="18"/>
          <w:color w:val="auto"/>
        </w:rPr>
      </w:pPr>
    </w:p>
    <w:p>
      <w:pPr>
        <w:ind w:left="1360" w:right="379" w:hanging="348"/>
        <w:spacing w:after="0" w:line="277" w:lineRule="auto"/>
        <w:tabs>
          <w:tab w:leader="none" w:pos="1360" w:val="left"/>
        </w:tabs>
        <w:numPr>
          <w:ilvl w:val="2"/>
          <w:numId w:val="85"/>
        </w:numPr>
        <w:rPr>
          <w:rFonts w:ascii="Arial" w:cs="Arial" w:eastAsia="Arial" w:hAnsi="Arial"/>
          <w:sz w:val="18"/>
          <w:szCs w:val="18"/>
          <w:color w:val="auto"/>
        </w:rPr>
      </w:pPr>
      <w:r>
        <w:rPr>
          <w:rFonts w:ascii="Arial" w:cs="Arial" w:eastAsia="Arial" w:hAnsi="Arial"/>
          <w:sz w:val="18"/>
          <w:szCs w:val="18"/>
          <w:color w:val="auto"/>
        </w:rPr>
        <w:t>Each grant may specify that the amount payable on exercise of an Appreciation Right will be paid by the Company in cash, Stock or any combination thereof.</w:t>
      </w:r>
    </w:p>
    <w:p>
      <w:pPr>
        <w:spacing w:after="0" w:line="62" w:lineRule="exact"/>
        <w:rPr>
          <w:rFonts w:ascii="Arial" w:cs="Arial" w:eastAsia="Arial" w:hAnsi="Arial"/>
          <w:sz w:val="18"/>
          <w:szCs w:val="18"/>
          <w:color w:val="auto"/>
        </w:rPr>
      </w:pPr>
    </w:p>
    <w:p>
      <w:pPr>
        <w:ind w:left="1360" w:right="319" w:hanging="348"/>
        <w:spacing w:after="0" w:line="257" w:lineRule="auto"/>
        <w:tabs>
          <w:tab w:leader="none" w:pos="1360" w:val="left"/>
        </w:tabs>
        <w:numPr>
          <w:ilvl w:val="2"/>
          <w:numId w:val="85"/>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Participant with the Participating Company Group, if any, that is necessary before the Appreciation Rights or installments thereof will vest. Appreciation Rights may provide for continued vesting or the earlier vesting of such Appreciation Rights, including in the event of the retirement, death, Disability or termination of Service of a Participant or in the event of a Change in Control.</w:t>
      </w:r>
    </w:p>
    <w:p>
      <w:pPr>
        <w:spacing w:after="0" w:line="79" w:lineRule="exact"/>
        <w:rPr>
          <w:rFonts w:ascii="Arial" w:cs="Arial" w:eastAsia="Arial" w:hAnsi="Arial"/>
          <w:sz w:val="18"/>
          <w:szCs w:val="18"/>
          <w:color w:val="auto"/>
        </w:rPr>
      </w:pPr>
    </w:p>
    <w:p>
      <w:pPr>
        <w:ind w:left="1360" w:right="379" w:hanging="348"/>
        <w:spacing w:after="0" w:line="277" w:lineRule="auto"/>
        <w:tabs>
          <w:tab w:leader="none" w:pos="136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grant of Appreciation Rights may specify Management Objectives regarding the vesting of such Appreciation Rights.</w:t>
      </w:r>
    </w:p>
    <w:p>
      <w:pPr>
        <w:spacing w:after="0" w:line="62" w:lineRule="exact"/>
        <w:rPr>
          <w:rFonts w:ascii="Arial" w:cs="Arial" w:eastAsia="Arial" w:hAnsi="Arial"/>
          <w:sz w:val="18"/>
          <w:szCs w:val="18"/>
          <w:color w:val="auto"/>
        </w:rPr>
      </w:pPr>
    </w:p>
    <w:p>
      <w:pPr>
        <w:ind w:left="1360" w:right="1059" w:hanging="348"/>
        <w:spacing w:after="0" w:line="277" w:lineRule="auto"/>
        <w:tabs>
          <w:tab w:leader="none" w:pos="136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Appreciation Rights granted under this Plan may not provide for any dividends or Dividend Equivalent Rights thereon.</w:t>
      </w:r>
    </w:p>
    <w:p>
      <w:pPr>
        <w:spacing w:after="0" w:line="62" w:lineRule="exact"/>
        <w:rPr>
          <w:rFonts w:ascii="Arial" w:cs="Arial" w:eastAsia="Arial" w:hAnsi="Arial"/>
          <w:sz w:val="18"/>
          <w:szCs w:val="18"/>
          <w:color w:val="auto"/>
        </w:rPr>
      </w:pPr>
    </w:p>
    <w:p>
      <w:pPr>
        <w:jc w:val="both"/>
        <w:ind w:left="1360" w:right="579" w:hanging="348"/>
        <w:spacing w:after="0" w:line="263" w:lineRule="auto"/>
        <w:tabs>
          <w:tab w:leader="none" w:pos="1360" w:val="left"/>
        </w:tabs>
        <w:numPr>
          <w:ilvl w:val="2"/>
          <w:numId w:val="85"/>
        </w:numPr>
        <w:rPr>
          <w:rFonts w:ascii="Arial" w:cs="Arial" w:eastAsia="Arial" w:hAnsi="Arial"/>
          <w:sz w:val="18"/>
          <w:szCs w:val="18"/>
          <w:color w:val="auto"/>
        </w:rPr>
      </w:pPr>
      <w:r>
        <w:rPr>
          <w:rFonts w:ascii="Arial" w:cs="Arial" w:eastAsia="Arial" w:hAnsi="Arial"/>
          <w:sz w:val="18"/>
          <w:szCs w:val="18"/>
          <w:color w:val="auto"/>
        </w:rPr>
        <w:t xml:space="preserve">Each grant of Appreciation Rights will specify in respect of each Appreciation Right a Base Price, which (except with respect to Awards under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 xml:space="preserve"> of this Plan) may not be less than the Fair Market Value on the Date of Grant.</w:t>
      </w:r>
    </w:p>
    <w:p>
      <w:pPr>
        <w:spacing w:after="0" w:line="75" w:lineRule="exact"/>
        <w:rPr>
          <w:rFonts w:ascii="Arial" w:cs="Arial" w:eastAsia="Arial" w:hAnsi="Arial"/>
          <w:sz w:val="18"/>
          <w:szCs w:val="18"/>
          <w:color w:val="auto"/>
        </w:rPr>
      </w:pPr>
    </w:p>
    <w:p>
      <w:pPr>
        <w:ind w:left="1360" w:right="339" w:hanging="348"/>
        <w:spacing w:after="0" w:line="286" w:lineRule="auto"/>
        <w:tabs>
          <w:tab w:leader="none" w:pos="1360" w:val="left"/>
        </w:tabs>
        <w:numPr>
          <w:ilvl w:val="2"/>
          <w:numId w:val="85"/>
        </w:numPr>
        <w:rPr>
          <w:rFonts w:ascii="Arial" w:cs="Arial" w:eastAsia="Arial" w:hAnsi="Arial"/>
          <w:sz w:val="17"/>
          <w:szCs w:val="17"/>
          <w:color w:val="auto"/>
        </w:rPr>
      </w:pPr>
      <w:r>
        <w:rPr>
          <w:rFonts w:ascii="Arial" w:cs="Arial" w:eastAsia="Arial" w:hAnsi="Arial"/>
          <w:sz w:val="17"/>
          <w:szCs w:val="17"/>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640" w:right="579" w:hanging="348"/>
        <w:spacing w:after="0" w:line="261"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The Committee may, from time to time and upon such terms and conditions as it may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authorize the grant or sale of Restricted Stock to Participants. Each such grant or sale may utilize any or all of the authorizations, and will be subject to all of the requirements, contained in the following provisions:</w:t>
      </w:r>
    </w:p>
    <w:p>
      <w:pPr>
        <w:spacing w:after="0" w:line="75" w:lineRule="exact"/>
        <w:rPr>
          <w:rFonts w:ascii="Arial" w:cs="Arial" w:eastAsia="Arial" w:hAnsi="Arial"/>
          <w:sz w:val="18"/>
          <w:szCs w:val="18"/>
          <w:color w:val="auto"/>
        </w:rPr>
      </w:pPr>
    </w:p>
    <w:p>
      <w:pPr>
        <w:ind w:left="1000" w:right="479" w:hanging="348"/>
        <w:spacing w:after="0" w:line="259"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Each such grant or sale will constitute an immediate transfer of the ownership of Stock to the Participant in consideration of the performance of services, entitling such Participant to voting, dividend and other ownership rights (subject in particular to </w:t>
      </w:r>
      <w:r>
        <w:rPr>
          <w:rFonts w:ascii="Arial" w:cs="Arial" w:eastAsia="Arial" w:hAnsi="Arial"/>
          <w:sz w:val="18"/>
          <w:szCs w:val="18"/>
          <w:b w:val="1"/>
          <w:bCs w:val="1"/>
          <w:u w:val="single" w:color="auto"/>
          <w:color w:val="auto"/>
        </w:rPr>
        <w:t>Section 6(g)</w:t>
      </w:r>
      <w:r>
        <w:rPr>
          <w:rFonts w:ascii="Arial" w:cs="Arial" w:eastAsia="Arial" w:hAnsi="Arial"/>
          <w:sz w:val="18"/>
          <w:szCs w:val="18"/>
          <w:color w:val="auto"/>
        </w:rPr>
        <w:t xml:space="preserve"> of this Plan), but subject to the substantial risk of forfeiture and restrictions on transfer hereinafter described.</w:t>
      </w:r>
    </w:p>
    <w:p>
      <w:pPr>
        <w:spacing w:after="0" w:line="78" w:lineRule="exact"/>
        <w:rPr>
          <w:rFonts w:ascii="Arial" w:cs="Arial" w:eastAsia="Arial" w:hAnsi="Arial"/>
          <w:sz w:val="18"/>
          <w:szCs w:val="18"/>
          <w:color w:val="auto"/>
        </w:rPr>
      </w:pPr>
    </w:p>
    <w:p>
      <w:pPr>
        <w:ind w:left="1000" w:right="359" w:hanging="348"/>
        <w:spacing w:after="0" w:line="277"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Fair Market Value on the Date of Grant.</w:t>
      </w:r>
    </w:p>
    <w:p>
      <w:pPr>
        <w:spacing w:after="0" w:line="62" w:lineRule="exact"/>
        <w:rPr>
          <w:rFonts w:ascii="Arial" w:cs="Arial" w:eastAsia="Arial" w:hAnsi="Arial"/>
          <w:sz w:val="18"/>
          <w:szCs w:val="18"/>
          <w:color w:val="auto"/>
        </w:rPr>
      </w:pPr>
    </w:p>
    <w:p>
      <w:pPr>
        <w:ind w:left="1000" w:right="379" w:hanging="348"/>
        <w:spacing w:after="0" w:line="259"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Arial" w:cs="Arial" w:eastAsia="Arial" w:hAnsi="Arial"/>
          <w:sz w:val="18"/>
          <w:szCs w:val="18"/>
          <w:b w:val="1"/>
          <w:bCs w:val="1"/>
          <w:u w:val="single" w:color="auto"/>
          <w:color w:val="auto"/>
        </w:rPr>
        <w:t>Section 6(e)</w:t>
      </w:r>
      <w:r>
        <w:rPr>
          <w:rFonts w:ascii="Arial" w:cs="Arial" w:eastAsia="Arial" w:hAnsi="Arial"/>
          <w:sz w:val="18"/>
          <w:szCs w:val="18"/>
          <w:color w:val="auto"/>
        </w:rPr>
        <w:t xml:space="preserve"> of this Plan.</w:t>
      </w:r>
    </w:p>
    <w:p>
      <w:pPr>
        <w:spacing w:after="0" w:line="78" w:lineRule="exact"/>
        <w:rPr>
          <w:rFonts w:ascii="Arial" w:cs="Arial" w:eastAsia="Arial" w:hAnsi="Arial"/>
          <w:sz w:val="18"/>
          <w:szCs w:val="18"/>
          <w:color w:val="auto"/>
        </w:rPr>
      </w:pPr>
    </w:p>
    <w:p>
      <w:pPr>
        <w:ind w:left="1000" w:right="479" w:hanging="348"/>
        <w:spacing w:after="0" w:line="275" w:lineRule="auto"/>
        <w:tabs>
          <w:tab w:leader="none" w:pos="10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68" w:lineRule="exact"/>
        <w:rPr>
          <w:rFonts w:ascii="Arial" w:cs="Arial" w:eastAsia="Arial" w:hAnsi="Arial"/>
          <w:sz w:val="17"/>
          <w:szCs w:val="17"/>
          <w:color w:val="auto"/>
        </w:rPr>
      </w:pPr>
    </w:p>
    <w:p>
      <w:pPr>
        <w:ind w:left="1000" w:right="1019" w:hanging="348"/>
        <w:spacing w:after="0" w:line="277"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grant of Restricted Stock may specify Management Objectives regarding the vesting of such Restricted Stock.</w:t>
      </w:r>
    </w:p>
    <w:p>
      <w:pPr>
        <w:spacing w:after="0" w:line="62" w:lineRule="exact"/>
        <w:rPr>
          <w:rFonts w:ascii="Arial" w:cs="Arial" w:eastAsia="Arial" w:hAnsi="Arial"/>
          <w:sz w:val="18"/>
          <w:szCs w:val="18"/>
          <w:color w:val="auto"/>
        </w:rPr>
      </w:pPr>
    </w:p>
    <w:p>
      <w:pPr>
        <w:ind w:left="1000" w:right="479" w:hanging="348"/>
        <w:spacing w:after="0" w:line="311" w:lineRule="auto"/>
        <w:tabs>
          <w:tab w:leader="none" w:pos="10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Plan, Restricted Stock may provide for continued vesting or the earlier vesting of such Restricted Stock, including in the event of the retirement, death, Disability or termination of Service of a Participant or in the event of a Change in Control.</w:t>
      </w:r>
    </w:p>
    <w:p>
      <w:pPr>
        <w:spacing w:after="0" w:line="40" w:lineRule="exact"/>
        <w:rPr>
          <w:rFonts w:ascii="Arial" w:cs="Arial" w:eastAsia="Arial" w:hAnsi="Arial"/>
          <w:sz w:val="16"/>
          <w:szCs w:val="16"/>
          <w:color w:val="auto"/>
        </w:rPr>
      </w:pPr>
    </w:p>
    <w:p>
      <w:pPr>
        <w:ind w:left="1000" w:right="319" w:hanging="348"/>
        <w:spacing w:after="0" w:line="275" w:lineRule="auto"/>
        <w:tabs>
          <w:tab w:leader="none" w:pos="10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w:t>
      </w:r>
    </w:p>
    <w:p>
      <w:pPr>
        <w:spacing w:after="0" w:line="68" w:lineRule="exact"/>
        <w:rPr>
          <w:rFonts w:ascii="Arial" w:cs="Arial" w:eastAsia="Arial" w:hAnsi="Arial"/>
          <w:sz w:val="17"/>
          <w:szCs w:val="17"/>
          <w:color w:val="auto"/>
        </w:rPr>
      </w:pPr>
    </w:p>
    <w:p>
      <w:pPr>
        <w:ind w:left="1000" w:right="379" w:hanging="348"/>
        <w:spacing w:after="0" w:line="271" w:lineRule="auto"/>
        <w:tabs>
          <w:tab w:leader="none" w:pos="10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66" w:lineRule="exact"/>
        <w:rPr>
          <w:rFonts w:ascii="Arial" w:cs="Arial" w:eastAsia="Arial" w:hAnsi="Arial"/>
          <w:sz w:val="17"/>
          <w:szCs w:val="17"/>
          <w:color w:val="auto"/>
        </w:rPr>
      </w:pPr>
    </w:p>
    <w:p>
      <w:pPr>
        <w:jc w:val="both"/>
        <w:ind w:left="640" w:right="399" w:hanging="348"/>
        <w:spacing w:after="0" w:line="261"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The Committee may, from time to time and upon such terms and conditions as it may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authorize the granting or sale of Restricted Stock Units to Participants. Each such grant or sale may utilize any or all of the authorizations, and will be subject to all of the requirements, contained in the following provisions:</w:t>
      </w:r>
    </w:p>
    <w:p>
      <w:pPr>
        <w:spacing w:after="0" w:line="75" w:lineRule="exact"/>
        <w:rPr>
          <w:rFonts w:ascii="Arial" w:cs="Arial" w:eastAsia="Arial" w:hAnsi="Arial"/>
          <w:sz w:val="18"/>
          <w:szCs w:val="18"/>
          <w:color w:val="auto"/>
        </w:rPr>
      </w:pPr>
    </w:p>
    <w:p>
      <w:pPr>
        <w:ind w:left="1000" w:right="559" w:hanging="348"/>
        <w:spacing w:after="0" w:line="279" w:lineRule="auto"/>
        <w:tabs>
          <w:tab w:leader="none" w:pos="10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Each such grant or sale will constitute the agreement by the Company to deliver Stock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w:t>
      </w:r>
    </w:p>
    <w:p>
      <w:pPr>
        <w:spacing w:after="0" w:line="63" w:lineRule="exact"/>
        <w:rPr>
          <w:rFonts w:ascii="Arial" w:cs="Arial" w:eastAsia="Arial" w:hAnsi="Arial"/>
          <w:sz w:val="17"/>
          <w:szCs w:val="17"/>
          <w:color w:val="auto"/>
        </w:rPr>
      </w:pPr>
    </w:p>
    <w:p>
      <w:pPr>
        <w:ind w:left="1000" w:right="359" w:hanging="348"/>
        <w:spacing w:after="0" w:line="277"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Fair Market Value on the Date of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319" w:hanging="348"/>
        <w:spacing w:after="0" w:line="259" w:lineRule="auto"/>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Restricted Stock Units may provide for continued vesting or the earlier lapse or other modification of the Restriction Period, including in the event of the retirement, death, Disability or termination of Service of a Participant or in the event of a Change in Control.</w:t>
      </w:r>
    </w:p>
    <w:p>
      <w:pPr>
        <w:spacing w:after="0" w:line="78" w:lineRule="exact"/>
        <w:rPr>
          <w:rFonts w:ascii="Arial" w:cs="Arial" w:eastAsia="Arial" w:hAnsi="Arial"/>
          <w:sz w:val="18"/>
          <w:szCs w:val="18"/>
          <w:color w:val="auto"/>
        </w:rPr>
      </w:pPr>
    </w:p>
    <w:p>
      <w:pPr>
        <w:ind w:left="1000" w:right="359" w:hanging="348"/>
        <w:spacing w:after="0" w:line="272" w:lineRule="auto"/>
        <w:tabs>
          <w:tab w:leader="none" w:pos="10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During the Restriction Period, the Participant will have no right to transfer any rights under his or her Award and will have no rights of ownership in the Stock deliverable upon payment of the Restricted Stock Units and will have no right to vote them, but the Committee may, at or after the Date of Grant, authorize the payment of Dividend Equivalent Rights on such Restricted Stock Units on a deferred and contingent basis, either in cash or in additional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Dividend Equivalent Rights or other distributions on Stock underlying Restricted Stock Units shall be deferred until and paid contingent upon the vesting of such Restricted Stock Units.</w:t>
      </w:r>
    </w:p>
    <w:p>
      <w:pPr>
        <w:spacing w:after="0" w:line="69" w:lineRule="exact"/>
        <w:rPr>
          <w:rFonts w:ascii="Arial" w:cs="Arial" w:eastAsia="Arial" w:hAnsi="Arial"/>
          <w:sz w:val="17"/>
          <w:szCs w:val="17"/>
          <w:color w:val="auto"/>
        </w:rPr>
      </w:pPr>
    </w:p>
    <w:p>
      <w:pPr>
        <w:ind w:left="1000" w:right="359" w:hanging="348"/>
        <w:spacing w:after="0" w:line="286" w:lineRule="auto"/>
        <w:tabs>
          <w:tab w:leader="none" w:pos="10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Each grant or sale of Restricted Stock Units will specify the time and manner of payment of the Restricted Stock Units that have been earned. Each grant or sale will specify that the amount payable with respect thereto will be paid by the Company in Stock or cash, or a combination thereof.</w:t>
      </w:r>
    </w:p>
    <w:p>
      <w:pPr>
        <w:spacing w:after="0" w:line="57" w:lineRule="exact"/>
        <w:rPr>
          <w:rFonts w:ascii="Arial" w:cs="Arial" w:eastAsia="Arial" w:hAnsi="Arial"/>
          <w:sz w:val="17"/>
          <w:szCs w:val="17"/>
          <w:color w:val="auto"/>
        </w:rPr>
      </w:pPr>
    </w:p>
    <w:p>
      <w:pPr>
        <w:ind w:left="1000" w:right="319" w:hanging="348"/>
        <w:spacing w:after="0" w:line="263" w:lineRule="auto"/>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71" w:lineRule="exact"/>
        <w:rPr>
          <w:rFonts w:ascii="Arial" w:cs="Arial" w:eastAsia="Arial" w:hAnsi="Arial"/>
          <w:sz w:val="18"/>
          <w:szCs w:val="18"/>
          <w:color w:val="auto"/>
        </w:rPr>
      </w:pPr>
    </w:p>
    <w:p>
      <w:pPr>
        <w:ind w:left="640" w:right="359" w:hanging="348"/>
        <w:spacing w:after="0" w:line="281" w:lineRule="auto"/>
        <w:tabs>
          <w:tab w:leader="none" w:pos="64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Cash Incentive Awards, Performance Shares and Performance Units. </w:t>
      </w:r>
      <w:r>
        <w:rPr>
          <w:rFonts w:ascii="Arial" w:cs="Arial" w:eastAsia="Arial" w:hAnsi="Arial"/>
          <w:sz w:val="17"/>
          <w:szCs w:val="17"/>
          <w:color w:val="auto"/>
        </w:rPr>
        <w:t>The Committee may,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and upon such terms and 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60" w:lineRule="exact"/>
        <w:rPr>
          <w:rFonts w:ascii="Arial" w:cs="Arial" w:eastAsia="Arial" w:hAnsi="Arial"/>
          <w:sz w:val="17"/>
          <w:szCs w:val="17"/>
          <w:color w:val="auto"/>
        </w:rPr>
      </w:pPr>
    </w:p>
    <w:p>
      <w:pPr>
        <w:jc w:val="both"/>
        <w:ind w:left="1000" w:right="619" w:hanging="348"/>
        <w:spacing w:after="0" w:line="286" w:lineRule="auto"/>
        <w:tabs>
          <w:tab w:leader="none" w:pos="10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Each grant will specify the number or amount of Performance Shares or Performance Units, or amount payable with respect to a Cash Incentive Award, to which it pertains, which number or amount may be subject to adjustment to reflect changes in compensation or other factors.</w:t>
      </w:r>
    </w:p>
    <w:p>
      <w:pPr>
        <w:spacing w:after="0" w:line="57" w:lineRule="exact"/>
        <w:rPr>
          <w:rFonts w:ascii="Arial" w:cs="Arial" w:eastAsia="Arial" w:hAnsi="Arial"/>
          <w:sz w:val="17"/>
          <w:szCs w:val="17"/>
          <w:color w:val="auto"/>
        </w:rPr>
      </w:pPr>
    </w:p>
    <w:p>
      <w:pPr>
        <w:ind w:left="1000" w:right="1259" w:hanging="348"/>
        <w:spacing w:after="0" w:line="277" w:lineRule="auto"/>
        <w:tabs>
          <w:tab w:leader="none" w:pos="10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Each grant of a Cash Incentive Award, Performance Shares or Performance Units will specify Management Objectives regarding the earning of the Award.</w:t>
      </w:r>
    </w:p>
    <w:p>
      <w:pPr>
        <w:spacing w:after="0" w:line="62" w:lineRule="exact"/>
        <w:rPr>
          <w:rFonts w:ascii="Arial" w:cs="Arial" w:eastAsia="Arial" w:hAnsi="Arial"/>
          <w:sz w:val="18"/>
          <w:szCs w:val="18"/>
          <w:color w:val="auto"/>
        </w:rPr>
      </w:pPr>
    </w:p>
    <w:p>
      <w:pPr>
        <w:ind w:left="1000" w:right="379" w:hanging="348"/>
        <w:spacing w:after="0" w:line="301" w:lineRule="auto"/>
        <w:tabs>
          <w:tab w:leader="none" w:pos="10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Performance Period with respect to each Cash Incentive Award or grant of Performance Shares or Performance Units will be such period of time as will be determined by the Committee, which may be subject to continued vesting or earlier lapse or other modification, including in the event of the retirement, death, Disability or termination of Service of a Participant or in the event of a Change in Control.</w:t>
      </w:r>
    </w:p>
    <w:p>
      <w:pPr>
        <w:spacing w:after="0" w:line="49" w:lineRule="exact"/>
        <w:rPr>
          <w:rFonts w:ascii="Arial" w:cs="Arial" w:eastAsia="Arial" w:hAnsi="Arial"/>
          <w:sz w:val="16"/>
          <w:szCs w:val="16"/>
          <w:color w:val="auto"/>
        </w:rPr>
      </w:pPr>
    </w:p>
    <w:p>
      <w:pPr>
        <w:ind w:left="1000" w:right="479" w:hanging="348"/>
        <w:spacing w:after="0" w:line="277" w:lineRule="auto"/>
        <w:tabs>
          <w:tab w:leader="none" w:pos="10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Each grant will specify the time and manner of payment of a Cash Incentive Award, Performance Shares or Performance Units that have been earned.</w:t>
      </w:r>
    </w:p>
    <w:p>
      <w:pPr>
        <w:spacing w:after="0" w:line="62" w:lineRule="exact"/>
        <w:rPr>
          <w:rFonts w:ascii="Arial" w:cs="Arial" w:eastAsia="Arial" w:hAnsi="Arial"/>
          <w:sz w:val="18"/>
          <w:szCs w:val="18"/>
          <w:color w:val="auto"/>
        </w:rPr>
      </w:pPr>
    </w:p>
    <w:p>
      <w:pPr>
        <w:ind w:left="1000" w:right="499" w:hanging="348"/>
        <w:spacing w:after="0" w:line="275" w:lineRule="auto"/>
        <w:tabs>
          <w:tab w:leader="none" w:pos="10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Committee may, on the Date of Grant of Performance Shares or Performance Units, provide for the payment of Dividend Equivalent Rights to the holder thereof either in cash or in additional Stock, which Dividend Equivalent Rights will be subject to deferral and payment on a contingent basis based on the Participant’s earning and vesting of the Performance Shares or Performance Units, as applicable, with respect to which such Dividend Equivalent Rights are paid.</w:t>
      </w:r>
    </w:p>
    <w:p>
      <w:pPr>
        <w:spacing w:after="0" w:line="68" w:lineRule="exact"/>
        <w:rPr>
          <w:rFonts w:ascii="Arial" w:cs="Arial" w:eastAsia="Arial" w:hAnsi="Arial"/>
          <w:sz w:val="17"/>
          <w:szCs w:val="17"/>
          <w:color w:val="auto"/>
        </w:rPr>
      </w:pPr>
    </w:p>
    <w:p>
      <w:pPr>
        <w:ind w:left="1000" w:right="399" w:hanging="348"/>
        <w:spacing w:after="0" w:line="286" w:lineRule="auto"/>
        <w:tabs>
          <w:tab w:leader="none" w:pos="10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53" w:lineRule="exact"/>
        <w:rPr>
          <w:rFonts w:ascii="Arial" w:cs="Arial" w:eastAsia="Arial" w:hAnsi="Arial"/>
          <w:sz w:val="17"/>
          <w:szCs w:val="17"/>
          <w:color w:val="auto"/>
        </w:rPr>
      </w:pPr>
    </w:p>
    <w:p>
      <w:pPr>
        <w:ind w:left="640" w:hanging="348"/>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Other Awards.</w:t>
      </w:r>
    </w:p>
    <w:p>
      <w:pPr>
        <w:spacing w:after="0" w:line="117" w:lineRule="exact"/>
        <w:rPr>
          <w:rFonts w:ascii="Arial" w:cs="Arial" w:eastAsia="Arial" w:hAnsi="Arial"/>
          <w:sz w:val="18"/>
          <w:szCs w:val="18"/>
          <w:color w:val="auto"/>
        </w:rPr>
      </w:pPr>
    </w:p>
    <w:p>
      <w:pPr>
        <w:ind w:left="1000" w:right="459" w:hanging="348"/>
        <w:spacing w:after="0" w:line="292" w:lineRule="auto"/>
        <w:tabs>
          <w:tab w:leader="none" w:pos="10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Subject to applicable law and the applicable limits set forth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the Committee may authorize the grant to any Participant of Stock or such other awards that may be denominated or payable in, valued in whole or in part by reference to, or otherwise based on, or related to, Stock or factors that may influence the value of such shares, including, without limitation, convertible or exchangeable debt securities, other rights convertible or exchangeable into Stock, purchase rights for Stock, awards with value and payment contingent upon performance of any specified Participating Company, affiliates or business units thereof or any other factors designated by the Committee,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359"/>
        <w:spacing w:after="0" w:line="273" w:lineRule="auto"/>
        <w:rPr>
          <w:sz w:val="20"/>
          <w:szCs w:val="20"/>
          <w:color w:val="auto"/>
        </w:rPr>
      </w:pPr>
      <w:r>
        <w:rPr>
          <w:rFonts w:ascii="Arial" w:cs="Arial" w:eastAsia="Arial" w:hAnsi="Arial"/>
          <w:sz w:val="17"/>
          <w:szCs w:val="17"/>
          <w:color w:val="auto"/>
        </w:rPr>
        <w:t xml:space="preserve">awards valued by reference to the book value of the Stock or the value of securities of, or the performance of specified Participating Companies, affiliates or business units of Participating Companies. The Committee will determine the terms and conditions of such awards. Stock delivered pursuant to an award in the nature of a purchase right granted under this </w:t>
      </w:r>
      <w:r>
        <w:rPr>
          <w:rFonts w:ascii="Arial" w:cs="Arial" w:eastAsia="Arial" w:hAnsi="Arial"/>
          <w:sz w:val="17"/>
          <w:szCs w:val="17"/>
          <w:b w:val="1"/>
          <w:bCs w:val="1"/>
          <w:u w:val="single" w:color="auto"/>
          <w:color w:val="auto"/>
        </w:rPr>
        <w:t>Section 9</w:t>
      </w:r>
      <w:r>
        <w:rPr>
          <w:rFonts w:ascii="Arial" w:cs="Arial" w:eastAsia="Arial" w:hAnsi="Arial"/>
          <w:sz w:val="17"/>
          <w:szCs w:val="17"/>
          <w:color w:val="auto"/>
        </w:rPr>
        <w:t xml:space="preserve"> will be purchased for such consideration, paid for at such time, by such methods, and in such forms, including, without limitation, Stock, other awards, notes or other property, as the Committee determines.</w:t>
      </w:r>
    </w:p>
    <w:p>
      <w:pPr>
        <w:spacing w:after="0" w:line="70" w:lineRule="exact"/>
        <w:rPr>
          <w:sz w:val="20"/>
          <w:szCs w:val="20"/>
          <w:color w:val="auto"/>
        </w:rPr>
      </w:pPr>
    </w:p>
    <w:p>
      <w:pPr>
        <w:ind w:left="1000" w:right="719" w:hanging="348"/>
        <w:spacing w:after="0" w:line="277" w:lineRule="auto"/>
        <w:tabs>
          <w:tab w:leader="none" w:pos="1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Cash awards, as an element of or supplement to any other award granted under this Plan, may also be granted pursuant to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00" w:right="359" w:hanging="348"/>
        <w:spacing w:after="0" w:line="259" w:lineRule="auto"/>
        <w:tabs>
          <w:tab w:leader="none" w:pos="1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Committee may authorize the grant of Stock as a bonus, or may authorize the grant of other awards in lieu of obligations of the Participating Company to pay cash or deliver other property under this Plan or under other plans or compensatory arrangements, subject to such terms as will be determined by the Committee in a manner that complies with Section 409A.</w:t>
      </w:r>
    </w:p>
    <w:p>
      <w:pPr>
        <w:spacing w:after="0" w:line="78" w:lineRule="exact"/>
        <w:rPr>
          <w:rFonts w:ascii="Arial" w:cs="Arial" w:eastAsia="Arial" w:hAnsi="Arial"/>
          <w:sz w:val="18"/>
          <w:szCs w:val="18"/>
          <w:color w:val="auto"/>
        </w:rPr>
      </w:pPr>
    </w:p>
    <w:p>
      <w:pPr>
        <w:ind w:left="1000" w:right="659" w:hanging="348"/>
        <w:spacing w:after="0" w:line="286" w:lineRule="auto"/>
        <w:tabs>
          <w:tab w:leader="none" w:pos="10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 xml:space="preserve">The Committee may, at or after the Date of Grant, authorize the payment of dividends or Dividend Equivalent Rights on awards granted under this </w:t>
      </w:r>
      <w:r>
        <w:rPr>
          <w:rFonts w:ascii="Arial" w:cs="Arial" w:eastAsia="Arial" w:hAnsi="Arial"/>
          <w:sz w:val="17"/>
          <w:szCs w:val="17"/>
          <w:b w:val="1"/>
          <w:bCs w:val="1"/>
          <w:u w:val="single" w:color="auto"/>
          <w:color w:val="auto"/>
        </w:rPr>
        <w:t>Section 9</w:t>
      </w:r>
      <w:r>
        <w:rPr>
          <w:rFonts w:ascii="Arial" w:cs="Arial" w:eastAsia="Arial" w:hAnsi="Arial"/>
          <w:sz w:val="17"/>
          <w:szCs w:val="17"/>
          <w:color w:val="auto"/>
        </w:rPr>
        <w:t xml:space="preserve"> on a deferred and contingent basis, either in cash or in additional Stock, based upon the earning and vesting of such awards.</w:t>
      </w:r>
    </w:p>
    <w:p>
      <w:pPr>
        <w:spacing w:after="0" w:line="53" w:lineRule="exact"/>
        <w:rPr>
          <w:rFonts w:ascii="Arial" w:cs="Arial" w:eastAsia="Arial" w:hAnsi="Arial"/>
          <w:sz w:val="17"/>
          <w:szCs w:val="17"/>
          <w:color w:val="auto"/>
        </w:rPr>
      </w:pPr>
    </w:p>
    <w:p>
      <w:pPr>
        <w:ind w:left="1000" w:right="379" w:hanging="348"/>
        <w:spacing w:after="0" w:line="261" w:lineRule="auto"/>
        <w:tabs>
          <w:tab w:leader="none" w:pos="1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Each grant of an award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71" w:lineRule="exact"/>
        <w:rPr>
          <w:rFonts w:ascii="Arial" w:cs="Arial" w:eastAsia="Arial" w:hAnsi="Arial"/>
          <w:sz w:val="18"/>
          <w:szCs w:val="18"/>
          <w:color w:val="auto"/>
        </w:rPr>
      </w:pPr>
    </w:p>
    <w:p>
      <w:pPr>
        <w:ind w:left="1000" w:right="399" w:hanging="348"/>
        <w:spacing w:after="0" w:line="261" w:lineRule="auto"/>
        <w:tabs>
          <w:tab w:leader="none" w:pos="1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Plan, awards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may provide for the earning or vesting of, or earlier elimination of restrictions applicable to, such award, including in the event of the retirement, death, Disability or termination of Service of a Participant or in the event of a Change in Control.</w:t>
      </w:r>
    </w:p>
    <w:p>
      <w:pPr>
        <w:spacing w:after="0" w:line="71" w:lineRule="exact"/>
        <w:rPr>
          <w:rFonts w:ascii="Arial" w:cs="Arial" w:eastAsia="Arial" w:hAnsi="Arial"/>
          <w:sz w:val="18"/>
          <w:szCs w:val="18"/>
          <w:color w:val="auto"/>
        </w:rPr>
      </w:pPr>
    </w:p>
    <w:p>
      <w:pPr>
        <w:ind w:left="640" w:hanging="348"/>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Administration of this Plan.</w:t>
      </w:r>
    </w:p>
    <w:p>
      <w:pPr>
        <w:spacing w:after="0" w:line="121" w:lineRule="exact"/>
        <w:rPr>
          <w:rFonts w:ascii="Arial" w:cs="Arial" w:eastAsia="Arial" w:hAnsi="Arial"/>
          <w:sz w:val="18"/>
          <w:szCs w:val="18"/>
          <w:color w:val="auto"/>
        </w:rPr>
      </w:pPr>
    </w:p>
    <w:p>
      <w:pPr>
        <w:ind w:left="1000" w:right="319" w:hanging="348"/>
        <w:spacing w:after="0" w:line="296" w:lineRule="auto"/>
        <w:tabs>
          <w:tab w:leader="none" w:pos="10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This Plan will be administered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in this Plan to the contrary, the Board may grant Awards under this Plan to non-employee Directors and administer this Plan with respect to such Awards.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53" w:lineRule="exact"/>
        <w:rPr>
          <w:rFonts w:ascii="Arial" w:cs="Arial" w:eastAsia="Arial" w:hAnsi="Arial"/>
          <w:sz w:val="16"/>
          <w:szCs w:val="16"/>
          <w:color w:val="auto"/>
        </w:rPr>
      </w:pPr>
    </w:p>
    <w:p>
      <w:pPr>
        <w:ind w:left="1000" w:right="459" w:hanging="348"/>
        <w:spacing w:after="0" w:line="254" w:lineRule="auto"/>
        <w:tabs>
          <w:tab w:leader="none" w:pos="10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83" w:lineRule="exact"/>
        <w:rPr>
          <w:rFonts w:ascii="Arial" w:cs="Arial" w:eastAsia="Arial" w:hAnsi="Arial"/>
          <w:sz w:val="18"/>
          <w:szCs w:val="18"/>
          <w:color w:val="auto"/>
        </w:rPr>
      </w:pPr>
    </w:p>
    <w:p>
      <w:pPr>
        <w:ind w:left="1000" w:right="319" w:hanging="348"/>
        <w:spacing w:after="0" w:line="286" w:lineRule="auto"/>
        <w:tabs>
          <w:tab w:leader="none" w:pos="10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 (ii) determine the size of any such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Committee will not delegate such responsibilities to any such Officer for Awards granted to an Employee who is an “officer” (for purposes of Section 16 of the Exchange Act), Director, or more than 10% “beneficial owner” (as such term is defined in Rule 13d-3 promulgated under the Exchange Act) of any class of the Company’s equity securities that is registered pursuant to Section 12 of the Exchange Act, as determined by the Committee in accordance with Section 16 of the Exchange Act;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1020" w:right="379"/>
        <w:spacing w:after="0" w:line="263" w:lineRule="auto"/>
        <w:rPr>
          <w:sz w:val="20"/>
          <w:szCs w:val="20"/>
          <w:color w:val="auto"/>
        </w:rPr>
      </w:pPr>
      <w:r>
        <w:rPr>
          <w:rFonts w:ascii="Arial" w:cs="Arial" w:eastAsia="Arial" w:hAnsi="Arial"/>
          <w:sz w:val="18"/>
          <w:szCs w:val="18"/>
          <w:color w:val="auto"/>
        </w:rPr>
        <w:t>(B) the resolution providing for such authorization shall set forth the total number of shares of Stock such Officer(s) may grant; and (C) the Officer(s) will report periodically to the Committee regarding the nature and scope of the Awards granted pursuant to the authority delegated.</w:t>
      </w:r>
    </w:p>
    <w:p>
      <w:pPr>
        <w:spacing w:after="0" w:line="71" w:lineRule="exact"/>
        <w:rPr>
          <w:sz w:val="20"/>
          <w:szCs w:val="20"/>
          <w:color w:val="auto"/>
        </w:rPr>
      </w:pPr>
    </w:p>
    <w:p>
      <w:pPr>
        <w:ind w:left="640" w:right="299" w:hanging="348"/>
        <w:spacing w:after="0" w:line="284" w:lineRule="auto"/>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The Committee shall make or provide for such adjustments in the number of and kind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Stock covered by outstanding Options, Appreciation Rights, Restricted Stock, Restricted Stock Units, Performance Shares and Performance Units granted hereunder and, if applicable, in the number of and kind of shares of Stock covered by other awards granted pursuant to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in the Exercise Price and Base Price provided in outstanding Options and Appreciation Rights, respectively, in Cash Incentive Awards,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In addition, for each Option or Appreciation Right with an Exercise Price or Base Price, respectively, greater than the consideration offered in connection with any such transaction or event or Change in Control, the Committee may in its discretion elect to cancel such Option or Appreciation Right without any payment to the person holding such Option or Appreciation Right. The Committee shall also make or provide for such adjustments in the number of shares of Stock specified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as the Committee in its sole discretion, exercised in good faith, determines is appropriate to reflect any transaction or event described in this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adjustment to the number specified in </w:t>
      </w:r>
      <w:r>
        <w:rPr>
          <w:rFonts w:ascii="Arial" w:cs="Arial" w:eastAsia="Arial" w:hAnsi="Arial"/>
          <w:sz w:val="16"/>
          <w:szCs w:val="16"/>
          <w:b w:val="1"/>
          <w:bCs w:val="1"/>
          <w:u w:val="single" w:color="auto"/>
          <w:color w:val="auto"/>
        </w:rPr>
        <w:t>Section 3(c)</w:t>
      </w:r>
      <w:r>
        <w:rPr>
          <w:rFonts w:ascii="Arial" w:cs="Arial" w:eastAsia="Arial" w:hAnsi="Arial"/>
          <w:sz w:val="16"/>
          <w:szCs w:val="16"/>
          <w:color w:val="auto"/>
        </w:rPr>
        <w:t xml:space="preserve"> of this Plan will be made only if and to the extent that such adjustment would not cause any Option intended to qualify as an Incentive Stock Option to fail to so qualify.</w:t>
      </w:r>
    </w:p>
    <w:p>
      <w:pPr>
        <w:spacing w:after="0" w:line="66" w:lineRule="exact"/>
        <w:rPr>
          <w:rFonts w:ascii="Arial" w:cs="Arial" w:eastAsia="Arial" w:hAnsi="Arial"/>
          <w:sz w:val="16"/>
          <w:szCs w:val="16"/>
          <w:color w:val="auto"/>
        </w:rPr>
      </w:pPr>
    </w:p>
    <w:p>
      <w:pPr>
        <w:ind w:left="640" w:right="459" w:hanging="348"/>
        <w:spacing w:after="0" w:line="289" w:lineRule="auto"/>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Change in Control</w:t>
      </w:r>
      <w:r>
        <w:rPr>
          <w:rFonts w:ascii="Arial" w:cs="Arial" w:eastAsia="Arial" w:hAnsi="Arial"/>
          <w:sz w:val="17"/>
          <w:szCs w:val="17"/>
          <w:color w:val="auto"/>
        </w:rPr>
        <w:t>. For purposes of this Plan, except as may be otherwise prescribed by the Committee in an</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 of Award made under this Plan, a “Change in Control” will be deemed to have occurred upon the occurrence (after the Effective Date) of any one or a combination of the following events:</w:t>
      </w:r>
    </w:p>
    <w:p>
      <w:pPr>
        <w:spacing w:after="0" w:line="53" w:lineRule="exact"/>
        <w:rPr>
          <w:rFonts w:ascii="Arial" w:cs="Arial" w:eastAsia="Arial" w:hAnsi="Arial"/>
          <w:sz w:val="17"/>
          <w:szCs w:val="17"/>
          <w:color w:val="auto"/>
        </w:rPr>
      </w:pPr>
    </w:p>
    <w:p>
      <w:pPr>
        <w:ind w:left="1000" w:right="379" w:hanging="348"/>
        <w:spacing w:after="0" w:line="287" w:lineRule="auto"/>
        <w:tabs>
          <w:tab w:leader="none" w:pos="10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any “person” (as such term is used in Sections 13(d) and 14(d) of the Exchange Act)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Change in Control shall not be deemed to have occurred if such degree of beneficial ownership results from any of the following: (i) an acquisition by any person who on the Effective Date is the beneficial owner of more than fifty percent (50%) of such voting power, (ii) any acquisition directly from the Company, including, without limitation, pursuant to or in connection with a public offering of securities, (iii) any acquisition by the Company, (iv) any acquisition by a trustee or other fiduciary under an employee benefit plan of the Participating Company Group or (v) any acquisition by an entity owned directly or indirectly by the Stockholders in substantially the same proportions as their ownership of the voting securities of the Company; or</w:t>
      </w:r>
    </w:p>
    <w:p>
      <w:pPr>
        <w:spacing w:after="0" w:line="59" w:lineRule="exact"/>
        <w:rPr>
          <w:rFonts w:ascii="Arial" w:cs="Arial" w:eastAsia="Arial" w:hAnsi="Arial"/>
          <w:sz w:val="16"/>
          <w:szCs w:val="16"/>
          <w:color w:val="auto"/>
        </w:rPr>
      </w:pPr>
    </w:p>
    <w:p>
      <w:pPr>
        <w:ind w:left="1000" w:right="399" w:hanging="348"/>
        <w:spacing w:after="0" w:line="293" w:lineRule="auto"/>
        <w:tabs>
          <w:tab w:leader="none" w:pos="10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an Ownership Change Event or series of related Ownership Change Events (collectively, a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in which the Stockholders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w:t>
      </w:r>
      <w:r>
        <w:rPr>
          <w:rFonts w:ascii="Arial" w:cs="Arial" w:eastAsia="Arial" w:hAnsi="Arial"/>
          <w:sz w:val="16"/>
          <w:szCs w:val="16"/>
          <w:b w:val="1"/>
          <w:bCs w:val="1"/>
          <w:u w:val="single" w:color="auto"/>
          <w:color w:val="auto"/>
        </w:rPr>
        <w:t>Section 2(cc)(iii)</w:t>
      </w:r>
      <w:r>
        <w:rPr>
          <w:rFonts w:ascii="Arial" w:cs="Arial" w:eastAsia="Arial" w:hAnsi="Arial"/>
          <w:sz w:val="16"/>
          <w:szCs w:val="16"/>
          <w:color w:val="auto"/>
        </w:rPr>
        <w:t>, the entity to which the assets of the Company were transferred (the “</w:t>
      </w:r>
      <w:r>
        <w:rPr>
          <w:rFonts w:ascii="Arial" w:cs="Arial" w:eastAsia="Arial" w:hAnsi="Arial"/>
          <w:sz w:val="16"/>
          <w:szCs w:val="16"/>
          <w:u w:val="single" w:color="auto"/>
          <w:color w:val="auto"/>
        </w:rPr>
        <w:t>Transferee</w:t>
      </w:r>
      <w:r>
        <w:rPr>
          <w:rFonts w:ascii="Arial" w:cs="Arial" w:eastAsia="Arial" w:hAnsi="Arial"/>
          <w:sz w:val="16"/>
          <w:szCs w:val="16"/>
          <w:color w:val="auto"/>
        </w:rPr>
        <w:t>”), as the case may be; or</w:t>
      </w:r>
    </w:p>
    <w:p>
      <w:pPr>
        <w:spacing w:after="0" w:line="56" w:lineRule="exact"/>
        <w:rPr>
          <w:rFonts w:ascii="Arial" w:cs="Arial" w:eastAsia="Arial" w:hAnsi="Arial"/>
          <w:sz w:val="16"/>
          <w:szCs w:val="16"/>
          <w:color w:val="auto"/>
        </w:rPr>
      </w:pPr>
    </w:p>
    <w:p>
      <w:pPr>
        <w:ind w:left="1000" w:right="459" w:hanging="348"/>
        <w:spacing w:after="0" w:line="342" w:lineRule="auto"/>
        <w:tabs>
          <w:tab w:leader="none" w:pos="10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consummation of a complete liquidation or dissolution of the Company after approval of the same by the stockholders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Change in Control shall be deemed not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both"/>
        <w:ind w:left="1020" w:right="799"/>
        <w:spacing w:after="0" w:line="289" w:lineRule="auto"/>
        <w:rPr>
          <w:sz w:val="20"/>
          <w:szCs w:val="20"/>
          <w:color w:val="auto"/>
        </w:rPr>
      </w:pPr>
      <w:r>
        <w:rPr>
          <w:rFonts w:ascii="Arial" w:cs="Arial" w:eastAsia="Arial" w:hAnsi="Arial"/>
          <w:sz w:val="17"/>
          <w:szCs w:val="17"/>
          <w:color w:val="auto"/>
        </w:rPr>
        <w:t xml:space="preserve">include a transaction described in subsections (a) or (b) of this </w:t>
      </w:r>
      <w:r>
        <w:rPr>
          <w:rFonts w:ascii="Arial" w:cs="Arial" w:eastAsia="Arial" w:hAnsi="Arial"/>
          <w:sz w:val="17"/>
          <w:szCs w:val="17"/>
          <w:b w:val="1"/>
          <w:bCs w:val="1"/>
          <w:u w:val="single" w:color="auto"/>
          <w:color w:val="auto"/>
        </w:rPr>
        <w:t>Section 12</w:t>
      </w:r>
      <w:r>
        <w:rPr>
          <w:rFonts w:ascii="Arial" w:cs="Arial" w:eastAsia="Arial" w:hAnsi="Arial"/>
          <w:sz w:val="17"/>
          <w:szCs w:val="17"/>
          <w:color w:val="auto"/>
        </w:rPr>
        <w:t xml:space="preserve"> in which a majority of the members of the board of directors of the continuing, surviving or successor entity, or parent thereof, immediately after such transaction is comprised of Incumbent Directors.</w:t>
      </w:r>
    </w:p>
    <w:p>
      <w:pPr>
        <w:spacing w:after="0" w:line="54" w:lineRule="exact"/>
        <w:rPr>
          <w:sz w:val="20"/>
          <w:szCs w:val="20"/>
          <w:color w:val="auto"/>
        </w:rPr>
      </w:pPr>
    </w:p>
    <w:p>
      <w:pPr>
        <w:ind w:left="660" w:right="399"/>
        <w:spacing w:after="0" w:line="254" w:lineRule="auto"/>
        <w:rPr>
          <w:sz w:val="20"/>
          <w:szCs w:val="20"/>
          <w:color w:val="auto"/>
        </w:rPr>
      </w:pPr>
      <w:r>
        <w:rPr>
          <w:rFonts w:ascii="Arial" w:cs="Arial" w:eastAsia="Arial" w:hAnsi="Arial"/>
          <w:sz w:val="18"/>
          <w:szCs w:val="18"/>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acquisitions of the voting securities of the Company and/or multiple Ownership Change Events are related and to be treated in the aggregate as a single Change in Control, and its determination shall be final, binding and conclusive.</w:t>
      </w:r>
    </w:p>
    <w:p>
      <w:pPr>
        <w:spacing w:after="0" w:line="83" w:lineRule="exact"/>
        <w:rPr>
          <w:sz w:val="20"/>
          <w:szCs w:val="20"/>
          <w:color w:val="auto"/>
        </w:rPr>
      </w:pPr>
    </w:p>
    <w:p>
      <w:pPr>
        <w:ind w:left="640" w:right="319" w:hanging="348"/>
        <w:spacing w:after="0" w:line="269" w:lineRule="auto"/>
        <w:tabs>
          <w:tab w:leader="none" w:pos="64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Detrimental Activity and Recapture Provisions</w:t>
      </w:r>
      <w:r>
        <w:rPr>
          <w:rFonts w:ascii="Arial" w:cs="Arial" w:eastAsia="Arial" w:hAnsi="Arial"/>
          <w:sz w:val="17"/>
          <w:szCs w:val="17"/>
          <w:color w:val="auto"/>
        </w:rPr>
        <w:t>. Any Evidence of Award may reference a clawback policy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provide for the cancellation or forfeiture of an Award or the forfeiture and repayment to the Company of any gain related to an Award, or other provisions intended to have a similar effect, upon such terms and conditions as may be determined by the Committee from time to time, if a Participant, either (a) during the Participant’s Service with the Participating Company Group, or (b) within a specified period after termination of such Service, engages in any detrimental activity, as described in the applicable Evidence of Award or such clawback policy. In addition, notwithstanding anything in this Plan to the contrary, any Evidence of Award or such clawback policy may also provide for the cancellation or forfeiture of an Award or the forfeiture and repayment to the Company of any Stock issued under and/or any other benefit related to an Award, or other provisions intended to have a similar effect, including upon such terms and conditions as may be required by the Committee or under Section 10D of the Exchange Act and any applicable rules or regulations promulgated by the Securities and Exchange Commission or any national securities exchange or national securities association on which the Stock may be traded.</w:t>
      </w:r>
    </w:p>
    <w:p>
      <w:pPr>
        <w:spacing w:after="0" w:line="67" w:lineRule="exact"/>
        <w:rPr>
          <w:rFonts w:ascii="Arial" w:cs="Arial" w:eastAsia="Arial" w:hAnsi="Arial"/>
          <w:sz w:val="17"/>
          <w:szCs w:val="17"/>
          <w:color w:val="auto"/>
        </w:rPr>
      </w:pPr>
    </w:p>
    <w:p>
      <w:pPr>
        <w:ind w:left="640" w:right="359" w:hanging="348"/>
        <w:spacing w:after="0" w:line="287" w:lineRule="auto"/>
        <w:tabs>
          <w:tab w:leader="none" w:pos="640"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Accommodations for Participants of Different Nationalities. </w:t>
      </w:r>
      <w:r>
        <w:rPr>
          <w:rFonts w:ascii="Arial" w:cs="Arial" w:eastAsia="Arial" w:hAnsi="Arial"/>
          <w:sz w:val="16"/>
          <w:szCs w:val="16"/>
          <w:color w:val="auto"/>
        </w:rPr>
        <w:t>In order to facilitate the making of any grant or</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of grants under this Plan, the Committee may provide for such special terms for Awards to Participants as the Committee may consider necessary or appropriate to accommodate differences in local law, tax policy or custom given that Participants are expected to be nationals of the United States of America and other countries, or to provide Services to the Participating Company Group both within and outside of the United States of America. Moreover, the Committee may approve such supplements to or amendments, restatements or alternative versions of this Plan (including sub-plans)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55" w:lineRule="exact"/>
        <w:rPr>
          <w:rFonts w:ascii="Arial" w:cs="Arial" w:eastAsia="Arial" w:hAnsi="Arial"/>
          <w:sz w:val="16"/>
          <w:szCs w:val="16"/>
          <w:color w:val="auto"/>
        </w:rPr>
      </w:pPr>
    </w:p>
    <w:p>
      <w:pPr>
        <w:ind w:left="640" w:hanging="348"/>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Transferability.</w:t>
      </w:r>
    </w:p>
    <w:p>
      <w:pPr>
        <w:spacing w:after="0" w:line="117" w:lineRule="exact"/>
        <w:rPr>
          <w:rFonts w:ascii="Arial" w:cs="Arial" w:eastAsia="Arial" w:hAnsi="Arial"/>
          <w:sz w:val="18"/>
          <w:szCs w:val="18"/>
          <w:color w:val="auto"/>
        </w:rPr>
      </w:pPr>
    </w:p>
    <w:p>
      <w:pPr>
        <w:ind w:left="1000" w:right="339" w:hanging="348"/>
        <w:spacing w:after="0" w:line="288" w:lineRule="auto"/>
        <w:tabs>
          <w:tab w:leader="none" w:pos="10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Except as otherwise determined by the Committee, and subject to compliance with </w:t>
      </w:r>
      <w:r>
        <w:rPr>
          <w:rFonts w:ascii="Arial" w:cs="Arial" w:eastAsia="Arial" w:hAnsi="Arial"/>
          <w:sz w:val="16"/>
          <w:szCs w:val="16"/>
          <w:b w:val="1"/>
          <w:bCs w:val="1"/>
          <w:u w:val="single" w:color="auto"/>
          <w:color w:val="auto"/>
        </w:rPr>
        <w:t>Section 17(b)</w:t>
      </w:r>
      <w:r>
        <w:rPr>
          <w:rFonts w:ascii="Arial" w:cs="Arial" w:eastAsia="Arial" w:hAnsi="Arial"/>
          <w:sz w:val="16"/>
          <w:szCs w:val="16"/>
          <w:color w:val="auto"/>
        </w:rPr>
        <w:t xml:space="preserve"> of this Plan and Section 409A, no Option, Appreciation Right, Restricted Stock, Restricted Stock Unit, Performance Share, Performance Unit, Cash Incentive Award, award contemplated by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or Dividend Equivalent Rights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 otherwise determined by the Committee, Options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59" w:lineRule="exact"/>
        <w:rPr>
          <w:rFonts w:ascii="Arial" w:cs="Arial" w:eastAsia="Arial" w:hAnsi="Arial"/>
          <w:sz w:val="16"/>
          <w:szCs w:val="16"/>
          <w:color w:val="auto"/>
        </w:rPr>
      </w:pPr>
    </w:p>
    <w:p>
      <w:pPr>
        <w:ind w:left="1000" w:right="599" w:hanging="348"/>
        <w:spacing w:after="0" w:line="342" w:lineRule="auto"/>
        <w:tabs>
          <w:tab w:leader="none" w:pos="10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Committee may specify on the Date of Grant that part or all of the Stock that is (i) to be issued or transferred by the Company upon the exercise of Options or Appreciation Rights, upon the termination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419"/>
        <w:spacing w:after="0" w:line="259" w:lineRule="auto"/>
        <w:rPr>
          <w:sz w:val="20"/>
          <w:szCs w:val="20"/>
          <w:color w:val="auto"/>
        </w:rPr>
      </w:pPr>
      <w:r>
        <w:rPr>
          <w:rFonts w:ascii="Arial" w:cs="Arial" w:eastAsia="Arial" w:hAnsi="Arial"/>
          <w:sz w:val="18"/>
          <w:szCs w:val="18"/>
          <w:color w:val="auto"/>
        </w:rPr>
        <w:t xml:space="preserve">of the Restriction Period applicable to Restricted Stock Units or upon payment under any grant of Performance Shares or Performance Units or (ii) no longer subject to the substantial risk of forfeiture and restrictions on transfer referred to in </w:t>
      </w:r>
      <w:r>
        <w:rPr>
          <w:rFonts w:ascii="Arial" w:cs="Arial" w:eastAsia="Arial" w:hAnsi="Arial"/>
          <w:sz w:val="18"/>
          <w:szCs w:val="18"/>
          <w:b w:val="1"/>
          <w:bCs w:val="1"/>
          <w:u w:val="single" w:color="auto"/>
          <w:color w:val="auto"/>
        </w:rPr>
        <w:t>Section 6</w:t>
      </w:r>
      <w:r>
        <w:rPr>
          <w:rFonts w:ascii="Arial" w:cs="Arial" w:eastAsia="Arial" w:hAnsi="Arial"/>
          <w:sz w:val="18"/>
          <w:szCs w:val="18"/>
          <w:color w:val="auto"/>
        </w:rPr>
        <w:t xml:space="preserve"> of this Plan, will be subject to further restrictions on transfer, including minimum holding periods.</w:t>
      </w:r>
    </w:p>
    <w:p>
      <w:pPr>
        <w:spacing w:after="0" w:line="75" w:lineRule="exact"/>
        <w:rPr>
          <w:sz w:val="20"/>
          <w:szCs w:val="20"/>
          <w:color w:val="auto"/>
        </w:rPr>
      </w:pPr>
    </w:p>
    <w:p>
      <w:pPr>
        <w:ind w:left="640" w:right="319" w:hanging="348"/>
        <w:spacing w:after="0" w:line="284" w:lineRule="auto"/>
        <w:tabs>
          <w:tab w:leader="none" w:pos="640"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To the extent that the Company is required to withhold federal, state, local or foreign taxes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other amounts in 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may include relinquishment of a portion of such benefit. With respect to Participants who are “officers” subject to Section 16 of the Exchange Act, if the Participant’s benefit is to be received in the form of Stock, then, unless otherwise determined by the Committee, the Company will withhold from the Stock required to be delivered to the Participant, shares of Stock having a value equal to the amount required to be withheld under applicable income and employment tax laws. With respect to Participants who are not “officers” subject to Section 16 of the Exchange Act, if the Participant’s benefit is to be received in the form of Stock, then, the Company may withhold from the Stock required to be delivered to the Participant, shares of Stock having a value equal to the amount required to be withheld under applicable income and employment tax laws. The Stock used for tax or other withholding will be valued at an amount equal to the Fair Market Value of such Stock on the date the benefit is to be included in Participant’s income. In no event will the Fair Market Value of the Stock to be withheld and delivered pursuant to this </w:t>
      </w:r>
      <w:r>
        <w:rPr>
          <w:rFonts w:ascii="Arial" w:cs="Arial" w:eastAsia="Arial" w:hAnsi="Arial"/>
          <w:sz w:val="16"/>
          <w:szCs w:val="16"/>
          <w:b w:val="1"/>
          <w:bCs w:val="1"/>
          <w:u w:val="single" w:color="auto"/>
          <w:color w:val="auto"/>
        </w:rPr>
        <w:t>Section 16</w:t>
      </w:r>
      <w:r>
        <w:rPr>
          <w:rFonts w:ascii="Arial" w:cs="Arial" w:eastAsia="Arial" w:hAnsi="Arial"/>
          <w:sz w:val="16"/>
          <w:szCs w:val="16"/>
          <w:b w:val="1"/>
          <w:bCs w:val="1"/>
          <w:color w:val="auto"/>
        </w:rPr>
        <w:t xml:space="preserve"> </w:t>
      </w:r>
      <w:r>
        <w:rPr>
          <w:rFonts w:ascii="Arial" w:cs="Arial" w:eastAsia="Arial" w:hAnsi="Arial"/>
          <w:sz w:val="16"/>
          <w:szCs w:val="16"/>
          <w:color w:val="auto"/>
        </w:rPr>
        <w:t>exceed the minimum amount required to be withheld, unless (i) an additional amount can be</w:t>
      </w:r>
      <w:r>
        <w:rPr>
          <w:rFonts w:ascii="Arial" w:cs="Arial" w:eastAsia="Arial" w:hAnsi="Arial"/>
          <w:sz w:val="16"/>
          <w:szCs w:val="16"/>
          <w:b w:val="1"/>
          <w:bCs w:val="1"/>
          <w:color w:val="auto"/>
        </w:rPr>
        <w:t xml:space="preserve"> </w:t>
      </w:r>
      <w:r>
        <w:rPr>
          <w:rFonts w:ascii="Arial" w:cs="Arial" w:eastAsia="Arial" w:hAnsi="Arial"/>
          <w:sz w:val="16"/>
          <w:szCs w:val="16"/>
          <w:color w:val="auto"/>
        </w:rPr>
        <w:t>withheld and not result in adverse accounting consequences, (ii) such additional withholding amount is authorized by the Committee, and (iii) the total amount withheld does not exceed the Participant’s estimated tax obligations attributable to the applicable transaction. Participants will also make such arrangements as the Company may require for the payment of any withholding tax or other obligation that may arise in connection with the disposition of Stock acquired upon the exercise of Options.</w:t>
      </w:r>
    </w:p>
    <w:p>
      <w:pPr>
        <w:spacing w:after="0" w:line="287" w:lineRule="exact"/>
        <w:rPr>
          <w:rFonts w:ascii="Arial" w:cs="Arial" w:eastAsia="Arial" w:hAnsi="Arial"/>
          <w:sz w:val="16"/>
          <w:szCs w:val="16"/>
          <w:color w:val="auto"/>
        </w:rPr>
      </w:pPr>
    </w:p>
    <w:p>
      <w:pPr>
        <w:ind w:left="640" w:hanging="34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Compliance with Section 409A.</w:t>
      </w:r>
    </w:p>
    <w:p>
      <w:pPr>
        <w:spacing w:after="0" w:line="121" w:lineRule="exact"/>
        <w:rPr>
          <w:rFonts w:ascii="Arial" w:cs="Arial" w:eastAsia="Arial" w:hAnsi="Arial"/>
          <w:sz w:val="18"/>
          <w:szCs w:val="18"/>
          <w:color w:val="auto"/>
        </w:rPr>
      </w:pPr>
    </w:p>
    <w:p>
      <w:pPr>
        <w:ind w:left="1000" w:right="399" w:hanging="348"/>
        <w:spacing w:after="0" w:line="273" w:lineRule="auto"/>
        <w:tabs>
          <w:tab w:leader="none" w:pos="1000" w:val="left"/>
        </w:tabs>
        <w:numPr>
          <w:ilvl w:val="1"/>
          <w:numId w:val="93"/>
        </w:numPr>
        <w:rPr>
          <w:rFonts w:ascii="Arial" w:cs="Arial" w:eastAsia="Arial" w:hAnsi="Arial"/>
          <w:sz w:val="17"/>
          <w:szCs w:val="17"/>
          <w:color w:val="auto"/>
        </w:rPr>
      </w:pPr>
      <w:r>
        <w:rPr>
          <w:rFonts w:ascii="Arial" w:cs="Arial" w:eastAsia="Arial" w:hAnsi="Arial"/>
          <w:sz w:val="17"/>
          <w:szCs w:val="17"/>
          <w:color w:val="auto"/>
        </w:rPr>
        <w:t>To the extent applicable, it is intended that this Plan and any grants made hereunder comply with the provisions of Section 409A, so that the income inclusion provisions of Section 409A(a)(1) of the Code do not apply to the Participants. This Plan and any grants made hereunder will be administered in a manner consistent with this intent. Any reference in this Plan to Section 409A will also include any regulations or any other formal guidance promulgated with respect to such section by the U.S. Department of the Treasury or the Internal Revenue Service.</w:t>
      </w:r>
    </w:p>
    <w:p>
      <w:pPr>
        <w:spacing w:after="0" w:line="69" w:lineRule="exact"/>
        <w:rPr>
          <w:rFonts w:ascii="Arial" w:cs="Arial" w:eastAsia="Arial" w:hAnsi="Arial"/>
          <w:sz w:val="17"/>
          <w:szCs w:val="17"/>
          <w:color w:val="auto"/>
        </w:rPr>
      </w:pPr>
    </w:p>
    <w:p>
      <w:pPr>
        <w:ind w:left="1000" w:right="399" w:hanging="348"/>
        <w:spacing w:after="0" w:line="273" w:lineRule="auto"/>
        <w:tabs>
          <w:tab w:leader="none" w:pos="1000" w:val="left"/>
        </w:tabs>
        <w:numPr>
          <w:ilvl w:val="1"/>
          <w:numId w:val="93"/>
        </w:numPr>
        <w:rPr>
          <w:rFonts w:ascii="Arial" w:cs="Arial" w:eastAsia="Arial" w:hAnsi="Arial"/>
          <w:sz w:val="17"/>
          <w:szCs w:val="17"/>
          <w:color w:val="auto"/>
        </w:rPr>
      </w:pPr>
      <w:r>
        <w:rPr>
          <w:rFonts w:ascii="Arial" w:cs="Arial" w:eastAsia="Arial" w:hAnsi="Arial"/>
          <w:sz w:val="17"/>
          <w:szCs w:val="17"/>
          <w:color w:val="auto"/>
        </w:rPr>
        <w:t>Neither a Participant nor any of a Participant’s creditors or beneficiaries will have the right to subject any Section 409A Deferred Compensation payable under this Plan and grants hereunder to any anticipation, alienation, sale, transfer, assignment, pledge, encumbrance, attachment or garnishment. Except as permitted under Section 409A, any Section 409A Deferred Compensation payable to a Participant or for a Participant’s benefit under this Plan and grants hereunder may not be reduced by, or offset against, any amount owed by a Participant to the Company or any of its Subsidiaries.</w:t>
      </w:r>
    </w:p>
    <w:p>
      <w:pPr>
        <w:spacing w:after="0" w:line="69" w:lineRule="exact"/>
        <w:rPr>
          <w:rFonts w:ascii="Arial" w:cs="Arial" w:eastAsia="Arial" w:hAnsi="Arial"/>
          <w:sz w:val="17"/>
          <w:szCs w:val="17"/>
          <w:color w:val="auto"/>
        </w:rPr>
      </w:pPr>
    </w:p>
    <w:p>
      <w:pPr>
        <w:ind w:left="1000" w:right="359" w:hanging="348"/>
        <w:spacing w:after="0" w:line="271" w:lineRule="auto"/>
        <w:tabs>
          <w:tab w:leader="none" w:pos="1000" w:val="left"/>
        </w:tabs>
        <w:numPr>
          <w:ilvl w:val="1"/>
          <w:numId w:val="93"/>
        </w:numPr>
        <w:rPr>
          <w:rFonts w:ascii="Arial" w:cs="Arial" w:eastAsia="Arial" w:hAnsi="Arial"/>
          <w:sz w:val="17"/>
          <w:szCs w:val="17"/>
          <w:color w:val="auto"/>
        </w:rPr>
      </w:pPr>
      <w:r>
        <w:rPr>
          <w:rFonts w:ascii="Arial" w:cs="Arial" w:eastAsia="Arial" w:hAnsi="Arial"/>
          <w:sz w:val="17"/>
          <w:szCs w:val="17"/>
          <w:color w:val="auto"/>
        </w:rPr>
        <w:t>If, at the time of a Participant’s separation from service (within the meaning of Section 409A), (i) the Participant will be a specified employee (within the meaning of Section 409A and using the identification methodology selected by the Company from time to time) and (ii) the Company makes a good faith determination that an amount payable hereunder constitutes Section 409A Deferred Compensation the payment of which is required to be delayed pursuant to the six-month delay rule set forth in Section 409A in order to avoid taxes or penalties under Section 409A, then the Company will not pay such amount on the otherwise scheduled payment date but will instead pay it, without interest, on the tenth business day of the seventh month after such separation from service.</w:t>
      </w:r>
    </w:p>
    <w:p>
      <w:pPr>
        <w:spacing w:after="0" w:line="70" w:lineRule="exact"/>
        <w:rPr>
          <w:rFonts w:ascii="Arial" w:cs="Arial" w:eastAsia="Arial" w:hAnsi="Arial"/>
          <w:sz w:val="17"/>
          <w:szCs w:val="17"/>
          <w:color w:val="auto"/>
        </w:rPr>
      </w:pPr>
    </w:p>
    <w:p>
      <w:pPr>
        <w:ind w:left="1000" w:right="319" w:hanging="348"/>
        <w:spacing w:after="0" w:line="279" w:lineRule="auto"/>
        <w:tabs>
          <w:tab w:leader="none" w:pos="1000" w:val="left"/>
        </w:tabs>
        <w:numPr>
          <w:ilvl w:val="1"/>
          <w:numId w:val="93"/>
        </w:numPr>
        <w:rPr>
          <w:rFonts w:ascii="Arial" w:cs="Arial" w:eastAsia="Arial" w:hAnsi="Arial"/>
          <w:sz w:val="17"/>
          <w:szCs w:val="17"/>
          <w:color w:val="auto"/>
        </w:rPr>
      </w:pPr>
      <w:r>
        <w:rPr>
          <w:rFonts w:ascii="Arial" w:cs="Arial" w:eastAsia="Arial" w:hAnsi="Arial"/>
          <w:sz w:val="17"/>
          <w:szCs w:val="17"/>
          <w:color w:val="auto"/>
        </w:rPr>
        <w:t>Solely with respect to any Award that constitutes Section 409A Deferred Compensation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439"/>
        <w:spacing w:after="0" w:line="259" w:lineRule="auto"/>
        <w:rPr>
          <w:sz w:val="20"/>
          <w:szCs w:val="20"/>
          <w:color w:val="auto"/>
        </w:rPr>
      </w:pPr>
      <w:r>
        <w:rPr>
          <w:rFonts w:ascii="Arial" w:cs="Arial" w:eastAsia="Arial" w:hAnsi="Arial"/>
          <w:sz w:val="18"/>
          <w:szCs w:val="18"/>
          <w:color w:val="auto"/>
        </w:rPr>
        <w:t>ownership of a substantial portion of assets” of the Company as those terms are defined under Treasury Regulation §1.409A-3(i)(5), but only to the extent necessary to establish a time and form of payment that complies with Section 409A, without altering the definition of Change in Control for any purpose in respect of such Award.</w:t>
      </w:r>
    </w:p>
    <w:p>
      <w:pPr>
        <w:spacing w:after="0" w:line="79" w:lineRule="exact"/>
        <w:rPr>
          <w:sz w:val="20"/>
          <w:szCs w:val="20"/>
          <w:color w:val="auto"/>
        </w:rPr>
      </w:pPr>
    </w:p>
    <w:p>
      <w:pPr>
        <w:ind w:left="1000" w:right="359" w:hanging="348"/>
        <w:spacing w:after="0" w:line="290" w:lineRule="auto"/>
        <w:tabs>
          <w:tab w:leader="none" w:pos="10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Notwithstanding any provision of this Plan and grants hereunder to the contrary, in light of the uncertainty with respect to the proper application of Section 409A, the Company reserves the right to make amendments to this Plan and grants hereunder as the Company deems necessary or desirable to avoid the imposition of taxes or penalties under Section 409A.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and neither the Company nor any of its affiliates will have any obligation to indemnify or otherwise hold a Participant harmless from any or all of such taxes or penalties.</w:t>
      </w:r>
    </w:p>
    <w:p>
      <w:pPr>
        <w:spacing w:after="0" w:line="53" w:lineRule="exact"/>
        <w:rPr>
          <w:rFonts w:ascii="Arial" w:cs="Arial" w:eastAsia="Arial" w:hAnsi="Arial"/>
          <w:sz w:val="16"/>
          <w:szCs w:val="16"/>
          <w:color w:val="auto"/>
        </w:rPr>
      </w:pPr>
    </w:p>
    <w:p>
      <w:pPr>
        <w:ind w:left="640" w:hanging="348"/>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Amendments.</w:t>
      </w:r>
    </w:p>
    <w:p>
      <w:pPr>
        <w:spacing w:after="0" w:line="121" w:lineRule="exact"/>
        <w:rPr>
          <w:rFonts w:ascii="Arial" w:cs="Arial" w:eastAsia="Arial" w:hAnsi="Arial"/>
          <w:sz w:val="18"/>
          <w:szCs w:val="18"/>
          <w:color w:val="auto"/>
        </w:rPr>
      </w:pPr>
    </w:p>
    <w:p>
      <w:pPr>
        <w:jc w:val="both"/>
        <w:ind w:left="1000" w:right="379" w:hanging="348"/>
        <w:spacing w:after="0" w:line="286" w:lineRule="auto"/>
        <w:tabs>
          <w:tab w:leader="none" w:pos="10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The Board may at any time and from time to time amend this Plan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 amendment to this Plan, for purposes of applicable stock exchange rules and except as permitted under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(i) would materially increase the benefits accruing to Participants under this Plan, (ii) would materially increase the number of securities which may be issued under this Plan,</w:t>
      </w:r>
    </w:p>
    <w:p>
      <w:pPr>
        <w:spacing w:after="0" w:line="1" w:lineRule="exact"/>
        <w:rPr>
          <w:rFonts w:ascii="Arial" w:cs="Arial" w:eastAsia="Arial" w:hAnsi="Arial"/>
          <w:sz w:val="16"/>
          <w:szCs w:val="16"/>
          <w:color w:val="auto"/>
        </w:rPr>
      </w:pPr>
    </w:p>
    <w:p>
      <w:pPr>
        <w:ind w:left="1000" w:right="339"/>
        <w:spacing w:after="0" w:line="252" w:lineRule="auto"/>
        <w:rPr>
          <w:rFonts w:ascii="Arial" w:cs="Arial" w:eastAsia="Arial" w:hAnsi="Arial"/>
          <w:sz w:val="16"/>
          <w:szCs w:val="16"/>
          <w:color w:val="auto"/>
        </w:rPr>
      </w:pPr>
      <w:r>
        <w:rPr>
          <w:rFonts w:ascii="Arial" w:cs="Arial" w:eastAsia="Arial" w:hAnsi="Arial"/>
          <w:sz w:val="18"/>
          <w:szCs w:val="18"/>
          <w:color w:val="auto"/>
        </w:rPr>
        <w:t>(iii) would materially modify the requirements for participation in this Plan, or (iv) must otherwise be approved by the Stockholders in order to comply with applicable law or the rules of the New York Stock Exchange or, if the Stock is not traded on the New York Stock Exchange, the principal national securities exchange upon which the Stock is traded or quoted, all as determined by the Board, then, such amendment will be subject to Stockholder approval and will not be effective unless and until such approval has been obtained.</w:t>
      </w:r>
    </w:p>
    <w:p>
      <w:pPr>
        <w:spacing w:after="0" w:line="81" w:lineRule="exact"/>
        <w:rPr>
          <w:rFonts w:ascii="Arial" w:cs="Arial" w:eastAsia="Arial" w:hAnsi="Arial"/>
          <w:sz w:val="16"/>
          <w:szCs w:val="16"/>
          <w:color w:val="auto"/>
        </w:rPr>
      </w:pPr>
    </w:p>
    <w:p>
      <w:pPr>
        <w:ind w:left="1000" w:right="399" w:hanging="348"/>
        <w:spacing w:after="0" w:line="269" w:lineRule="auto"/>
        <w:tabs>
          <w:tab w:leader="none" w:pos="10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Except in connection with a corporate transaction or event described in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or in connection with a Change in Control, the terms of outstanding Awards may not be amended to reduce the Exercise Price of outstanding Options or the Base Price of outstanding Appreciation Rights, or cancel outstanding “underwater” Options or Appreciation Rights (including following a Participant’s voluntary surrender of “underwater” Options or Appreciation Rights) in exchange for cash, other awards or Options or Appreciation Rights with an Exercise Price or Base Price, as applicable, that is less than the Exercise Price of the original Options or Base Price of the original Appreciation Rights, as applicable, without Stockholder approval. This </w:t>
      </w:r>
      <w:r>
        <w:rPr>
          <w:rFonts w:ascii="Arial" w:cs="Arial" w:eastAsia="Arial" w:hAnsi="Arial"/>
          <w:sz w:val="17"/>
          <w:szCs w:val="17"/>
          <w:b w:val="1"/>
          <w:bCs w:val="1"/>
          <w:u w:val="single" w:color="auto"/>
          <w:color w:val="auto"/>
        </w:rPr>
        <w:t>Section 18(b)</w:t>
      </w:r>
      <w:r>
        <w:rPr>
          <w:rFonts w:ascii="Arial" w:cs="Arial" w:eastAsia="Arial" w:hAnsi="Arial"/>
          <w:sz w:val="17"/>
          <w:szCs w:val="17"/>
          <w:color w:val="auto"/>
        </w:rPr>
        <w:t xml:space="preserve"> is intended to prohibit the repricing of “underwater” Options and Appreciation Rights and will not be construed to prohibit the adjustments provided for in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Notwithstanding any provision of this Plan to the contrary, this </w:t>
      </w:r>
      <w:r>
        <w:rPr>
          <w:rFonts w:ascii="Arial" w:cs="Arial" w:eastAsia="Arial" w:hAnsi="Arial"/>
          <w:sz w:val="17"/>
          <w:szCs w:val="17"/>
          <w:b w:val="1"/>
          <w:bCs w:val="1"/>
          <w:u w:val="single" w:color="auto"/>
          <w:color w:val="auto"/>
        </w:rPr>
        <w:t>Section 18(b)</w:t>
      </w:r>
      <w:r>
        <w:rPr>
          <w:rFonts w:ascii="Arial" w:cs="Arial" w:eastAsia="Arial" w:hAnsi="Arial"/>
          <w:sz w:val="17"/>
          <w:szCs w:val="17"/>
          <w:color w:val="auto"/>
        </w:rPr>
        <w:t xml:space="preserve"> may not be amended without approval by the Stockholders.</w:t>
      </w:r>
    </w:p>
    <w:p>
      <w:pPr>
        <w:spacing w:after="0" w:line="77" w:lineRule="exact"/>
        <w:rPr>
          <w:rFonts w:ascii="Arial" w:cs="Arial" w:eastAsia="Arial" w:hAnsi="Arial"/>
          <w:sz w:val="17"/>
          <w:szCs w:val="17"/>
          <w:color w:val="auto"/>
        </w:rPr>
      </w:pPr>
    </w:p>
    <w:p>
      <w:pPr>
        <w:ind w:left="1000" w:right="319" w:hanging="348"/>
        <w:spacing w:after="0" w:line="286" w:lineRule="auto"/>
        <w:tabs>
          <w:tab w:leader="none" w:pos="10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If permitted by Section 409A, but subject to the paragraph that follows, including in the case of termination of employment or service, or in the case of unforeseeable emergency or other circumstances or in the event of a Change in Control, to the extent a Participant holds an Option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 Rights or other awards made pursuant to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subject to any vesting schedule or transfer restriction, or who holds Stock subject to any transfer restriction imposed pursuant to </w:t>
      </w:r>
      <w:r>
        <w:rPr>
          <w:rFonts w:ascii="Arial" w:cs="Arial" w:eastAsia="Arial" w:hAnsi="Arial"/>
          <w:sz w:val="16"/>
          <w:szCs w:val="16"/>
          <w:b w:val="1"/>
          <w:bCs w:val="1"/>
          <w:u w:val="single" w:color="auto"/>
          <w:color w:val="auto"/>
        </w:rPr>
        <w:t>Section 15(b)</w:t>
      </w:r>
      <w:r>
        <w:rPr>
          <w:rFonts w:ascii="Arial" w:cs="Arial" w:eastAsia="Arial" w:hAnsi="Arial"/>
          <w:sz w:val="16"/>
          <w:szCs w:val="16"/>
          <w:color w:val="auto"/>
        </w:rPr>
        <w:t xml:space="preserve"> of this Plan, the Committee may, in its sole discretion, provide for continued vesting or accelerate the time at which such Option,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000" w:right="339" w:hanging="348"/>
        <w:spacing w:after="0" w:line="256" w:lineRule="auto"/>
        <w:tabs>
          <w:tab w:leader="none" w:pos="10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u w:val="single" w:color="auto"/>
          <w:color w:val="auto"/>
        </w:rPr>
        <w:t>Section 18(b)</w:t>
      </w:r>
      <w:r>
        <w:rPr>
          <w:rFonts w:ascii="Arial" w:cs="Arial" w:eastAsia="Arial" w:hAnsi="Arial"/>
          <w:sz w:val="18"/>
          <w:szCs w:val="18"/>
          <w:color w:val="auto"/>
        </w:rPr>
        <w:t xml:space="preserve"> of this Plan, the Committee may amend the terms of any Award theretofore granted under this Plan prospectively or retroactively. Except for adjustments made pursuant to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79" w:lineRule="exact"/>
        <w:rPr>
          <w:rFonts w:ascii="Arial" w:cs="Arial" w:eastAsia="Arial" w:hAnsi="Arial"/>
          <w:sz w:val="18"/>
          <w:szCs w:val="18"/>
          <w:color w:val="auto"/>
        </w:rPr>
      </w:pPr>
    </w:p>
    <w:p>
      <w:pPr>
        <w:ind w:left="640" w:right="659" w:hanging="348"/>
        <w:spacing w:after="0" w:line="266"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Except to the extent governed by applicable federal law, the validity,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and performance of the Plan and each Evidence of Award shall be governed by the laws of the State of Delaware, without regard to its conflict of law rules.</w:t>
      </w:r>
    </w:p>
    <w:p>
      <w:pPr>
        <w:spacing w:after="0" w:line="67" w:lineRule="exact"/>
        <w:rPr>
          <w:rFonts w:ascii="Arial" w:cs="Arial" w:eastAsia="Arial" w:hAnsi="Arial"/>
          <w:sz w:val="18"/>
          <w:szCs w:val="18"/>
          <w:color w:val="auto"/>
        </w:rPr>
      </w:pPr>
    </w:p>
    <w:p>
      <w:pPr>
        <w:ind w:left="640" w:right="319" w:hanging="348"/>
        <w:spacing w:after="0" w:line="291" w:lineRule="auto"/>
        <w:tabs>
          <w:tab w:leader="none" w:pos="640"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Effective Date/Termination. </w:t>
      </w:r>
      <w:r>
        <w:rPr>
          <w:rFonts w:ascii="Arial" w:cs="Arial" w:eastAsia="Arial" w:hAnsi="Arial"/>
          <w:sz w:val="16"/>
          <w:szCs w:val="16"/>
          <w:color w:val="auto"/>
        </w:rPr>
        <w:t>This Plan became effective as of the Effective Date. No grants will be made 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after the Effective Date under the Predecessor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outstanding awards granted under the Predecessor Plans will continue unaffected following the Effective Date. No grant will be made under this Plan on or after the tenth anniversary of the Effective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Plans, as applicable. The Plan was amended and restated effective as of May 31, 2023 in order to increase the number of shares available for issuance under the Plan by 1,990,000 shares.</w:t>
      </w:r>
    </w:p>
    <w:p>
      <w:pPr>
        <w:spacing w:after="0" w:line="51" w:lineRule="exact"/>
        <w:rPr>
          <w:rFonts w:ascii="Arial" w:cs="Arial" w:eastAsia="Arial" w:hAnsi="Arial"/>
          <w:sz w:val="16"/>
          <w:szCs w:val="16"/>
          <w:color w:val="auto"/>
        </w:rPr>
      </w:pPr>
    </w:p>
    <w:p>
      <w:pPr>
        <w:ind w:left="640" w:hanging="348"/>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121" w:lineRule="exact"/>
        <w:rPr>
          <w:rFonts w:ascii="Arial" w:cs="Arial" w:eastAsia="Arial" w:hAnsi="Arial"/>
          <w:sz w:val="18"/>
          <w:szCs w:val="18"/>
          <w:color w:val="auto"/>
        </w:rPr>
      </w:pPr>
    </w:p>
    <w:p>
      <w:pPr>
        <w:ind w:left="1000" w:right="359" w:hanging="348"/>
        <w:spacing w:after="0" w:line="277" w:lineRule="auto"/>
        <w:tabs>
          <w:tab w:leader="none" w:pos="10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Company will not be required to issue any fractional Stock pursuant to this Plan. The Committee may provide for the elimination of fractions or for the settlement of fractions in cash.</w:t>
      </w:r>
    </w:p>
    <w:p>
      <w:pPr>
        <w:spacing w:after="0" w:line="62" w:lineRule="exact"/>
        <w:rPr>
          <w:rFonts w:ascii="Arial" w:cs="Arial" w:eastAsia="Arial" w:hAnsi="Arial"/>
          <w:sz w:val="18"/>
          <w:szCs w:val="18"/>
          <w:color w:val="auto"/>
        </w:rPr>
      </w:pPr>
    </w:p>
    <w:p>
      <w:pPr>
        <w:ind w:left="1000" w:right="399" w:hanging="348"/>
        <w:spacing w:after="0" w:line="259" w:lineRule="auto"/>
        <w:tabs>
          <w:tab w:leader="none" w:pos="10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This Plan will not confer upon any Participant any right with respect to continuance of employment or other service with Participating Company Group, nor will it interfere in any way with any right any Participating Company would otherwise have to terminate such Participant’s employment or other service at any time.</w:t>
      </w:r>
    </w:p>
    <w:p>
      <w:pPr>
        <w:spacing w:after="0" w:line="74" w:lineRule="exact"/>
        <w:rPr>
          <w:rFonts w:ascii="Arial" w:cs="Arial" w:eastAsia="Arial" w:hAnsi="Arial"/>
          <w:sz w:val="18"/>
          <w:szCs w:val="18"/>
          <w:color w:val="auto"/>
        </w:rPr>
      </w:pPr>
    </w:p>
    <w:p>
      <w:pPr>
        <w:ind w:left="1000" w:right="359" w:hanging="348"/>
        <w:spacing w:after="0" w:line="281" w:lineRule="auto"/>
        <w:tabs>
          <w:tab w:leader="none" w:pos="1000" w:val="left"/>
        </w:tabs>
        <w:numPr>
          <w:ilvl w:val="1"/>
          <w:numId w:val="97"/>
        </w:numPr>
        <w:rPr>
          <w:rFonts w:ascii="Arial" w:cs="Arial" w:eastAsia="Arial" w:hAnsi="Arial"/>
          <w:sz w:val="17"/>
          <w:szCs w:val="17"/>
          <w:color w:val="auto"/>
        </w:rPr>
      </w:pPr>
      <w:r>
        <w:rPr>
          <w:rFonts w:ascii="Arial" w:cs="Arial" w:eastAsia="Arial" w:hAnsi="Arial"/>
          <w:sz w:val="17"/>
          <w:szCs w:val="17"/>
          <w:color w:val="auto"/>
        </w:rPr>
        <w:t xml:space="preserve">Except with respect to </w:t>
      </w:r>
      <w:r>
        <w:rPr>
          <w:rFonts w:ascii="Arial" w:cs="Arial" w:eastAsia="Arial" w:hAnsi="Arial"/>
          <w:sz w:val="17"/>
          <w:szCs w:val="17"/>
          <w:b w:val="1"/>
          <w:bCs w:val="1"/>
          <w:u w:val="single" w:color="auto"/>
          <w:color w:val="auto"/>
        </w:rPr>
        <w:t>Section 21(e)</w:t>
      </w:r>
      <w:r>
        <w:rPr>
          <w:rFonts w:ascii="Arial" w:cs="Arial" w:eastAsia="Arial" w:hAnsi="Arial"/>
          <w:sz w:val="17"/>
          <w:szCs w:val="17"/>
          <w:color w:val="auto"/>
        </w:rPr>
        <w:t xml:space="preserve"> of this Plan, to the extent that any provision of this Plan would prevent any Option that was intended to qualify as an Incentive Stock Option from qualifying as such, that provision will be null and void with respect to such Option. Such provision, however, will remain in effect for other Options and there will be no further effect on any provision of this Plan.</w:t>
      </w:r>
    </w:p>
    <w:p>
      <w:pPr>
        <w:spacing w:after="0" w:line="60" w:lineRule="exact"/>
        <w:rPr>
          <w:rFonts w:ascii="Arial" w:cs="Arial" w:eastAsia="Arial" w:hAnsi="Arial"/>
          <w:sz w:val="17"/>
          <w:szCs w:val="17"/>
          <w:color w:val="auto"/>
        </w:rPr>
      </w:pPr>
    </w:p>
    <w:p>
      <w:pPr>
        <w:jc w:val="both"/>
        <w:ind w:left="1000" w:right="439" w:hanging="348"/>
        <w:spacing w:after="0" w:line="286" w:lineRule="auto"/>
        <w:tabs>
          <w:tab w:leader="none" w:pos="1000" w:val="left"/>
        </w:tabs>
        <w:numPr>
          <w:ilvl w:val="1"/>
          <w:numId w:val="97"/>
        </w:numPr>
        <w:rPr>
          <w:rFonts w:ascii="Arial" w:cs="Arial" w:eastAsia="Arial" w:hAnsi="Arial"/>
          <w:sz w:val="17"/>
          <w:szCs w:val="17"/>
          <w:color w:val="auto"/>
        </w:rPr>
      </w:pPr>
      <w:r>
        <w:rPr>
          <w:rFonts w:ascii="Arial" w:cs="Arial" w:eastAsia="Arial" w:hAnsi="Arial"/>
          <w:sz w:val="17"/>
          <w:szCs w:val="17"/>
          <w:color w:val="auto"/>
        </w:rPr>
        <w:t>No Award under this Plan may be exercised by the holder thereof if such exercise, and the receipt of cash or shares thereunder, would be, in the opinion of counsel selected by the Company, contrary to law or the regulations of any duly constituted authority having jurisdiction over this Plan.</w:t>
      </w:r>
    </w:p>
    <w:p>
      <w:pPr>
        <w:spacing w:after="0" w:line="57" w:lineRule="exact"/>
        <w:rPr>
          <w:rFonts w:ascii="Arial" w:cs="Arial" w:eastAsia="Arial" w:hAnsi="Arial"/>
          <w:sz w:val="17"/>
          <w:szCs w:val="17"/>
          <w:color w:val="auto"/>
        </w:rPr>
      </w:pPr>
    </w:p>
    <w:p>
      <w:pPr>
        <w:ind w:left="1000" w:right="459" w:hanging="348"/>
        <w:spacing w:after="0" w:line="263" w:lineRule="auto"/>
        <w:tabs>
          <w:tab w:leader="none" w:pos="10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Absence on leave approved by a duly constituted Officer of the Company or any of its Subsidiaries will not be considered interruption or termination of service of any Employee for any purposes of this Plan or Awards granted hereunder.</w:t>
      </w:r>
    </w:p>
    <w:p>
      <w:pPr>
        <w:spacing w:after="0" w:line="75" w:lineRule="exact"/>
        <w:rPr>
          <w:rFonts w:ascii="Arial" w:cs="Arial" w:eastAsia="Arial" w:hAnsi="Arial"/>
          <w:sz w:val="18"/>
          <w:szCs w:val="18"/>
          <w:color w:val="auto"/>
        </w:rPr>
      </w:pPr>
    </w:p>
    <w:p>
      <w:pPr>
        <w:ind w:left="1000" w:right="299" w:hanging="348"/>
        <w:spacing w:after="0" w:line="263" w:lineRule="auto"/>
        <w:tabs>
          <w:tab w:leader="none" w:pos="10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 Participant will have any rights as a Stockholder with respect to any Stock subject to Awards granted to him or her under this Plan prior to the date as of which he or she is actually recorded as the holder of such Stock upon the share records of the Company.</w:t>
      </w:r>
    </w:p>
    <w:p>
      <w:pPr>
        <w:spacing w:after="0" w:line="75" w:lineRule="exact"/>
        <w:rPr>
          <w:rFonts w:ascii="Arial" w:cs="Arial" w:eastAsia="Arial" w:hAnsi="Arial"/>
          <w:sz w:val="18"/>
          <w:szCs w:val="18"/>
          <w:color w:val="auto"/>
        </w:rPr>
      </w:pPr>
    </w:p>
    <w:p>
      <w:pPr>
        <w:ind w:left="1000" w:right="619" w:hanging="348"/>
        <w:spacing w:after="0" w:line="286" w:lineRule="auto"/>
        <w:tabs>
          <w:tab w:leader="none" w:pos="1000" w:val="left"/>
        </w:tabs>
        <w:numPr>
          <w:ilvl w:val="1"/>
          <w:numId w:val="97"/>
        </w:numPr>
        <w:rPr>
          <w:rFonts w:ascii="Arial" w:cs="Arial" w:eastAsia="Arial" w:hAnsi="Arial"/>
          <w:sz w:val="17"/>
          <w:szCs w:val="17"/>
          <w:color w:val="auto"/>
        </w:rPr>
      </w:pPr>
      <w:r>
        <w:rPr>
          <w:rFonts w:ascii="Arial" w:cs="Arial" w:eastAsia="Arial" w:hAnsi="Arial"/>
          <w:sz w:val="17"/>
          <w:szCs w:val="17"/>
          <w:color w:val="auto"/>
        </w:rPr>
        <w:t>The Committee may condition the grant of any Award or combination of Awards authorized under this Plan on the surrender or deferral by the Participant of his or her right to receive a cash bonus or other compensation otherwise payable by the Participating Company Group to the Participant.</w:t>
      </w:r>
    </w:p>
    <w:p>
      <w:pPr>
        <w:spacing w:after="0" w:line="57" w:lineRule="exact"/>
        <w:rPr>
          <w:rFonts w:ascii="Arial" w:cs="Arial" w:eastAsia="Arial" w:hAnsi="Arial"/>
          <w:sz w:val="17"/>
          <w:szCs w:val="17"/>
          <w:color w:val="auto"/>
        </w:rPr>
      </w:pPr>
    </w:p>
    <w:p>
      <w:pPr>
        <w:ind w:left="1000" w:right="319" w:hanging="348"/>
        <w:spacing w:after="0" w:line="275" w:lineRule="auto"/>
        <w:tabs>
          <w:tab w:leader="none" w:pos="1000" w:val="left"/>
        </w:tabs>
        <w:numPr>
          <w:ilvl w:val="1"/>
          <w:numId w:val="97"/>
        </w:numPr>
        <w:rPr>
          <w:rFonts w:ascii="Arial" w:cs="Arial" w:eastAsia="Arial" w:hAnsi="Arial"/>
          <w:sz w:val="17"/>
          <w:szCs w:val="17"/>
          <w:color w:val="auto"/>
        </w:rPr>
      </w:pPr>
      <w:r>
        <w:rPr>
          <w:rFonts w:ascii="Arial" w:cs="Arial" w:eastAsia="Arial" w:hAnsi="Arial"/>
          <w:sz w:val="17"/>
          <w:szCs w:val="17"/>
          <w:color w:val="auto"/>
        </w:rPr>
        <w:t>Except with respect to Options and Appreciation Rights, the Committee may permit Participants to elect to defer the issuance of Stock under this Plan pursuant to such rules, procedures or programs as it may establish for purposes of this Plan and which are intended to comply with the requirements of Section 409A. The Committee also may provide that deferred issuances and settlements include the crediting of Dividend Equivalent Rights or interest on the deferral amounts.</w:t>
      </w:r>
    </w:p>
    <w:p>
      <w:pPr>
        <w:spacing w:after="0" w:line="68" w:lineRule="exact"/>
        <w:rPr>
          <w:rFonts w:ascii="Arial" w:cs="Arial" w:eastAsia="Arial" w:hAnsi="Arial"/>
          <w:sz w:val="17"/>
          <w:szCs w:val="17"/>
          <w:color w:val="auto"/>
        </w:rPr>
      </w:pPr>
    </w:p>
    <w:p>
      <w:pPr>
        <w:ind w:left="1360" w:right="319" w:hanging="348"/>
        <w:spacing w:after="0" w:line="286" w:lineRule="auto"/>
        <w:tabs>
          <w:tab w:leader="none" w:pos="1360" w:val="left"/>
        </w:tabs>
        <w:numPr>
          <w:ilvl w:val="2"/>
          <w:numId w:val="97"/>
        </w:numPr>
        <w:rPr>
          <w:rFonts w:ascii="Arial" w:cs="Arial" w:eastAsia="Arial" w:hAnsi="Arial"/>
          <w:sz w:val="17"/>
          <w:szCs w:val="17"/>
          <w:color w:val="auto"/>
        </w:rPr>
      </w:pPr>
      <w:r>
        <w:rPr>
          <w:rFonts w:ascii="Arial" w:cs="Arial" w:eastAsia="Arial" w:hAnsi="Arial"/>
          <w:sz w:val="17"/>
          <w:szCs w:val="17"/>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380" w:right="339"/>
        <w:spacing w:after="0" w:line="271" w:lineRule="auto"/>
        <w:rPr>
          <w:sz w:val="20"/>
          <w:szCs w:val="20"/>
          <w:color w:val="auto"/>
        </w:rPr>
      </w:pPr>
      <w:r>
        <w:rPr>
          <w:rFonts w:ascii="Arial" w:cs="Arial" w:eastAsia="Arial" w:hAnsi="Arial"/>
          <w:sz w:val="17"/>
          <w:szCs w:val="17"/>
          <w:color w:val="auto"/>
        </w:rPr>
        <w:t>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66" w:lineRule="exact"/>
        <w:rPr>
          <w:sz w:val="20"/>
          <w:szCs w:val="20"/>
          <w:color w:val="auto"/>
        </w:rPr>
      </w:pPr>
    </w:p>
    <w:p>
      <w:pPr>
        <w:ind w:left="640" w:right="319" w:hanging="348"/>
        <w:spacing w:after="0" w:line="282"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Share-Based Awards in Substitution for Awards Granted by Another Company. </w:t>
      </w:r>
      <w:r>
        <w:rPr>
          <w:rFonts w:ascii="Arial" w:cs="Arial" w:eastAsia="Arial" w:hAnsi="Arial"/>
          <w:sz w:val="18"/>
          <w:szCs w:val="18"/>
          <w:color w:val="auto"/>
        </w:rPr>
        <w:t>Notwithstanding anything</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Plan to the contrary:</w:t>
      </w:r>
    </w:p>
    <w:p>
      <w:pPr>
        <w:spacing w:after="0" w:line="57" w:lineRule="exact"/>
        <w:rPr>
          <w:rFonts w:ascii="Arial" w:cs="Arial" w:eastAsia="Arial" w:hAnsi="Arial"/>
          <w:sz w:val="18"/>
          <w:szCs w:val="18"/>
          <w:color w:val="auto"/>
        </w:rPr>
      </w:pPr>
    </w:p>
    <w:p>
      <w:pPr>
        <w:ind w:left="1000" w:right="339" w:hanging="348"/>
        <w:spacing w:after="0" w:line="288" w:lineRule="auto"/>
        <w:tabs>
          <w:tab w:leader="none" w:pos="10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Awards may be granted under this Plan in substitution for or in conversion of, or in connection with an assumption of, stock options, SARs, restricted stock, restricted stock units or other share or share-based awards held by awardees of an entity engaging in a corporate acquisition or merger transaction with the Participating Company Group. Any conversion, substitution or assumption will be effective as of the close of the merger or acquisition, and, to the extent applicable, will be conducted in a manner that complies with Section 409A. The Awards so granted may reflect the original terms of the awards being assumed or substituted or converted for and need not comply with other specific terms of this Plan, and may account for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60" w:lineRule="exact"/>
        <w:rPr>
          <w:rFonts w:ascii="Arial" w:cs="Arial" w:eastAsia="Arial" w:hAnsi="Arial"/>
          <w:sz w:val="16"/>
          <w:szCs w:val="16"/>
          <w:color w:val="auto"/>
        </w:rPr>
      </w:pPr>
    </w:p>
    <w:p>
      <w:pPr>
        <w:ind w:left="1000" w:right="439" w:hanging="348"/>
        <w:spacing w:after="0" w:line="270" w:lineRule="auto"/>
        <w:tabs>
          <w:tab w:leader="none" w:pos="10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In the event that a company acquired by the any Participating Company or with which any Participating Company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awards using such available shares may not be made after the date awards or grants could have been made under the terms of the pre-existing plan absent the acquisition or merger, and may only be made to individuals who were not Employees or Directors of the Participating Company Group prior to such acquisition or merger.</w:t>
      </w:r>
    </w:p>
    <w:p>
      <w:pPr>
        <w:spacing w:after="0" w:line="72" w:lineRule="exact"/>
        <w:rPr>
          <w:rFonts w:ascii="Arial" w:cs="Arial" w:eastAsia="Arial" w:hAnsi="Arial"/>
          <w:sz w:val="17"/>
          <w:szCs w:val="17"/>
          <w:color w:val="auto"/>
        </w:rPr>
      </w:pPr>
    </w:p>
    <w:p>
      <w:pPr>
        <w:ind w:left="1000" w:right="359" w:hanging="348"/>
        <w:spacing w:after="0" w:line="255" w:lineRule="auto"/>
        <w:tabs>
          <w:tab w:leader="none" w:pos="10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Any Stock that is issued or transferred by, or that are subject to any awards that are granted by, or become obligations of, the Company under </w:t>
      </w:r>
      <w:r>
        <w:rPr>
          <w:rFonts w:ascii="Arial" w:cs="Arial" w:eastAsia="Arial" w:hAnsi="Arial"/>
          <w:sz w:val="18"/>
          <w:szCs w:val="18"/>
          <w:b w:val="1"/>
          <w:bCs w:val="1"/>
          <w:u w:val="single" w:color="auto"/>
          <w:color w:val="auto"/>
        </w:rPr>
        <w:t>Sections 22(a)</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22(b)</w:t>
      </w:r>
      <w:r>
        <w:rPr>
          <w:rFonts w:ascii="Arial" w:cs="Arial" w:eastAsia="Arial" w:hAnsi="Arial"/>
          <w:sz w:val="18"/>
          <w:szCs w:val="18"/>
          <w:color w:val="auto"/>
        </w:rPr>
        <w:t xml:space="preserve"> of this Plan will not reduce the Stock available for issuance or transfer under this Plan or otherwise count against the limits contained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this Plan. In addition, no Stock subject to an award that is granted by, or becomes an obligation of, the Company under </w:t>
      </w:r>
      <w:r>
        <w:rPr>
          <w:rFonts w:ascii="Arial" w:cs="Arial" w:eastAsia="Arial" w:hAnsi="Arial"/>
          <w:sz w:val="18"/>
          <w:szCs w:val="18"/>
          <w:b w:val="1"/>
          <w:bCs w:val="1"/>
          <w:u w:val="single" w:color="auto"/>
          <w:color w:val="auto"/>
        </w:rPr>
        <w:t>Sections 22(a)</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22(b)</w:t>
      </w:r>
      <w:r>
        <w:rPr>
          <w:rFonts w:ascii="Arial" w:cs="Arial" w:eastAsia="Arial" w:hAnsi="Arial"/>
          <w:sz w:val="18"/>
          <w:szCs w:val="18"/>
          <w:color w:val="auto"/>
        </w:rPr>
        <w:t xml:space="preserve"> of this Plan, will be added to the aggregate limit contained in </w:t>
      </w:r>
      <w:r>
        <w:rPr>
          <w:rFonts w:ascii="Arial" w:cs="Arial" w:eastAsia="Arial" w:hAnsi="Arial"/>
          <w:sz w:val="18"/>
          <w:szCs w:val="18"/>
          <w:b w:val="1"/>
          <w:bCs w:val="1"/>
          <w:u w:val="single" w:color="auto"/>
          <w:color w:val="auto"/>
        </w:rPr>
        <w:t>Section 3(a)(i)</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lvl w:ilvl="1">
      <w:lvlJc w:val="left"/>
      <w:lvlText w:val="☐"/>
      <w:numFmt w:val="bullet"/>
      <w:start w:val="1"/>
    </w:lvl>
  </w:abstractNum>
  <w:abstractNum w:abstractNumId="1">
    <w:nsid w:val="749ABB43"/>
    <w:multiLevelType w:val="hybridMultilevel"/>
    <w:lvl w:ilvl="0">
      <w:lvlJc w:val="left"/>
      <w:lvlText w:val="☒"/>
      <w:numFmt w:val="bullet"/>
      <w:start w:val="1"/>
    </w:lvl>
    <w:lvl w:ilvl="1">
      <w:lvlJc w:val="left"/>
      <w:lvlText w:val="☐"/>
      <w:numFmt w:val="bullet"/>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1."/>
      <w:numFmt w:val="decimal"/>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lvl w:ilvl="1">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lvl w:ilvl="1">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1)"/>
      <w:numFmt w:val="decimal"/>
      <w:start w:val="2"/>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decimal"/>
      <w:start w:val="12"/>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1)"/>
      <w:numFmt w:val="decimal"/>
      <w:start w:val="1"/>
    </w:lvl>
  </w:abstractNum>
  <w:abstractNum w:abstractNumId="33">
    <w:nsid w:val="1DBABF00"/>
    <w:multiLevelType w:val="hybridMultilevel"/>
    <w:lvl w:ilvl="0">
      <w:lvlJc w:val="left"/>
      <w:lvlText w:val="(%1)"/>
      <w:numFmt w:val="decimal"/>
      <w:start w:val="6"/>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decimal"/>
      <w:start w:val="2"/>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1"/>
    </w:lvl>
  </w:abstractNum>
  <w:abstractNum w:abstractNumId="39">
    <w:nsid w:val="6590700B"/>
    <w:multiLevelType w:val="hybridMultilevel"/>
    <w:lvl w:ilvl="0">
      <w:lvlJc w:val="left"/>
      <w:lvlText w:val="(%1)"/>
      <w:numFmt w:val="lowerRoman"/>
      <w:start w:val="4"/>
    </w:lvl>
  </w:abstractNum>
  <w:abstractNum w:abstractNumId="40">
    <w:nsid w:val="15014ACB"/>
    <w:multiLevelType w:val="hybridMultilevel"/>
    <w:lvl w:ilvl="0">
      <w:lvlJc w:val="left"/>
      <w:lvlText w:val="(%1)"/>
      <w:numFmt w:val="lowerRoman"/>
      <w:start w:val="3"/>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1)"/>
      <w:numFmt w:val="decimal"/>
      <w:start w:val="1"/>
    </w:lvl>
  </w:abstractNum>
  <w:abstractNum w:abstractNumId="43">
    <w:nsid w:val="799D0247"/>
    <w:multiLevelType w:val="hybridMultilevel"/>
    <w:lvl w:ilvl="0">
      <w:lvlJc w:val="left"/>
      <w:lvlText w:val="(%1)"/>
      <w:numFmt w:val="decimal"/>
      <w:start w:val="6"/>
    </w:lvl>
  </w:abstractNum>
  <w:abstractNum w:abstractNumId="44">
    <w:nsid w:val="6B94764"/>
    <w:multiLevelType w:val="hybridMultilevel"/>
    <w:lvl w:ilvl="0">
      <w:lvlJc w:val="left"/>
      <w:lvlText w:val="(%1)"/>
      <w:numFmt w:val="decimal"/>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1)"/>
      <w:numFmt w:val="decimal"/>
      <w:start w:val="2"/>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1)"/>
      <w:numFmt w:val="decimal"/>
      <w:start w:val="1"/>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1)"/>
      <w:numFmt w:val="decimal"/>
      <w:start w:val="2"/>
    </w:lvl>
  </w:abstractNum>
  <w:abstractNum w:abstractNumId="52">
    <w:nsid w:val="51D9C564"/>
    <w:multiLevelType w:val="hybridMultilevel"/>
    <w:lvl w:ilvl="0">
      <w:lvlJc w:val="left"/>
      <w:lvlText w:val="-"/>
      <w:numFmt w:val="bullet"/>
      <w:start w:val="1"/>
    </w:lvl>
    <w:lvl w:ilvl="1">
      <w:lvlJc w:val="left"/>
      <w:lvlText w:val="​"/>
      <w:numFmt w:val="bullet"/>
      <w:start w:val="1"/>
    </w:lvl>
  </w:abstractNum>
  <w:abstractNum w:abstractNumId="53">
    <w:nsid w:val="613EFDC5"/>
    <w:multiLevelType w:val="hybridMultilevel"/>
    <w:lvl w:ilvl="0">
      <w:lvlJc w:val="left"/>
      <w:lvlText w:val="+"/>
      <w:numFmt w:val="bullet"/>
      <w:start w:val="1"/>
    </w:lvl>
    <w:lvl w:ilvl="1">
      <w:lvlJc w:val="left"/>
      <w:lvlText w:val="​"/>
      <w:numFmt w:val="bullet"/>
      <w:start w:val="1"/>
    </w:lvl>
  </w:abstractNum>
  <w:abstractNum w:abstractNumId="54">
    <w:nsid w:val="BF72B14"/>
    <w:multiLevelType w:val="hybridMultilevel"/>
    <w:lvl w:ilvl="0">
      <w:lvlJc w:val="left"/>
      <w:lvlText w:val="-"/>
      <w:numFmt w:val="bullet"/>
      <w:start w:val="1"/>
    </w:lvl>
    <w:lvl w:ilvl="1">
      <w:lvlJc w:val="left"/>
      <w:lvlText w:val="​"/>
      <w:numFmt w:val="bullet"/>
      <w:start w:val="1"/>
    </w:lvl>
  </w:abstractNum>
  <w:abstractNum w:abstractNumId="55">
    <w:nsid w:val="11447B73"/>
    <w:multiLevelType w:val="hybridMultilevel"/>
    <w:lvl w:ilvl="0">
      <w:lvlJc w:val="left"/>
      <w:lvlText w:val="(%1)"/>
      <w:numFmt w:val="decimal"/>
      <w:start w:val="4"/>
    </w:lvl>
  </w:abstractNum>
  <w:abstractNum w:abstractNumId="56">
    <w:nsid w:val="42963E5A"/>
    <w:multiLevelType w:val="hybridMultilevel"/>
    <w:lvl w:ilvl="0">
      <w:lvlJc w:val="left"/>
      <w:lvlText w:val="(%1)"/>
      <w:numFmt w:val="decimal"/>
      <w:start w:val="5"/>
    </w:lvl>
  </w:abstractNum>
  <w:abstractNum w:abstractNumId="57">
    <w:nsid w:val="A0382C5"/>
    <w:multiLevelType w:val="hybridMultilevel"/>
    <w:lvl w:ilvl="0">
      <w:lvlJc w:val="left"/>
      <w:lvlText w:val="(%1)"/>
      <w:numFmt w:val="decimal"/>
      <w:start w:val="6"/>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1)"/>
      <w:numFmt w:val="decimal"/>
      <w:start w:val="1"/>
    </w:lvl>
  </w:abstractNum>
  <w:abstractNum w:abstractNumId="62">
    <w:nsid w:val="4962813B"/>
    <w:multiLevelType w:val="hybridMultilevel"/>
    <w:lvl w:ilvl="0">
      <w:lvlJc w:val="left"/>
      <w:lvlText w:val="(%1)"/>
      <w:numFmt w:val="decimal"/>
      <w:start w:val="4"/>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1)"/>
      <w:numFmt w:val="decimal"/>
      <w:start w:val="2"/>
    </w:lvl>
  </w:abstractNum>
  <w:abstractNum w:abstractNumId="67">
    <w:nsid w:val="1A27709E"/>
    <w:multiLevelType w:val="hybridMultilevel"/>
    <w:lvl w:ilvl="0">
      <w:lvlJc w:val="left"/>
      <w:lvlText w:val="(%1)"/>
      <w:numFmt w:val="lowerLetter"/>
      <w:start w:val="2"/>
    </w:lvl>
  </w:abstractNum>
  <w:abstractNum w:abstractNumId="68">
    <w:nsid w:val="71EA1109"/>
    <w:multiLevelType w:val="hybridMultilevel"/>
    <w:lvl w:ilvl="0">
      <w:lvlJc w:val="left"/>
      <w:lvlText w:val="(%1)"/>
      <w:numFmt w:val="decimal"/>
      <w:start w:val="2"/>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1."/>
      <w:numFmt w:val="decimal"/>
      <w:start w:val="1"/>
    </w:lvl>
    <w:lvl w:ilvl="1">
      <w:lvlJc w:val="left"/>
      <w:lvlText w:val="(%2)"/>
      <w:numFmt w:val="lowerLetter"/>
      <w:start w:val="1"/>
    </w:lvl>
  </w:abstractNum>
  <w:abstractNum w:abstractNumId="72">
    <w:nsid w:val="6F6DD9AC"/>
    <w:multiLevelType w:val="hybridMultilevel"/>
    <w:lvl w:ilvl="0">
      <w:lvlJc w:val="left"/>
      <w:lvlText w:val="(%1)"/>
      <w:numFmt w:val="lowerLetter"/>
      <w:start w:val="12"/>
    </w:lvl>
  </w:abstractNum>
  <w:abstractNum w:abstractNumId="73">
    <w:nsid w:val="94211F2"/>
    <w:multiLevelType w:val="hybridMultilevel"/>
    <w:lvl w:ilvl="0">
      <w:lvlJc w:val="left"/>
      <w:lvlText w:val="(%1)"/>
      <w:numFmt w:val="lowerLetter"/>
      <w:start w:val="25"/>
    </w:lvl>
  </w:abstractNum>
  <w:abstractNum w:abstractNumId="74">
    <w:nsid w:val="885E1B"/>
    <w:multiLevelType w:val="hybridMultilevel"/>
    <w:lvl w:ilvl="0">
      <w:lvlJc w:val="left"/>
      <w:lvlText w:val="(%1)"/>
      <w:numFmt w:val="lowerLetter"/>
      <w:start w:val="27"/>
    </w:lvl>
  </w:abstractNum>
  <w:abstractNum w:abstractNumId="75">
    <w:nsid w:val="76272110"/>
    <w:multiLevelType w:val="hybridMultilevel"/>
    <w:lvl w:ilvl="0">
      <w:lvlJc w:val="left"/>
      <w:lvlText w:val="(%1)"/>
      <w:numFmt w:val="lowerLetter"/>
      <w:start w:val="40"/>
    </w:lvl>
  </w:abstractNum>
  <w:abstractNum w:abstractNumId="76">
    <w:nsid w:val="4C04A8AF"/>
    <w:multiLevelType w:val="hybridMultilevel"/>
    <w:lvl w:ilvl="0">
      <w:lvlJc w:val="left"/>
      <w:lvlText w:val="%1"/>
      <w:numFmt w:val="decimal"/>
      <w:start w:val="1"/>
    </w:lvl>
    <w:lvl w:ilvl="1">
      <w:lvlJc w:val="left"/>
      <w:lvlText w:val="(%2)"/>
      <w:numFmt w:val="lowerLetter"/>
      <w:start w:val="43"/>
    </w:lvl>
    <w:lvl w:ilvl="2">
      <w:lvlJc w:val="left"/>
      <w:lvlText w:val="(%3)"/>
      <w:numFmt w:val="lowerRoman"/>
      <w:start w:val="2"/>
    </w:lvl>
  </w:abstractNum>
  <w:abstractNum w:abstractNumId="77">
    <w:nsid w:val="1716703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8">
    <w:nsid w:val="14E17E33"/>
    <w:multiLevelType w:val="hybridMultilevel"/>
    <w:lvl w:ilvl="0">
      <w:lvlJc w:val="left"/>
      <w:lvlText w:val="%1"/>
      <w:numFmt w:val="lowerLetter"/>
      <w:start w:val="1"/>
    </w:lvl>
    <w:lvl w:ilvl="1">
      <w:lvlJc w:val="left"/>
      <w:lvlText w:val="(%2)"/>
      <w:numFmt w:val="lowerLetter"/>
      <w:start w:val="35"/>
    </w:lvl>
  </w:abstractNum>
  <w:abstractNum w:abstractNumId="79">
    <w:nsid w:val="3222E7CD"/>
    <w:multiLevelType w:val="hybridMultilevel"/>
    <w:lvl w:ilvl="0">
      <w:lvlJc w:val="left"/>
      <w:lvlText w:val="(%1)"/>
      <w:numFmt w:val="lowerLetter"/>
      <w:start w:val="2"/>
    </w:lvl>
    <w:lvl w:ilvl="1">
      <w:lvlJc w:val="left"/>
      <w:lvlText w:val="(%2)"/>
      <w:numFmt w:val="lowerLetter"/>
      <w:start w:val="9"/>
    </w:lvl>
  </w:abstractNum>
  <w:abstractNum w:abstractNumId="80">
    <w:nsid w:val="74DE0E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1">
    <w:nsid w:val="68EBC55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2">
    <w:nsid w:val="2DF6D64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3">
    <w:nsid w:val="46B7D44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3"/>
    </w:lvl>
  </w:abstractNum>
  <w:abstractNum w:abstractNumId="84">
    <w:nsid w:val="4A2AC31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5">
    <w:nsid w:val="39EE015C"/>
    <w:multiLevelType w:val="hybridMultilevel"/>
    <w:lvl w:ilvl="0">
      <w:lvlJc w:val="left"/>
      <w:lvlText w:val="%1."/>
      <w:numFmt w:val="decimal"/>
      <w:start w:val="6"/>
    </w:lvl>
    <w:lvl w:ilvl="1">
      <w:lvlJc w:val="left"/>
      <w:lvlText w:val="(%2)"/>
      <w:numFmt w:val="lowerLetter"/>
      <w:start w:val="1"/>
    </w:lvl>
  </w:abstractNum>
  <w:abstractNum w:abstractNumId="86">
    <w:nsid w:val="57FC4FBB"/>
    <w:multiLevelType w:val="hybridMultilevel"/>
    <w:lvl w:ilvl="0">
      <w:lvlJc w:val="left"/>
      <w:lvlText w:val="%1"/>
      <w:numFmt w:val="decimal"/>
      <w:start w:val="1"/>
    </w:lvl>
    <w:lvl w:ilvl="1">
      <w:lvlJc w:val="left"/>
      <w:lvlText w:val="(%2)"/>
      <w:numFmt w:val="lowerLetter"/>
      <w:start w:val="3"/>
    </w:lvl>
  </w:abstractNum>
  <w:abstractNum w:abstractNumId="87">
    <w:nsid w:val="CC1016F"/>
    <w:multiLevelType w:val="hybridMultilevel"/>
    <w:lvl w:ilvl="0">
      <w:lvlJc w:val="left"/>
      <w:lvlText w:val="%1."/>
      <w:numFmt w:val="decimal"/>
      <w:start w:val="8"/>
    </w:lvl>
    <w:lvl w:ilvl="1">
      <w:lvlJc w:val="left"/>
      <w:lvlText w:val="(%2)"/>
      <w:numFmt w:val="lowerLetter"/>
      <w:start w:val="1"/>
    </w:lvl>
  </w:abstractNum>
  <w:abstractNum w:abstractNumId="88">
    <w:nsid w:val="43F18422"/>
    <w:multiLevelType w:val="hybridMultilevel"/>
    <w:lvl w:ilvl="0">
      <w:lvlJc w:val="left"/>
      <w:lvlText w:val="%1"/>
      <w:numFmt w:val="decimal"/>
      <w:start w:val="1"/>
    </w:lvl>
    <w:lvl w:ilvl="1">
      <w:lvlJc w:val="left"/>
      <w:lvlText w:val="(%2)"/>
      <w:numFmt w:val="lowerLetter"/>
      <w:start w:val="2"/>
    </w:lvl>
  </w:abstractNum>
  <w:abstractNum w:abstractNumId="89">
    <w:nsid w:val="60EF0119"/>
    <w:multiLevelType w:val="hybridMultilevel"/>
    <w:lvl w:ilvl="0">
      <w:lvlJc w:val="left"/>
      <w:lvlText w:val="%1."/>
      <w:numFmt w:val="decimal"/>
      <w:start w:val="10"/>
    </w:lvl>
    <w:lvl w:ilvl="1">
      <w:lvlJc w:val="left"/>
      <w:lvlText w:val="(%2)"/>
      <w:numFmt w:val="lowerLetter"/>
      <w:start w:val="1"/>
    </w:lvl>
  </w:abstractNum>
  <w:abstractNum w:abstractNumId="90">
    <w:nsid w:val="26F324BA"/>
    <w:multiLevelType w:val="hybridMultilevel"/>
    <w:lvl w:ilvl="0">
      <w:lvlJc w:val="left"/>
      <w:lvlText w:val="%1."/>
      <w:numFmt w:val="decimal"/>
      <w:start w:val="11"/>
    </w:lvl>
    <w:lvl w:ilvl="1">
      <w:lvlJc w:val="left"/>
      <w:lvlText w:val="(%2)"/>
      <w:numFmt w:val="lowerLetter"/>
      <w:start w:val="1"/>
    </w:lvl>
  </w:abstractNum>
  <w:abstractNum w:abstractNumId="91">
    <w:nsid w:val="7F01579B"/>
    <w:multiLevelType w:val="hybridMultilevel"/>
    <w:lvl w:ilvl="0">
      <w:lvlJc w:val="left"/>
      <w:lvlText w:val="%1."/>
      <w:numFmt w:val="decimal"/>
      <w:start w:val="13"/>
    </w:lvl>
    <w:lvl w:ilvl="1">
      <w:lvlJc w:val="left"/>
      <w:lvlText w:val="(%2)"/>
      <w:numFmt w:val="lowerLetter"/>
      <w:start w:val="1"/>
    </w:lvl>
  </w:abstractNum>
  <w:abstractNum w:abstractNumId="92">
    <w:nsid w:val="49DA307D"/>
    <w:multiLevelType w:val="hybridMultilevel"/>
    <w:lvl w:ilvl="0">
      <w:lvlJc w:val="left"/>
      <w:lvlText w:val="%1."/>
      <w:numFmt w:val="decimal"/>
      <w:start w:val="16"/>
    </w:lvl>
    <w:lvl w:ilvl="1">
      <w:lvlJc w:val="left"/>
      <w:lvlText w:val="(%2)"/>
      <w:numFmt w:val="lowerLetter"/>
      <w:start w:val="1"/>
    </w:lvl>
  </w:abstractNum>
  <w:abstractNum w:abstractNumId="93">
    <w:nsid w:val="7055A5F5"/>
    <w:multiLevelType w:val="hybridMultilevel"/>
    <w:lvl w:ilvl="0">
      <w:lvlJc w:val="left"/>
      <w:lvlText w:val="%1"/>
      <w:numFmt w:val="decimal"/>
      <w:start w:val="1"/>
    </w:lvl>
    <w:lvl w:ilvl="1">
      <w:lvlJc w:val="left"/>
      <w:lvlText w:val="(%2)"/>
      <w:numFmt w:val="lowerLetter"/>
      <w:start w:val="5"/>
    </w:lvl>
  </w:abstractNum>
  <w:abstractNum w:abstractNumId="94">
    <w:nsid w:val="5FB8370B"/>
    <w:multiLevelType w:val="hybridMultilevel"/>
    <w:lvl w:ilvl="0">
      <w:lvlJc w:val="left"/>
      <w:lvlText w:val="%1."/>
      <w:numFmt w:val="decimal"/>
      <w:start w:val="18"/>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6">
    <w:nsid w:val="488AC1A"/>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97">
    <w:nsid w:val="5FB8011C"/>
    <w:multiLevelType w:val="hybridMultilevel"/>
    <w:lvl w:ilvl="0">
      <w:lvlJc w:val="left"/>
      <w:lvlText w:val="%1."/>
      <w:numFmt w:val="decimal"/>
      <w:start w:val="2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2023-04-17T18:06:14Z</dcterms:created>
  <dcterms:modified xsi:type="dcterms:W3CDTF">2023-04-17T18:06:14Z</dcterms:modified>
</cp:coreProperties>
</file>