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1" w:lineRule="exact"/>
        <w:rPr>
          <w:sz w:val="24"/>
          <w:szCs w:val="24"/>
          <w:color w:val="auto"/>
        </w:rPr>
      </w:pPr>
    </w:p>
    <w:p>
      <w:pPr>
        <w:jc w:val="center"/>
        <w:ind w:right="-3"/>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3"/>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201295</wp:posOffset>
            </wp:positionV>
            <wp:extent cx="147447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245" w:lineRule="exact"/>
        <w:rPr>
          <w:sz w:val="24"/>
          <w:szCs w:val="24"/>
          <w:color w:val="auto"/>
        </w:rPr>
      </w:pPr>
    </w:p>
    <w:p>
      <w:pPr>
        <w:jc w:val="center"/>
        <w:ind w:right="-3"/>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229870</wp:posOffset>
            </wp:positionV>
            <wp:extent cx="147447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03" w:lineRule="exact"/>
        <w:rPr>
          <w:sz w:val="24"/>
          <w:szCs w:val="24"/>
          <w:color w:val="auto"/>
        </w:rPr>
      </w:pPr>
    </w:p>
    <w:p>
      <w:pPr>
        <w:jc w:val="center"/>
        <w:ind w:right="-3"/>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ind w:right="-3"/>
        <w:spacing w:after="0"/>
        <w:rPr>
          <w:sz w:val="20"/>
          <w:szCs w:val="20"/>
          <w:color w:val="auto"/>
        </w:rPr>
      </w:pPr>
      <w:r>
        <w:rPr>
          <w:rFonts w:ascii="Arial" w:cs="Arial" w:eastAsia="Arial" w:hAnsi="Arial"/>
          <w:sz w:val="22"/>
          <w:szCs w:val="22"/>
          <w:b w:val="1"/>
          <w:bCs w:val="1"/>
          <w:color w:val="auto"/>
        </w:rPr>
        <w:t>Pursuant to Section 13 or 15(d)</w:t>
      </w:r>
    </w:p>
    <w:p>
      <w:pPr>
        <w:jc w:val="center"/>
        <w:ind w:right="-3"/>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55" w:lineRule="exact"/>
        <w:rPr>
          <w:sz w:val="24"/>
          <w:szCs w:val="24"/>
          <w:color w:val="auto"/>
        </w:rPr>
      </w:pPr>
    </w:p>
    <w:p>
      <w:pPr>
        <w:jc w:val="center"/>
        <w:ind w:right="-3"/>
        <w:spacing w:after="0"/>
        <w:rPr>
          <w:sz w:val="20"/>
          <w:szCs w:val="20"/>
          <w:color w:val="auto"/>
        </w:rPr>
      </w:pPr>
      <w:r>
        <w:rPr>
          <w:rFonts w:ascii="Arial" w:cs="Arial" w:eastAsia="Arial" w:hAnsi="Arial"/>
          <w:sz w:val="22"/>
          <w:szCs w:val="22"/>
          <w:b w:val="1"/>
          <w:bCs w:val="1"/>
          <w:color w:val="auto"/>
        </w:rPr>
        <w:t>Date of report (Date of earliest event reported): July 14, 2023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216535</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67" w:lineRule="exact"/>
        <w:rPr>
          <w:sz w:val="24"/>
          <w:szCs w:val="24"/>
          <w:color w:val="auto"/>
        </w:rPr>
      </w:pPr>
    </w:p>
    <w:p>
      <w:pPr>
        <w:jc w:val="center"/>
        <w:ind w:right="-3"/>
        <w:spacing w:after="0"/>
        <w:rPr>
          <w:sz w:val="20"/>
          <w:szCs w:val="20"/>
          <w:color w:val="auto"/>
        </w:rPr>
      </w:pPr>
      <w:r>
        <w:rPr>
          <w:rFonts w:ascii="Arial" w:cs="Arial" w:eastAsia="Arial" w:hAnsi="Arial"/>
          <w:sz w:val="39"/>
          <w:szCs w:val="39"/>
          <w:b w:val="1"/>
          <w:bCs w:val="1"/>
          <w:color w:val="auto"/>
        </w:rPr>
        <w:t>Magnachip Semiconductor Corporation</w:t>
      </w:r>
    </w:p>
    <w:p>
      <w:pPr>
        <w:spacing w:after="0" w:line="96" w:lineRule="exact"/>
        <w:rPr>
          <w:sz w:val="24"/>
          <w:szCs w:val="24"/>
          <w:color w:val="auto"/>
        </w:rPr>
      </w:pPr>
    </w:p>
    <w:p>
      <w:pPr>
        <w:jc w:val="center"/>
        <w:ind w:right="-3"/>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210185</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ectPr>
          <w:pgSz w:w="11900" w:h="16838" w:orient="portrait"/>
          <w:cols w:equalWidth="0" w:num="1">
            <w:col w:w="11024"/>
          </w:cols>
          <w:pgMar w:left="436" w:top="382" w:right="439" w:bottom="1440" w:gutter="0" w:footer="0" w:header="0"/>
        </w:sectPr>
      </w:pPr>
    </w:p>
    <w:p>
      <w:pPr>
        <w:spacing w:after="0" w:line="200" w:lineRule="exact"/>
        <w:rPr>
          <w:sz w:val="24"/>
          <w:szCs w:val="24"/>
          <w:color w:val="auto"/>
        </w:rPr>
      </w:pPr>
    </w:p>
    <w:p>
      <w:pPr>
        <w:spacing w:after="0" w:line="383" w:lineRule="exact"/>
        <w:rPr>
          <w:sz w:val="24"/>
          <w:szCs w:val="24"/>
          <w:color w:val="auto"/>
        </w:rPr>
      </w:pPr>
    </w:p>
    <w:p>
      <w:pPr>
        <w:ind w:left="1504"/>
        <w:spacing w:after="0"/>
        <w:rPr>
          <w:sz w:val="20"/>
          <w:szCs w:val="20"/>
          <w:color w:val="auto"/>
        </w:rPr>
      </w:pPr>
      <w:r>
        <w:rPr>
          <w:rFonts w:ascii="Arial" w:cs="Arial" w:eastAsia="Arial" w:hAnsi="Arial"/>
          <w:sz w:val="16"/>
          <w:szCs w:val="16"/>
          <w:b w:val="1"/>
          <w:bCs w:val="1"/>
          <w:color w:val="auto"/>
        </w:rPr>
        <w:t>Delaware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63" w:lineRule="exact"/>
        <w:rPr>
          <w:sz w:val="24"/>
          <w:szCs w:val="24"/>
          <w:color w:val="auto"/>
        </w:rPr>
      </w:pPr>
    </w:p>
    <w:p>
      <w:pPr>
        <w:jc w:val="center"/>
        <w:ind w:right="2100"/>
        <w:spacing w:after="0"/>
        <w:rPr>
          <w:sz w:val="20"/>
          <w:szCs w:val="20"/>
          <w:color w:val="auto"/>
        </w:rPr>
      </w:pPr>
      <w:r>
        <w:rPr>
          <w:rFonts w:ascii="Arial" w:cs="Arial" w:eastAsia="Arial" w:hAnsi="Arial"/>
          <w:sz w:val="16"/>
          <w:szCs w:val="16"/>
          <w:b w:val="1"/>
          <w:bCs w:val="1"/>
          <w:color w:val="auto"/>
        </w:rPr>
        <w:t>001-34791</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63"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83-0406195</w:t>
      </w:r>
    </w:p>
    <w:p>
      <w:pPr>
        <w:spacing w:after="0" w:line="31" w:lineRule="exact"/>
        <w:rPr>
          <w:sz w:val="24"/>
          <w:szCs w:val="24"/>
          <w:color w:val="auto"/>
        </w:rPr>
      </w:pPr>
    </w:p>
    <w:p>
      <w:pPr>
        <w:sectPr>
          <w:pgSz w:w="11900" w:h="16838" w:orient="portrait"/>
          <w:cols w:equalWidth="0" w:num="3">
            <w:col w:w="4504" w:space="720"/>
            <w:col w:w="2880" w:space="720"/>
            <w:col w:w="2200"/>
          </w:cols>
          <w:pgMar w:left="436" w:top="382" w:right="439" w:bottom="1440" w:gutter="0" w:footer="0" w:header="0"/>
          <w:type w:val="continuous"/>
        </w:sectPr>
      </w:pPr>
    </w:p>
    <w:p>
      <w:pPr>
        <w:spacing w:after="0" w:line="12" w:lineRule="exact"/>
        <w:rPr>
          <w:sz w:val="24"/>
          <w:szCs w:val="24"/>
          <w:color w:val="auto"/>
        </w:rPr>
      </w:pPr>
    </w:p>
    <w:p>
      <w:pPr>
        <w:jc w:val="center"/>
        <w:ind w:right="736"/>
        <w:spacing w:after="0"/>
        <w:rPr>
          <w:sz w:val="20"/>
          <w:szCs w:val="20"/>
          <w:color w:val="auto"/>
        </w:rPr>
      </w:pPr>
      <w:r>
        <w:rPr>
          <w:rFonts w:ascii="Arial" w:cs="Arial" w:eastAsia="Arial" w:hAnsi="Arial"/>
          <w:sz w:val="13"/>
          <w:szCs w:val="13"/>
          <w:b w:val="1"/>
          <w:bCs w:val="1"/>
          <w:color w:val="auto"/>
        </w:rPr>
        <w:t>(State or Other Jurisdiction</w:t>
      </w:r>
    </w:p>
    <w:p>
      <w:pPr>
        <w:jc w:val="center"/>
        <w:ind w:right="736"/>
        <w:spacing w:after="0"/>
        <w:rPr>
          <w:sz w:val="20"/>
          <w:szCs w:val="20"/>
          <w:color w:val="auto"/>
        </w:rPr>
      </w:pPr>
      <w:r>
        <w:rPr>
          <w:rFonts w:ascii="Arial" w:cs="Arial" w:eastAsia="Arial" w:hAnsi="Arial"/>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ind w:left="20"/>
        <w:spacing w:after="0"/>
        <w:rPr>
          <w:sz w:val="20"/>
          <w:szCs w:val="20"/>
          <w:color w:val="auto"/>
        </w:rPr>
      </w:pPr>
      <w:r>
        <w:rPr>
          <w:rFonts w:ascii="Arial" w:cs="Arial" w:eastAsia="Arial" w:hAnsi="Arial"/>
          <w:sz w:val="12"/>
          <w:szCs w:val="12"/>
          <w:b w:val="1"/>
          <w:bCs w:val="1"/>
          <w:color w:val="auto"/>
        </w:rPr>
        <w:t>(Commission</w:t>
      </w:r>
    </w:p>
    <w:p>
      <w:pPr>
        <w:spacing w:after="0" w:line="4" w:lineRule="exact"/>
        <w:rPr>
          <w:sz w:val="24"/>
          <w:szCs w:val="24"/>
          <w:color w:val="auto"/>
        </w:rPr>
      </w:pPr>
    </w:p>
    <w:p>
      <w:pPr>
        <w:spacing w:after="0"/>
        <w:rPr>
          <w:sz w:val="20"/>
          <w:szCs w:val="20"/>
          <w:color w:val="auto"/>
        </w:rPr>
      </w:pPr>
      <w:r>
        <w:rPr>
          <w:rFonts w:ascii="Arial" w:cs="Arial" w:eastAsia="Arial" w:hAnsi="Arial"/>
          <w:sz w:val="13"/>
          <w:szCs w:val="13"/>
          <w:b w:val="1"/>
          <w:bCs w:val="1"/>
          <w:color w:val="auto"/>
        </w:rPr>
        <w:t>File Number)</w:t>
      </w:r>
    </w:p>
    <w:p>
      <w:pPr>
        <w:spacing w:after="0" w:line="20" w:lineRule="exact"/>
        <w:rPr>
          <w:sz w:val="24"/>
          <w:szCs w:val="24"/>
          <w:color w:val="auto"/>
        </w:rPr>
      </w:pPr>
      <w:r>
        <w:rPr>
          <w:sz w:val="24"/>
          <w:szCs w:val="24"/>
          <w:color w:val="auto"/>
        </w:rPr>
        <w:br w:type="column"/>
      </w:r>
    </w:p>
    <w:p>
      <w:pPr>
        <w:jc w:val="center"/>
        <w:ind w:right="1200"/>
        <w:spacing w:after="0"/>
        <w:rPr>
          <w:sz w:val="20"/>
          <w:szCs w:val="20"/>
          <w:color w:val="auto"/>
        </w:rPr>
      </w:pPr>
      <w:r>
        <w:rPr>
          <w:rFonts w:ascii="Arial" w:cs="Arial" w:eastAsia="Arial" w:hAnsi="Arial"/>
          <w:sz w:val="14"/>
          <w:szCs w:val="14"/>
          <w:b w:val="1"/>
          <w:bCs w:val="1"/>
          <w:color w:val="auto"/>
        </w:rPr>
        <w:t>(IRS Employer</w:t>
      </w:r>
    </w:p>
    <w:p>
      <w:pPr>
        <w:jc w:val="center"/>
        <w:ind w:right="1200"/>
        <w:spacing w:after="0"/>
        <w:rPr>
          <w:sz w:val="20"/>
          <w:szCs w:val="20"/>
          <w:color w:val="auto"/>
        </w:rPr>
      </w:pPr>
      <w:r>
        <w:rPr>
          <w:rFonts w:ascii="Arial" w:cs="Arial" w:eastAsia="Arial" w:hAnsi="Arial"/>
          <w:sz w:val="13"/>
          <w:szCs w:val="13"/>
          <w:b w:val="1"/>
          <w:bCs w:val="1"/>
          <w:color w:val="auto"/>
        </w:rPr>
        <w:t>Identification No.)</w:t>
      </w:r>
    </w:p>
    <w:p>
      <w:pPr>
        <w:spacing w:after="0" w:line="211" w:lineRule="exact"/>
        <w:rPr>
          <w:sz w:val="24"/>
          <w:szCs w:val="24"/>
          <w:color w:val="auto"/>
        </w:rPr>
      </w:pPr>
    </w:p>
    <w:p>
      <w:pPr>
        <w:sectPr>
          <w:pgSz w:w="11900" w:h="16838" w:orient="portrait"/>
          <w:cols w:equalWidth="0" w:num="3">
            <w:col w:w="4484" w:space="720"/>
            <w:col w:w="2760" w:space="720"/>
            <w:col w:w="2340"/>
          </w:cols>
          <w:pgMar w:left="436" w:top="382" w:right="439" w:bottom="1440" w:gutter="0" w:footer="0" w:header="0"/>
          <w:type w:val="continuous"/>
        </w:sectPr>
      </w:pPr>
    </w:p>
    <w:p>
      <w:pPr>
        <w:spacing w:after="0" w:line="5" w:lineRule="exact"/>
        <w:rPr>
          <w:sz w:val="24"/>
          <w:szCs w:val="24"/>
          <w:color w:val="auto"/>
        </w:rPr>
      </w:pPr>
    </w:p>
    <w:p>
      <w:pPr>
        <w:jc w:val="center"/>
        <w:ind w:left="444" w:right="1920"/>
        <w:spacing w:after="0" w:line="262" w:lineRule="auto"/>
        <w:rPr>
          <w:sz w:val="20"/>
          <w:szCs w:val="20"/>
          <w:color w:val="auto"/>
        </w:rPr>
      </w:pPr>
      <w:r>
        <w:rPr>
          <w:rFonts w:ascii="Arial" w:cs="Arial" w:eastAsia="Arial" w:hAnsi="Arial"/>
          <w:sz w:val="18"/>
          <w:szCs w:val="18"/>
          <w:b w:val="1"/>
          <w:bCs w:val="1"/>
          <w:color w:val="auto"/>
        </w:rPr>
        <w:t>c/o Magnachip Semiconductor, Ltd. 15F, 76 Jikji-daero 436beon-gil, Heungdeok-gu Cheongju-si, Chungcheongbuk-do, 28581, Republic of Korea</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31"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Not Applicable</w:t>
      </w:r>
    </w:p>
    <w:p>
      <w:pPr>
        <w:spacing w:after="0" w:line="50" w:lineRule="exact"/>
        <w:rPr>
          <w:sz w:val="24"/>
          <w:szCs w:val="24"/>
          <w:color w:val="auto"/>
        </w:rPr>
      </w:pPr>
    </w:p>
    <w:p>
      <w:pPr>
        <w:sectPr>
          <w:pgSz w:w="11900" w:h="16838" w:orient="portrait"/>
          <w:cols w:equalWidth="0" w:num="2">
            <w:col w:w="7044" w:space="720"/>
            <w:col w:w="3260"/>
          </w:cols>
          <w:pgMar w:left="436" w:top="382" w:right="439" w:bottom="1440" w:gutter="0" w:footer="0" w:header="0"/>
          <w:type w:val="continuous"/>
        </w:sectPr>
      </w:pPr>
    </w:p>
    <w:p>
      <w:pPr>
        <w:ind w:left="1544"/>
        <w:spacing w:after="0"/>
        <w:rPr>
          <w:sz w:val="20"/>
          <w:szCs w:val="20"/>
          <w:color w:val="auto"/>
        </w:rPr>
      </w:pPr>
      <w:r>
        <w:rPr>
          <w:rFonts w:ascii="Arial" w:cs="Arial" w:eastAsia="Arial" w:hAnsi="Arial"/>
          <w:sz w:val="12"/>
          <w:szCs w:val="12"/>
          <w:b w:val="1"/>
          <w:b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b w:val="1"/>
          <w:bCs w:val="1"/>
          <w:color w:val="auto"/>
        </w:rPr>
        <w:t>(Zip Code)</w:t>
      </w:r>
    </w:p>
    <w:p>
      <w:pPr>
        <w:spacing w:after="0" w:line="170" w:lineRule="exact"/>
        <w:rPr>
          <w:sz w:val="24"/>
          <w:szCs w:val="24"/>
          <w:color w:val="auto"/>
        </w:rPr>
      </w:pPr>
    </w:p>
    <w:p>
      <w:pPr>
        <w:sectPr>
          <w:pgSz w:w="11900" w:h="16838" w:orient="portrait"/>
          <w:cols w:equalWidth="0" w:num="2">
            <w:col w:w="7284" w:space="720"/>
            <w:col w:w="3020"/>
          </w:cols>
          <w:pgMar w:left="436" w:top="382" w:right="439" w:bottom="1440" w:gutter="0" w:footer="0" w:header="0"/>
          <w:type w:val="continuous"/>
        </w:sectPr>
      </w:pPr>
    </w:p>
    <w:p>
      <w:pPr>
        <w:jc w:val="center"/>
        <w:ind w:right="-3"/>
        <w:spacing w:after="0"/>
        <w:rPr>
          <w:sz w:val="20"/>
          <w:szCs w:val="20"/>
          <w:color w:val="auto"/>
        </w:rPr>
      </w:pPr>
      <w:r>
        <w:rPr>
          <w:rFonts w:ascii="Arial" w:cs="Arial" w:eastAsia="Arial" w:hAnsi="Arial"/>
          <w:sz w:val="18"/>
          <w:szCs w:val="18"/>
          <w:b w:val="1"/>
          <w:bCs w:val="1"/>
          <w:color w:val="auto"/>
        </w:rPr>
        <w:t>Registrant’s telephone number, including area code: +82 (2) 6903-3000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222885</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06" w:lineRule="exact"/>
        <w:rPr>
          <w:sz w:val="24"/>
          <w:szCs w:val="24"/>
          <w:color w:val="auto"/>
        </w:rPr>
      </w:pPr>
    </w:p>
    <w:p>
      <w:pPr>
        <w:ind w:left="4" w:right="48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76" w:lineRule="exact"/>
        <w:rPr>
          <w:sz w:val="24"/>
          <w:szCs w:val="24"/>
          <w:color w:val="auto"/>
        </w:rPr>
      </w:pPr>
    </w:p>
    <w:p>
      <w:pPr>
        <w:ind w:left="444" w:hanging="444"/>
        <w:spacing w:after="0"/>
        <w:tabs>
          <w:tab w:leader="none" w:pos="44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44" w:hanging="444"/>
        <w:spacing w:after="0"/>
        <w:tabs>
          <w:tab w:leader="none" w:pos="44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44" w:hanging="444"/>
        <w:spacing w:after="0"/>
        <w:tabs>
          <w:tab w:leader="none" w:pos="44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44" w:hanging="444"/>
        <w:spacing w:after="0"/>
        <w:tabs>
          <w:tab w:leader="none" w:pos="44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185" w:lineRule="exact"/>
        <w:rPr>
          <w:sz w:val="24"/>
          <w:szCs w:val="24"/>
          <w:color w:val="auto"/>
        </w:rPr>
      </w:pPr>
    </w:p>
    <w:p>
      <w:pPr>
        <w:ind w:left="4"/>
        <w:spacing w:after="0"/>
        <w:rPr>
          <w:sz w:val="20"/>
          <w:szCs w:val="20"/>
          <w:color w:val="auto"/>
        </w:rPr>
      </w:pPr>
      <w:r>
        <w:rPr>
          <w:rFonts w:ascii="Arial" w:cs="Arial" w:eastAsia="Arial" w:hAnsi="Arial"/>
          <w:sz w:val="18"/>
          <w:szCs w:val="18"/>
          <w:color w:val="auto"/>
        </w:rPr>
        <w:t>Securities registered pursuant to Section 12(b) of the Act:</w:t>
      </w:r>
    </w:p>
    <w:p>
      <w:pPr>
        <w:spacing w:after="0" w:line="204" w:lineRule="exact"/>
        <w:rPr>
          <w:sz w:val="24"/>
          <w:szCs w:val="24"/>
          <w:color w:val="auto"/>
        </w:rPr>
      </w:pPr>
    </w:p>
    <w:tbl>
      <w:tblPr>
        <w:tblLayout w:type="fixed"/>
        <w:tblInd w:w="4" w:type="dxa"/>
        <w:tblCellMar>
          <w:top w:w="0" w:type="dxa"/>
          <w:left w:w="0" w:type="dxa"/>
          <w:bottom w:w="0" w:type="dxa"/>
          <w:right w:w="0" w:type="dxa"/>
        </w:tblCellMar>
      </w:tblPr>
      <w:tr>
        <w:trPr>
          <w:trHeight w:val="161"/>
        </w:trPr>
        <w:tc>
          <w:tcPr>
            <w:tcW w:w="37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9"/>
              </w:rPr>
              <w:t>Title of each class</w:t>
            </w:r>
          </w:p>
        </w:tc>
        <w:tc>
          <w:tcPr>
            <w:tcW w:w="120" w:type="dxa"/>
            <w:vAlign w:val="bottom"/>
          </w:tcPr>
          <w:p>
            <w:pPr>
              <w:spacing w:after="0"/>
              <w:rPr>
                <w:sz w:val="14"/>
                <w:szCs w:val="14"/>
                <w:color w:val="auto"/>
              </w:rPr>
            </w:pPr>
          </w:p>
        </w:tc>
        <w:tc>
          <w:tcPr>
            <w:tcW w:w="3520" w:type="dxa"/>
            <w:vAlign w:val="bottom"/>
          </w:tcPr>
          <w:p>
            <w:pPr>
              <w:jc w:val="center"/>
              <w:spacing w:after="0"/>
              <w:rPr>
                <w:sz w:val="20"/>
                <w:szCs w:val="20"/>
                <w:color w:val="auto"/>
              </w:rPr>
            </w:pPr>
            <w:r>
              <w:rPr>
                <w:rFonts w:ascii="Arial" w:cs="Arial" w:eastAsia="Arial" w:hAnsi="Arial"/>
                <w:sz w:val="14"/>
                <w:szCs w:val="14"/>
                <w:b w:val="1"/>
                <w:bCs w:val="1"/>
                <w:color w:val="auto"/>
                <w:w w:val="97"/>
              </w:rPr>
              <w:t>Trading</w:t>
            </w:r>
          </w:p>
        </w:tc>
        <w:tc>
          <w:tcPr>
            <w:tcW w:w="100" w:type="dxa"/>
            <w:vAlign w:val="bottom"/>
          </w:tcPr>
          <w:p>
            <w:pPr>
              <w:spacing w:after="0"/>
              <w:rPr>
                <w:sz w:val="14"/>
                <w:szCs w:val="14"/>
                <w:color w:val="auto"/>
              </w:rPr>
            </w:pPr>
          </w:p>
        </w:tc>
        <w:tc>
          <w:tcPr>
            <w:tcW w:w="3540" w:type="dxa"/>
            <w:vAlign w:val="bottom"/>
          </w:tcPr>
          <w:p>
            <w:pPr>
              <w:jc w:val="center"/>
              <w:spacing w:after="0"/>
              <w:rPr>
                <w:sz w:val="20"/>
                <w:szCs w:val="20"/>
                <w:color w:val="auto"/>
              </w:rPr>
            </w:pPr>
            <w:r>
              <w:rPr>
                <w:rFonts w:ascii="Arial" w:cs="Arial" w:eastAsia="Arial" w:hAnsi="Arial"/>
                <w:sz w:val="14"/>
                <w:szCs w:val="14"/>
                <w:b w:val="1"/>
                <w:bCs w:val="1"/>
                <w:color w:val="auto"/>
                <w:w w:val="88"/>
              </w:rPr>
              <w:t>Name of each exchange</w:t>
            </w:r>
          </w:p>
        </w:tc>
        <w:tc>
          <w:tcPr>
            <w:tcW w:w="0" w:type="dxa"/>
            <w:vAlign w:val="bottom"/>
          </w:tcPr>
          <w:p>
            <w:pPr>
              <w:spacing w:after="0"/>
              <w:rPr>
                <w:sz w:val="1"/>
                <w:szCs w:val="1"/>
                <w:color w:val="auto"/>
              </w:rPr>
            </w:pPr>
          </w:p>
        </w:tc>
      </w:tr>
      <w:tr>
        <w:trPr>
          <w:trHeight w:val="192"/>
        </w:trPr>
        <w:tc>
          <w:tcPr>
            <w:tcW w:w="3740" w:type="dxa"/>
            <w:vAlign w:val="bottom"/>
            <w:tcBorders>
              <w:bottom w:val="single" w:sz="8" w:color="auto"/>
            </w:tcBorders>
            <w:vMerge w:val="continue"/>
          </w:tcPr>
          <w:p>
            <w:pPr>
              <w:spacing w:after="0"/>
              <w:rPr>
                <w:sz w:val="16"/>
                <w:szCs w:val="16"/>
                <w:color w:val="auto"/>
              </w:rPr>
            </w:pPr>
          </w:p>
        </w:tc>
        <w:tc>
          <w:tcPr>
            <w:tcW w:w="120" w:type="dxa"/>
            <w:vAlign w:val="bottom"/>
          </w:tcPr>
          <w:p>
            <w:pPr>
              <w:spacing w:after="0"/>
              <w:rPr>
                <w:sz w:val="16"/>
                <w:szCs w:val="16"/>
                <w:color w:val="auto"/>
              </w:rPr>
            </w:pPr>
          </w:p>
        </w:tc>
        <w:tc>
          <w:tcPr>
            <w:tcW w:w="35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Symbol</w:t>
            </w:r>
          </w:p>
        </w:tc>
        <w:tc>
          <w:tcPr>
            <w:tcW w:w="100" w:type="dxa"/>
            <w:vAlign w:val="bottom"/>
          </w:tcPr>
          <w:p>
            <w:pPr>
              <w:spacing w:after="0"/>
              <w:rPr>
                <w:sz w:val="16"/>
                <w:szCs w:val="16"/>
                <w:color w:val="auto"/>
              </w:rPr>
            </w:pPr>
          </w:p>
        </w:tc>
        <w:tc>
          <w:tcPr>
            <w:tcW w:w="35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on which registered</w:t>
            </w:r>
          </w:p>
        </w:tc>
        <w:tc>
          <w:tcPr>
            <w:tcW w:w="0" w:type="dxa"/>
            <w:vAlign w:val="bottom"/>
          </w:tcPr>
          <w:p>
            <w:pPr>
              <w:spacing w:after="0"/>
              <w:rPr>
                <w:sz w:val="1"/>
                <w:szCs w:val="1"/>
                <w:color w:val="auto"/>
              </w:rPr>
            </w:pPr>
          </w:p>
        </w:tc>
      </w:tr>
      <w:tr>
        <w:trPr>
          <w:trHeight w:val="230"/>
        </w:trPr>
        <w:tc>
          <w:tcPr>
            <w:tcW w:w="3740" w:type="dxa"/>
            <w:vAlign w:val="bottom"/>
          </w:tcPr>
          <w:p>
            <w:pPr>
              <w:jc w:val="center"/>
              <w:spacing w:after="0"/>
              <w:rPr>
                <w:sz w:val="20"/>
                <w:szCs w:val="20"/>
                <w:color w:val="auto"/>
              </w:rPr>
            </w:pPr>
            <w:r>
              <w:rPr>
                <w:rFonts w:ascii="Arial" w:cs="Arial" w:eastAsia="Arial" w:hAnsi="Arial"/>
                <w:sz w:val="18"/>
                <w:szCs w:val="18"/>
                <w:color w:val="auto"/>
                <w:w w:val="89"/>
              </w:rPr>
              <w:t>Common Stock, par value $0.01 per share</w:t>
            </w:r>
          </w:p>
        </w:tc>
        <w:tc>
          <w:tcPr>
            <w:tcW w:w="120" w:type="dxa"/>
            <w:vAlign w:val="bottom"/>
          </w:tcPr>
          <w:p>
            <w:pPr>
              <w:spacing w:after="0"/>
              <w:rPr>
                <w:sz w:val="20"/>
                <w:szCs w:val="20"/>
                <w:color w:val="auto"/>
              </w:rPr>
            </w:pPr>
          </w:p>
        </w:tc>
        <w:tc>
          <w:tcPr>
            <w:tcW w:w="3520" w:type="dxa"/>
            <w:vAlign w:val="bottom"/>
          </w:tcPr>
          <w:p>
            <w:pPr>
              <w:jc w:val="center"/>
              <w:spacing w:after="0"/>
              <w:rPr>
                <w:sz w:val="20"/>
                <w:szCs w:val="20"/>
                <w:color w:val="auto"/>
              </w:rPr>
            </w:pPr>
            <w:r>
              <w:rPr>
                <w:rFonts w:ascii="Arial" w:cs="Arial" w:eastAsia="Arial" w:hAnsi="Arial"/>
                <w:sz w:val="18"/>
                <w:szCs w:val="18"/>
                <w:color w:val="auto"/>
              </w:rPr>
              <w:t>MX</w:t>
            </w:r>
          </w:p>
        </w:tc>
        <w:tc>
          <w:tcPr>
            <w:tcW w:w="100" w:type="dxa"/>
            <w:vAlign w:val="bottom"/>
          </w:tcPr>
          <w:p>
            <w:pPr>
              <w:spacing w:after="0"/>
              <w:rPr>
                <w:sz w:val="20"/>
                <w:szCs w:val="20"/>
                <w:color w:val="auto"/>
              </w:rPr>
            </w:pPr>
          </w:p>
        </w:tc>
        <w:tc>
          <w:tcPr>
            <w:tcW w:w="3540" w:type="dxa"/>
            <w:vAlign w:val="bottom"/>
          </w:tcPr>
          <w:p>
            <w:pPr>
              <w:jc w:val="center"/>
              <w:spacing w:after="0"/>
              <w:rPr>
                <w:sz w:val="20"/>
                <w:szCs w:val="20"/>
                <w:color w:val="auto"/>
              </w:rPr>
            </w:pPr>
            <w:r>
              <w:rPr>
                <w:rFonts w:ascii="Arial" w:cs="Arial" w:eastAsia="Arial" w:hAnsi="Arial"/>
                <w:sz w:val="18"/>
                <w:szCs w:val="18"/>
                <w:color w:val="auto"/>
                <w:w w:val="91"/>
              </w:rPr>
              <w:t>New York Stock Exchange</w:t>
            </w:r>
          </w:p>
        </w:tc>
        <w:tc>
          <w:tcPr>
            <w:tcW w:w="0" w:type="dxa"/>
            <w:vAlign w:val="bottom"/>
          </w:tcPr>
          <w:p>
            <w:pPr>
              <w:spacing w:after="0"/>
              <w:rPr>
                <w:sz w:val="1"/>
                <w:szCs w:val="1"/>
                <w:color w:val="auto"/>
              </w:rPr>
            </w:pPr>
          </w:p>
        </w:tc>
      </w:tr>
    </w:tbl>
    <w:p>
      <w:pPr>
        <w:spacing w:after="0" w:line="147" w:lineRule="exact"/>
        <w:rPr>
          <w:sz w:val="24"/>
          <w:szCs w:val="24"/>
          <w:color w:val="auto"/>
        </w:rPr>
      </w:pPr>
    </w:p>
    <w:p>
      <w:pPr>
        <w:ind w:left="4" w:right="26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85" w:lineRule="exact"/>
        <w:rPr>
          <w:sz w:val="24"/>
          <w:szCs w:val="24"/>
          <w:color w:val="auto"/>
        </w:rPr>
      </w:pPr>
    </w:p>
    <w:p>
      <w:pPr>
        <w:ind w:left="4"/>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43" w:lineRule="exact"/>
        <w:rPr>
          <w:sz w:val="24"/>
          <w:szCs w:val="24"/>
          <w:color w:val="auto"/>
        </w:rPr>
      </w:pPr>
    </w:p>
    <w:p>
      <w:pPr>
        <w:ind w:left="4" w:right="300"/>
        <w:spacing w:after="0" w:line="238"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128270</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170815</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024"/>
          </w:cols>
          <w:pgMar w:left="436" w:top="382" w:right="439" w:bottom="1440" w:gutter="0" w:footer="0" w:header="0"/>
          <w:type w:val="continuous"/>
        </w:sectPr>
      </w:pPr>
    </w:p>
    <w:bookmarkStart w:id="1" w:name="page2"/>
    <w:bookmarkEnd w:id="1"/>
    <w:p>
      <w:pPr>
        <w:ind w:right="80"/>
        <w:spacing w:after="0" w:line="282"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685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68580"/>
                    </a:xfrm>
                    <a:prstGeom prst="rect">
                      <a:avLst/>
                    </a:prstGeom>
                    <a:noFill/>
                  </pic:spPr>
                </pic:pic>
              </a:graphicData>
            </a:graphic>
          </wp:anchor>
        </w:drawing>
        <w:t>Item 5.02. Departure of Directors or Certain Officers; Election of Directors; Appointment of Certain Officers; Compensatory Arrangements of Certain Officers.</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color w:val="auto"/>
        </w:rPr>
        <w:t>(b)</w:t>
      </w:r>
    </w:p>
    <w:p>
      <w:pPr>
        <w:spacing w:after="0" w:line="225" w:lineRule="exact"/>
        <w:rPr>
          <w:sz w:val="20"/>
          <w:szCs w:val="20"/>
          <w:color w:val="auto"/>
        </w:rPr>
      </w:pPr>
    </w:p>
    <w:p>
      <w:pPr>
        <w:ind w:right="140"/>
        <w:spacing w:after="0" w:line="291" w:lineRule="auto"/>
        <w:rPr>
          <w:sz w:val="20"/>
          <w:szCs w:val="20"/>
          <w:color w:val="auto"/>
        </w:rPr>
      </w:pPr>
      <w:r>
        <w:rPr>
          <w:rFonts w:ascii="Arial" w:cs="Arial" w:eastAsia="Arial" w:hAnsi="Arial"/>
          <w:sz w:val="16"/>
          <w:szCs w:val="16"/>
          <w:color w:val="auto"/>
        </w:rPr>
        <w:t>On July 17, 2023, Magnachip Semiconductor Corporation (the “Company”) announced that Mr. Gary Tanner has notified the Company of his intention to resign from the Company’s board of directors (the “Board”), which resignation was accepted by the Board and effective as of July 14, 2023.</w:t>
      </w:r>
    </w:p>
    <w:p>
      <w:pPr>
        <w:ind w:right="80"/>
        <w:spacing w:after="0" w:line="255" w:lineRule="auto"/>
        <w:rPr>
          <w:sz w:val="20"/>
          <w:szCs w:val="20"/>
          <w:color w:val="auto"/>
        </w:rPr>
      </w:pPr>
      <w:r>
        <w:rPr>
          <w:rFonts w:ascii="Arial" w:cs="Arial" w:eastAsia="Arial" w:hAnsi="Arial"/>
          <w:sz w:val="18"/>
          <w:szCs w:val="18"/>
          <w:color w:val="auto"/>
        </w:rPr>
        <w:t>Mr. Tanner served on the Company’s Risk Committee (chair), Audit Committee, Compensation Committee and ad hoc Strategic Review Committee. Mr. Tanner’s decision to resign from the Board is not due to any disagreement with the Company over any of its financial reporting, operations, policies or practices.</w:t>
      </w:r>
    </w:p>
    <w:p>
      <w:pPr>
        <w:spacing w:after="0" w:line="2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 Exhibits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exhibit is furnished as part of this report:</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80" w:type="dxa"/>
            <w:vAlign w:val="bottom"/>
          </w:tcPr>
          <w:p>
            <w:pPr>
              <w:jc w:val="center"/>
              <w:ind w:right="339"/>
              <w:spacing w:after="0"/>
              <w:rPr>
                <w:sz w:val="20"/>
                <w:szCs w:val="20"/>
                <w:color w:val="auto"/>
              </w:rPr>
            </w:pPr>
            <w:r>
              <w:rPr>
                <w:rFonts w:ascii="Arial" w:cs="Arial" w:eastAsia="Arial" w:hAnsi="Arial"/>
                <w:sz w:val="14"/>
                <w:szCs w:val="14"/>
                <w:b w:val="1"/>
                <w:bCs w:val="1"/>
                <w:color w:val="auto"/>
                <w:w w:val="98"/>
              </w:rPr>
              <w:t>Exhibit</w:t>
            </w:r>
          </w:p>
        </w:tc>
        <w:tc>
          <w:tcPr>
            <w:tcW w:w="3960" w:type="dxa"/>
            <w:vAlign w:val="bottom"/>
          </w:tcPr>
          <w:p>
            <w:pPr>
              <w:spacing w:after="0"/>
              <w:rPr>
                <w:sz w:val="14"/>
                <w:szCs w:val="14"/>
                <w:color w:val="auto"/>
              </w:rPr>
            </w:pPr>
          </w:p>
        </w:tc>
        <w:tc>
          <w:tcPr>
            <w:tcW w:w="6180" w:type="dxa"/>
            <w:vAlign w:val="bottom"/>
            <w:vMerge w:val="restart"/>
          </w:tcPr>
          <w:p>
            <w:pPr>
              <w:ind w:left="760"/>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185"/>
        </w:trPr>
        <w:tc>
          <w:tcPr>
            <w:tcW w:w="880" w:type="dxa"/>
            <w:vAlign w:val="bottom"/>
          </w:tcPr>
          <w:p>
            <w:pPr>
              <w:jc w:val="center"/>
              <w:ind w:right="359"/>
              <w:spacing w:after="0"/>
              <w:rPr>
                <w:sz w:val="20"/>
                <w:szCs w:val="20"/>
                <w:color w:val="auto"/>
              </w:rPr>
            </w:pPr>
            <w:r>
              <w:rPr>
                <w:rFonts w:ascii="Arial" w:cs="Arial" w:eastAsia="Arial" w:hAnsi="Arial"/>
                <w:sz w:val="14"/>
                <w:szCs w:val="14"/>
                <w:b w:val="1"/>
                <w:bCs w:val="1"/>
                <w:color w:val="auto"/>
                <w:w w:val="88"/>
              </w:rPr>
              <w:t>No.</w:t>
            </w:r>
          </w:p>
        </w:tc>
        <w:tc>
          <w:tcPr>
            <w:tcW w:w="3960" w:type="dxa"/>
            <w:vAlign w:val="bottom"/>
            <w:tcBorders>
              <w:bottom w:val="single" w:sz="8" w:color="auto"/>
            </w:tcBorders>
          </w:tcPr>
          <w:p>
            <w:pPr>
              <w:spacing w:after="0"/>
              <w:rPr>
                <w:sz w:val="16"/>
                <w:szCs w:val="16"/>
                <w:color w:val="auto"/>
              </w:rPr>
            </w:pPr>
          </w:p>
        </w:tc>
        <w:tc>
          <w:tcPr>
            <w:tcW w:w="61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63"/>
        </w:trPr>
        <w:tc>
          <w:tcPr>
            <w:tcW w:w="880" w:type="dxa"/>
            <w:vAlign w:val="bottom"/>
          </w:tcPr>
          <w:p>
            <w:pPr>
              <w:spacing w:after="0"/>
              <w:rPr>
                <w:sz w:val="20"/>
                <w:szCs w:val="20"/>
                <w:color w:val="auto"/>
              </w:rPr>
            </w:pPr>
            <w:r>
              <w:rPr>
                <w:rFonts w:ascii="Arial" w:cs="Arial" w:eastAsia="Arial" w:hAnsi="Arial"/>
                <w:sz w:val="18"/>
                <w:szCs w:val="18"/>
                <w:color w:val="auto"/>
              </w:rPr>
              <w:t>99.1</w:t>
            </w:r>
          </w:p>
        </w:tc>
        <w:tc>
          <w:tcPr>
            <w:tcW w:w="10140" w:type="dxa"/>
            <w:vAlign w:val="bottom"/>
            <w:gridSpan w:val="2"/>
          </w:tcPr>
          <w:p>
            <w:pPr>
              <w:spacing w:after="0"/>
              <w:rPr>
                <w:sz w:val="20"/>
                <w:szCs w:val="20"/>
                <w:color w:val="auto"/>
              </w:rPr>
            </w:pPr>
            <w:r>
              <w:rPr>
                <w:rFonts w:ascii="Arial" w:cs="Arial" w:eastAsia="Arial" w:hAnsi="Arial"/>
                <w:sz w:val="18"/>
                <w:szCs w:val="18"/>
                <w:color w:val="0000EE"/>
              </w:rPr>
              <w:t>Press Release issued by the Company on July 17, 2023</w:t>
            </w: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3960" w:type="dxa"/>
            <w:vAlign w:val="bottom"/>
            <w:shd w:val="clear" w:color="auto" w:fill="0000EE"/>
          </w:tcPr>
          <w:p>
            <w:pPr>
              <w:spacing w:after="0" w:line="20" w:lineRule="exact"/>
              <w:rPr>
                <w:sz w:val="1"/>
                <w:szCs w:val="1"/>
                <w:color w:val="auto"/>
              </w:rPr>
            </w:pPr>
          </w:p>
        </w:tc>
        <w:tc>
          <w:tcPr>
            <w:tcW w:w="6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5"/>
        </w:trPr>
        <w:tc>
          <w:tcPr>
            <w:tcW w:w="880" w:type="dxa"/>
            <w:vAlign w:val="bottom"/>
          </w:tcPr>
          <w:p>
            <w:pPr>
              <w:spacing w:after="0"/>
              <w:rPr>
                <w:sz w:val="20"/>
                <w:szCs w:val="20"/>
                <w:color w:val="auto"/>
              </w:rPr>
            </w:pPr>
            <w:r>
              <w:rPr>
                <w:rFonts w:ascii="Arial" w:cs="Arial" w:eastAsia="Arial" w:hAnsi="Arial"/>
                <w:sz w:val="18"/>
                <w:szCs w:val="18"/>
                <w:color w:val="auto"/>
              </w:rPr>
              <w:t>104</w:t>
            </w:r>
          </w:p>
        </w:tc>
        <w:tc>
          <w:tcPr>
            <w:tcW w:w="10140" w:type="dxa"/>
            <w:vAlign w:val="bottom"/>
            <w:gridSpan w:val="2"/>
          </w:tcPr>
          <w:p>
            <w:pPr>
              <w:spacing w:after="0"/>
              <w:rPr>
                <w:sz w:val="20"/>
                <w:szCs w:val="20"/>
                <w:color w:val="auto"/>
              </w:rPr>
            </w:pPr>
            <w:r>
              <w:rPr>
                <w:rFonts w:ascii="Arial" w:cs="Arial" w:eastAsia="Arial" w:hAnsi="Arial"/>
                <w:sz w:val="18"/>
                <w:szCs w:val="18"/>
                <w:color w:val="auto"/>
              </w:rPr>
              <w:t>Cover Page Interactive Data File (embedded within the Inline XBRL document).</w:t>
            </w:r>
          </w:p>
        </w:tc>
        <w:tc>
          <w:tcPr>
            <w:tcW w:w="0" w:type="dxa"/>
            <w:vAlign w:val="bottom"/>
          </w:tcPr>
          <w:p>
            <w:pPr>
              <w:spacing w:after="0"/>
              <w:rPr>
                <w:sz w:val="1"/>
                <w:szCs w:val="1"/>
                <w:color w:val="auto"/>
              </w:rPr>
            </w:pPr>
          </w:p>
        </w:tc>
      </w:tr>
    </w:tbl>
    <w:p>
      <w:pPr>
        <w:sectPr>
          <w:pgSz w:w="11900" w:h="16838" w:orient="portrait"/>
          <w:cols w:equalWidth="0" w:num="1">
            <w:col w:w="11020"/>
          </w:cols>
          <w:pgMar w:left="440" w:top="513" w:right="439" w:bottom="1440" w:gutter="0" w:footer="0" w:header="0"/>
        </w:sectPr>
      </w:pPr>
    </w:p>
    <w:bookmarkStart w:id="2" w:name="page3"/>
    <w:bookmarkEnd w:id="2"/>
    <w:p>
      <w:pPr>
        <w:jc w:val="center"/>
        <w:ind w:right="-29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6858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68580"/>
                    </a:xfrm>
                    <a:prstGeom prst="rect">
                      <a:avLst/>
                    </a:prstGeom>
                    <a:noFill/>
                  </pic:spPr>
                </pic:pic>
              </a:graphicData>
            </a:graphic>
          </wp:anchor>
        </w:drawing>
        <w:t>SIGNATURE</w:t>
      </w:r>
    </w:p>
    <w:p>
      <w:pPr>
        <w:spacing w:after="0" w:line="229" w:lineRule="exact"/>
        <w:rPr>
          <w:sz w:val="20"/>
          <w:szCs w:val="20"/>
          <w:color w:val="auto"/>
        </w:rPr>
      </w:pPr>
    </w:p>
    <w:p>
      <w:pPr>
        <w:ind w:firstLine="44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97"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MAGNACHIP SEMICONDUCTOR CORPORATION</w:t>
      </w:r>
    </w:p>
    <w:p>
      <w:pPr>
        <w:spacing w:after="0" w:line="225" w:lineRule="exact"/>
        <w:rPr>
          <w:sz w:val="20"/>
          <w:szCs w:val="20"/>
          <w:color w:val="auto"/>
        </w:rPr>
      </w:pPr>
    </w:p>
    <w:p>
      <w:pPr>
        <w:spacing w:after="0"/>
        <w:tabs>
          <w:tab w:leader="none" w:pos="5600" w:val="left"/>
          <w:tab w:leader="none" w:pos="6040" w:val="left"/>
        </w:tabs>
        <w:rPr>
          <w:sz w:val="20"/>
          <w:szCs w:val="20"/>
          <w:color w:val="auto"/>
        </w:rPr>
      </w:pPr>
      <w:r>
        <w:rPr>
          <w:rFonts w:ascii="Arial" w:cs="Arial" w:eastAsia="Arial" w:hAnsi="Arial"/>
          <w:sz w:val="18"/>
          <w:szCs w:val="18"/>
          <w:color w:val="auto"/>
        </w:rPr>
        <w:t>Dated: July 17, 2023</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Theodore Kim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3846830</wp:posOffset>
            </wp:positionH>
            <wp:positionV relativeFrom="paragraph">
              <wp:posOffset>14605</wp:posOffset>
            </wp:positionV>
            <wp:extent cx="314579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145790" cy="8255"/>
                    </a:xfrm>
                    <a:prstGeom prst="rect">
                      <a:avLst/>
                    </a:prstGeom>
                    <a:noFill/>
                  </pic:spPr>
                </pic:pic>
              </a:graphicData>
            </a:graphic>
          </wp:anchor>
        </w:drawing>
      </w:r>
    </w:p>
    <w:p>
      <w:pPr>
        <w:spacing w:after="0" w:line="30"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Theodore Kim</w:t>
      </w:r>
    </w:p>
    <w:p>
      <w:pPr>
        <w:spacing w:after="0" w:line="9"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Chief Compliance Officer, General Counsel and Secretary</w:t>
      </w:r>
    </w:p>
    <w:p>
      <w:pPr>
        <w:sectPr>
          <w:pgSz w:w="11900" w:h="16838" w:orient="portrait"/>
          <w:cols w:equalWidth="0" w:num="1">
            <w:col w:w="10700"/>
          </w:cols>
          <w:pgMar w:left="440" w:top="513" w:right="75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99.1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MAGNACHIP ANNOUNCES DIRECTOR RESIGNATION</w:t>
      </w:r>
    </w:p>
    <w:p>
      <w:pPr>
        <w:spacing w:after="0" w:line="225" w:lineRule="exact"/>
        <w:rPr>
          <w:sz w:val="20"/>
          <w:szCs w:val="20"/>
          <w:color w:val="auto"/>
        </w:rPr>
      </w:pPr>
    </w:p>
    <w:p>
      <w:pPr>
        <w:jc w:val="both"/>
        <w:ind w:right="20"/>
        <w:spacing w:after="0" w:line="266" w:lineRule="auto"/>
        <w:rPr>
          <w:sz w:val="20"/>
          <w:szCs w:val="20"/>
          <w:color w:val="auto"/>
        </w:rPr>
      </w:pPr>
      <w:r>
        <w:rPr>
          <w:rFonts w:ascii="Arial" w:cs="Arial" w:eastAsia="Arial" w:hAnsi="Arial"/>
          <w:sz w:val="18"/>
          <w:szCs w:val="18"/>
          <w:b w:val="1"/>
          <w:bCs w:val="1"/>
          <w:color w:val="auto"/>
        </w:rPr>
        <w:t xml:space="preserve">SEOUL, South Korea, July 17, 2023 </w:t>
      </w:r>
      <w:r>
        <w:rPr>
          <w:rFonts w:ascii="Arial" w:cs="Arial" w:eastAsia="Arial" w:hAnsi="Arial"/>
          <w:sz w:val="18"/>
          <w:szCs w:val="18"/>
          <w:color w:val="auto"/>
        </w:rPr>
        <w:t>— Magnachip Semiconductor Corporation (NYSE: MX) (“Magnachip” or the “Company”) today announced that</w:t>
      </w:r>
      <w:r>
        <w:rPr>
          <w:rFonts w:ascii="Arial" w:cs="Arial" w:eastAsia="Arial" w:hAnsi="Arial"/>
          <w:sz w:val="18"/>
          <w:szCs w:val="18"/>
          <w:b w:val="1"/>
          <w:bCs w:val="1"/>
          <w:color w:val="auto"/>
        </w:rPr>
        <w:t xml:space="preserve"> </w:t>
      </w:r>
      <w:r>
        <w:rPr>
          <w:rFonts w:ascii="Arial" w:cs="Arial" w:eastAsia="Arial" w:hAnsi="Arial"/>
          <w:sz w:val="18"/>
          <w:szCs w:val="18"/>
          <w:color w:val="auto"/>
        </w:rPr>
        <w:t>Gary Tanner has notified the Company of his intention to resign from the Company’s Board of Directors. The Board has accepted his resignation, which was effective as of July 14, 2023.</w:t>
      </w:r>
    </w:p>
    <w:p>
      <w:pPr>
        <w:spacing w:after="0" w:line="180" w:lineRule="exact"/>
        <w:rPr>
          <w:sz w:val="20"/>
          <w:szCs w:val="20"/>
          <w:color w:val="auto"/>
        </w:rPr>
      </w:pPr>
    </w:p>
    <w:p>
      <w:pPr>
        <w:ind w:right="40"/>
        <w:spacing w:after="0" w:line="273" w:lineRule="auto"/>
        <w:rPr>
          <w:sz w:val="20"/>
          <w:szCs w:val="20"/>
          <w:color w:val="auto"/>
        </w:rPr>
      </w:pPr>
      <w:r>
        <w:rPr>
          <w:rFonts w:ascii="Arial" w:cs="Arial" w:eastAsia="Arial" w:hAnsi="Arial"/>
          <w:sz w:val="17"/>
          <w:szCs w:val="17"/>
          <w:color w:val="auto"/>
        </w:rPr>
        <w:t>Mr. Tanner joined Magnachip’s Board in August 2015 and has served in multiple capacities, such as Non-Executive Chairman of the Board, Chair of the Risk Committee, and a member of the Audit, Compensation and Strategic Review Committees. During his tenure, Mr. Tanner has been instrumental to the Company’s trajectory, contributing to the Company’s strategic vision, operational details and corporate governance. Most recently, Mr. Tanner led the establishment of the Risk Committee’s oversight of the Company’s corporate objectives, goals, strategies and initiatives relating to, and attending risks associated with, environmental, social and governance (“ESG”) matters, including corporate social responsibility, sustainability, public policy and other related matters such as the formation of a management-level ESG Steering Committee.</w:t>
      </w:r>
    </w:p>
    <w:p>
      <w:pPr>
        <w:spacing w:after="0" w:line="178" w:lineRule="exact"/>
        <w:rPr>
          <w:sz w:val="20"/>
          <w:szCs w:val="20"/>
          <w:color w:val="auto"/>
        </w:rPr>
      </w:pPr>
    </w:p>
    <w:p>
      <w:pPr>
        <w:ind w:right="360"/>
        <w:spacing w:after="0" w:line="263" w:lineRule="auto"/>
        <w:rPr>
          <w:sz w:val="20"/>
          <w:szCs w:val="20"/>
          <w:color w:val="auto"/>
        </w:rPr>
      </w:pPr>
      <w:r>
        <w:rPr>
          <w:rFonts w:ascii="Arial" w:cs="Arial" w:eastAsia="Arial" w:hAnsi="Arial"/>
          <w:sz w:val="18"/>
          <w:szCs w:val="18"/>
          <w:color w:val="auto"/>
        </w:rPr>
        <w:t>“Gary’s operational expertise and industry experience have been instrumental to our success and he will be greatly missed,” said Camillo Martino, Magnachip’s Chairman of the Board. “He has consistently brought a valuable perspective to our board deliberations. On behalf of the entire board, I thank him for his service to Magnachip and wish him well in his future endeavors.”</w:t>
      </w:r>
    </w:p>
    <w:p>
      <w:pPr>
        <w:spacing w:after="0" w:line="184" w:lineRule="exact"/>
        <w:rPr>
          <w:sz w:val="20"/>
          <w:szCs w:val="20"/>
          <w:color w:val="auto"/>
        </w:rPr>
      </w:pPr>
    </w:p>
    <w:p>
      <w:pPr>
        <w:ind w:right="260"/>
        <w:spacing w:after="0" w:line="259" w:lineRule="auto"/>
        <w:rPr>
          <w:sz w:val="20"/>
          <w:szCs w:val="20"/>
          <w:color w:val="auto"/>
        </w:rPr>
      </w:pPr>
      <w:r>
        <w:rPr>
          <w:rFonts w:ascii="Arial" w:cs="Arial" w:eastAsia="Arial" w:hAnsi="Arial"/>
          <w:sz w:val="18"/>
          <w:szCs w:val="18"/>
          <w:color w:val="auto"/>
        </w:rPr>
        <w:t>“The Company and the management team would like to express their gratitude to Gary for his dedicated service over the past eight years. He leaves a legacy of excellence that has positioned us well for the future,” said YJ Kim, Chief Executive Officer of Magnachip. “His strategic vision and his commitment to our stakeholders have been a source of inspiration to all of us. We are thankful for his years of service and his commitment to our success.”</w:t>
      </w:r>
    </w:p>
    <w:p>
      <w:pPr>
        <w:spacing w:after="0" w:line="187" w:lineRule="exact"/>
        <w:rPr>
          <w:sz w:val="20"/>
          <w:szCs w:val="20"/>
          <w:color w:val="auto"/>
        </w:rPr>
      </w:pPr>
    </w:p>
    <w:p>
      <w:pPr>
        <w:spacing w:after="0"/>
        <w:rPr>
          <w:sz w:val="20"/>
          <w:szCs w:val="20"/>
          <w:color w:val="auto"/>
        </w:rPr>
      </w:pPr>
      <w:r>
        <w:rPr>
          <w:rFonts w:ascii="Arial" w:cs="Arial" w:eastAsia="Arial" w:hAnsi="Arial"/>
          <w:sz w:val="16"/>
          <w:szCs w:val="16"/>
          <w:color w:val="auto"/>
        </w:rPr>
        <w:t>Mr. Tanner’s departure is due to personal reasons. The Company will immediately begin a search for a new independent director to replace Mr. Tanner.</w:t>
      </w:r>
    </w:p>
    <w:p>
      <w:pPr>
        <w:spacing w:after="0" w:line="3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Magnachip Semiconductor</w:t>
      </w:r>
    </w:p>
    <w:p>
      <w:pPr>
        <w:spacing w:after="0" w:line="121"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Magnachip is a designer and manufacturer of analog and mixed-signal semiconductor platform solutions for communications, IoT, consumer, computing, industrial and automotive applications. The Company provides a broad range of standard products to customers worldwide. Magnachip, with more than 40 years of operating history, owns a portfolio of approximately 1,100 registered patents and pending applications, and has extensive engineering, design, and manufacturing process expertise. For more information, please visit www.magnachip.com. Information on or accessible through Magnachip’s website is not a part of, and is not incorporated into, this release.</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CONTACT:</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Yujia Zhai</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The Blueshirt Group</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Tel. (860) 214-0809</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Yujia@blueshirtgroup.com</w:t>
      </w:r>
    </w:p>
    <w:sectPr>
      <w:pgSz w:w="11900" w:h="16838" w:orient="portrait"/>
      <w:cols w:equalWidth="0" w:num="1">
        <w:col w:w="11020"/>
      </w:cols>
      <w:pgMar w:left="440" w:top="121"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2023-07-17T07:39:12Z</dcterms:created>
  <dcterms:modified xsi:type="dcterms:W3CDTF">2023-07-17T07:39:12Z</dcterms:modified>
</cp:coreProperties>
</file>