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4"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222885</wp:posOffset>
            </wp:positionV>
            <wp:extent cx="277749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83-0406195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60" w:right="10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31, 2021, the registrant had 46,451,323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155"/>
        </w:trPr>
        <w:tc>
          <w:tcPr>
            <w:tcW w:w="10400" w:type="dxa"/>
            <w:vAlign w:val="bottom"/>
            <w:gridSpan w:val="23"/>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39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Interim Consolidated Financial Statements (Unaudited)</w:t>
              </w:r>
            </w:hyperlink>
          </w:p>
        </w:tc>
        <w:tc>
          <w:tcPr>
            <w:tcW w:w="5200" w:type="dxa"/>
            <w:vAlign w:val="bottom"/>
            <w:gridSpan w:val="10"/>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Magnachip Semiconductor Corporation and Subsidiaries Consolidated Balance Sheets as of June 30, 2021 and</w:t>
              </w:r>
            </w:hyperlink>
          </w:p>
        </w:tc>
        <w:tc>
          <w:tcPr>
            <w:tcW w:w="12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2020</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Magnachip Semiconductor Corporation and Subsidiaries Consolidated Statements of Operations for the Three and Six</w:t>
              </w:r>
            </w:hyperlink>
          </w:p>
        </w:tc>
        <w:tc>
          <w:tcPr>
            <w:tcW w:w="6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June 30, 2021 and 2020</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1"/>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Magnachip Semiconductor Corporation and Subsidiaries Consolidated Statements of Comprehensive Income (Loss) for the</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and Six Months Ended June 30, 2021 and 2020</w:t>
              </w:r>
            </w:hyperlink>
          </w:p>
        </w:tc>
        <w:tc>
          <w:tcPr>
            <w:tcW w:w="5020" w:type="dxa"/>
            <w:vAlign w:val="bottom"/>
            <w:tcBorders>
              <w:top w:val="single" w:sz="8" w:color="0000EE"/>
            </w:tcBorders>
            <w:gridSpan w:val="9"/>
          </w:tcPr>
          <w:p>
            <w:pPr>
              <w:spacing w:after="0"/>
              <w:rPr>
                <w:sz w:val="17"/>
                <w:szCs w:val="17"/>
                <w:color w:val="auto"/>
              </w:rPr>
            </w:pPr>
          </w:p>
        </w:tc>
        <w:tc>
          <w:tcPr>
            <w:tcW w:w="30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Magnachip Semiconductor Corporation and Subsidiaries Consolidated Statements of Changes in Stockholders’ Equity for</w:t>
              </w:r>
            </w:hyperlink>
          </w:p>
        </w:tc>
        <w:tc>
          <w:tcPr>
            <w:tcW w:w="4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and Six Months Ended June 30, 2021 and 2020</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Cash Flows for the Six Months Ended</w:t>
              </w:r>
            </w:hyperlink>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2021 and 2020</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Magnachip Semiconductor Corporation and Subsidiaries Notes to Consolidated Financial Statements</w:t>
              </w:r>
            </w:hyperlink>
          </w:p>
        </w:tc>
        <w:tc>
          <w:tcPr>
            <w:tcW w:w="190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2.</w:t>
            </w:r>
          </w:p>
        </w:tc>
        <w:tc>
          <w:tcPr>
            <w:tcW w:w="9180" w:type="dxa"/>
            <w:vAlign w:val="bottom"/>
            <w:gridSpan w:val="2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3.</w:t>
            </w:r>
          </w:p>
        </w:tc>
        <w:tc>
          <w:tcPr>
            <w:tcW w:w="6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27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Controls and Procedures</w:t>
              </w:r>
            </w:hyperlink>
          </w:p>
        </w:tc>
        <w:tc>
          <w:tcPr>
            <w:tcW w:w="2580" w:type="dxa"/>
            <w:vAlign w:val="bottom"/>
            <w:tcBorders>
              <w:top w:val="single" w:sz="8" w:color="0000EE"/>
            </w:tcBorders>
            <w:gridSpan w:val="5"/>
          </w:tcPr>
          <w:p>
            <w:pPr>
              <w:spacing w:after="0"/>
              <w:rPr>
                <w:sz w:val="17"/>
                <w:szCs w:val="17"/>
                <w:color w:val="auto"/>
              </w:rPr>
            </w:pPr>
          </w:p>
        </w:tc>
        <w:tc>
          <w:tcPr>
            <w:tcW w:w="484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40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PART II 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60" w:type="dxa"/>
            <w:vAlign w:val="bottom"/>
            <w:gridSpan w:val="1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7860" w:type="dxa"/>
            <w:vAlign w:val="bottom"/>
            <w:gridSpan w:val="1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Item 6.</w:t>
            </w:r>
          </w:p>
        </w:tc>
        <w:tc>
          <w:tcPr>
            <w:tcW w:w="918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13"/>
          </w:tcPr>
          <w:p>
            <w:pPr>
              <w:ind w:left="4240"/>
              <w:spacing w:after="0"/>
              <w:rPr>
                <w:sz w:val="20"/>
                <w:szCs w:val="20"/>
                <w:color w:val="auto"/>
              </w:rPr>
            </w:pPr>
            <w:r>
              <w:rPr>
                <w:rFonts w:ascii="Arial" w:cs="Arial" w:eastAsia="Arial" w:hAnsi="Arial"/>
                <w:sz w:val="18"/>
                <w:szCs w:val="18"/>
                <w:color w:val="auto"/>
                <w:w w:val="79"/>
              </w:rPr>
              <w:t>2</w:t>
            </w: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320" w:type="dxa"/>
            <w:vAlign w:val="bottom"/>
          </w:tcPr>
          <w:p>
            <w:pPr>
              <w:jc w:val="center"/>
              <w:ind w:left="151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320" w:type="dxa"/>
            <w:vAlign w:val="bottom"/>
          </w:tcPr>
          <w:p>
            <w:pPr>
              <w:ind w:left="5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320" w:type="dxa"/>
            <w:vAlign w:val="bottom"/>
          </w:tcPr>
          <w:p>
            <w:pPr>
              <w:jc w:val="center"/>
              <w:ind w:left="153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320" w:type="dxa"/>
            <w:vAlign w:val="bottom"/>
          </w:tcPr>
          <w:p>
            <w:pPr>
              <w:jc w:val="center"/>
              <w:ind w:left="151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6"/>
          </w:tcPr>
          <w:p>
            <w:pPr>
              <w:jc w:val="right"/>
              <w:ind w:right="3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Assets</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271,880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56,730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Hedge collateral (Note 9)</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(Notes 10 and 19)</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395,935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94,721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43,069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557,553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571,690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52,040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Accrued expenses (Note 8)</w:t>
            </w: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13,020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 (Note 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83,040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173,618</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39,520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10,024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226,090</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19)</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6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Common stock, $0.01 par value, 150,000,000 shares authorized, 55,562,907 shares issued and 46,350,945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3"/>
              </w:rPr>
              <w:t>outstanding at June 30, 2021 and 44,943,854 shares issued and 35,783,347 outstanding at December 31, 2020</w:t>
            </w:r>
          </w:p>
        </w:tc>
        <w:tc>
          <w:tcPr>
            <w:tcW w:w="10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253,244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163,010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279,163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286,834</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Treasury stock, 9,211,962 shares at June 30, 2021 and 9,160,507 shares at December 31, 2020, respectively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(109,407)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(108,397)</w:t>
            </w:r>
          </w:p>
        </w:tc>
        <w:tc>
          <w:tcPr>
            <w:tcW w:w="0" w:type="dxa"/>
            <w:vAlign w:val="bottom"/>
          </w:tcPr>
          <w:p>
            <w:pPr>
              <w:spacing w:after="0"/>
              <w:rPr>
                <w:sz w:val="1"/>
                <w:szCs w:val="1"/>
                <w:color w:val="auto"/>
              </w:rPr>
            </w:pPr>
          </w:p>
        </w:tc>
      </w:tr>
      <w:tr>
        <w:trPr>
          <w:trHeight w:val="216"/>
        </w:trPr>
        <w:tc>
          <w:tcPr>
            <w:tcW w:w="88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422,631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832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557,553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8"/>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103,268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108,955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216,174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219,691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19,610</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236,895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70,409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76,817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149,656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158,423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19,610</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168,543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61,268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26,745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21,617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(22,502)</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before income tax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(17,323)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17,397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24,726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46,322,027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35,092,312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43,324,088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34,992,734</w:t>
            </w: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46,322,027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46,474,237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43,324,088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34,992,734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50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r>
      <w:tr>
        <w:trPr>
          <w:trHeight w:val="119"/>
        </w:trPr>
        <w:tc>
          <w:tcPr>
            <w:tcW w:w="7860" w:type="dxa"/>
            <w:vAlign w:val="bottom"/>
          </w:tcPr>
          <w:p>
            <w:pPr>
              <w:spacing w:after="0"/>
              <w:rPr>
                <w:sz w:val="10"/>
                <w:szCs w:val="10"/>
                <w:color w:val="auto"/>
              </w:rPr>
            </w:pPr>
          </w:p>
        </w:tc>
        <w:tc>
          <w:tcPr>
            <w:tcW w:w="6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01"/>
              <w:spacing w:after="0" w:line="119" w:lineRule="exact"/>
              <w:rPr>
                <w:sz w:val="20"/>
                <w:szCs w:val="20"/>
                <w:color w:val="auto"/>
              </w:rPr>
            </w:pPr>
            <w:r>
              <w:rPr>
                <w:rFonts w:ascii="Arial" w:cs="Arial" w:eastAsia="Arial" w:hAnsi="Arial"/>
                <w:sz w:val="13"/>
                <w:szCs w:val="13"/>
                <w:b w:val="1"/>
                <w:bCs w:val="1"/>
                <w:color w:val="auto"/>
              </w:rPr>
              <w:t>June 30,</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7"/>
          </w:tcPr>
          <w:p>
            <w:pPr>
              <w:jc w:val="right"/>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$ 29,171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5,422</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15,708</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Derivative adjustments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valuation of derivatives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(2,800)</w:t>
            </w:r>
          </w:p>
        </w:tc>
      </w:tr>
      <w:tr>
        <w:trPr>
          <w:trHeight w:val="202"/>
        </w:trPr>
        <w:tc>
          <w:tcPr>
            <w:tcW w:w="7860" w:type="dxa"/>
            <w:vAlign w:val="bottom"/>
          </w:tcPr>
          <w:p>
            <w:pPr>
              <w:ind w:left="720"/>
              <w:spacing w:after="0" w:line="201" w:lineRule="exact"/>
              <w:rPr>
                <w:sz w:val="20"/>
                <w:szCs w:val="20"/>
                <w:color w:val="auto"/>
              </w:rPr>
            </w:pPr>
            <w:r>
              <w:rPr>
                <w:rFonts w:ascii="Arial" w:cs="Arial" w:eastAsia="Arial" w:hAnsi="Arial"/>
                <w:sz w:val="18"/>
                <w:szCs w:val="18"/>
                <w:color w:val="auto"/>
              </w:rPr>
              <w:t>Reclassification adjustment for loss (gain) on derivatives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860" w:type="dxa"/>
            <w:vAlign w:val="bottom"/>
          </w:tcPr>
          <w:p>
            <w:pPr>
              <w:ind w:left="720"/>
              <w:spacing w:after="0"/>
              <w:rPr>
                <w:sz w:val="20"/>
                <w:szCs w:val="20"/>
                <w:color w:val="auto"/>
              </w:rPr>
            </w:pPr>
            <w:r>
              <w:rPr>
                <w:rFonts w:ascii="Arial" w:cs="Arial" w:eastAsia="Arial" w:hAnsi="Arial"/>
                <w:sz w:val="18"/>
                <w:szCs w:val="18"/>
                <w:color w:val="auto"/>
              </w:rPr>
              <w:t>included in net income (loss)</w:t>
            </w:r>
          </w:p>
        </w:tc>
        <w:tc>
          <w:tcPr>
            <w:tcW w:w="10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(475)</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13,159</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$ 25,025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(12,299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18,581</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8"/>
              </w:rPr>
              <w:t>Paid-In</w:t>
            </w:r>
          </w:p>
        </w:tc>
        <w:tc>
          <w:tcPr>
            <w:tcW w:w="84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1000" w:type="dxa"/>
            <w:vAlign w:val="bottom"/>
            <w:gridSpan w:val="2"/>
          </w:tcPr>
          <w:p>
            <w:pPr>
              <w:jc w:val="right"/>
              <w:ind w:right="281"/>
              <w:spacing w:after="0" w:line="125" w:lineRule="exact"/>
              <w:rPr>
                <w:sz w:val="20"/>
                <w:szCs w:val="20"/>
                <w:color w:val="auto"/>
              </w:rPr>
            </w:pPr>
            <w:r>
              <w:rPr>
                <w:rFonts w:ascii="Arial" w:cs="Arial" w:eastAsia="Arial" w:hAnsi="Arial"/>
                <w:sz w:val="14"/>
                <w:szCs w:val="14"/>
                <w:b w:val="1"/>
                <w:bCs w:val="1"/>
                <w:color w:val="auto"/>
              </w:rPr>
              <w:t>Treasury</w:t>
            </w:r>
          </w:p>
        </w:tc>
        <w:tc>
          <w:tcPr>
            <w:tcW w:w="11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110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right"/>
              <w:ind w:right="381"/>
              <w:spacing w:after="0" w:line="129" w:lineRule="exact"/>
              <w:rPr>
                <w:sz w:val="20"/>
                <w:szCs w:val="20"/>
                <w:color w:val="auto"/>
              </w:rPr>
            </w:pPr>
            <w:r>
              <w:rPr>
                <w:rFonts w:ascii="Arial" w:cs="Arial" w:eastAsia="Arial" w:hAnsi="Arial"/>
                <w:sz w:val="14"/>
                <w:szCs w:val="14"/>
                <w:b w:val="1"/>
                <w:bCs w:val="1"/>
                <w:color w:val="auto"/>
              </w:rPr>
              <w:t>Stock</w:t>
            </w:r>
          </w:p>
        </w:tc>
        <w:tc>
          <w:tcPr>
            <w:tcW w:w="11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2021:</w:t>
            </w: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46,257,413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555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$250,829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$279,361</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$(109,407)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420,347</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92,532</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net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46,350,945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253,244</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279,163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(109,407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422,631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2020:</w:t>
            </w: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35,054,682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442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$153,286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(81,880)</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$(107,649)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14,645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(21,156)</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1,643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88,351</w:t>
            </w: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662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loss, net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29,171</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29,171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35,143,033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443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155,591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(52,709)</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8"/>
              </w:rPr>
              <w:t>Paid-In</w:t>
            </w:r>
          </w:p>
        </w:tc>
        <w:tc>
          <w:tcPr>
            <w:tcW w:w="84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1000" w:type="dxa"/>
            <w:vAlign w:val="bottom"/>
            <w:gridSpan w:val="2"/>
          </w:tcPr>
          <w:p>
            <w:pPr>
              <w:jc w:val="right"/>
              <w:ind w:right="281"/>
              <w:spacing w:after="0" w:line="125" w:lineRule="exact"/>
              <w:rPr>
                <w:sz w:val="20"/>
                <w:szCs w:val="20"/>
                <w:color w:val="auto"/>
              </w:rPr>
            </w:pPr>
            <w:r>
              <w:rPr>
                <w:rFonts w:ascii="Arial" w:cs="Arial" w:eastAsia="Arial" w:hAnsi="Arial"/>
                <w:sz w:val="14"/>
                <w:szCs w:val="14"/>
                <w:b w:val="1"/>
                <w:bCs w:val="1"/>
                <w:color w:val="auto"/>
              </w:rPr>
              <w:t>Treasury</w:t>
            </w:r>
          </w:p>
        </w:tc>
        <w:tc>
          <w:tcPr>
            <w:tcW w:w="11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(In thousands of U.S. dollars, except share data)</w:t>
            </w:r>
          </w:p>
        </w:tc>
        <w:tc>
          <w:tcPr>
            <w:tcW w:w="110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0" w:type="dxa"/>
            <w:vAlign w:val="bottom"/>
            <w:gridSpan w:val="2"/>
          </w:tcPr>
          <w:p>
            <w:pPr>
              <w:jc w:val="right"/>
              <w:ind w:right="381"/>
              <w:spacing w:after="0" w:line="129" w:lineRule="exact"/>
              <w:rPr>
                <w:sz w:val="20"/>
                <w:szCs w:val="20"/>
                <w:color w:val="auto"/>
              </w:rPr>
            </w:pPr>
            <w:r>
              <w:rPr>
                <w:rFonts w:ascii="Arial" w:cs="Arial" w:eastAsia="Arial" w:hAnsi="Arial"/>
                <w:sz w:val="14"/>
                <w:szCs w:val="14"/>
                <w:b w:val="1"/>
                <w:bCs w:val="1"/>
                <w:color w:val="auto"/>
              </w:rPr>
              <w:t>Stock</w:t>
            </w:r>
          </w:p>
        </w:tc>
        <w:tc>
          <w:tcPr>
            <w:tcW w:w="114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2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94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Months Ended June 30, 2021:</w:t>
            </w: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35,783,347</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450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$163,010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$286,834</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$(108,397)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345,600</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4,051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Exchange of exchangeable senior notes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10,144,131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83,639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83,740</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176,760</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2,547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Settlement of restricted stock units</w:t>
            </w:r>
          </w:p>
        </w:tc>
        <w:tc>
          <w:tcPr>
            <w:tcW w:w="820" w:type="dxa"/>
            <w:vAlign w:val="bottom"/>
          </w:tcPr>
          <w:p>
            <w:pPr>
              <w:jc w:val="right"/>
              <w:spacing w:after="0"/>
              <w:rPr>
                <w:sz w:val="20"/>
                <w:szCs w:val="20"/>
                <w:color w:val="auto"/>
              </w:rPr>
            </w:pPr>
            <w:r>
              <w:rPr>
                <w:rFonts w:ascii="Arial" w:cs="Arial" w:eastAsia="Arial" w:hAnsi="Arial"/>
                <w:sz w:val="18"/>
                <w:szCs w:val="18"/>
                <w:color w:val="auto"/>
              </w:rPr>
              <w:t>298,162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(51,455)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46,350,945</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253,244</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279,163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(109,407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422,631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2020:</w:t>
            </w: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34,800,312</w:t>
            </w:r>
          </w:p>
        </w:tc>
        <w:tc>
          <w:tcPr>
            <w:tcW w:w="2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439</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$152,404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(58,131)</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$(107,033)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(14,981)</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2,528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88,351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662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Settlement of restricted stock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308,364</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Acquisition of treasury stock</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(53,994)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35,143,033</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443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155,591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(52,709)</w:t>
            </w:r>
          </w:p>
        </w:tc>
        <w:tc>
          <w:tcPr>
            <w:tcW w:w="112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1"/>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r>
      <w:tr>
        <w:trPr>
          <w:trHeight w:val="171"/>
        </w:trPr>
        <w:tc>
          <w:tcPr>
            <w:tcW w:w="7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2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(7,671)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5,422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6,998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10,479</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10,179</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26,397</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4,051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2,528</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Unbilled accounts receivable, net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10,933</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(7,170)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(14,060)</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(4,841)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4,747</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1,040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4,947</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(5,898)</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(3,980)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(10,249)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871</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(2,836)</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(4,272)</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57,065</w:t>
            </w:r>
          </w:p>
        </w:tc>
        <w:tc>
          <w:tcPr>
            <w:tcW w:w="12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5,855</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(7,841)</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(4,866)</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(8,842)</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(4,960)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r>
      <w:tr>
        <w:trPr>
          <w:trHeight w:val="223"/>
        </w:trPr>
        <w:tc>
          <w:tcPr>
            <w:tcW w:w="75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(11,804)</w:t>
            </w: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(1,653)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r>
      <w:tr>
        <w:trPr>
          <w:trHeight w:val="223"/>
        </w:trPr>
        <w:tc>
          <w:tcPr>
            <w:tcW w:w="754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(9,451)</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(3,350)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41,167</w:t>
            </w: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279,940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End of the period</w:t>
            </w:r>
          </w:p>
        </w:tc>
        <w:tc>
          <w:tcPr>
            <w:tcW w:w="1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271,880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192,824</w:t>
            </w:r>
          </w:p>
        </w:tc>
        <w:tc>
          <w:tcPr>
            <w:tcW w:w="12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2,094</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9,522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w:t>
            </w: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Exchange of exchangeable senior notes into common stock</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September 1, 2020 (the “Closing Date”), the Company completed the sale of the Company’s Foundry Services Group business and its fabrication facility located in Cheongju, Korea, known as “Fab 4” to Key Foundry Co., Ltd. (the “Buyer”), a Korean corporation, in exchange for a purchase price equal to approximately $350.6 million in cash, pursuant to the terms of a business transfer agreement (the “Business Transfer Agreement”) dated March 31, 2020 by and among the Company and Magnus Semiconductor, LLC, a Korean limited liability company (“Magnus”). The purchase price was paid in a combination of U.S. Dollars in the amount of $46.5 million and Korean Won in the amount of approximately KRW</w:t>
      </w:r>
    </w:p>
    <w:p>
      <w:pPr>
        <w:spacing w:after="0" w:line="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360.6 billion. In addition to the purchase price, the Buyer assumed all severance liabilities relating to the transferred employees, which had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 This divestiture of the Foundry Services Group business and Fab 4 was made in connection with the Company’s strategic shift of its operational focus to its standard products business. The Foundry Services Group was historically a reportable segment. The Foundry Services Group business was classified as discontinued operations in the Company’s consolidated statements of operations and excluded from both continuing operations and segment results for the three months ended March 31, 2020. Accordingly, the Company has one reportable segment, its standard products business, together with transitional foundry services associated with its fabrication facility located in Gumi, Korea, known as “Fab 3,” that it expects to perform for the Buyer for a period of up to three years from the Closing Date (the “Transitional Fab 3 Foundry Services”).</w:t>
      </w:r>
    </w:p>
    <w:p>
      <w:pPr>
        <w:spacing w:after="0" w:line="17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Company’s standard products business includes its Display Solutions and Power Solutions business lines.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except for the changes below. The results of operations for the three and six months ended June 30, 2021 are not necessarily indicative of the results to be expected for a full year or for any other periods. The consolidated statement of cash flow for the six months ended June 30, 2020 has not been adjusted to separately disclose the cash flow related to discontinued operations, but the material items in the operating and investing activities of the cash flow relating to discontinued operations for the same period is disclosed in Note 3. Unless otherwise stated, information in these notes to consolidated financial statements relates to the Company’s continuing operations and excludes the discontinued operations.</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December 31, 2020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“Income Taxes (Topic 740): Simplifying the Accounting for Income Taxes” (“ASU 2019-12”). ASU 2019-12 removes certain exceptions to the general principles in Topic 740 and improves consistent application of and simplifies GAAP for other areas of Topic 740 by clarifying and amending existing guidance. The Company adopted ASU 2019-12 as of January 1, 2021, and the adoption of ASU 2019-12 did not have a material impact on the Company’s consolidated financial statements.</w:t>
      </w:r>
    </w:p>
    <w:p>
      <w:pPr>
        <w:sectPr>
          <w:pgSz w:w="11900" w:h="16838" w:orient="portrait"/>
          <w:cols w:equalWidth="0" w:num="1">
            <w:col w:w="11120"/>
          </w:cols>
          <w:pgMar w:left="320" w:top="486" w:right="459" w:bottom="1440" w:gutter="0" w:footer="0" w:header="0"/>
        </w:sectPr>
      </w:pP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Merger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March 25, 2021, the Company, South Dearborn Limited, an exempted company incorporated in the Cayman Islands with limited liability (“Parent”), formed by an affiliate of Wise Road Capital LTD,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(the “DGCL”) as the surviving corporation in the Merger and becoming a wholly owned subsidiary of Parent.</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the Merger Agreement, each share of the Company’s common stock, par value $0.01 per share (the “Common Stock”), issued and outstanding immediately before the effective time of the Merger (the “Effective Time”) (other than (a) shares of Common Stock owned by the Company or any of its wholly owned subsidiaries or by Parent or any of its subsidiaries immediately before the Effective Time (collectively, the “Excluded Shares”) and (b) any shares of Common Stock for which the holder thereof (i) has not voted in favor of the Merger or consented to it in writing and</w:t>
      </w:r>
    </w:p>
    <w:p>
      <w:pPr>
        <w:spacing w:after="0" w:line="1" w:lineRule="exact"/>
        <w:rPr>
          <w:sz w:val="20"/>
          <w:szCs w:val="20"/>
          <w:color w:val="auto"/>
        </w:rPr>
      </w:pPr>
    </w:p>
    <w:p>
      <w:pPr>
        <w:ind w:left="120" w:right="220" w:hanging="4"/>
        <w:spacing w:after="0" w:line="255" w:lineRule="auto"/>
        <w:tabs>
          <w:tab w:leader="none" w:pos="385"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properly and validly exercised their statutory rights of appraisal in respect of such shares of Common Stock in accordance with Section 262 of the DGCL (collectively, “Dissenting Shares”)) will be cancelled and will cease to exist and will be automatically converted into the right to receive $29.00 in cash, without interest (the “Merger Consideration”), subject to applicable withholding taxes.</w:t>
      </w:r>
    </w:p>
    <w:p>
      <w:pPr>
        <w:spacing w:after="0" w:line="190"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Consummation of the Merger is subject to certain customary closing conditions, including (i) approval of the Merger Agreement by our stockholders, (ii) the receipt of certain required or requested governmental approvals or authorizations (including from the Committee on Foreign Investment in the United States (“CFIUS”) and the Korean Ministry of Trade, Industry and Energy (“MOTIE”)), (iii) the absence of any order or law issued, enacted or deemed applicable by certain governmental authorities specified in the Merger Agreement that makes consummation of the Merger illegal and that remains in effect (a “Prohibitive Order”), (iv) the absence of a Company Material Adverse Effect (as defined in the Merger Agreement) and (v) other customary closing conditions, including the accuracy of each party’s representations and warranties, and each party’s compliance with its obligations under the Merger Agreement (subject in the case of this clause (v) to certain materiality qualifiers).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Merger Agreement contains termination rights for each of the Company and Parent, including if (i) the consummation of the Merger does not occur by 11:59 p.m. (New York time) on September 25, 2021 (subject to extension to December 25, 2021 and again to March 25, 2022 at the option of either party if certain regulatory approvals or authorizations have not been obtained by such date or certain governmental authorities specified in the Merger Agreement have issued, enacted or deemed applicable a Prohibitive Order), (ii) the Requisite Company Vote is not obtained, (iii) any of certain governmental authorities specified in the Merger Agreement issues, enacts or deems applicable after the date of the Merger Agreement a Prohibitive Order that has become final and non-appealable, or (iv) the other party has breached the Merger Agreement, which breach would give rise to a failure, or has materially contributed to the failure, of certain conditions to the non-breaching party’s obligations to close (subject to a cure period). Additionally, each of the Company and Parent may terminate the Merger Agreement in certain other circumstances.</w:t>
      </w:r>
    </w:p>
    <w:p>
      <w:pPr>
        <w:spacing w:after="0" w:line="16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For the three and six months ended June 30, 2021, the Company incurred $2,459 thousand and $12,290 thousand, respectively, of professional fees and certain transaction related-expenses incurred in connection with the Merger, which were recognized in other charges in the consolidated statements of operations.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foregoing description of the Merger Agreement is not complete and is qualified in its entirety by reference to the Merger Agreement, which is filed as Exhibit 2.1 to the Company’s Current Report on Form 8-K filed on March 29, 2021.</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Discontinued Operations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September 1, 2020, the Company completed the sale of the Company’s Foundry Services Group business and Fab 4. As a result of the sale of the Foundry Services Group business and Fab 4, the Company recorded a gain of $287,117 thousand and all operations from the Foundry Services Group business and Fab 4 were classified as discontinued operations for the three and six months ended June 30, 2020. Following the consummation of the sale, and for up to three years, the Company is expected to provide the Transitional Fab 3 Foundry Services at an agreed upon cost plus mark-up. For the periods prior to the Closing Date, revenue from providing the Transitional Fab 3 Foundry Services to the Foundry Services Group is recorded at cost on both of the continuing and discontinued businesses for comparative purposes. Cash inflows to the Company from the Buyer related to providing the Transitional Fab 3 Foundry Services were $11,166 thousand and $24,790 thousand for the three and six months ended June 30, 2021, respectively.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results from discontinued operations, net of tax, for the three and six months ended June 30, 2020.</w:t>
      </w:r>
    </w:p>
    <w:p>
      <w:pPr>
        <w:spacing w:after="0" w:line="26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June 30,</w:t>
            </w:r>
          </w:p>
        </w:tc>
        <w:tc>
          <w:tcPr>
            <w:tcW w:w="4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r>
      <w:tr>
        <w:trPr>
          <w:trHeight w:val="171"/>
        </w:trPr>
        <w:tc>
          <w:tcPr>
            <w:tcW w:w="5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6"/>
          </w:tcPr>
          <w:p>
            <w:pPr>
              <w:jc w:val="right"/>
              <w:ind w:right="652"/>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Net sales – Foundry Services Group</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95,779</w:t>
            </w:r>
          </w:p>
        </w:tc>
        <w:tc>
          <w:tcPr>
            <w:tcW w:w="42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182,058</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(9,873)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(19,610)</w:t>
            </w:r>
          </w:p>
        </w:tc>
      </w:tr>
      <w:tr>
        <w:trPr>
          <w:trHeight w:val="223"/>
        </w:trPr>
        <w:tc>
          <w:tcPr>
            <w:tcW w:w="50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85,906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162,448</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Cost of sales – Foundry Services Group</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64,869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130,452</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(9,873)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(19,610)</w:t>
            </w:r>
          </w:p>
        </w:tc>
      </w:tr>
      <w:tr>
        <w:trPr>
          <w:trHeight w:val="230"/>
        </w:trPr>
        <w:tc>
          <w:tcPr>
            <w:tcW w:w="500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110,842</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10,636</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6,915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14,318</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2,704</w:t>
            </w:r>
          </w:p>
        </w:tc>
      </w:tr>
      <w:tr>
        <w:trPr>
          <w:trHeight w:val="230"/>
        </w:trPr>
        <w:tc>
          <w:tcPr>
            <w:tcW w:w="50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27,658</w:t>
            </w:r>
          </w:p>
        </w:tc>
        <w:tc>
          <w:tcPr>
            <w:tcW w:w="10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23,948</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24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Others, net</w:t>
            </w: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09"/>
        </w:trPr>
        <w:tc>
          <w:tcPr>
            <w:tcW w:w="5000" w:type="dxa"/>
            <w:vAlign w:val="bottom"/>
          </w:tcPr>
          <w:p>
            <w:pPr>
              <w:spacing w:after="0"/>
              <w:rPr>
                <w:sz w:val="20"/>
                <w:szCs w:val="20"/>
                <w:color w:val="auto"/>
              </w:rPr>
            </w:pPr>
            <w:r>
              <w:rPr>
                <w:rFonts w:ascii="Arial" w:cs="Arial" w:eastAsia="Arial" w:hAnsi="Arial"/>
                <w:sz w:val="18"/>
                <w:szCs w:val="18"/>
                <w:color w:val="auto"/>
              </w:rPr>
              <w:t>Income from discontinued operations before income tax</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18,332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26,070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24,726</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three and six months ended June 30, 2020, the Company recorded $589 thousand and $2,704 thousand, respectively, in professional fees incurred in connection with the sale of the Foundry Services Group business and Fab 4, and recorded such costs as restructuring and other charges in the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supplemental cash flows information related to discontinued operations: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19"/>
        </w:trPr>
        <w:tc>
          <w:tcPr>
            <w:tcW w:w="33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ind w:right="138"/>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(In thousands of U.S. dollars)</w:t>
            </w: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operating activities: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5,365</w:t>
            </w: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w:t>
            </w: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(4,415)</w:t>
            </w:r>
          </w:p>
        </w:tc>
      </w:tr>
      <w:tr>
        <w:trPr>
          <w:trHeight w:val="418"/>
        </w:trPr>
        <w:tc>
          <w:tcPr>
            <w:tcW w:w="3300" w:type="dxa"/>
            <w:vAlign w:val="bottom"/>
          </w:tcPr>
          <w:p>
            <w:pPr>
              <w:spacing w:after="0"/>
              <w:rPr>
                <w:sz w:val="24"/>
                <w:szCs w:val="24"/>
                <w:color w:val="auto"/>
              </w:rPr>
            </w:pPr>
          </w:p>
        </w:tc>
        <w:tc>
          <w:tcPr>
            <w:tcW w:w="2260" w:type="dxa"/>
            <w:vAlign w:val="bottom"/>
          </w:tcPr>
          <w:p>
            <w:pPr>
              <w:jc w:val="right"/>
              <w:ind w:right="163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as of June 30, 2021 and December 31, 2020 consist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32,524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30,968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(8,101)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(5,901)</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41,369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39,039</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inventory reserve for the three and six months ended June 30, 2021 and 2020 are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6"/>
              </w:rPr>
              <w:t>June 30, 2021</w:t>
            </w:r>
          </w:p>
        </w:tc>
        <w:tc>
          <w:tcPr>
            <w:tcW w:w="580" w:type="dxa"/>
            <w:vAlign w:val="bottom"/>
            <w:tcBorders>
              <w:top w:val="single" w:sz="8" w:color="auto"/>
              <w:bottom w:val="single" w:sz="8" w:color="auto"/>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4"/>
              </w:rPr>
              <w:t>June 30, 2020</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reserve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(5,350)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(3,069)</w:t>
            </w: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Write off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(5,307)</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320" w:top="486" w:right="8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as of June 30, 2021 and December 31, 2020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104,875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106,244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44,277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40,116</w:t>
            </w: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173,667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171,586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(93,549)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(90,370)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15,167</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94,721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96,383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Aggregate depreciation expenses totaled $6,626 thousand and $4,794 thousand for the six months ended June 30, 2021 and 2020, respectively.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June 30, 2021 and December 31, 2020 are comprised of the following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9,425</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2,541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9,425</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2,541</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9,486</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2,727</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Aggregate amortization expenses for intangible assets totaled $372 thousand and $320 thousand for the six months ended June 30, 2021 and 2020,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has operating and finance leases for buildings and other assets such as vehicles and office equipment. The Company’s leases have remaining lease terms ranging from 1 year to 5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tables below present financial information related to the Company’s leases.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Supplemental balance sheets information related to leases as of June 30, 2021 and December 31, 2020 are as follows (in thousands):</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1300" w:type="dxa"/>
            <w:vAlign w:val="bottom"/>
          </w:tcPr>
          <w:p>
            <w:pPr>
              <w:spacing w:after="0"/>
              <w:rPr>
                <w:sz w:val="14"/>
                <w:szCs w:val="14"/>
                <w:color w:val="auto"/>
              </w:rPr>
            </w:pPr>
          </w:p>
        </w:tc>
        <w:tc>
          <w:tcPr>
            <w:tcW w:w="33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Classification</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4"/>
        </w:trPr>
        <w:tc>
          <w:tcPr>
            <w:tcW w:w="28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520" w:type="dxa"/>
            <w:vAlign w:val="bottom"/>
            <w:gridSpan w:val="2"/>
          </w:tcPr>
          <w:p>
            <w:pPr>
              <w:jc w:val="right"/>
              <w:ind w:right="30"/>
              <w:spacing w:after="0" w:line="12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2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Operating lease</w:t>
            </w:r>
          </w:p>
        </w:tc>
        <w:tc>
          <w:tcPr>
            <w:tcW w:w="4620" w:type="dxa"/>
            <w:vAlign w:val="bottom"/>
            <w:gridSpan w:val="3"/>
          </w:tcPr>
          <w:p>
            <w:pPr>
              <w:ind w:left="1300"/>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79"/>
              </w:rPr>
              <w:t>$ 4,520</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w:t>
            </w:r>
          </w:p>
        </w:tc>
        <w:tc>
          <w:tcPr>
            <w:tcW w:w="46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lease assets</w:t>
            </w:r>
          </w:p>
        </w:tc>
        <w:tc>
          <w:tcPr>
            <w:tcW w:w="1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 xml:space="preserve"> 4,685</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6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Operating lease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$ 2,181</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Finance</w:t>
            </w:r>
          </w:p>
        </w:tc>
        <w:tc>
          <w:tcPr>
            <w:tcW w:w="4620" w:type="dxa"/>
            <w:vAlign w:val="bottom"/>
            <w:gridSpan w:val="3"/>
          </w:tcPr>
          <w:p>
            <w:pPr>
              <w:ind w:left="1300"/>
              <w:spacing w:after="0"/>
              <w:rPr>
                <w:sz w:val="20"/>
                <w:szCs w:val="20"/>
                <w:color w:val="auto"/>
              </w:rPr>
            </w:pPr>
            <w:r>
              <w:rPr>
                <w:rFonts w:ascii="Arial" w:cs="Arial" w:eastAsia="Arial" w:hAnsi="Arial"/>
                <w:sz w:val="18"/>
                <w:szCs w:val="18"/>
                <w:color w:val="auto"/>
              </w:rPr>
              <w:t>Other current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4620" w:type="dxa"/>
            <w:vAlign w:val="bottom"/>
            <w:gridSpan w:val="3"/>
          </w:tcPr>
          <w:p>
            <w:pPr>
              <w:ind w:left="1300"/>
              <w:spacing w:after="0"/>
              <w:rPr>
                <w:sz w:val="20"/>
                <w:szCs w:val="20"/>
                <w:color w:val="auto"/>
              </w:rPr>
            </w:pPr>
            <w:r>
              <w:rPr>
                <w:rFonts w:ascii="Arial" w:cs="Arial" w:eastAsia="Arial" w:hAnsi="Arial"/>
                <w:sz w:val="18"/>
                <w:szCs w:val="18"/>
                <w:color w:val="auto"/>
              </w:rPr>
              <w:t>Non-current operating lease liabilities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46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Other non-current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1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 xml:space="preserve"> 4,700</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2.9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 years</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2.5 years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years</w:t>
            </w: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7.75%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78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2020</w:t>
            </w:r>
          </w:p>
        </w:tc>
        <w:tc>
          <w:tcPr>
            <w:tcW w:w="4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$ 1,407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Finance lease cost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1,447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above table does not include an immaterial cost of short-term leases for the three and six months ended June 30, 2021 and 2020.</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320" w:top="486" w:right="6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lease information is as follows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620" w:type="dxa"/>
            <w:vAlign w:val="bottom"/>
          </w:tcPr>
          <w:p>
            <w:pPr>
              <w:spacing w:after="0"/>
              <w:rPr>
                <w:sz w:val="10"/>
                <w:szCs w:val="10"/>
                <w:color w:val="auto"/>
              </w:rPr>
            </w:pPr>
          </w:p>
        </w:tc>
        <w:tc>
          <w:tcPr>
            <w:tcW w:w="7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2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40" w:type="dxa"/>
            <w:vAlign w:val="bottom"/>
          </w:tcPr>
          <w:p>
            <w:pPr>
              <w:spacing w:after="0"/>
              <w:rPr>
                <w:sz w:val="10"/>
                <w:szCs w:val="10"/>
                <w:color w:val="auto"/>
              </w:rPr>
            </w:pPr>
          </w:p>
        </w:tc>
      </w:tr>
      <w:tr>
        <w:trPr>
          <w:trHeight w:val="171"/>
        </w:trPr>
        <w:tc>
          <w:tcPr>
            <w:tcW w:w="662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2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727</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   461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$ 1,407</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929</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future lease payments for operating and finance leases as of June 30, 2021 are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Finance</w:t>
            </w: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Leases</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future lease payments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Present value of future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as of June 30, 2021 and December 31, 2020 are comprised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Outside service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Others</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13,020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100"/>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6" w:right="8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of the zero cost collar contracts as of June 30, 2021 are as follows (in thousands):</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102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4"/>
                <w:szCs w:val="14"/>
                <w:b w:val="1"/>
                <w:bCs w:val="1"/>
                <w:color w:val="auto"/>
              </w:rPr>
              <w:t>Total notional amount</w:t>
            </w:r>
          </w:p>
        </w:tc>
        <w:tc>
          <w:tcPr>
            <w:tcW w:w="6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
        </w:trPr>
        <w:tc>
          <w:tcPr>
            <w:tcW w:w="88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December 15, 2020</w:t>
            </w:r>
          </w:p>
        </w:tc>
        <w:tc>
          <w:tcPr>
            <w:tcW w:w="10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July 2021 to December 2021</w:t>
            </w:r>
          </w:p>
        </w:tc>
      </w:tr>
      <w:tr>
        <w:trPr>
          <w:trHeight w:val="216"/>
        </w:trPr>
        <w:tc>
          <w:tcPr>
            <w:tcW w:w="88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February 26, 2021</w:t>
            </w:r>
          </w:p>
        </w:tc>
        <w:tc>
          <w:tcPr>
            <w:tcW w:w="152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18,000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r>
        <w:trPr>
          <w:trHeight w:val="216"/>
        </w:trPr>
        <w:tc>
          <w:tcPr>
            <w:tcW w:w="88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2021</w:t>
            </w:r>
          </w:p>
        </w:tc>
        <w:tc>
          <w:tcPr>
            <w:tcW w:w="15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39,000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2022 to September 2022</w:t>
            </w:r>
          </w:p>
        </w:tc>
      </w:tr>
      <w:tr>
        <w:trPr>
          <w:trHeight w:val="432"/>
        </w:trPr>
        <w:tc>
          <w:tcPr>
            <w:tcW w:w="9240" w:type="dxa"/>
            <w:vAlign w:val="bottom"/>
            <w:gridSpan w:val="11"/>
          </w:tcPr>
          <w:p>
            <w:pPr>
              <w:spacing w:after="0"/>
              <w:rPr>
                <w:sz w:val="20"/>
                <w:szCs w:val="20"/>
                <w:color w:val="auto"/>
              </w:rPr>
            </w:pPr>
            <w:r>
              <w:rPr>
                <w:rFonts w:ascii="Arial" w:cs="Arial" w:eastAsia="Arial" w:hAnsi="Arial"/>
                <w:sz w:val="18"/>
                <w:szCs w:val="18"/>
                <w:color w:val="auto"/>
              </w:rPr>
              <w:t>Details of the zero cost collar contracts as of December 31, 2020 are as follows (in thousands):</w:t>
            </w:r>
          </w:p>
        </w:tc>
      </w:tr>
      <w:tr>
        <w:trPr>
          <w:trHeight w:val="392"/>
        </w:trPr>
        <w:tc>
          <w:tcPr>
            <w:tcW w:w="8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Total notional amount</w:t>
            </w:r>
          </w:p>
        </w:tc>
        <w:tc>
          <w:tcPr>
            <w:tcW w:w="6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Month of settlement</w:t>
            </w:r>
          </w:p>
        </w:tc>
      </w:tr>
      <w:tr>
        <w:trPr>
          <w:trHeight w:val="20"/>
        </w:trPr>
        <w:tc>
          <w:tcPr>
            <w:tcW w:w="88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r>
        <w:trPr>
          <w:trHeight w:val="197"/>
        </w:trPr>
        <w:tc>
          <w:tcPr>
            <w:tcW w:w="880" w:type="dxa"/>
            <w:vAlign w:val="bottom"/>
          </w:tcPr>
          <w:p>
            <w:pPr>
              <w:spacing w:after="0"/>
              <w:rPr>
                <w:sz w:val="17"/>
                <w:szCs w:val="17"/>
                <w:color w:val="auto"/>
              </w:rPr>
            </w:pPr>
          </w:p>
        </w:tc>
        <w:tc>
          <w:tcPr>
            <w:tcW w:w="2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July 13, 2020</w:t>
            </w:r>
          </w:p>
        </w:tc>
        <w:tc>
          <w:tcPr>
            <w:tcW w:w="1060" w:type="dxa"/>
            <w:vAlign w:val="bottom"/>
            <w:gridSpan w:val="2"/>
            <w:shd w:val="clear" w:color="auto" w:fill="CCEEFF"/>
          </w:tcPr>
          <w:p>
            <w:pPr>
              <w:spacing w:after="0"/>
              <w:rPr>
                <w:sz w:val="17"/>
                <w:szCs w:val="17"/>
                <w:color w:val="auto"/>
              </w:rPr>
            </w:pPr>
          </w:p>
        </w:tc>
        <w:tc>
          <w:tcPr>
            <w:tcW w:w="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January 2021 to June 2021</w:t>
            </w:r>
          </w:p>
        </w:tc>
      </w:tr>
      <w:tr>
        <w:trPr>
          <w:trHeight w:val="216"/>
        </w:trPr>
        <w:tc>
          <w:tcPr>
            <w:tcW w:w="88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152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July 2021 to December 2021</w:t>
            </w:r>
          </w:p>
        </w:tc>
      </w:tr>
      <w:tr>
        <w:trPr>
          <w:trHeight w:val="216"/>
        </w:trPr>
        <w:tc>
          <w:tcPr>
            <w:tcW w:w="88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18, 2020</w:t>
            </w:r>
          </w:p>
        </w:tc>
        <w:tc>
          <w:tcPr>
            <w:tcW w:w="15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18,000</w:t>
            </w:r>
          </w:p>
        </w:tc>
        <w:tc>
          <w:tcPr>
            <w:tcW w:w="60" w:type="dxa"/>
            <w:vAlign w:val="bottom"/>
            <w:shd w:val="clear" w:color="auto" w:fill="CCEEFF"/>
          </w:tcPr>
          <w:p>
            <w:pPr>
              <w:spacing w:after="0"/>
              <w:rPr>
                <w:sz w:val="18"/>
                <w:szCs w:val="18"/>
                <w:color w:val="auto"/>
              </w:rPr>
            </w:pP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 to June 2021</w:t>
            </w:r>
          </w:p>
        </w:tc>
      </w:tr>
    </w:tbl>
    <w:p>
      <w:pPr>
        <w:spacing w:after="0" w:line="20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fair values of the Company’s outstanding zero cost collar contracts recorded as assets and liabilities as of June 30, 2021 and December 31, 2020 are as follows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2900" w:type="dxa"/>
            <w:vAlign w:val="bottom"/>
            <w:tcBorders>
              <w:bottom w:val="single" w:sz="8" w:color="auto"/>
            </w:tcBorders>
            <w:vMerge w:val="continue"/>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5"/>
              <w:spacing w:after="0" w:line="12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5"/>
              <w:spacing w:after="0" w:line="12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256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rPr>
              <w:t>Zero cost collars</w:t>
            </w:r>
          </w:p>
        </w:tc>
        <w:tc>
          <w:tcPr>
            <w:tcW w:w="256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846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Zero cost collars</w:t>
            </w:r>
          </w:p>
        </w:tc>
        <w:tc>
          <w:tcPr>
            <w:tcW w:w="2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non-current liabilities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liabilities as of June 30, 2021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88"/>
              </w:rPr>
              <w:t>Gross amounts of</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500" w:type="dxa"/>
            <w:vAlign w:val="bottom"/>
          </w:tcPr>
          <w:p>
            <w:pPr>
              <w:spacing w:after="0"/>
              <w:rPr>
                <w:sz w:val="14"/>
                <w:szCs w:val="14"/>
                <w:color w:val="auto"/>
              </w:rPr>
            </w:pPr>
          </w:p>
        </w:tc>
        <w:tc>
          <w:tcPr>
            <w:tcW w:w="15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Net amounts of</w:t>
            </w:r>
          </w:p>
        </w:tc>
        <w:tc>
          <w:tcPr>
            <w:tcW w:w="220" w:type="dxa"/>
            <w:vAlign w:val="bottom"/>
          </w:tcPr>
          <w:p>
            <w:pPr>
              <w:spacing w:after="0"/>
              <w:rPr>
                <w:sz w:val="14"/>
                <w:szCs w:val="14"/>
                <w:color w:val="auto"/>
              </w:rPr>
            </w:pPr>
          </w:p>
        </w:tc>
        <w:tc>
          <w:tcPr>
            <w:tcW w:w="1980" w:type="dxa"/>
            <w:vAlign w:val="bottom"/>
            <w:gridSpan w:val="3"/>
          </w:tcPr>
          <w:p>
            <w:pPr>
              <w:jc w:val="center"/>
              <w:ind w:right="151"/>
              <w:spacing w:after="0"/>
              <w:rPr>
                <w:sz w:val="20"/>
                <w:szCs w:val="20"/>
                <w:color w:val="auto"/>
              </w:rPr>
            </w:pPr>
            <w:r>
              <w:rPr>
                <w:rFonts w:ascii="Arial" w:cs="Arial" w:eastAsia="Arial" w:hAnsi="Arial"/>
                <w:sz w:val="14"/>
                <w:szCs w:val="14"/>
                <w:b w:val="1"/>
                <w:bCs w:val="1"/>
                <w:color w:val="auto"/>
                <w:w w:val="89"/>
              </w:rPr>
              <w:t>Gross amounts not offset</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liabilities</w:t>
            </w: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171"/>
              <w:spacing w:after="0"/>
              <w:rPr>
                <w:sz w:val="20"/>
                <w:szCs w:val="20"/>
                <w:color w:val="auto"/>
              </w:rPr>
            </w:pPr>
            <w:r>
              <w:rPr>
                <w:rFonts w:ascii="Arial" w:cs="Arial" w:eastAsia="Arial" w:hAnsi="Arial"/>
                <w:sz w:val="14"/>
                <w:szCs w:val="14"/>
                <w:b w:val="1"/>
                <w:bCs w:val="1"/>
                <w:color w:val="auto"/>
                <w:w w:val="88"/>
              </w:rPr>
              <w:t>in the balance sheets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June 30, 2021</w:t>
            </w:r>
          </w:p>
        </w:tc>
        <w:tc>
          <w:tcPr>
            <w:tcW w:w="160" w:type="dxa"/>
            <w:vAlign w:val="bottom"/>
          </w:tcPr>
          <w:p>
            <w:pPr>
              <w:spacing w:after="0"/>
              <w:rPr>
                <w:sz w:val="10"/>
                <w:szCs w:val="10"/>
                <w:color w:val="auto"/>
              </w:rPr>
            </w:pPr>
          </w:p>
        </w:tc>
        <w:tc>
          <w:tcPr>
            <w:tcW w:w="14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6"/>
              </w:rPr>
              <w:t>recognized</w:t>
            </w:r>
          </w:p>
        </w:tc>
        <w:tc>
          <w:tcPr>
            <w:tcW w:w="100" w:type="dxa"/>
            <w:vAlign w:val="bottom"/>
          </w:tcPr>
          <w:p>
            <w:pPr>
              <w:spacing w:after="0"/>
              <w:rPr>
                <w:sz w:val="10"/>
                <w:szCs w:val="10"/>
                <w:color w:val="auto"/>
              </w:rPr>
            </w:pPr>
          </w:p>
        </w:tc>
        <w:tc>
          <w:tcPr>
            <w:tcW w:w="84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500" w:type="dxa"/>
            <w:vAlign w:val="bottom"/>
          </w:tcPr>
          <w:p>
            <w:pPr>
              <w:spacing w:after="0"/>
              <w:rPr>
                <w:sz w:val="10"/>
                <w:szCs w:val="10"/>
                <w:color w:val="auto"/>
              </w:rPr>
            </w:pPr>
          </w:p>
        </w:tc>
        <w:tc>
          <w:tcPr>
            <w:tcW w:w="150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740" w:type="dxa"/>
            <w:vAlign w:val="bottom"/>
            <w:gridSpan w:val="2"/>
          </w:tcPr>
          <w:p>
            <w:pPr>
              <w:jc w:val="right"/>
              <w:ind w:right="2"/>
              <w:spacing w:after="0" w:line="119" w:lineRule="exact"/>
              <w:rPr>
                <w:sz w:val="20"/>
                <w:szCs w:val="20"/>
                <w:color w:val="auto"/>
              </w:rPr>
            </w:pPr>
            <w:r>
              <w:rPr>
                <w:rFonts w:ascii="Arial" w:cs="Arial" w:eastAsia="Arial" w:hAnsi="Arial"/>
                <w:sz w:val="13"/>
                <w:szCs w:val="13"/>
                <w:b w:val="1"/>
                <w:bCs w:val="1"/>
                <w:color w:val="auto"/>
              </w:rPr>
              <w:t>Financial</w:t>
            </w:r>
          </w:p>
        </w:tc>
        <w:tc>
          <w:tcPr>
            <w:tcW w:w="520" w:type="dxa"/>
            <w:vAlign w:val="bottom"/>
          </w:tcPr>
          <w:p>
            <w:pPr>
              <w:spacing w:after="0"/>
              <w:rPr>
                <w:sz w:val="10"/>
                <w:szCs w:val="10"/>
                <w:color w:val="auto"/>
              </w:rPr>
            </w:pPr>
          </w:p>
        </w:tc>
        <w:tc>
          <w:tcPr>
            <w:tcW w:w="94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8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44"/>
        </w:trPr>
        <w:tc>
          <w:tcPr>
            <w:tcW w:w="2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680"/>
              <w:spacing w:after="0" w:line="125" w:lineRule="exact"/>
              <w:rPr>
                <w:sz w:val="20"/>
                <w:szCs w:val="20"/>
                <w:color w:val="auto"/>
              </w:rPr>
            </w:pPr>
            <w:r>
              <w:rPr>
                <w:rFonts w:ascii="Arial" w:cs="Arial" w:eastAsia="Arial" w:hAnsi="Arial"/>
                <w:sz w:val="14"/>
                <w:szCs w:val="14"/>
                <w:b w:val="1"/>
                <w:bCs w:val="1"/>
                <w:color w:val="auto"/>
                <w:w w:val="93"/>
              </w:rPr>
              <w:t>liabilities</w:t>
            </w: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85"/>
              </w:rPr>
              <w:t>balance sheets</w:t>
            </w:r>
          </w:p>
        </w:tc>
        <w:tc>
          <w:tcPr>
            <w:tcW w:w="500" w:type="dxa"/>
            <w:vAlign w:val="bottom"/>
          </w:tcPr>
          <w:p>
            <w:pPr>
              <w:spacing w:after="0"/>
              <w:rPr>
                <w:sz w:val="12"/>
                <w:szCs w:val="12"/>
                <w:color w:val="auto"/>
              </w:rPr>
            </w:pPr>
          </w:p>
        </w:tc>
        <w:tc>
          <w:tcPr>
            <w:tcW w:w="1500" w:type="dxa"/>
            <w:vAlign w:val="bottom"/>
            <w:gridSpan w:val="3"/>
          </w:tcPr>
          <w:p>
            <w:pPr>
              <w:jc w:val="center"/>
              <w:ind w:right="500"/>
              <w:spacing w:after="0" w:line="125" w:lineRule="exact"/>
              <w:rPr>
                <w:sz w:val="20"/>
                <w:szCs w:val="20"/>
                <w:color w:val="auto"/>
              </w:rPr>
            </w:pPr>
            <w:r>
              <w:rPr>
                <w:rFonts w:ascii="Arial" w:cs="Arial" w:eastAsia="Arial" w:hAnsi="Arial"/>
                <w:sz w:val="14"/>
                <w:szCs w:val="14"/>
                <w:b w:val="1"/>
                <w:bCs w:val="1"/>
                <w:color w:val="auto"/>
                <w:w w:val="87"/>
              </w:rPr>
              <w:t>balance sheets</w:t>
            </w:r>
          </w:p>
        </w:tc>
        <w:tc>
          <w:tcPr>
            <w:tcW w:w="7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w w:val="89"/>
              </w:rPr>
              <w:t>instruments</w:t>
            </w:r>
          </w:p>
        </w:tc>
        <w:tc>
          <w:tcPr>
            <w:tcW w:w="520" w:type="dxa"/>
            <w:vAlign w:val="bottom"/>
          </w:tcPr>
          <w:p>
            <w:pPr>
              <w:spacing w:after="0"/>
              <w:rPr>
                <w:sz w:val="12"/>
                <w:szCs w:val="12"/>
                <w:color w:val="auto"/>
              </w:rPr>
            </w:pPr>
          </w:p>
        </w:tc>
        <w:tc>
          <w:tcPr>
            <w:tcW w:w="940" w:type="dxa"/>
            <w:vAlign w:val="bottom"/>
          </w:tcPr>
          <w:p>
            <w:pPr>
              <w:ind w:left="220"/>
              <w:spacing w:after="0" w:line="125" w:lineRule="exact"/>
              <w:rPr>
                <w:sz w:val="20"/>
                <w:szCs w:val="20"/>
                <w:color w:val="auto"/>
              </w:rPr>
            </w:pPr>
            <w:r>
              <w:rPr>
                <w:rFonts w:ascii="Arial" w:cs="Arial" w:eastAsia="Arial" w:hAnsi="Arial"/>
                <w:sz w:val="14"/>
                <w:szCs w:val="14"/>
                <w:b w:val="1"/>
                <w:bCs w:val="1"/>
                <w:color w:val="auto"/>
              </w:rPr>
              <w:t>pledged</w:t>
            </w:r>
          </w:p>
        </w:tc>
        <w:tc>
          <w:tcPr>
            <w:tcW w:w="8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912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5"/>
              </w:rPr>
              <w:t>(580)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Offsetting of derivative assets and liabilities as of December 31, 2020 is as follows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220" w:type="dxa"/>
            <w:vAlign w:val="bottom"/>
          </w:tcPr>
          <w:p>
            <w:pPr>
              <w:spacing w:after="0"/>
              <w:rPr>
                <w:sz w:val="14"/>
                <w:szCs w:val="1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46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Net amounts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Gross amounts not offset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assets/liabilities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 the balance sheets</w:t>
            </w:r>
          </w:p>
        </w:tc>
        <w:tc>
          <w:tcPr>
            <w:tcW w:w="2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recognized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60" w:type="dxa"/>
            <w:vAlign w:val="bottom"/>
          </w:tcPr>
          <w:p>
            <w:pPr>
              <w:spacing w:after="0"/>
              <w:rPr>
                <w:sz w:val="10"/>
                <w:szCs w:val="10"/>
                <w:color w:val="auto"/>
              </w:rPr>
            </w:pPr>
          </w:p>
        </w:tc>
        <w:tc>
          <w:tcPr>
            <w:tcW w:w="12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Financial</w:t>
            </w:r>
          </w:p>
        </w:tc>
        <w:tc>
          <w:tcPr>
            <w:tcW w:w="10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Cash collateral</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44"/>
        </w:trPr>
        <w:tc>
          <w:tcPr>
            <w:tcW w:w="2400" w:type="dxa"/>
            <w:vAlign w:val="bottom"/>
            <w:gridSpan w:val="2"/>
            <w:vMerge w:val="continue"/>
          </w:tcPr>
          <w:p>
            <w:pPr>
              <w:spacing w:after="0"/>
              <w:rPr>
                <w:sz w:val="12"/>
                <w:szCs w:val="12"/>
                <w:color w:val="auto"/>
              </w:rPr>
            </w:pPr>
          </w:p>
        </w:tc>
        <w:tc>
          <w:tcPr>
            <w:tcW w:w="130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89"/>
              </w:rPr>
              <w:t>assets/liabilities</w:t>
            </w:r>
          </w:p>
        </w:tc>
        <w:tc>
          <w:tcPr>
            <w:tcW w:w="220" w:type="dxa"/>
            <w:vAlign w:val="bottom"/>
          </w:tcPr>
          <w:p>
            <w:pPr>
              <w:spacing w:after="0"/>
              <w:rPr>
                <w:sz w:val="12"/>
                <w:szCs w:val="12"/>
                <w:color w:val="auto"/>
              </w:rPr>
            </w:pPr>
          </w:p>
        </w:tc>
        <w:tc>
          <w:tcPr>
            <w:tcW w:w="10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87"/>
              </w:rPr>
              <w:t>balance sheets</w:t>
            </w:r>
          </w:p>
        </w:tc>
        <w:tc>
          <w:tcPr>
            <w:tcW w:w="460" w:type="dxa"/>
            <w:vAlign w:val="bottom"/>
          </w:tcPr>
          <w:p>
            <w:pPr>
              <w:spacing w:after="0"/>
              <w:rPr>
                <w:sz w:val="12"/>
                <w:szCs w:val="12"/>
                <w:color w:val="auto"/>
              </w:rPr>
            </w:pPr>
          </w:p>
        </w:tc>
        <w:tc>
          <w:tcPr>
            <w:tcW w:w="1280" w:type="dxa"/>
            <w:vAlign w:val="bottom"/>
            <w:gridSpan w:val="3"/>
          </w:tcPr>
          <w:p>
            <w:pPr>
              <w:jc w:val="center"/>
              <w:ind w:right="240"/>
              <w:spacing w:after="0" w:line="125" w:lineRule="exact"/>
              <w:rPr>
                <w:sz w:val="20"/>
                <w:szCs w:val="20"/>
                <w:color w:val="auto"/>
              </w:rPr>
            </w:pPr>
            <w:r>
              <w:rPr>
                <w:rFonts w:ascii="Arial" w:cs="Arial" w:eastAsia="Arial" w:hAnsi="Arial"/>
                <w:sz w:val="14"/>
                <w:szCs w:val="14"/>
                <w:b w:val="1"/>
                <w:bCs w:val="1"/>
                <w:color w:val="auto"/>
                <w:w w:val="87"/>
              </w:rPr>
              <w:t>balance sheets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89"/>
              </w:rPr>
              <w:t>instruments</w:t>
            </w:r>
          </w:p>
        </w:tc>
        <w:tc>
          <w:tcPr>
            <w:tcW w:w="7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pledged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2,036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impact of derivative instruments on the consolidated statements of operations for the three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and 2020. Net sales of discontinued operations for the three months ended June 30, 2020 are included in the below table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Amount of Income</w:t>
            </w:r>
          </w:p>
        </w:tc>
        <w:tc>
          <w:tcPr>
            <w:tcW w:w="1940" w:type="dxa"/>
            <w:vAlign w:val="bottom"/>
            <w:gridSpan w:val="6"/>
          </w:tcPr>
          <w:p>
            <w:pPr>
              <w:jc w:val="center"/>
              <w:ind w:left="244"/>
              <w:spacing w:after="0"/>
              <w:rPr>
                <w:sz w:val="20"/>
                <w:szCs w:val="20"/>
                <w:color w:val="auto"/>
              </w:rPr>
            </w:pPr>
            <w:r>
              <w:rPr>
                <w:rFonts w:ascii="Arial" w:cs="Arial" w:eastAsia="Arial" w:hAnsi="Arial"/>
                <w:sz w:val="14"/>
                <w:szCs w:val="14"/>
                <w:b w:val="1"/>
                <w:bCs w:val="1"/>
                <w:color w:val="auto"/>
                <w:w w:val="94"/>
              </w:rPr>
              <w:t>Location/Amount of Gain</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vMerge w:val="restart"/>
          </w:tcPr>
          <w:p>
            <w:pPr>
              <w:jc w:val="center"/>
              <w:ind w:left="324"/>
              <w:spacing w:after="0"/>
              <w:rPr>
                <w:sz w:val="20"/>
                <w:szCs w:val="20"/>
                <w:color w:val="auto"/>
              </w:rPr>
            </w:pPr>
            <w:r>
              <w:rPr>
                <w:rFonts w:ascii="Arial" w:cs="Arial" w:eastAsia="Arial" w:hAnsi="Arial"/>
                <w:sz w:val="14"/>
                <w:szCs w:val="14"/>
                <w:b w:val="1"/>
                <w:bCs w:val="1"/>
                <w:color w:val="auto"/>
                <w:w w:val="93"/>
              </w:rPr>
              <w:t>Location/Amount of Gain (Loss)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940" w:type="dxa"/>
            <w:vAlign w:val="bottom"/>
          </w:tcPr>
          <w:p>
            <w:pPr>
              <w:spacing w:after="0"/>
              <w:rPr>
                <w:sz w:val="12"/>
                <w:szCs w:val="12"/>
                <w:color w:val="auto"/>
              </w:rPr>
            </w:pPr>
          </w:p>
        </w:tc>
        <w:tc>
          <w:tcPr>
            <w:tcW w:w="6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gridSpan w:val="5"/>
            <w:vMerge w:val="continue"/>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left="223"/>
              <w:spacing w:after="0" w:line="149" w:lineRule="exact"/>
              <w:rPr>
                <w:sz w:val="20"/>
                <w:szCs w:val="20"/>
                <w:color w:val="auto"/>
              </w:rPr>
            </w:pPr>
            <w:r>
              <w:rPr>
                <w:rFonts w:ascii="Arial" w:cs="Arial" w:eastAsia="Arial" w:hAnsi="Arial"/>
                <w:sz w:val="14"/>
                <w:szCs w:val="14"/>
                <w:b w:val="1"/>
                <w:bCs w:val="1"/>
                <w:color w:val="auto"/>
                <w:w w:val="99"/>
              </w:rPr>
              <w:t>AOCI on</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6"/>
          </w:tcPr>
          <w:p>
            <w:pPr>
              <w:jc w:val="center"/>
              <w:ind w:left="284"/>
              <w:spacing w:after="0" w:line="149" w:lineRule="exact"/>
              <w:rPr>
                <w:sz w:val="20"/>
                <w:szCs w:val="20"/>
                <w:color w:val="auto"/>
              </w:rPr>
            </w:pPr>
            <w:r>
              <w:rPr>
                <w:rFonts w:ascii="Arial" w:cs="Arial" w:eastAsia="Arial" w:hAnsi="Arial"/>
                <w:sz w:val="14"/>
                <w:szCs w:val="14"/>
                <w:b w:val="1"/>
                <w:bCs w:val="1"/>
                <w:color w:val="auto"/>
                <w:w w:val="93"/>
              </w:rPr>
              <w:t>Reclassified from AOCI</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60" w:type="dxa"/>
            <w:vAlign w:val="bottom"/>
            <w:gridSpan w:val="4"/>
          </w:tcPr>
          <w:p>
            <w:pPr>
              <w:jc w:val="center"/>
              <w:ind w:left="44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Derivatives</w:t>
            </w:r>
          </w:p>
        </w:tc>
        <w:tc>
          <w:tcPr>
            <w:tcW w:w="2580" w:type="dxa"/>
            <w:vAlign w:val="bottom"/>
            <w:gridSpan w:val="8"/>
          </w:tcPr>
          <w:p>
            <w:pPr>
              <w:jc w:val="center"/>
              <w:ind w:right="201"/>
              <w:spacing w:after="0" w:line="129" w:lineRule="exact"/>
              <w:rPr>
                <w:sz w:val="20"/>
                <w:szCs w:val="20"/>
                <w:color w:val="auto"/>
              </w:rPr>
            </w:pPr>
            <w:r>
              <w:rPr>
                <w:rFonts w:ascii="Arial" w:cs="Arial" w:eastAsia="Arial" w:hAnsi="Arial"/>
                <w:sz w:val="14"/>
                <w:szCs w:val="14"/>
                <w:b w:val="1"/>
                <w:bCs w:val="1"/>
                <w:color w:val="auto"/>
                <w:w w:val="92"/>
              </w:rPr>
              <w:t>Into Statement of Operations</w:t>
            </w:r>
          </w:p>
        </w:tc>
        <w:tc>
          <w:tcPr>
            <w:tcW w:w="3040" w:type="dxa"/>
            <w:vAlign w:val="bottom"/>
            <w:gridSpan w:val="7"/>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6"/>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6"/>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gridSpan w:val="6"/>
          </w:tcPr>
          <w:p>
            <w:pPr>
              <w:jc w:val="center"/>
              <w:spacing w:after="0" w:line="106" w:lineRule="exact"/>
              <w:rPr>
                <w:sz w:val="20"/>
                <w:szCs w:val="20"/>
                <w:color w:val="auto"/>
              </w:rPr>
            </w:pPr>
            <w:r>
              <w:rPr>
                <w:rFonts w:ascii="Arial" w:cs="Arial" w:eastAsia="Arial" w:hAnsi="Arial"/>
                <w:sz w:val="12"/>
                <w:szCs w:val="12"/>
                <w:b w:val="1"/>
                <w:bCs w:val="1"/>
                <w:color w:val="auto"/>
              </w:rPr>
              <w:t>Three Months Ended</w:t>
            </w:r>
          </w:p>
        </w:tc>
        <w:tc>
          <w:tcPr>
            <w:tcW w:w="2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360" w:type="dxa"/>
            <w:vAlign w:val="bottom"/>
            <w:gridSpan w:val="6"/>
          </w:tcPr>
          <w:p>
            <w:pPr>
              <w:jc w:val="right"/>
              <w:spacing w:after="0" w:line="106" w:lineRule="exact"/>
              <w:rPr>
                <w:sz w:val="20"/>
                <w:szCs w:val="20"/>
                <w:color w:val="auto"/>
              </w:rPr>
            </w:pPr>
            <w:r>
              <w:rPr>
                <w:rFonts w:ascii="Arial" w:cs="Arial" w:eastAsia="Arial" w:hAnsi="Arial"/>
                <w:sz w:val="12"/>
                <w:szCs w:val="12"/>
                <w:b w:val="1"/>
                <w:bCs w:val="1"/>
                <w:color w:val="auto"/>
              </w:rPr>
              <w:t>Three Months Ended</w:t>
            </w:r>
          </w:p>
        </w:tc>
        <w:tc>
          <w:tcPr>
            <w:tcW w:w="2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400" w:type="dxa"/>
            <w:vAlign w:val="bottom"/>
            <w:gridSpan w:val="5"/>
          </w:tcPr>
          <w:p>
            <w:pPr>
              <w:jc w:val="right"/>
              <w:spacing w:after="0" w:line="106" w:lineRule="exact"/>
              <w:rPr>
                <w:sz w:val="20"/>
                <w:szCs w:val="20"/>
                <w:color w:val="auto"/>
              </w:rPr>
            </w:pPr>
            <w:r>
              <w:rPr>
                <w:rFonts w:ascii="Arial" w:cs="Arial" w:eastAsia="Arial" w:hAnsi="Arial"/>
                <w:sz w:val="12"/>
                <w:szCs w:val="12"/>
                <w:b w:val="1"/>
                <w:bCs w:val="1"/>
                <w:color w:val="auto"/>
              </w:rPr>
              <w:t>Three Months Ended</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left="223"/>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2"/>
          </w:tcPr>
          <w:p>
            <w:pPr>
              <w:jc w:val="right"/>
              <w:ind w:right="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19"/>
              <w:spacing w:after="0" w:line="155" w:lineRule="exact"/>
              <w:rPr>
                <w:sz w:val="20"/>
                <w:szCs w:val="20"/>
                <w:color w:val="auto"/>
              </w:rPr>
            </w:pPr>
            <w:r>
              <w:rPr>
                <w:rFonts w:ascii="Arial" w:cs="Arial" w:eastAsia="Arial" w:hAnsi="Arial"/>
                <w:sz w:val="14"/>
                <w:szCs w:val="14"/>
                <w:b w:val="1"/>
                <w:bCs w:val="1"/>
                <w:color w:val="auto"/>
                <w:w w:val="83"/>
              </w:rPr>
              <w:t>2021</w:t>
            </w:r>
          </w:p>
        </w:tc>
        <w:tc>
          <w:tcPr>
            <w:tcW w:w="140" w:type="dxa"/>
            <w:vAlign w:val="bottom"/>
          </w:tcPr>
          <w:p>
            <w:pPr>
              <w:spacing w:after="0"/>
              <w:rPr>
                <w:sz w:val="13"/>
                <w:szCs w:val="13"/>
                <w:color w:val="auto"/>
              </w:rPr>
            </w:pPr>
          </w:p>
        </w:tc>
        <w:tc>
          <w:tcPr>
            <w:tcW w:w="74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2,204</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(193</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2,204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statements of operations for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and 2020. Net sales of discontinued operations for the six months ended June 30, 2020 are included in the below table (in thousands):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20" w:type="dxa"/>
            <w:vAlign w:val="bottom"/>
          </w:tcPr>
          <w:p>
            <w:pPr>
              <w:spacing w:after="0"/>
              <w:rPr>
                <w:sz w:val="14"/>
                <w:szCs w:val="14"/>
                <w:color w:val="auto"/>
              </w:rPr>
            </w:pPr>
          </w:p>
        </w:tc>
        <w:tc>
          <w:tcPr>
            <w:tcW w:w="1540" w:type="dxa"/>
            <w:vAlign w:val="bottom"/>
            <w:gridSpan w:val="6"/>
          </w:tcPr>
          <w:p>
            <w:pPr>
              <w:jc w:val="center"/>
              <w:ind w:right="161"/>
              <w:spacing w:after="0"/>
              <w:rPr>
                <w:sz w:val="20"/>
                <w:szCs w:val="20"/>
                <w:color w:val="auto"/>
              </w:rPr>
            </w:pPr>
            <w:r>
              <w:rPr>
                <w:rFonts w:ascii="Arial" w:cs="Arial" w:eastAsia="Arial" w:hAnsi="Arial"/>
                <w:sz w:val="14"/>
                <w:szCs w:val="14"/>
                <w:b w:val="1"/>
                <w:bCs w:val="1"/>
                <w:color w:val="auto"/>
                <w:w w:val="91"/>
              </w:rPr>
              <w:t>Amount of Loss</w:t>
            </w:r>
          </w:p>
        </w:tc>
        <w:tc>
          <w:tcPr>
            <w:tcW w:w="224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w w:val="94"/>
              </w:rPr>
              <w:t>Location/Amount of Gain</w:t>
            </w:r>
          </w:p>
        </w:tc>
        <w:tc>
          <w:tcPr>
            <w:tcW w:w="2420" w:type="dxa"/>
            <w:vAlign w:val="bottom"/>
            <w:gridSpan w:val="5"/>
            <w:vMerge w:val="restart"/>
          </w:tcPr>
          <w:p>
            <w:pPr>
              <w:jc w:val="center"/>
              <w:ind w:left="224"/>
              <w:spacing w:after="0"/>
              <w:rPr>
                <w:sz w:val="20"/>
                <w:szCs w:val="20"/>
                <w:color w:val="auto"/>
              </w:rPr>
            </w:pPr>
            <w:r>
              <w:rPr>
                <w:rFonts w:ascii="Arial" w:cs="Arial" w:eastAsia="Arial" w:hAnsi="Arial"/>
                <w:sz w:val="14"/>
                <w:szCs w:val="14"/>
                <w:b w:val="1"/>
                <w:bCs w:val="1"/>
                <w:color w:val="auto"/>
                <w:w w:val="93"/>
              </w:rPr>
              <w:t>Location/Amount of Gain (Loss)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6"/>
          </w:tcPr>
          <w:p>
            <w:pPr>
              <w:jc w:val="center"/>
              <w:ind w:right="161"/>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1480" w:type="dxa"/>
            <w:vAlign w:val="bottom"/>
            <w:gridSpan w:val="3"/>
          </w:tcPr>
          <w:p>
            <w:pPr>
              <w:jc w:val="center"/>
              <w:ind w:left="464"/>
              <w:spacing w:after="0" w:line="145" w:lineRule="exact"/>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20" w:type="dxa"/>
            <w:vAlign w:val="bottom"/>
          </w:tcPr>
          <w:p>
            <w:pPr>
              <w:spacing w:after="0"/>
              <w:rPr>
                <w:sz w:val="12"/>
                <w:szCs w:val="12"/>
                <w:color w:val="auto"/>
              </w:rPr>
            </w:pPr>
          </w:p>
        </w:tc>
        <w:tc>
          <w:tcPr>
            <w:tcW w:w="1540" w:type="dxa"/>
            <w:vAlign w:val="bottom"/>
            <w:gridSpan w:val="6"/>
          </w:tcPr>
          <w:p>
            <w:pPr>
              <w:jc w:val="center"/>
              <w:ind w:right="141"/>
              <w:spacing w:after="0" w:line="149" w:lineRule="exact"/>
              <w:rPr>
                <w:sz w:val="20"/>
                <w:szCs w:val="20"/>
                <w:color w:val="auto"/>
              </w:rPr>
            </w:pPr>
            <w:r>
              <w:rPr>
                <w:rFonts w:ascii="Arial" w:cs="Arial" w:eastAsia="Arial" w:hAnsi="Arial"/>
                <w:sz w:val="14"/>
                <w:szCs w:val="14"/>
                <w:b w:val="1"/>
                <w:bCs w:val="1"/>
                <w:color w:val="auto"/>
                <w:w w:val="99"/>
              </w:rPr>
              <w:t>AOCI on</w:t>
            </w:r>
          </w:p>
        </w:tc>
        <w:tc>
          <w:tcPr>
            <w:tcW w:w="2240" w:type="dxa"/>
            <w:vAlign w:val="bottom"/>
            <w:gridSpan w:val="6"/>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Reclassified from AOCI</w:t>
            </w:r>
          </w:p>
        </w:tc>
        <w:tc>
          <w:tcPr>
            <w:tcW w:w="2260" w:type="dxa"/>
            <w:vAlign w:val="bottom"/>
            <w:gridSpan w:val="4"/>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2"/>
                <w:szCs w:val="12"/>
                <w:color w:val="auto"/>
              </w:rPr>
            </w:pPr>
          </w:p>
        </w:tc>
        <w:tc>
          <w:tcPr>
            <w:tcW w:w="1540" w:type="dxa"/>
            <w:vAlign w:val="bottom"/>
            <w:gridSpan w:val="6"/>
          </w:tcPr>
          <w:p>
            <w:pPr>
              <w:jc w:val="center"/>
              <w:ind w:right="161"/>
              <w:spacing w:after="0" w:line="129" w:lineRule="exact"/>
              <w:rPr>
                <w:sz w:val="20"/>
                <w:szCs w:val="20"/>
                <w:color w:val="auto"/>
              </w:rPr>
            </w:pPr>
            <w:r>
              <w:rPr>
                <w:rFonts w:ascii="Arial" w:cs="Arial" w:eastAsia="Arial" w:hAnsi="Arial"/>
                <w:sz w:val="14"/>
                <w:szCs w:val="14"/>
                <w:b w:val="1"/>
                <w:bCs w:val="1"/>
                <w:color w:val="auto"/>
                <w:w w:val="93"/>
              </w:rPr>
              <w:t>Derivatives</w:t>
            </w:r>
          </w:p>
        </w:tc>
        <w:tc>
          <w:tcPr>
            <w:tcW w:w="2240" w:type="dxa"/>
            <w:vAlign w:val="bottom"/>
            <w:gridSpan w:val="6"/>
          </w:tcPr>
          <w:p>
            <w:pPr>
              <w:jc w:val="center"/>
              <w:ind w:right="121"/>
              <w:spacing w:after="0" w:line="129" w:lineRule="exact"/>
              <w:rPr>
                <w:sz w:val="20"/>
                <w:szCs w:val="20"/>
                <w:color w:val="auto"/>
              </w:rPr>
            </w:pPr>
            <w:r>
              <w:rPr>
                <w:rFonts w:ascii="Arial" w:cs="Arial" w:eastAsia="Arial" w:hAnsi="Arial"/>
                <w:sz w:val="14"/>
                <w:szCs w:val="14"/>
                <w:b w:val="1"/>
                <w:bCs w:val="1"/>
                <w:color w:val="auto"/>
                <w:w w:val="93"/>
              </w:rPr>
              <w:t>Into Statement of Operations</w:t>
            </w:r>
          </w:p>
        </w:tc>
        <w:tc>
          <w:tcPr>
            <w:tcW w:w="2780" w:type="dxa"/>
            <w:vAlign w:val="bottom"/>
            <w:gridSpan w:val="7"/>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5"/>
          </w:tcPr>
          <w:p>
            <w:pPr>
              <w:jc w:val="center"/>
              <w:spacing w:after="0" w:line="106" w:lineRule="exact"/>
              <w:rPr>
                <w:sz w:val="20"/>
                <w:szCs w:val="20"/>
                <w:color w:val="auto"/>
              </w:rPr>
            </w:pPr>
            <w:r>
              <w:rPr>
                <w:rFonts w:ascii="Arial" w:cs="Arial" w:eastAsia="Arial" w:hAnsi="Arial"/>
                <w:sz w:val="12"/>
                <w:szCs w:val="12"/>
                <w:b w:val="1"/>
                <w:bCs w:val="1"/>
                <w:color w:val="auto"/>
              </w:rPr>
              <w:t>Six Months Ended</w:t>
            </w:r>
          </w:p>
        </w:tc>
        <w:tc>
          <w:tcPr>
            <w:tcW w:w="2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140" w:type="dxa"/>
            <w:vAlign w:val="bottom"/>
            <w:gridSpan w:val="4"/>
          </w:tcPr>
          <w:p>
            <w:pPr>
              <w:jc w:val="right"/>
              <w:spacing w:after="0" w:line="106" w:lineRule="exact"/>
              <w:rPr>
                <w:sz w:val="20"/>
                <w:szCs w:val="20"/>
                <w:color w:val="auto"/>
              </w:rPr>
            </w:pPr>
            <w:r>
              <w:rPr>
                <w:rFonts w:ascii="Arial" w:cs="Arial" w:eastAsia="Arial" w:hAnsi="Arial"/>
                <w:sz w:val="12"/>
                <w:szCs w:val="12"/>
                <w:b w:val="1"/>
                <w:bCs w:val="1"/>
                <w:color w:val="auto"/>
              </w:rPr>
              <w:t>Six Months Ended</w:t>
            </w:r>
          </w:p>
        </w:tc>
        <w:tc>
          <w:tcPr>
            <w:tcW w:w="22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200" w:type="dxa"/>
            <w:vAlign w:val="bottom"/>
            <w:gridSpan w:val="5"/>
          </w:tcPr>
          <w:p>
            <w:pPr>
              <w:jc w:val="right"/>
              <w:spacing w:after="0" w:line="106" w:lineRule="exact"/>
              <w:rPr>
                <w:sz w:val="20"/>
                <w:szCs w:val="20"/>
                <w:color w:val="auto"/>
              </w:rPr>
            </w:pPr>
            <w:r>
              <w:rPr>
                <w:rFonts w:ascii="Arial" w:cs="Arial" w:eastAsia="Arial" w:hAnsi="Arial"/>
                <w:sz w:val="12"/>
                <w:szCs w:val="12"/>
                <w:b w:val="1"/>
                <w:bCs w:val="1"/>
                <w:color w:val="auto"/>
              </w:rPr>
              <w:t>Six Months Ended</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6"/>
          </w:tcPr>
          <w:p>
            <w:pPr>
              <w:jc w:val="center"/>
              <w:ind w:right="161"/>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4"/>
                <w:szCs w:val="14"/>
                <w:color w:val="auto"/>
              </w:rPr>
            </w:pPr>
          </w:p>
        </w:tc>
        <w:tc>
          <w:tcPr>
            <w:tcW w:w="136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June 30,</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center"/>
              <w:ind w:left="8"/>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(1,693</w:t>
            </w:r>
          </w:p>
        </w:tc>
        <w:tc>
          <w:tcPr>
            <w:tcW w:w="220" w:type="dxa"/>
            <w:vAlign w:val="bottom"/>
            <w:tcBorders>
              <w:top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(2,800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sales</w:t>
            </w: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$ 986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5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(1,693</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(2,800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7"/>
              </w:rPr>
              <w:t>$ 986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June 30, 2021, the amount expected to be reclassified from accumulated other comprehensive loss into loss within the next 12 months is $1,045 thousand.</w:t>
      </w:r>
    </w:p>
    <w:p>
      <w:pPr>
        <w:spacing w:after="0" w:line="17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set aside cash deposits to the counterparties, Nomura Financial Investment (Korea) Co., Ltd. (“NFIK”), Deutsche Bank AG, Seoul Branch (“DB”) and Standard Chartered Bank Korea Limited (“SC”), as required for the zero cost collar contracts. These cash deposits are recorded as hedge collateral on the consolidated balance sheets. Cash deposits as of June 30, 2021 and December 31, 2020 are as follows (in thousands):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Counterparties</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440" w:type="dxa"/>
            <w:vAlign w:val="bottom"/>
            <w:vMerge w:val="continue"/>
          </w:tcPr>
          <w:p>
            <w:pPr>
              <w:spacing w:after="0"/>
              <w:rPr>
                <w:sz w:val="14"/>
                <w:szCs w:val="14"/>
                <w:color w:val="auto"/>
              </w:rPr>
            </w:pPr>
          </w:p>
        </w:tc>
        <w:tc>
          <w:tcPr>
            <w:tcW w:w="5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NFIK</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$ 3,250</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DB</w:t>
            </w:r>
          </w:p>
        </w:tc>
        <w:tc>
          <w:tcPr>
            <w:tcW w:w="20" w:type="dxa"/>
            <w:vAlign w:val="bottom"/>
          </w:tcPr>
          <w:p>
            <w:pPr>
              <w:spacing w:after="0"/>
              <w:rPr>
                <w:sz w:val="18"/>
                <w:szCs w:val="18"/>
                <w:color w:val="auto"/>
              </w:rPr>
            </w:pPr>
          </w:p>
        </w:tc>
        <w:tc>
          <w:tcPr>
            <w:tcW w:w="10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SC</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4,250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is required to deposit additional cash collateral with NFIK and DB for any exposure in excess of $500 thousand, and $580 thousand of additional cash collateral was required and recorded as hedge collateral on the consolidated balance sheets as of June 30, 2021. There was no such cash collateral required as of December 31, 2020.</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These zero cost collar contracts may be terminated by the counterparties in a number of circumstances, including if the Company’s credit rating falls below B-/B3 or if the Company’s total cash and cash equivalents is less than $30,000 thousand at the end of a fiscal quarter, unless a waiver is obtained.</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As of June 30, 2021, the following table represents the Company’s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60" w:type="dxa"/>
            <w:vAlign w:val="bottom"/>
          </w:tcPr>
          <w:p>
            <w:pPr>
              <w:spacing w:after="0"/>
              <w:rPr>
                <w:sz w:val="14"/>
                <w:szCs w:val="14"/>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2"/>
              </w:rPr>
              <w:t>Fair Value</w:t>
            </w: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60" w:type="dxa"/>
            <w:vAlign w:val="bottom"/>
          </w:tcPr>
          <w:p>
            <w:pPr>
              <w:spacing w:after="0"/>
              <w:rPr>
                <w:sz w:val="12"/>
                <w:szCs w:val="12"/>
                <w:color w:val="auto"/>
              </w:rPr>
            </w:pPr>
          </w:p>
        </w:tc>
        <w:tc>
          <w:tcPr>
            <w:tcW w:w="12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4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Derivative liabilities (other current liabilities)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846</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846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Derivative liabilities (other non-current</w:t>
            </w: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December 31, 2020, the following table represents the Company’s assets and liabilities measured at fair value on a recurring basis and the basis for that measurement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Significant</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5"/>
              </w:rPr>
              <w:t>Measurement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Asset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Liability (Level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Derivative assets (other current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2,036</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2,036</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2,036</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360"/>
              <w:spacing w:after="0" w:line="201" w:lineRule="exact"/>
              <w:rPr>
                <w:sz w:val="20"/>
                <w:szCs w:val="20"/>
                <w:color w:val="auto"/>
              </w:rPr>
            </w:pPr>
            <w:r>
              <w:rPr>
                <w:rFonts w:ascii="Arial" w:cs="Arial" w:eastAsia="Arial" w:hAnsi="Arial"/>
                <w:sz w:val="18"/>
                <w:szCs w:val="18"/>
                <w:color w:val="auto"/>
              </w:rPr>
              <w:t>Derivative liabilities (other current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54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195</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195</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Borrowings</w:t>
      </w:r>
    </w:p>
    <w:p>
      <w:pPr>
        <w:spacing w:after="0" w:line="257"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6350</wp:posOffset>
            </wp:positionV>
            <wp:extent cx="10541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8000"/>
        <w:spacing w:after="0"/>
        <w:tabs>
          <w:tab w:leader="none" w:pos="9160" w:val="left"/>
        </w:tabs>
        <w:rPr>
          <w:sz w:val="20"/>
          <w:szCs w:val="20"/>
          <w:color w:val="auto"/>
        </w:rPr>
      </w:pPr>
      <w:r>
        <w:rPr>
          <w:rFonts w:ascii="Arial" w:cs="Arial" w:eastAsia="Arial" w:hAnsi="Arial"/>
          <w:sz w:val="14"/>
          <w:szCs w:val="14"/>
          <w:b w:val="1"/>
          <w:bCs w:val="1"/>
          <w:color w:val="auto"/>
        </w:rPr>
        <w:t>Carrying</w:t>
      </w:r>
      <w:r>
        <w:rPr>
          <w:sz w:val="20"/>
          <w:szCs w:val="20"/>
          <w:color w:val="auto"/>
        </w:rPr>
        <w:tab/>
      </w:r>
      <w:r>
        <w:rPr>
          <w:rFonts w:ascii="Arial" w:cs="Arial" w:eastAsia="Arial" w:hAnsi="Arial"/>
          <w:sz w:val="14"/>
          <w:szCs w:val="14"/>
          <w:b w:val="1"/>
          <w:bCs w:val="1"/>
          <w:color w:val="auto"/>
        </w:rPr>
        <w:t>Fair</w:t>
      </w:r>
    </w:p>
    <w:p>
      <w:pPr>
        <w:ind w:left="8120"/>
        <w:spacing w:after="0"/>
        <w:tabs>
          <w:tab w:leader="none" w:pos="9100" w:val="left"/>
        </w:tabs>
        <w:rPr>
          <w:sz w:val="20"/>
          <w:szCs w:val="20"/>
          <w:color w:val="auto"/>
        </w:rPr>
      </w:pPr>
      <w:r>
        <w:rPr>
          <w:rFonts w:ascii="Arial" w:cs="Arial" w:eastAsia="Arial" w:hAnsi="Arial"/>
          <w:sz w:val="14"/>
          <w:szCs w:val="14"/>
          <w:b w:val="1"/>
          <w:bCs w:val="1"/>
          <w:color w:val="auto"/>
        </w:rPr>
        <w:t>Value</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-3175</wp:posOffset>
            </wp:positionV>
            <wp:extent cx="1054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jc w:val="center"/>
        <w:ind w:left="6460"/>
        <w:spacing w:after="0" w:line="222" w:lineRule="auto"/>
        <w:rPr>
          <w:sz w:val="20"/>
          <w:szCs w:val="20"/>
          <w:color w:val="auto"/>
        </w:rPr>
      </w:pPr>
      <w:r>
        <w:rPr>
          <w:rFonts w:ascii="Arial" w:cs="Arial" w:eastAsia="Arial" w:hAnsi="Arial"/>
          <w:sz w:val="14"/>
          <w:szCs w:val="14"/>
          <w:b w:val="1"/>
          <w:bCs w:val="1"/>
          <w:color w:val="auto"/>
        </w:rPr>
        <w:t>(In thousands of U.S.</w:t>
      </w:r>
    </w:p>
    <w:p>
      <w:pPr>
        <w:jc w:val="center"/>
        <w:ind w:left="6460"/>
        <w:spacing w:after="0" w:line="234" w:lineRule="auto"/>
        <w:rPr>
          <w:sz w:val="20"/>
          <w:szCs w:val="20"/>
          <w:color w:val="auto"/>
        </w:rPr>
      </w:pPr>
      <w:r>
        <w:rPr>
          <w:rFonts w:ascii="Arial" w:cs="Arial" w:eastAsia="Arial" w:hAnsi="Arial"/>
          <w:sz w:val="14"/>
          <w:szCs w:val="14"/>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01"/>
        </w:trPr>
        <w:tc>
          <w:tcPr>
            <w:tcW w:w="5620" w:type="dxa"/>
            <w:vAlign w:val="bottom"/>
          </w:tcPr>
          <w:p>
            <w:pPr>
              <w:spacing w:after="0" w:line="201" w:lineRule="exact"/>
              <w:rPr>
                <w:sz w:val="20"/>
                <w:szCs w:val="20"/>
                <w:color w:val="auto"/>
              </w:rPr>
            </w:pPr>
            <w:r>
              <w:rPr>
                <w:rFonts w:ascii="Arial" w:cs="Arial" w:eastAsia="Arial" w:hAnsi="Arial"/>
                <w:sz w:val="18"/>
                <w:szCs w:val="18"/>
                <w:color w:val="auto"/>
              </w:rPr>
              <w:t>Borrowings:</w:t>
            </w: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5.0% Exchangeable Senior Notes due March 2021 (Level 2)</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$83,479</w:t>
            </w:r>
          </w:p>
        </w:tc>
        <w:tc>
          <w:tcPr>
            <w:tcW w:w="880" w:type="dxa"/>
            <w:vAlign w:val="bottom"/>
          </w:tcPr>
          <w:p>
            <w:pPr>
              <w:jc w:val="right"/>
              <w:spacing w:after="0"/>
              <w:rPr>
                <w:sz w:val="20"/>
                <w:szCs w:val="20"/>
                <w:color w:val="auto"/>
              </w:rPr>
            </w:pPr>
            <w:r>
              <w:rPr>
                <w:rFonts w:ascii="Arial" w:cs="Arial" w:eastAsia="Arial" w:hAnsi="Arial"/>
                <w:sz w:val="18"/>
                <w:szCs w:val="18"/>
                <w:color w:val="auto"/>
              </w:rPr>
              <w:t>$145,466</w:t>
            </w:r>
          </w:p>
        </w:tc>
      </w:tr>
    </w:tbl>
    <w:p>
      <w:pPr>
        <w:spacing w:after="0" w:line="202" w:lineRule="exact"/>
        <w:rPr>
          <w:sz w:val="20"/>
          <w:szCs w:val="20"/>
          <w:color w:val="auto"/>
        </w:rPr>
      </w:pPr>
    </w:p>
    <w:p>
      <w:pPr>
        <w:ind w:left="120" w:right="200" w:firstLine="440"/>
        <w:spacing w:after="0" w:line="254" w:lineRule="auto"/>
        <w:rPr>
          <w:sz w:val="20"/>
          <w:szCs w:val="20"/>
          <w:color w:val="auto"/>
        </w:rPr>
      </w:pPr>
      <w:r>
        <w:rPr>
          <w:rFonts w:ascii="Arial" w:cs="Arial" w:eastAsia="Arial" w:hAnsi="Arial"/>
          <w:sz w:val="18"/>
          <w:szCs w:val="18"/>
          <w:color w:val="auto"/>
        </w:rPr>
        <w:t>On January 17, 2017, the Company’s wholly 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February 2019, MagnaChip Semiconductor S.A. repurchased a principal amount equal to $1,590 thousand and $920 thousand, respectively, of the Exchangeable Notes in the open market. The Exchangeable Notes matured on March 1, 2021, unless they were earlier repurchased or converted. The Company estimated the fair value of the Exchangeable Notes using the market approach, which utilizes quoted market prices that fall under Level 2. For further description of the Exchangeable Notes, see Note 11, “Borrowings.”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June 30, 2021 and 2020 the Company did not have any assets or liabilities measured at fair value on a non-recurring basis.</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Borrowings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There were no borrowings outstanding as of June 30, 2021. As of December 31, 2020, the following table represents the Company’s borrowings (in thousands):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borrowings, net</w:t>
            </w:r>
          </w:p>
        </w:tc>
        <w:tc>
          <w:tcPr>
            <w:tcW w:w="1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Less: current portion of long-term borrowings, net</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83,479</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 net</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accrued at a rate of 5.0% per annum, payable semi-annually on March 1 and September 1 of each year, beginning on March 1, 2017. The Exchangeable Notes matured on March 1, 2021, unless they were earlier repurchased or converted. Holders had the right to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six months ended June 30, 2021 was $958 thousand. Interest expense related to the Exchangeable Notes for the three and six months ended June 30, 2020 were $1,425 thousand and $2,841 thousand, respectively.</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February 2019, the Company repurchased a principal amount equal to $920 thousand of the Exchangeable Notes in the open market, resulting in a loss of $63 thousand, which was recorded as loss on early extinguishment of borrowings, net in the consolidated statements of operations for the year ended December 31, 2019. In December 2018, the Company repurchased a principal amount equal to $1,590 thousand of the Exchangeable Notes in the open market, resulting in a loss of $234 thousand, which was recorded as loss on early extinguishment of borrowings, net in the consolidated statements of operations for the year ended December 31, 2018.</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Prior to the March 1, 2021 maturity of the Exchangeable Notes, holders elected to exchange all outstanding Exchangeable Notes for an aggregate of 10,144,131 shares of the Company’s common stock in satisfaction in full of the outstanding obligations under the Exchangeable Notes. Upon exchange, the Company delivered for each $1,000 principal amount of exchanged Exchangeable Notes a number of shares equal to the exchange rate of 121.1387 shares of common stock per $1,000 principal amount of Exchangeable Notes, which was equivalent to an exchange price of approximately $8.26 per share of common stock. In connection with the exchanges, the fractional shares were paid in cash. Following March 1, 2021, the Company does not have any Exchangeable Notes outstanding.</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86"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Accrued Severance Benefits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2021, 98% of all employees of the Company were eligible for severance benefits.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gridSpan w:val="3"/>
          </w:tcPr>
          <w:p>
            <w:pPr>
              <w:ind w:left="700"/>
              <w:spacing w:after="0" w:line="142" w:lineRule="exact"/>
              <w:rPr>
                <w:sz w:val="20"/>
                <w:szCs w:val="20"/>
                <w:color w:val="auto"/>
              </w:rPr>
            </w:pPr>
            <w:r>
              <w:rPr>
                <w:rFonts w:ascii="Arial" w:cs="Arial" w:eastAsia="Arial" w:hAnsi="Arial"/>
                <w:sz w:val="14"/>
                <w:szCs w:val="14"/>
                <w:b w:val="1"/>
                <w:bCs w:val="1"/>
                <w:color w:val="auto"/>
              </w:rPr>
              <w:t>June 30, 2021</w:t>
            </w:r>
          </w:p>
        </w:tc>
        <w:tc>
          <w:tcPr>
            <w:tcW w:w="80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June 30, 2020</w:t>
            </w: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52,553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50,610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Provisions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1,736</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3,507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1,755</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(1,343)</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922</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53,105</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51,785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Less: Cumulative contributions to</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severance insurance deposit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accounts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(13,316)</w:t>
            </w:r>
          </w:p>
        </w:tc>
        <w:tc>
          <w:tcPr>
            <w:tcW w:w="3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(13,316)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(1,570)</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340"/>
              <w:spacing w:after="0"/>
              <w:rPr>
                <w:sz w:val="20"/>
                <w:szCs w:val="20"/>
                <w:color w:val="auto"/>
              </w:rPr>
            </w:pPr>
            <w:r>
              <w:rPr>
                <w:rFonts w:ascii="Arial" w:cs="Arial" w:eastAsia="Arial" w:hAnsi="Arial"/>
                <w:sz w:val="18"/>
                <w:szCs w:val="18"/>
                <w:color w:val="auto"/>
                <w:w w:val="99"/>
              </w:rPr>
              <w:t>Group severance insurance plan</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39,520</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49,927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Beginning in July 2018, the Company contributes to certain severance insurance deposit accounts a certain percentage of severance benefits that are accrued for eligible employees for their services from January 1, 2018.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6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Severance benefit</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2,356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2027 – 2031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19,643</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86"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Foreign Currency Gain (Loss), Net</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June 30, 2021 and December 31, 2020, the outstanding intercompany loan balances including accrued interest between the Korean subsidiary and the Dutch subsidiary were $387,486 thousand and $378,852 thousand, respectively. The Korean won to U.S. dollar exchange rates were 1,130.0:1 and 1,088.0:1 using the first base rate as of June 30, 2021 and December 31, 2020, respectively, as quoted by the KEB Hana Bank.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three and six months ended June 30, 2021, the Company recorded an income tax expense from continuing operations of $2,601 thousand and $2,891 thousand, respectively, primarily attributable to interest on intercompany loan balances. During the second quarter of 2021, income tax expense of $624 thousand was also recorded for certain income-based tax assessments as a result of a regular tax examination completed for the Company’s Korean subsidiary for multiple tax years.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For the three and six months ended June 30, 2020, the Company recorded an income tax expense from continuing operations of $678 thousand and $1,981 thousand, respectively, primarily attributable to interest on intercompany loan balances. The income tax expense was recorded for the Company’s Korean subsidiary based on the estimated taxable income for the respective period, combined with its ability to utilize net operating loss carryforwards up to 60% in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Geographic and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the single continuing operating segment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7"/>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95"/>
              <w:spacing w:after="0" w:line="119" w:lineRule="exact"/>
              <w:rPr>
                <w:sz w:val="20"/>
                <w:szCs w:val="20"/>
                <w:color w:val="auto"/>
              </w:rPr>
            </w:pPr>
            <w:r>
              <w:rPr>
                <w:rFonts w:ascii="Arial" w:cs="Arial" w:eastAsia="Arial" w:hAnsi="Arial"/>
                <w:sz w:val="13"/>
                <w:szCs w:val="13"/>
                <w:b w:val="1"/>
                <w:bCs w:val="1"/>
                <w:color w:val="auto"/>
                <w:w w:val="99"/>
              </w:rPr>
              <w:t>June 30,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ind w:left="10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69,176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105,496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146,769</w:t>
            </w:r>
          </w:p>
        </w:tc>
      </w:tr>
      <w:tr>
        <w:trPr>
          <w:trHeight w:val="216"/>
        </w:trPr>
        <w:tc>
          <w:tcPr>
            <w:tcW w:w="568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56,667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39,779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110,678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72,922</w:t>
            </w:r>
          </w:p>
        </w:tc>
      </w:tr>
      <w:tr>
        <w:trPr>
          <w:trHeight w:val="27"/>
        </w:trPr>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standard products business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108,955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216,174</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219,691</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Transitional Fab 3 foundry services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10,608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20,721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19,610</w:t>
            </w:r>
          </w:p>
        </w:tc>
      </w:tr>
      <w:tr>
        <w:trPr>
          <w:trHeight w:val="27"/>
        </w:trPr>
        <w:tc>
          <w:tcPr>
            <w:tcW w:w="5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118,828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236,895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239,301</w:t>
            </w:r>
          </w:p>
        </w:tc>
      </w:tr>
      <w:tr>
        <w:trPr>
          <w:trHeight w:val="20"/>
        </w:trPr>
        <w:tc>
          <w:tcPr>
            <w:tcW w:w="5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ind w:left="1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June 30,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0"/>
                <w:szCs w:val="10"/>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32,859</w:t>
            </w:r>
          </w:p>
        </w:tc>
        <w:tc>
          <w:tcPr>
            <w:tcW w:w="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32,138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66,518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61,268</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Pr>
          <w:p>
            <w:pPr>
              <w:ind w:left="720"/>
              <w:spacing w:after="0"/>
              <w:rPr>
                <w:sz w:val="20"/>
                <w:szCs w:val="20"/>
                <w:color w:val="auto"/>
              </w:rPr>
            </w:pPr>
            <w:r>
              <w:rPr>
                <w:rFonts w:ascii="Arial" w:cs="Arial" w:eastAsia="Arial" w:hAnsi="Arial"/>
                <w:sz w:val="18"/>
                <w:szCs w:val="18"/>
                <w:color w:val="auto"/>
              </w:rPr>
              <w:t>Total gross profit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33,970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32,138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68,352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61,268</w:t>
            </w:r>
          </w:p>
        </w:tc>
        <w:tc>
          <w:tcPr>
            <w:tcW w:w="4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w w:val="99"/>
              </w:rPr>
              <w:t>June 30,</w:t>
            </w:r>
          </w:p>
        </w:tc>
        <w:tc>
          <w:tcPr>
            <w:tcW w:w="40" w:type="dxa"/>
            <w:vAlign w:val="bottom"/>
          </w:tcPr>
          <w:p>
            <w:pPr>
              <w:spacing w:after="0"/>
              <w:rPr>
                <w:sz w:val="10"/>
                <w:szCs w:val="10"/>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52,774</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69,352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153,092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161,752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2,449</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216,174</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219,691</w:t>
            </w:r>
          </w:p>
        </w:tc>
        <w:tc>
          <w:tcPr>
            <w:tcW w:w="4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For the three months ended June 30, 2021 and 2020, of the Company’s net sales – standard products business in Asia Pacific (other than Korea), net sales – standard products business in China and Hong Kong represented 60.6% and 82.8%, respectively, and net sales—standard products business in Vietnam represented 32.0% and 13.8%, respectively. For the six months ended June 30, 2021 and 2020, of the Company’s net sales – standard products business in Asia Pacific (other than Korea), net sales – standard products business in China and Hong Kong represented 58.6% and 88.8%, respectively, and net sales—standard products business in Vietnam represented 35.0% and 7.7%, respectively.</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sales from the Company’s top ten largest customers in the standard products business (which does not include the Transitional Fab 3 Foundry Services) accounted for 80% and 88% for the three months ended June 30, 2021 and 2020, respectively, and 81% and 89% for the six months ended June 30, 2021 and 2020, respectively.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three months ended June 30, 2021, the Company had two customers that represented 40.0% and 11.7% of its net sales – standard products business. For the six months ended June 30, 2021, the Company had two customers that represented 44.6% and 10.8% of its net sales – standard products business. For the three months ended June 30, 2020, the Company had one customer that represented 56.5% of its net sales – standard products business, and for the six months ended June 30, 2020, the Company had two customers that represented 54.7% and 10.7% of its net sales – standard products business.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and December 31, 2020, one customer accounted for 26.9% and 45.1% of accounts receivable,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ind w:left="180" w:right="460" w:firstLine="440"/>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June 30, 2021 and December 31, 2020, respectively (in thousands):</w:t>
      </w:r>
    </w:p>
    <w:p>
      <w:pPr>
        <w:spacing w:after="0" w:line="17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6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2021</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(1,045)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1,634</w:t>
            </w:r>
          </w:p>
        </w:tc>
      </w:tr>
      <w:tr>
        <w:trPr>
          <w:trHeight w:val="27"/>
        </w:trPr>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r>
      <w:tr>
        <w:trPr>
          <w:trHeight w:val="20"/>
        </w:trPr>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Changes in accumulated other comprehensive income (loss) for the three months ended June 30, 2021 and 2020 are as follows (in thousands):</w:t>
      </w:r>
    </w:p>
    <w:p>
      <w:pPr>
        <w:spacing w:after="0" w:line="254"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Foreign</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currency</w:t>
            </w:r>
          </w:p>
        </w:tc>
        <w:tc>
          <w:tcPr>
            <w:tcW w:w="520" w:type="dxa"/>
            <w:vAlign w:val="bottom"/>
          </w:tcPr>
          <w:p>
            <w:pPr>
              <w:spacing w:after="0"/>
              <w:rPr>
                <w:sz w:val="12"/>
                <w:szCs w:val="12"/>
                <w:color w:val="auto"/>
              </w:rPr>
            </w:pPr>
          </w:p>
        </w:tc>
        <w:tc>
          <w:tcPr>
            <w:tcW w:w="102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w w:val="98"/>
              </w:rPr>
              <w:t>Derivative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 2021</w:t>
            </w:r>
          </w:p>
        </w:tc>
        <w:tc>
          <w:tcPr>
            <w:tcW w:w="3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5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5660" w:type="dxa"/>
            <w:vAlign w:val="bottom"/>
            <w:gridSpan w:val="3"/>
            <w:vMerge w:val="continue"/>
          </w:tcPr>
          <w:p>
            <w:pPr>
              <w:spacing w:after="0"/>
              <w:rPr>
                <w:sz w:val="12"/>
                <w:szCs w:val="12"/>
                <w:color w:val="auto"/>
              </w:rPr>
            </w:pPr>
          </w:p>
        </w:tc>
        <w:tc>
          <w:tcPr>
            <w:tcW w:w="1080" w:type="dxa"/>
            <w:vAlign w:val="bottom"/>
            <w:gridSpan w:val="3"/>
          </w:tcPr>
          <w:p>
            <w:pPr>
              <w:jc w:val="center"/>
              <w:ind w:left="239"/>
              <w:spacing w:after="0" w:line="125" w:lineRule="exact"/>
              <w:rPr>
                <w:sz w:val="20"/>
                <w:szCs w:val="20"/>
                <w:color w:val="auto"/>
              </w:rPr>
            </w:pPr>
            <w:r>
              <w:rPr>
                <w:rFonts w:ascii="Arial" w:cs="Arial" w:eastAsia="Arial" w:hAnsi="Arial"/>
                <w:sz w:val="14"/>
                <w:szCs w:val="14"/>
                <w:b w:val="1"/>
                <w:bCs w:val="1"/>
                <w:color w:val="auto"/>
                <w:w w:val="92"/>
              </w:rPr>
              <w:t>adjustments</w:t>
            </w:r>
          </w:p>
        </w:tc>
        <w:tc>
          <w:tcPr>
            <w:tcW w:w="1540" w:type="dxa"/>
            <w:vAlign w:val="bottom"/>
            <w:gridSpan w:val="4"/>
          </w:tcPr>
          <w:p>
            <w:pPr>
              <w:jc w:val="right"/>
              <w:ind w:right="241"/>
              <w:spacing w:after="0" w:line="125" w:lineRule="exact"/>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(1,002</w:t>
            </w:r>
          </w:p>
        </w:tc>
        <w:tc>
          <w:tcPr>
            <w:tcW w:w="260" w:type="dxa"/>
            <w:vAlign w:val="bottom"/>
            <w:shd w:val="clear" w:color="auto" w:fill="CCEEFF"/>
          </w:tcPr>
          <w:p>
            <w:pPr>
              <w:jc w:val="right"/>
              <w:ind w:right="181"/>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60" w:top="486" w:right="79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Three Months Ended June 30, 2020</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-123190</wp:posOffset>
            </wp:positionV>
            <wp:extent cx="587184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27" w:lineRule="exact"/>
        <w:rPr>
          <w:sz w:val="20"/>
          <w:szCs w:val="20"/>
          <w:color w:val="auto"/>
        </w:rPr>
      </w:pPr>
    </w:p>
    <w:p>
      <w:pPr>
        <w:ind w:left="1420" w:right="200"/>
        <w:spacing w:after="0" w:line="304" w:lineRule="auto"/>
        <w:rPr>
          <w:sz w:val="20"/>
          <w:szCs w:val="20"/>
          <w:color w:val="auto"/>
        </w:rPr>
      </w:pPr>
      <w:r>
        <w:rPr>
          <w:rFonts w:ascii="Arial" w:cs="Arial" w:eastAsia="Arial" w:hAnsi="Arial"/>
          <w:sz w:val="16"/>
          <w:szCs w:val="16"/>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-149225</wp:posOffset>
            </wp:positionV>
            <wp:extent cx="587184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41"/>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adjustments</w:t>
            </w:r>
          </w:p>
        </w:tc>
        <w:tc>
          <w:tcPr>
            <w:tcW w:w="12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18,046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(3,401</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14,645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360" w:space="720"/>
            <w:col w:w="3760"/>
          </w:cols>
          <w:pgMar w:left="260" w:top="486" w:right="799" w:bottom="1440" w:gutter="0" w:footer="0" w:header="0"/>
          <w:type w:val="continuous"/>
        </w:sectPr>
      </w:pPr>
    </w:p>
    <w:tbl>
      <w:tblPr>
        <w:tblLayout w:type="fixed"/>
        <w:tblInd w:w="10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tcPr>
          <w:p>
            <w:pPr>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1060" w:type="dxa"/>
            <w:vAlign w:val="bottom"/>
          </w:tcPr>
          <w:p>
            <w:pPr>
              <w:spacing w:after="0"/>
              <w:rPr>
                <w:sz w:val="17"/>
                <w:szCs w:val="17"/>
                <w:color w:val="auto"/>
              </w:rPr>
            </w:pP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(6,543)</w:t>
            </w: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2,397</w:t>
            </w:r>
          </w:p>
        </w:tc>
        <w:tc>
          <w:tcPr>
            <w:tcW w:w="240" w:type="dxa"/>
            <w:vAlign w:val="bottom"/>
          </w:tcPr>
          <w:p>
            <w:pPr>
              <w:spacing w:after="0"/>
              <w:rPr>
                <w:sz w:val="17"/>
                <w:szCs w:val="17"/>
                <w:color w:val="auto"/>
              </w:rPr>
            </w:pPr>
          </w:p>
        </w:tc>
        <w:tc>
          <w:tcPr>
            <w:tcW w:w="104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11,503</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(1,004)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Changes in accumulated other comprehensive income (loss) for the six months ended June 30, 2021 and 2020 are as follows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2021</w:t>
            </w:r>
          </w:p>
        </w:tc>
        <w:tc>
          <w:tcPr>
            <w:tcW w:w="42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760" w:type="dxa"/>
            <w:vAlign w:val="bottom"/>
            <w:gridSpan w:val="3"/>
            <w:vMerge w:val="continue"/>
          </w:tcPr>
          <w:p>
            <w:pPr>
              <w:spacing w:after="0"/>
              <w:rPr>
                <w:sz w:val="12"/>
                <w:szCs w:val="12"/>
                <w:color w:val="auto"/>
              </w:rPr>
            </w:pPr>
          </w:p>
        </w:tc>
        <w:tc>
          <w:tcPr>
            <w:tcW w:w="1420" w:type="dxa"/>
            <w:vAlign w:val="bottom"/>
            <w:gridSpan w:val="4"/>
          </w:tcPr>
          <w:p>
            <w:pPr>
              <w:jc w:val="center"/>
              <w:ind w:left="79"/>
              <w:spacing w:after="0" w:line="125" w:lineRule="exact"/>
              <w:rPr>
                <w:sz w:val="20"/>
                <w:szCs w:val="20"/>
                <w:color w:val="auto"/>
              </w:rPr>
            </w:pPr>
            <w:r>
              <w:rPr>
                <w:rFonts w:ascii="Arial" w:cs="Arial" w:eastAsia="Arial" w:hAnsi="Arial"/>
                <w:sz w:val="14"/>
                <w:szCs w:val="14"/>
                <w:b w:val="1"/>
                <w:bCs w:val="1"/>
                <w:color w:val="auto"/>
                <w:w w:val="89"/>
              </w:rPr>
              <w:t>adjustments</w:t>
            </w:r>
          </w:p>
        </w:tc>
        <w:tc>
          <w:tcPr>
            <w:tcW w:w="1200" w:type="dxa"/>
            <w:vAlign w:val="bottom"/>
            <w:gridSpan w:val="4"/>
          </w:tcPr>
          <w:p>
            <w:pPr>
              <w:jc w:val="right"/>
              <w:ind w:right="260"/>
              <w:spacing w:after="0" w:line="125" w:lineRule="exact"/>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(3,642)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Amounts reclassified from accumulated other comprehensive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(4,628)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60" w:top="486" w:right="79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Six Months Ended June 30, 2020</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-123190</wp:posOffset>
            </wp:positionV>
            <wp:extent cx="587184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7" w:lineRule="exact"/>
        <w:rPr>
          <w:sz w:val="20"/>
          <w:szCs w:val="20"/>
          <w:color w:val="auto"/>
        </w:rPr>
      </w:pPr>
    </w:p>
    <w:p>
      <w:pPr>
        <w:ind w:left="1420" w:right="140"/>
        <w:spacing w:after="0" w:line="304" w:lineRule="auto"/>
        <w:rPr>
          <w:sz w:val="20"/>
          <w:szCs w:val="20"/>
          <w:color w:val="auto"/>
        </w:rPr>
      </w:pPr>
      <w:r>
        <w:rPr>
          <w:rFonts w:ascii="Arial" w:cs="Arial" w:eastAsia="Arial" w:hAnsi="Arial"/>
          <w:sz w:val="16"/>
          <w:szCs w:val="16"/>
          <w:color w:val="auto"/>
        </w:rPr>
        <w:t>Other comprehensive income (loss) before reclassifications 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-149225</wp:posOffset>
            </wp:positionV>
            <wp:extent cx="587184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2"/>
          </w:tcPr>
          <w:p>
            <w:pPr>
              <w:jc w:val="center"/>
              <w:ind w:right="381"/>
              <w:spacing w:after="0" w:line="149" w:lineRule="exact"/>
              <w:rPr>
                <w:sz w:val="20"/>
                <w:szCs w:val="20"/>
                <w:color w:val="auto"/>
              </w:rPr>
            </w:pPr>
            <w:r>
              <w:rPr>
                <w:rFonts w:ascii="Arial" w:cs="Arial" w:eastAsia="Arial" w:hAnsi="Arial"/>
                <w:sz w:val="14"/>
                <w:szCs w:val="14"/>
                <w:b w:val="1"/>
                <w:bCs w:val="1"/>
                <w:color w:val="auto"/>
                <w:w w:val="91"/>
              </w:rPr>
              <w:t>currency</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2"/>
          </w:tcPr>
          <w:p>
            <w:pPr>
              <w:jc w:val="center"/>
              <w:ind w:right="381"/>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gridSpan w:val="2"/>
          </w:tcPr>
          <w:p>
            <w:pPr>
              <w:jc w:val="center"/>
              <w:ind w:right="381"/>
              <w:spacing w:after="0"/>
              <w:rPr>
                <w:sz w:val="20"/>
                <w:szCs w:val="20"/>
                <w:color w:val="auto"/>
              </w:rPr>
            </w:pPr>
            <w:r>
              <w:rPr>
                <w:rFonts w:ascii="Arial" w:cs="Arial" w:eastAsia="Arial" w:hAnsi="Arial"/>
                <w:sz w:val="14"/>
                <w:szCs w:val="14"/>
                <w:b w:val="1"/>
                <w:bCs w:val="1"/>
                <w:color w:val="auto"/>
                <w:w w:val="89"/>
              </w:rPr>
              <w:t>adjustments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(4,205</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(2,660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300" w:space="720"/>
            <w:col w:w="3820"/>
          </w:cols>
          <w:pgMar w:left="260" w:top="486" w:right="799" w:bottom="1440" w:gutter="0" w:footer="0" w:header="0"/>
          <w:type w:val="continuous"/>
        </w:sectPr>
      </w:pPr>
    </w:p>
    <w:tbl>
      <w:tblPr>
        <w:tblLayout w:type="fixed"/>
        <w:tblInd w:w="10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tcPr>
          <w:p>
            <w:pPr>
              <w:spacing w:after="0" w:line="203" w:lineRule="exact"/>
              <w:rPr>
                <w:sz w:val="20"/>
                <w:szCs w:val="20"/>
                <w:color w:val="auto"/>
              </w:rPr>
            </w:pPr>
            <w:r>
              <w:rPr>
                <w:rFonts w:ascii="Arial" w:cs="Arial" w:eastAsia="Arial" w:hAnsi="Arial"/>
                <w:sz w:val="18"/>
                <w:szCs w:val="18"/>
                <w:color w:val="auto"/>
                <w:w w:val="97"/>
              </w:rPr>
              <w:t>Net current-period other comprehensive income (loss)</w:t>
            </w:r>
          </w:p>
        </w:tc>
        <w:tc>
          <w:tcPr>
            <w:tcW w:w="17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15,708</w:t>
            </w:r>
          </w:p>
        </w:tc>
        <w:tc>
          <w:tcPr>
            <w:tcW w:w="440" w:type="dxa"/>
            <w:vAlign w:val="bottom"/>
          </w:tcPr>
          <w:p>
            <w:pPr>
              <w:spacing w:after="0"/>
              <w:rPr>
                <w:sz w:val="17"/>
                <w:szCs w:val="17"/>
                <w:color w:val="auto"/>
              </w:rPr>
            </w:pP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(2,549)</w:t>
            </w: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11,503</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(1,004)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60" w:type="dxa"/>
            <w:vAlign w:val="bottom"/>
            <w:vMerge w:val="restart"/>
          </w:tcPr>
          <w:p>
            <w:pPr>
              <w:jc w:val="right"/>
              <w:ind w:right="1170"/>
              <w:spacing w:after="0"/>
              <w:rPr>
                <w:sz w:val="20"/>
                <w:szCs w:val="20"/>
                <w:color w:val="auto"/>
              </w:rPr>
            </w:pPr>
            <w:r>
              <w:rPr>
                <w:rFonts w:ascii="Arial" w:cs="Arial" w:eastAsia="Arial" w:hAnsi="Arial"/>
                <w:sz w:val="18"/>
                <w:szCs w:val="18"/>
                <w:color w:val="auto"/>
              </w:rPr>
              <w:t>22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60" w:top="486" w:right="7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Earnings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illustrates the computation of basic and diluted earnings (loss) per common share for the three and six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and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June 30,</w:t>
            </w: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92"/>
              </w:rPr>
              <w:t>(In thousands of U.S. dollars, except share data)</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11,774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24,726</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46,322,027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35,092,312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43,324,088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34,992,734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Add back: Interest expense on Exchangeable Notes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1,425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allocated to</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allocated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common stock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46,322,027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35,092,312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43,324,088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34,992,734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equity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1,237,770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Net effect of assumed conversion of 5.0% Exchangeable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Notes to common stock</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10,144,155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46,322,027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46,474,237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43,324,088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34,992,734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40" w:firstLine="440"/>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9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30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June 30,</w:t>
            </w:r>
          </w:p>
        </w:tc>
        <w:tc>
          <w:tcPr>
            <w:tcW w:w="6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0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June 30,</w:t>
            </w:r>
          </w:p>
        </w:tc>
        <w:tc>
          <w:tcPr>
            <w:tcW w:w="800" w:type="dxa"/>
            <w:vAlign w:val="bottom"/>
            <w:tcBorders>
              <w:top w:val="single" w:sz="8" w:color="auto"/>
            </w:tcBorders>
          </w:tcPr>
          <w:p>
            <w:pPr>
              <w:jc w:val="right"/>
              <w:ind w:right="60"/>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0"/>
                <w:szCs w:val="10"/>
                <w:color w:val="auto"/>
              </w:rPr>
            </w:pPr>
          </w:p>
        </w:tc>
      </w:tr>
      <w:tr>
        <w:trPr>
          <w:trHeight w:val="171"/>
        </w:trPr>
        <w:tc>
          <w:tcPr>
            <w:tcW w:w="6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1,470,421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699,167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1,470,421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2,075,494</w:t>
            </w:r>
          </w:p>
        </w:tc>
        <w:tc>
          <w:tcPr>
            <w:tcW w:w="40" w:type="dxa"/>
            <w:vAlign w:val="bottom"/>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1,012,197</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1,012,197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1,238,639</w:t>
            </w:r>
          </w:p>
        </w:tc>
      </w:tr>
    </w:tbl>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the six months ended June 30, 2021 and 2020, 2,875,982 shares and 10,144,155 shares, respectively, of potential common stock from the assumed conversion of Exchangeable Notes were also excluded from the computation of diluted loss per share as the effect were anti-dilutive for the period.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86"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Other Charges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three months ended June 30, 2021, other charges totaled $5,020 thousand, of which $2,459 thousand related to professional fees and certain transaction related expenses incurred in connection with the Merger and $2,561 thousand related to certain non-recurring professional fees and expenses in connection with regulatory requests.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For the six months ended June 30, 2021, other charges totaled $15,436 thousand, of which $12,290 thousand related to professional fees and certain transaction related expenses incurred in connection with the Merger and $3,146 thousand related to certain non-recurring professional fees and expenses in connection with regulatory requests. For the six months ended June 30, 2020, other charges were $554 thousand, which pertained to non-recurring professional service fees and expenses incurred in connection with certain treasury and finance initiatives.</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320" w:top="486"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Company, from time to time, may make advances in form of prepayments or deposits to suppliers to procure materials to meet its planned production. The Company recorded advances of $1,150 thousand and $5,500 thousand as other current assets as of June 30, 2021 and December 31, 2020,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66"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Company experienced some minor disruption in its Power Solutions business from assembly and test subcontractors located in China in the first quarter of 2020 as a result of the COVID-19 pandemic. To date, its external Display Solutions business contractors and sub-contractors have not been materially impacted by the COVID-19 pandemic. The Company is, however, unable to accurately predict the full impact that the COVID-19 pandemic will have on its future results of operations due to numerous uncertainties, including the severity and duration of the outbreak, the efficacy of ongoing global vaccination efforts, potential future recurrences of the outbreak, the spread of disease variants that may be resistant to the existing vaccines, further containment actions that may be taken by governmental authorities, the impact to the businesses of its customers and suppliers, and other factors.</w:t>
      </w:r>
    </w:p>
    <w:p>
      <w:pPr>
        <w:spacing w:after="0" w:line="195"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The Company continues to closely monitor and evaluate the nature and scope of the impact of the COVID-19 pandemic to its business, consolidated results of operations, and financial condition, and may take further actions altering its business operations and managing its costs and liquidity that the Company deems necessary or appropriate to respond to this fast moving and uncertain global health crisis and the resulting global economic consequences.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Complaints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Since April 22, 2021, eleven complaints (each, a “Shareholder Complaint,” and together, the “Shareholder Complaints”) have been filed seeking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enjoin the Merger, or, if the Merger is consummated, rescind the Merger or recover damages, as well as an award of each plaintiff’s fees and litigation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expenses. The Shareholder Complaints, each filed as an individual action by a purported stockholder of the Company, are captioned as </w:t>
      </w:r>
      <w:r>
        <w:rPr>
          <w:rFonts w:ascii="Arial" w:cs="Arial" w:eastAsia="Arial" w:hAnsi="Arial"/>
          <w:sz w:val="16"/>
          <w:szCs w:val="16"/>
          <w:i w:val="1"/>
          <w:iCs w:val="1"/>
          <w:color w:val="auto"/>
        </w:rPr>
        <w:t>Schulthess v.</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1:21-cv-03587 (S.D.N.Y.) (the “Schulthess Complaint”),</w:t>
      </w:r>
      <w:r>
        <w:rPr>
          <w:rFonts w:ascii="Arial" w:cs="Arial" w:eastAsia="Arial" w:hAnsi="Arial"/>
          <w:sz w:val="16"/>
          <w:szCs w:val="16"/>
          <w:i w:val="1"/>
          <w:iCs w:val="1"/>
          <w:color w:val="auto"/>
        </w:rPr>
        <w:t xml:space="preserve"> Pittman v. Magnachip Semiconductor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Corporation, et al.</w:t>
      </w:r>
      <w:r>
        <w:rPr>
          <w:rFonts w:ascii="Arial" w:cs="Arial" w:eastAsia="Arial" w:hAnsi="Arial"/>
          <w:sz w:val="17"/>
          <w:szCs w:val="17"/>
          <w:color w:val="auto"/>
        </w:rPr>
        <w:t>, Case No. 1:21-cv-02306 (E.D.N.Y.),</w:t>
      </w:r>
      <w:r>
        <w:rPr>
          <w:rFonts w:ascii="Arial" w:cs="Arial" w:eastAsia="Arial" w:hAnsi="Arial"/>
          <w:sz w:val="17"/>
          <w:szCs w:val="17"/>
          <w:i w:val="1"/>
          <w:iCs w:val="1"/>
          <w:color w:val="auto"/>
        </w:rPr>
        <w:t xml:space="preserve"> Flanagan v. Magnachip Semiconductor Corporation, et al.</w:t>
      </w:r>
      <w:r>
        <w:rPr>
          <w:rFonts w:ascii="Arial" w:cs="Arial" w:eastAsia="Arial" w:hAnsi="Arial"/>
          <w:sz w:val="17"/>
          <w:szCs w:val="17"/>
          <w:color w:val="auto"/>
        </w:rPr>
        <w:t>, Case No. 1:21-cv-03743</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(S.D.N.Y.), </w:t>
      </w:r>
      <w:r>
        <w:rPr>
          <w:rFonts w:ascii="Arial" w:cs="Arial" w:eastAsia="Arial" w:hAnsi="Arial"/>
          <w:sz w:val="17"/>
          <w:szCs w:val="17"/>
          <w:i w:val="1"/>
          <w:iCs w:val="1"/>
          <w:color w:val="auto"/>
        </w:rPr>
        <w:t>Castelli v. Magnachip Semiconductor Corporation, et al.</w:t>
      </w:r>
      <w:r>
        <w:rPr>
          <w:rFonts w:ascii="Arial" w:cs="Arial" w:eastAsia="Arial" w:hAnsi="Arial"/>
          <w:sz w:val="17"/>
          <w:szCs w:val="17"/>
          <w:color w:val="auto"/>
        </w:rPr>
        <w:t xml:space="preserve">, Case No. 1:21-cv-03769 (S.D.N.Y.) (the “Castelli Complaint”), </w:t>
      </w:r>
      <w:r>
        <w:rPr>
          <w:rFonts w:ascii="Arial" w:cs="Arial" w:eastAsia="Arial" w:hAnsi="Arial"/>
          <w:sz w:val="17"/>
          <w:szCs w:val="17"/>
          <w:i w:val="1"/>
          <w:iCs w:val="1"/>
          <w:color w:val="auto"/>
        </w:rPr>
        <w:t>Doolittle v.</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Magnachip Semiconductor Corporation, et al.</w:t>
      </w:r>
      <w:r>
        <w:rPr>
          <w:rFonts w:ascii="Arial" w:cs="Arial" w:eastAsia="Arial" w:hAnsi="Arial"/>
          <w:sz w:val="16"/>
          <w:szCs w:val="16"/>
          <w:color w:val="auto"/>
        </w:rPr>
        <w:t>, Case No. 1:21-cv-03801 (S.D.N.Y.),</w:t>
      </w:r>
      <w:r>
        <w:rPr>
          <w:rFonts w:ascii="Arial" w:cs="Arial" w:eastAsia="Arial" w:hAnsi="Arial"/>
          <w:sz w:val="16"/>
          <w:szCs w:val="16"/>
          <w:i w:val="1"/>
          <w:iCs w:val="1"/>
          <w:color w:val="auto"/>
        </w:rPr>
        <w:t xml:space="preserve"> Thomas v. Magnachip Semiconductor Corporation, et al.</w:t>
      </w:r>
      <w:r>
        <w:rPr>
          <w:rFonts w:ascii="Arial" w:cs="Arial" w:eastAsia="Arial" w:hAnsi="Arial"/>
          <w:sz w:val="16"/>
          <w:szCs w:val="16"/>
          <w:color w:val="auto"/>
        </w:rPr>
        <w:t>, Case No.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1:21-cv-03860 (S.D.N.Y.), </w:t>
      </w:r>
      <w:r>
        <w:rPr>
          <w:rFonts w:ascii="Arial" w:cs="Arial" w:eastAsia="Arial" w:hAnsi="Arial"/>
          <w:sz w:val="18"/>
          <w:szCs w:val="18"/>
          <w:i w:val="1"/>
          <w:iCs w:val="1"/>
          <w:color w:val="auto"/>
        </w:rPr>
        <w:t>Finger v. Magnachip Semiconductor Corporation, et al.</w:t>
      </w:r>
      <w:r>
        <w:rPr>
          <w:rFonts w:ascii="Arial" w:cs="Arial" w:eastAsia="Arial" w:hAnsi="Arial"/>
          <w:sz w:val="18"/>
          <w:szCs w:val="18"/>
          <w:color w:val="auto"/>
        </w:rPr>
        <w:t xml:space="preserve">, Case No. 1:21-cv-03927 (S.D.N.Y.), </w:t>
      </w:r>
      <w:r>
        <w:rPr>
          <w:rFonts w:ascii="Arial" w:cs="Arial" w:eastAsia="Arial" w:hAnsi="Arial"/>
          <w:sz w:val="18"/>
          <w:szCs w:val="18"/>
          <w:i w:val="1"/>
          <w:iCs w:val="1"/>
          <w:color w:val="auto"/>
        </w:rPr>
        <w:t>Kent v. Magnachip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Semiconductor Corporation, et al.</w:t>
      </w:r>
      <w:r>
        <w:rPr>
          <w:rFonts w:ascii="Arial" w:cs="Arial" w:eastAsia="Arial" w:hAnsi="Arial"/>
          <w:sz w:val="18"/>
          <w:szCs w:val="18"/>
          <w:color w:val="auto"/>
        </w:rPr>
        <w:t>, Case No. 1:21-cv-00657 (D. Del.),</w:t>
      </w:r>
      <w:r>
        <w:rPr>
          <w:rFonts w:ascii="Arial" w:cs="Arial" w:eastAsia="Arial" w:hAnsi="Arial"/>
          <w:sz w:val="18"/>
          <w:szCs w:val="18"/>
          <w:i w:val="1"/>
          <w:iCs w:val="1"/>
          <w:color w:val="auto"/>
        </w:rPr>
        <w:t xml:space="preserve"> Kennedy v. Magnachip Semiconductor Corporation, et al.</w:t>
      </w:r>
      <w:r>
        <w:rPr>
          <w:rFonts w:ascii="Arial" w:cs="Arial" w:eastAsia="Arial" w:hAnsi="Arial"/>
          <w:sz w:val="18"/>
          <w:szCs w:val="18"/>
          <w:color w:val="auto"/>
        </w:rPr>
        <w:t>, Case No.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2:21-cv-02110 (E.D. Pa.), </w:t>
      </w:r>
      <w:r>
        <w:rPr>
          <w:rFonts w:ascii="Arial" w:cs="Arial" w:eastAsia="Arial" w:hAnsi="Arial"/>
          <w:sz w:val="16"/>
          <w:szCs w:val="16"/>
          <w:i w:val="1"/>
          <w:iCs w:val="1"/>
          <w:color w:val="auto"/>
        </w:rPr>
        <w:t>Monroy v. Magnachip Semiconductor Corporation, et al.</w:t>
      </w:r>
      <w:r>
        <w:rPr>
          <w:rFonts w:ascii="Arial" w:cs="Arial" w:eastAsia="Arial" w:hAnsi="Arial"/>
          <w:sz w:val="16"/>
          <w:szCs w:val="16"/>
          <w:color w:val="auto"/>
        </w:rPr>
        <w:t>, Case No. 1:21-cv-04921 (S.D.N.Y.) (the “Monroy Complaint”),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Jones v. Magnachip Semiconductor Corporation, et al.</w:t>
      </w:r>
      <w:r>
        <w:rPr>
          <w:rFonts w:ascii="Arial" w:cs="Arial" w:eastAsia="Arial" w:hAnsi="Arial"/>
          <w:sz w:val="17"/>
          <w:szCs w:val="17"/>
          <w:color w:val="auto"/>
        </w:rPr>
        <w:t>, Case No. 1:21-cv-04966 (S.D.N.Y.). Each Shareholder Complaint alleges either that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preliminary proxy statement filed by the Company with the Securities and Exchange Commission (“SEC”) on April 19, 2021 or the definitive proxy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 filed by the Company with the SEC on May 7, 2021, is false and/or misleading and asserts claims for violations of Section 14(a) and 20(a)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Securities Exchange Act of 1934, as amended (the “Exchange Act”), and SEC Rule 14a-9 against the Company and certain current or former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 of the Company’s board of directors (the “Board”). The Schulthess Complaint, Castelli Complaint and Monroy Complaint also allege breaches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fiduciary duties by certain current or former members of the Board. The Schulthess Complaint further alleges that the Company aided and abetted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purported breaches of fiduciary duties by certain current or former members of the Board.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CFIUS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On May 26, 2021, outside legal counsel of each of the Company and Parent received an e-mail from the U.S. Department of Treasury on behalf of the Staff Chairperson of the CFIUS. In the e-mail, the CFIUS Staff Chairperson, acting on the recommendation of CFIUS, requested that the parties file a notice concerning the Merger and thereby undergo formal CFIUS review of the Merger. Under the terms of the Merger Agreement, the parties’ receipt of the request from CFIUS to file a notice concerning the Merger results in the closing of the Merger now being conditioned on the receipt of CFIUS approval without the imposition of a “Burdensome Condition” (as defined in the Merger Agreement), other than a Burdensome Condition to which Parent had previously agreed. The Company and Parent filed such notice with CFIUS on June 11, 2021.</w:t>
      </w:r>
    </w:p>
    <w:p>
      <w:pPr>
        <w:spacing w:after="0" w:line="17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 (iii) 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(the “DPA”) with respect to the Merger, (2) the President takes action or declines to take action under Section 721 of the DPA with respect to the Merger or (3) CFIUS or the President revokes or terminates the Interim Order.</w:t>
      </w:r>
    </w:p>
    <w:p>
      <w:pPr>
        <w:spacing w:after="0" w:line="172"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On June 17, 2021, in light of the Interim Order, the Company announced the postponement of its special meeting of stockholders, which was scheduled to be held at 8:00 p.m. Eastern time on June 17, 2021, pending further developments with respect to the Interim Order.</w:t>
      </w:r>
    </w:p>
    <w:p>
      <w:pPr>
        <w:spacing w:after="0" w:line="14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On July 26, 2021, outside legal counsel of each of the Company and Parent received a letter from the Acting CFIUS Staff Chairperson notifying the parties that CFIUS will undertake an investigation of the Merger pursuant to Section 721(b)(2) of the DPA, which will be completed no later than September 13,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MOTIE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June 16, 2021, the Company’s Korean subsidiary received a letter from the MOTIE requesting it to either apply for an approval or file a report, as may be applicable, under Article 11-2 of the Act on Prevention of Divulgence and Protection of Industrial Technology (the “ITA”) concerning the Merger.</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terms of the Merger Agreement, the Company’s Korean subsidiary’s receipt of the request from MOTIE to apply for approval or file a report pursuant to the ITA concerning the Merger may be deemed to have resulted in the closing of the Merger now being conditioned on the receipt of MOTIE’s authorization without the imposition of a “Burdensome Condition” (as defined in the Merger Agreement), other than a Burdensome Condition to which Parent had previously agreed. The Company’s Korean subsidiary filed such report with MOTIE on July 20,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SAMR</w:t>
      </w:r>
    </w:p>
    <w:p>
      <w:pPr>
        <w:spacing w:after="0" w:line="117" w:lineRule="exact"/>
        <w:rPr>
          <w:sz w:val="20"/>
          <w:szCs w:val="20"/>
          <w:color w:val="auto"/>
        </w:rPr>
      </w:pPr>
    </w:p>
    <w:p>
      <w:pPr>
        <w:ind w:left="120" w:right="300" w:firstLine="991"/>
        <w:spacing w:after="0" w:line="286" w:lineRule="auto"/>
        <w:rPr>
          <w:sz w:val="20"/>
          <w:szCs w:val="20"/>
          <w:color w:val="auto"/>
        </w:rPr>
      </w:pPr>
      <w:r>
        <w:rPr>
          <w:rFonts w:ascii="Arial" w:cs="Arial" w:eastAsia="Arial" w:hAnsi="Arial"/>
          <w:sz w:val="17"/>
          <w:szCs w:val="17"/>
          <w:color w:val="auto"/>
        </w:rPr>
        <w:t>On June 30, 2021, based on an application filed by the Company and Parent on May 7, 2021, the State Administration for Market Regulation (“SAMR”) announced that the Merger was cleared pursuant to the Anti-monopoly Law (China) on June 21, 2021. Under the terms of the Merger Agreement, the parties’ receipt of the clearance from SAMR satisfies one of the conditions to the closing of the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March 9, 2021 (“2020 Form 10-K”) (including that the impact of the COVID-19 pandemic may also exacerbate the risks discussed therein).</w:t>
      </w:r>
    </w:p>
    <w:p>
      <w:pPr>
        <w:spacing w:after="0" w:line="18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700" w:firstLine="440"/>
        <w:spacing w:after="0" w:line="301"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IoT applications, consumer, computing, industrial and automotive applications. We provide technology platforms for analog, mixed-signal, power, high voltage, non-volatile memory, and radio frequency applications. We have a proven record with more than 40 years of operating history, a portfolio of approximately 1,200 registered patents and pending applications and extensive engineering and manufacturing process expertise.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standard products business includes our Display Solutions and Power Solutions business lines.</w:t>
      </w:r>
    </w:p>
    <w:p>
      <w:pPr>
        <w:spacing w:after="0" w:line="22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Our Display Solutions products provides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and organic light emitting diodes (OLED). Our Display Solutions products support some of the industry’s most advanced display technologies, such as OLEDs, low temperature polysilicons thin film transistors (LTPS TFTs) and amorphous silicon thin film transistors (a-Si TFTs). Since 2007, we have designed and manufactured OLED display driver integrated circuit (IC) products. Our current portfolio of OLED solutions address a wide range of resolutions ranging from HD to Wide Quad High Definition (WQHD) for applications including smartphones, TVs, and other mobile devices.</w:t>
      </w:r>
    </w:p>
    <w:p>
      <w:pPr>
        <w:spacing w:after="0" w:line="177" w:lineRule="exact"/>
        <w:rPr>
          <w:sz w:val="20"/>
          <w:szCs w:val="20"/>
          <w:color w:val="auto"/>
        </w:rPr>
      </w:pPr>
    </w:p>
    <w:p>
      <w:pPr>
        <w:ind w:left="120" w:right="300" w:firstLine="440"/>
        <w:spacing w:after="0" w:line="293" w:lineRule="auto"/>
        <w:rPr>
          <w:sz w:val="20"/>
          <w:szCs w:val="20"/>
          <w:color w:val="auto"/>
        </w:rPr>
      </w:pPr>
      <w:r>
        <w:rPr>
          <w:rFonts w:ascii="Arial" w:cs="Arial" w:eastAsia="Arial" w:hAnsi="Arial"/>
          <w:sz w:val="16"/>
          <w:szCs w:val="16"/>
          <w:color w:val="auto"/>
        </w:rPr>
        <w:t>Our Power Solutions business line produces power management semiconductor products including discrete and integrated circuit solutions for power management in consumer, communications, computing, industrial and automotive applications. These products include metal oxide semiconductor field effect transistors (MOSFETs), insulated-gate bipolar transistors (IGBTs), AC-DC converters, DC-DC converters, LED drivers, switching regulators, linear regulators, interface ICs and power management ICs (PMICs) for a range of devices, including televisions, smartphones, desktop PCs, notebooks, tablets, servers, telecommunication power, home appliances, industrial applications such as uninterruptible power supplies (UPSs), LED lighting, personal mobility, motor drives and battery management systems (BMS).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6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such as organic light emitting diodes (OLED). We believe this balanced capital investment strategy enables us to optimize our capital investments and facilitates more diversified product and service offerings.</w:t>
      </w:r>
    </w:p>
    <w:p>
      <w:pPr>
        <w:spacing w:after="0" w:line="16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12-inch foundry starting in the second half of 2015. This additional source of manufacturing is an increasingly important part of our supply chain management. By outsourcing manufacturing of OLED products to external 12-inch foundries, we are able to adapt dynamically to changing customer requirements and address growing markets without substantial capital investments by us. However, relying on external foundries exposes us to the risk of being unable to secure manufacturing capacity, particularly under the current global shortage of foundry services. Although we are working strategically with external foundries to secure long-term wafer capacity, if we are unsuccessful, our ability to deliver products to our customers may be negatively impacted, which would adversely affect our relationship with customers and opportunities to secure new design-wins.</w:t>
      </w:r>
    </w:p>
    <w:p>
      <w:pPr>
        <w:spacing w:after="0" w:line="19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March 25, 2021, we entered into the Merger Agreement with Parent and Merger Sub, pursuant to which, among other things, and subject to the terms and conditions thereof, Merger Sub will be merged with and into the Company, with the Company continuing its corporate existence as the surviving corporation in the Merger and becoming a wholly owned subsidiary of Parent.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terms of the Merger Agreement, each share of our common stock issued and outstanding immediately before the Effective Time (other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than Excluded Shares and Dissenting Shares) will be cancelled and will cease to exist and will be automatically converted into the right to receive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$29.00 in cash, without interest, and subject to applicable withholding taxes. The all-cash transaction has an equity value of approximately $1.4 billion.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is fully backed by equity commitments and not contingent on any financing conditions.</w:t>
      </w:r>
    </w:p>
    <w:p>
      <w:pPr>
        <w:spacing w:after="0" w:line="21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We have incurred, and will continue to incur, significant costs, expenses and fees for professional services and other transaction costs in connection with the Merger.</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more information on the Merger Agreement and the Merger, see “Item 1. Interim Consolidated Financial Statements—Notes to Consolidated Financial Statements—Note 2. Merger Agreement” in this Report.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5.0% Exchangeable Senior Notes due 2021 (the “Exchangeable Notes”)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March 1, 2021 maturity of our Exchangeable Notes, holders thereof elected to exchange the Exchangeable Notes for an aggregate of 10,144,131 shares of our common stock in satisfaction in full of the outstanding obligations under the Exchangeable Notes. On March 1, 2021, we paid the final interest payment on the Exchangeable Notes of $2.1 million and no longer have any Exchangeable Notes obligations outstanding as of such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December 2019, a strain of coronavirus causing a disease known as COVID-19 surfaced in Wuhan, China, resulting in significant disruptions among Chinese manufacturing and other facilities and travel throughout China. In March 2020, the World Health Organization declared the COVID-19 outbreak a pandemic. Governmental authorities throughout the world have implemented numerous containment measures, including travel bans and restrictions, quarantines, shelter-in-place orders, and business restrictions and shutdowns, resulting in rapidly changing market and economic conditions. Although some of these restrictions and other containment measures have since been lifted or scaled back, ongoing surges of COVID-19 have, in some cases, resulted in the re-imposition of certain restrictions and containment measures, and may continue to lead to other restrictions being re-implemented in the foreseeable future in response to efforts to reduce the rapid spread of COVID-19.</w:t>
      </w:r>
    </w:p>
    <w:p>
      <w:pPr>
        <w:spacing w:after="0" w:line="17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experienced some minor disruption in our Power Solutions business from assembly and test subcontractors located in China in the first quarter of 2020 as a result of the COVID-19 pandemic. To date, our external Display Solutions business contractors and sub-contractors have not been materially impacted by the COVID-19 pandemic. We are, however, unable to accurately predict the full impact that the COVID-19 pandemic will have on future results of operations due to numerous uncertainties, including the severity and the duration of the outbreak, the efficacy of ongoing global vaccination efforts, potential future recurrences of the outbreak, the spread of disease variants that may be resistant to the existing vaccines, further containment actions that may be taken by governmental authorities, the impact to the businesses of our customers and suppliers, and other factors.</w:t>
      </w:r>
    </w:p>
    <w:p>
      <w:pPr>
        <w:spacing w:after="0" w:line="164"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We continue to closely monitor and evaluate the nature and scope of the impact of the COVID-19 pandemic to our business, consolidated results of operations, and financial condition, and may take further actions altering our business operations and managing our costs and liquidity that we deem necessary or appropriate to respond to this fast moving and uncertain global health crisis and the resulting global economic consequences.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Semiconductor Chip Shortage</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Recent sharp increases in demand for semiconductor products have resulted in a global shortage of manufacturing capacity. As a result, we may experience increased costs to manufacture our products and may not be able to manufacture and deliver all of the orders placed by our customers. Specifically, if we are unable to secure manufacturing capacity from the external foundries we rely on, our ability to deliver products to our customers may be negatively impacted. Also, this shortage of manufacturing capacity may lead to an increase in our manufacturing costs which we may not be fully able to pass on to our customers.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In an effort to minimize the potential adverse impact of the supply shortage, we are working strategically with external foundries to secure long-term wafer capacity. If we are unsuccessful, however, such shortage could limit our ability to meet demand for our products in the future, which would adversely affect our reputation and competitive position, resulting in a negative impact on results of operations.</w:t>
      </w:r>
    </w:p>
    <w:p>
      <w:pPr>
        <w:spacing w:after="0" w:line="16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are not able to foresee when the current shortage of manufacturing capacity will subside. A prolonged global supply shortage could negatively impact our financial condition, potentially resulting in a need for additional capital to fund strategic initiatives or operating activities.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8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Adjusted Operating Income and Adjusted Net Income</w:t>
      </w:r>
    </w:p>
    <w:p>
      <w:pPr>
        <w:spacing w:after="0" w:line="117"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We use the terms Adjusted EBITDA, Adjusted Operating Income and Adjusted Net Income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and</w:t>
      </w:r>
    </w:p>
    <w:p>
      <w:pPr>
        <w:spacing w:after="0" w:line="2" w:lineRule="exact"/>
        <w:rPr>
          <w:sz w:val="20"/>
          <w:szCs w:val="20"/>
          <w:color w:val="auto"/>
        </w:rPr>
      </w:pPr>
    </w:p>
    <w:p>
      <w:pPr>
        <w:ind w:left="120" w:right="320" w:hanging="4"/>
        <w:spacing w:after="0" w:line="260" w:lineRule="auto"/>
        <w:tabs>
          <w:tab w:leader="none" w:pos="42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charges. EBITDA for the periods indicated is defined as loss from continuing operations before interest expense (income), net, income tax expense, and depreciation and amortization.</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540" w:right="60" w:hanging="316"/>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9"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9" w:lineRule="exact"/>
        <w:rPr>
          <w:rFonts w:ascii="Arial" w:cs="Arial" w:eastAsia="Arial" w:hAnsi="Arial"/>
          <w:sz w:val="18"/>
          <w:szCs w:val="18"/>
          <w:color w:val="auto"/>
        </w:rPr>
      </w:pPr>
    </w:p>
    <w:p>
      <w:pPr>
        <w:ind w:left="540" w:right="760" w:hanging="316"/>
        <w:spacing w:after="0" w:line="308"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loss from continuing operations to Adjusted EBITDA from continuing operations is as follows: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Interest expense (income),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Adjustments: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Foreign currency loss (gain), net(b)</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(gain), net(c)</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Other charges(d)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ind w:left="540" w:right="4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ind w:left="540" w:right="40" w:hanging="424"/>
        <w:spacing w:after="0" w:line="25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and six months ended June 30, 2021, this adjustment eliminates non-recurring professional service fees and expenses incurred in connection with the Merger and regulatory requests. For the six months ended June 30,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82" w:lineRule="exact"/>
        <w:rPr>
          <w:rFonts w:ascii="Arial" w:cs="Arial" w:eastAsia="Arial" w:hAnsi="Arial"/>
          <w:sz w:val="18"/>
          <w:szCs w:val="18"/>
          <w:color w:val="auto"/>
        </w:rPr>
      </w:pPr>
    </w:p>
    <w:p>
      <w:pPr>
        <w:ind w:left="56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present Adjusted Operating Income as supplemental measures of our performance. We prepare Adjusted Operating Income by adjusting operating income (loss) to eliminate the impact of equity-based compensation expenses and other items that may be either one time or recurring that we do not consider to be indicative of our core ongoing operating performance. We believe that Adjusted Operating Income is useful to investors to provide a supplemental way to understand our underlying operating performance and allows investors to monitor and understand changes in our ability to generate income from ongoing business operations.</w:t>
      </w:r>
    </w:p>
    <w:p>
      <w:pPr>
        <w:spacing w:after="0" w:line="188"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Adjusted Operating Income is not a measure defined in accordance with U.S. GAAP and should not be construed as an alternative to operating income, income from continuing operations, cash flows from operating activities or net income, as determined in accordance with U.S. GAAP. We encourage you to evaluate each adjustment and the reasons we consider them appropriate. Other companies in our industry may calculate Adjusted Operating Income differently than we do, limiting its usefulness as a comparative measure. In addition, in evaluating Adjusted Operating Income, you should be aware that in the future we may incur expenses similar to the adjustments in this presentation. We define Adjusted Operating Income for the periods indicated as operating income adjusted to exclude (i) equity-based compensation expense and (ii) other charges.</w:t>
      </w:r>
    </w:p>
    <w:p>
      <w:pPr>
        <w:spacing w:after="0" w:line="16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adjustments to operating income that we make in order to calculate Adjusted Operating Income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Three Months</w:t>
            </w:r>
          </w:p>
        </w:tc>
        <w:tc>
          <w:tcPr>
            <w:tcW w:w="13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Six Months</w:t>
            </w: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34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2021</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Others charges(b)</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40" w:hanging="424"/>
        <w:spacing w:after="0" w:line="25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six months ended June 30, 2021, this adjustment eliminates non-recurring professional service fees and expenses incurred in connection with the Merger and regulatory requests. For the six months ended June 30,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present Adjusted Net Income (including on a per share basis) as a further supplemental measure of our performance. We prepare Adjusted Net Income (including on a per share basis) by adjusting loss from continuing operations to eliminate the impact of a number of non-cash expenses and other items that may be either one time or recurring that we do not consider to be indicative of our core ongoing operating performance. We believe that Adjusted Net Income (including on a per share basis) is particularly useful because it reflects the impact of our asset base and capital structure on our operating performance. We present Adjusted Net Income (including on a per share basis) for a number of reasons, including:</w:t>
      </w:r>
    </w:p>
    <w:p>
      <w:pPr>
        <w:spacing w:after="0" w:line="67" w:lineRule="exact"/>
        <w:rPr>
          <w:sz w:val="20"/>
          <w:szCs w:val="20"/>
          <w:color w:val="auto"/>
        </w:rPr>
      </w:pPr>
    </w:p>
    <w:p>
      <w:pPr>
        <w:ind w:left="1080" w:right="10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Adjusted Net Income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reporting Adjusted Net Income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4"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Adjusted Net Income (including on a per share basis)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(including on a per share basis) differently than we do, limiting its usefulness as a comparative measure. In addition, in evaluating Adjusted Net Income (including on a per share basis), you should be aware that in the future we may incur expenses similar to the adjustments in this presentation. We define Adjusted Net Income (including on a per share basis); for the periods indicated as income (loss) from continuing operations, adjusted to exclude</w:t>
      </w:r>
    </w:p>
    <w:p>
      <w:pPr>
        <w:spacing w:after="0" w:line="4" w:lineRule="exact"/>
        <w:rPr>
          <w:sz w:val="20"/>
          <w:szCs w:val="20"/>
          <w:color w:val="auto"/>
        </w:rPr>
      </w:pPr>
    </w:p>
    <w:p>
      <w:pPr>
        <w:ind w:left="120" w:right="100" w:hanging="4"/>
        <w:spacing w:after="0" w:line="26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equity-based compensation expense, (ii) foreign currency loss (gain), net, (iii) derivative valuation loss (gain), net, (iv) other charges and (v) income tax effect on non-GAAP adjustments.</w:t>
      </w:r>
    </w:p>
    <w:p>
      <w:pPr>
        <w:spacing w:after="0" w:line="18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summarizes the adjustments to income (loss) from continuing operations that we make in order to calculate Adjusted Net Income (including on a per share basis) from continuing operations for the periods indicated: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w:t>
            </w:r>
          </w:p>
        </w:tc>
        <w:tc>
          <w:tcPr>
            <w:tcW w:w="280" w:type="dxa"/>
            <w:vAlign w:val="bottom"/>
          </w:tcPr>
          <w:p>
            <w:pPr>
              <w:spacing w:after="0"/>
              <w:rPr>
                <w:sz w:val="14"/>
                <w:szCs w:val="14"/>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Three Months</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4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Foreign currency loss (gain), net(b)</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Other charges(d)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Adjusted Net Income</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Reported earnings (loss) per share – basic</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Reported earnings (loss) per share – diluted</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46,322,027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43,324,088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35,092,312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34,992,734</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46,322,027</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43,324,088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46,474,237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34,992,734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per share – basic</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Adjusted earnings per share – diluted</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46,322,027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43,324,088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35,092,312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34,992,734</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47,846,217</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47,685,875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36,330,083</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36,248,039</w:t>
            </w:r>
          </w:p>
        </w:tc>
      </w:tr>
    </w:tbl>
    <w:p>
      <w:pPr>
        <w:spacing w:after="0" w:line="93" w:lineRule="exact"/>
        <w:rPr>
          <w:sz w:val="20"/>
          <w:szCs w:val="20"/>
          <w:color w:val="auto"/>
        </w:rPr>
      </w:pPr>
    </w:p>
    <w:p>
      <w:pPr>
        <w:ind w:left="540" w:hanging="424"/>
        <w:spacing w:after="0" w:line="25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540" w:right="100" w:hanging="424"/>
        <w:spacing w:after="0" w:line="270"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and six months ended June 30, 2021, this adjustment eliminates non-recurring professional service fees and expenses incurred in connection with the Merger and regulatory requests. For the six months ended June 30, 2020, this adjustment eliminates non-recurring professional service fees and expenses incurred in connection with certain treasury and finance initiatives. As these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three and six months ended June 30, 2021 and 2020, there was no tax impact from the adjustments to net income to calculate our Adjusted Net Income due to net operating loss carry-forwards available at our parent entity in the U.S., based on the nature and origination of the adjustments, to offset related taxable income.</w:t>
      </w:r>
    </w:p>
    <w:p>
      <w:pPr>
        <w:spacing w:after="0" w:line="81"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We believe that all adjustments to loss from continuing operations used to calculate Adjusted Net Income was applied consistently to the periods presented.</w:t>
      </w:r>
    </w:p>
    <w:p>
      <w:pPr>
        <w:spacing w:after="0" w:line="62" w:lineRule="exact"/>
        <w:rPr>
          <w:rFonts w:ascii="Arial" w:cs="Arial" w:eastAsia="Arial" w:hAnsi="Arial"/>
          <w:sz w:val="18"/>
          <w:szCs w:val="18"/>
          <w:color w:val="auto"/>
        </w:rPr>
      </w:pPr>
    </w:p>
    <w:p>
      <w:pPr>
        <w:ind w:left="560" w:right="12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Net Income does not reflect changes in, or cash requirements for, our working capital needs;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Net Income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differently than we do, limiting its usefulness as a comparative measure.</w:t>
      </w:r>
    </w:p>
    <w:p>
      <w:pPr>
        <w:spacing w:after="0" w:line="62"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Because of these limitations, Adjusted Net Income should not be considered as a measure of profitability of our business. We compensate for these limitations by relying primarily on our U.S. GAAP results and using Adjusted Net Income only as a supplement.</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8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We derive substantially all of our sales (net of sales returns and allowances) from our standard products business. We outsource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of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and Greater China. Our network of authorized agents and distributors is in the United States, Europe and the Asia Pacific region.</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recognize revenue when a customer obtains control of the product, which is generally upon product shipment, delivery at the customer’s location or upon customer acceptance, depending on the terms of the arrangement. For the six months ended June 30, 2021 and 2020, we sold products to 165 and 158 customers, respectively, and our net sales to our ten largest customers represented 81% and 89% of our net sales—standard products business, respectively.</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will provide the Transitional Fab 3 Foundry Services up to September 1, 2023 at an agreed upon cost plus a mark-up. For the periods prior to the closing of the sale of the Foundry Services Group business and Fab 4 as of September 1, 2020 (which are accounted for as discontinued operations beginning in the first quarter of 2020), revenue derived from the Transitional Fab 3 Foundry Services is recorded at cost in both our continuing and discontinued operations.</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material costs consist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June 30, 2021, approximately 98% of our employees were eligible for severance benefits.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86"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including Fab 4.</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6.625% Senior Notes due July 15, 2021 (the “2021 Notes”)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Exchangeable Notes. We redeemed all outstanding 2021 Notes on October 2, 2020. Our Exchangeable Notes were exchanged for common stock prior to their maturity date of March 1, 2021. From and after October 2, 2020 and March 1, 2021, we have not and will not incur interest expense associated with the 2021 Notes and Exchangeable Notes, respectively.</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June 30, 2021, the outstanding intercompany loan balance including accrued interest between our Korean subsidiary and our Dutch subsidiary was $387.5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credit rating falls below B-/B3 or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On March 30, 2020, we entered into the Business Transfer Agreement for the sale of our Foundry Services Group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and Fab 4 to the Buyer. As a result, the results of the Foundry Services Group business were classified as discontinued operations in our consolidated statements of operations and excluded from both continuing operations and segment results for all periods presented. On September 1, 2020, we completed the sale for a purchase price of approximately $350.6 million in cash.</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Three Months Ended June 30,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three months ended June 30,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2020</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w w:val="84"/>
              </w:rPr>
              <w:t>103.3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109.0</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113.9</w:t>
            </w:r>
          </w:p>
        </w:tc>
        <w:tc>
          <w:tcPr>
            <w:tcW w:w="2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118.8</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70.4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76.8</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9.5</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14.0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13.3</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charges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Others,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w w:val="99"/>
              </w:rPr>
              <w:t>Income from continuing operations before income tax expense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(0.2)</w:t>
            </w: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(12.0)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(17.4)</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40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 revenues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revenues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Net sales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Net sales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32.9</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31.8%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420"/>
              <w:spacing w:after="0"/>
              <w:rPr>
                <w:sz w:val="20"/>
                <w:szCs w:val="20"/>
                <w:color w:val="auto"/>
              </w:rPr>
            </w:pPr>
            <w:r>
              <w:rPr>
                <w:rFonts w:ascii="Arial" w:cs="Arial" w:eastAsia="Arial" w:hAnsi="Arial"/>
                <w:sz w:val="18"/>
                <w:szCs w:val="18"/>
                <w:color w:val="auto"/>
              </w:rPr>
              <w:t>32.1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4"/>
              </w:rPr>
              <w:t>10.5</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16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29.8%</w:t>
            </w:r>
          </w:p>
        </w:tc>
        <w:tc>
          <w:tcPr>
            <w:tcW w:w="6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32.1</w:t>
            </w:r>
          </w:p>
        </w:tc>
        <w:tc>
          <w:tcPr>
            <w:tcW w:w="160" w:type="dxa"/>
            <w:vAlign w:val="bottom"/>
            <w:vMerge w:val="continue"/>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27.0%</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Total revenues were $113.9 million for the three months ended June 30, 2021, a $5.0 million, or 4.2%, decrease compared to $118.8 million for the three months ended June 30, 2020. This decrease was primarily due to a decrease in revenue related to our standard products business as described below.</w:t>
      </w:r>
    </w:p>
    <w:p>
      <w:pPr>
        <w:spacing w:after="0" w:line="18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The standard products business. </w:t>
      </w:r>
      <w:r>
        <w:rPr>
          <w:rFonts w:ascii="Arial" w:cs="Arial" w:eastAsia="Arial" w:hAnsi="Arial"/>
          <w:sz w:val="17"/>
          <w:szCs w:val="17"/>
          <w:color w:val="auto"/>
        </w:rPr>
        <w:t>Net sales from our standard products business were $103.3 million for the three months ended June 30, 2021,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$5.7 million, or 5.2%, decrease compared to $109.0 million for the three months ended June 30, 2020. This decrease was primarily attributable to a decrease in revenue from our mobile OLED display driver ICs stemming from a continuing global shortage in manufacturing capacity, as we outsource manufacturing of these products to external 12-inch foundries. This decrease was offset in part by a higher demand for power products such as MOSFETs, including high-end MOSFETs, primarily for TVs and e-bikes, whereas the revenue for power products in the second quarter of 2020 was impacted by COVID-19-related supply chain issues and market softness in China.</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$10.6 million and $9.9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Total gross profit was $34.0 million for the three months ended June 30, 2021 compared to $32.1 million for the three months ended June 30, 2020, a $1.8 million, or 5.7%, increase. Gross profit as a percentage of net sales for the three months ended June 30, 2021 increased to 29.8% compared to 27.0% for the three months ended June 30, 2020.</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Gross profit from our standard products business was $32.9 million for the three months ended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represented a $0.7 million, or 2.2%, increase from gross profit of $32.1 million for the three months ended June 30, 2020. Gross profit as a percentage of net sales for the three months ended June 30, 2021 increased to 31.8% compared to 29.5% for the three months ended June 30, 2020. The increase in both gross profit and gross profit margin was primarily attributable to an improved product mix and a higher utilization rate of our internal fabrication facility in Gumi.</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June 30, 2021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Net sales –</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Net sales –</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standard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products</w:t>
            </w:r>
          </w:p>
        </w:tc>
        <w:tc>
          <w:tcPr>
            <w:tcW w:w="240" w:type="dxa"/>
            <w:vAlign w:val="bottom"/>
          </w:tcPr>
          <w:p>
            <w:pPr>
              <w:spacing w:after="0"/>
              <w:rPr>
                <w:sz w:val="12"/>
                <w:szCs w:val="12"/>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business</w:t>
            </w:r>
          </w:p>
        </w:tc>
        <w:tc>
          <w:tcPr>
            <w:tcW w:w="2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69.4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84.2</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(14.9)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103.3</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109.0</w:t>
            </w:r>
          </w:p>
        </w:tc>
        <w:tc>
          <w:tcPr>
            <w:tcW w:w="360" w:type="dxa"/>
            <w:vAlign w:val="bottom"/>
            <w:vMerge w:val="continue"/>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sales – standard products business in Korea for the three months ended June 30, 2021 increased from $22.0 million to $30.9 million compared to the three months ended June 30, 2020, or by $8.9 million, or 40.6%, primarily due to a higher demand for power products such as MOSFETs, including high-end MOSFETs, primarily for TV and smartphone applications. This increase was offset in part by a decrease in revenue related to our mobile OLED display driver ICs stemming from a continuing global shortage in manufacturing capacity, as we outsource manufacturing of these products to external 12-inch foundries.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Net sales – standard products business in Asia Pacific (other than Korea) for the three months ended June 30, 2021 decreased to $69.4 million from $84.2 million in the three months ended June 30, 2020, or by $14.9 million, or 17.6%, primarily due to a decrease in revenue from our mobile OLED display driver ICs stemming from a continuing global shortage in manufacturing capacity, as we outsource manufacturing of these products to external 12-inch foundries, which was offset in part by a higher demand for power products such as MOSFETs, including high-end MOSFETs, primarily for TVs and e-bikes.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were $14.0 million, or 12.3% of total revenues,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June 30, 2021, compared to $12.4 million, or 10.4% of total revenues, for the three months ended June 30, 2020. The increase of $1.6 million, or 12.8%, was primarily attributable to certain non-income-based tax assessments of $0.6 million as a result of a regular tax examination completed for our primary operating entity in Korea for multiple tax years, and the grant timing of equity-based compensation. This increase was offset in part by a decrease in professional fees mainly comprised of legal and consulting fees.</w:t>
      </w:r>
    </w:p>
    <w:p>
      <w:pPr>
        <w:spacing w:after="0" w:line="17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$13.3 million, or 11.7% of total revenues,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2021, compared to $11.1 million, or 9.3% of total revenues, for the three months ended June 30, 2020. The increase of $2.2 million, or 19.9%, was primarily attributable to an increase in outside service fees and various overhead expenses.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Other Charges. </w:t>
      </w:r>
      <w:r>
        <w:rPr>
          <w:rFonts w:ascii="Arial" w:cs="Arial" w:eastAsia="Arial" w:hAnsi="Arial"/>
          <w:sz w:val="18"/>
          <w:szCs w:val="18"/>
          <w:color w:val="auto"/>
        </w:rPr>
        <w:t>Other charges were $5.0 million for the three months ended June 30, 2021, which consisted of non-recurring professional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expenses incurred in connection with the Merger and regulatory requests.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result of the foregoing, operating income was $1.6 million for the three months ended June 30, 2021 compared to operating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$8.6 million the three months ended June 30, 2020. As discussed above, the decrease in operating income of $7.0 million resulted primarily from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 million increase in other charges, $2.2 million increase in research and development expenses, and a $1.6 million increase in selling, general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administrative expenses. This increase was offset in part by a $1.8 million increase in gross profit.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was $0.1 million and $5.4 million for the three months ended June 30, 2021 and June 30, 2020,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expenses was incurred primarily under our 2021 Notes and 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5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Foreign Currency Gain, Net. </w:t>
      </w:r>
      <w:r>
        <w:rPr>
          <w:rFonts w:ascii="Arial" w:cs="Arial" w:eastAsia="Arial" w:hAnsi="Arial"/>
          <w:sz w:val="17"/>
          <w:szCs w:val="17"/>
          <w:color w:val="auto"/>
        </w:rPr>
        <w:t>Net foreign currency gain for the three months ended June 30, 2021 was $0.3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gain of $8.5 million for the three months ended June 30, 2020. The net foreign currency gain for the three months ended June 30, 2021 and June 30, 2020 was due to the appreciation in value of the Korean won relative to the U.S. dollar during the period.</w:t>
      </w:r>
    </w:p>
    <w:p>
      <w:pPr>
        <w:spacing w:after="0" w:line="16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June 30, 2021 and June 30, 2020, the outstanding intercompany loan balances, including accrued interest between our Korean subsidiary and our Dutch subsidiary, were $387 million and $691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June 30, 2021 and June 30, 2020 was $0.6 million and $0.8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Income tax expense was $2.6 million for the three months ended June 30, 2021, which was primarily attributable to interest on intercompany loan balances and certain income-based tax assessments of $0.6 million as a result of a regular tax examination completed for our Korean subsidiary for multiple tax years. Income tax expense was $0.7 million for the three months ended June 30, 2020, which was primarily attributable to interest on intercompany loan balances and the estimated taxable income for our Korean subsidiary, combined with its ability to utilize net operating loss carryforwards up to 60%.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Continuing Operations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 foregoing, income from continuing operations decreased by $12.0 million for the three months ended June 30, 2021 compared to the three months ended June 30, 2020. As discussed above, the decrease in income from continuing operations primarily resulted from an $8.2 million decrease in net foreign currency gain and a $7.0 million decrease in operating income, which were offset in part by a $5.3 million decrease in interest expense.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 Income from discontinued operations, net of tax was $17.4 million for the three months ended June 30, 2020. On September 1, 2020, we completed the sale of our Foundry Services Group business and Fab 4 for a purchase price equal to approximately $350.6 million in cash. We have not incurred a gain or loss from discontinued operations in 2021 as the sale of the Foundry Service Group business and Fab 4 was completed in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As a result of the foregoing, a net loss of $0.2 million was recorded for the three months ended June 30, 2021 compared to a net income of $29.2 million for the three months ended June 30, 2020. As discussed above, the decrease in net income of $29.4 million primarily resulted from a $17.4 million decrease in income from discontinued operations, net of tax and a $12.0 million decrease in income from continuing operations.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86"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 Comparison of Six Months Ended June 30, 2021 and 2020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consolidated results of operations for the six months ended June 30,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June 30, 2020</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 revenues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w w:val="84"/>
              </w:rPr>
              <w:t>216.2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219.7</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20.7</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720"/>
              <w:spacing w:after="0"/>
              <w:rPr>
                <w:sz w:val="20"/>
                <w:szCs w:val="20"/>
                <w:color w:val="auto"/>
              </w:rPr>
            </w:pPr>
            <w:r>
              <w:rPr>
                <w:rFonts w:ascii="Arial" w:cs="Arial" w:eastAsia="Arial" w:hAnsi="Arial"/>
                <w:sz w:val="18"/>
                <w:szCs w:val="18"/>
                <w:color w:val="auto"/>
              </w:rPr>
              <w:t>Total revenues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236.9</w:t>
            </w:r>
          </w:p>
        </w:tc>
        <w:tc>
          <w:tcPr>
            <w:tcW w:w="2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239.3</w:t>
            </w:r>
          </w:p>
        </w:tc>
        <w:tc>
          <w:tcPr>
            <w:tcW w:w="240" w:type="dxa"/>
            <w:vAlign w:val="bottom"/>
            <w:vMerge w:val="continue"/>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w w:val="84"/>
              </w:rPr>
              <w:t>149.7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158.4</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86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168.5</w:t>
            </w:r>
          </w:p>
        </w:tc>
        <w:tc>
          <w:tcPr>
            <w:tcW w:w="2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178.0</w:t>
            </w:r>
          </w:p>
        </w:tc>
        <w:tc>
          <w:tcPr>
            <w:tcW w:w="24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74.4</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68.4</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26.6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26.7</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charges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15.4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(22.5)</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Others,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(31.9)</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(4.8)</w:t>
            </w: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(17.3)</w:t>
            </w: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rPr>
              <w:t>(7.7)</w:t>
            </w: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(19.3)</w:t>
            </w: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(24.7)</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sets forth information relating to our continuing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40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 revenues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revenues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146.8</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standard products business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236.9</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239.3</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 2021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38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Net sales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Net sales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Gross profit – standard products business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420"/>
              <w:spacing w:after="0"/>
              <w:rPr>
                <w:sz w:val="20"/>
                <w:szCs w:val="20"/>
                <w:color w:val="auto"/>
              </w:rPr>
            </w:pPr>
            <w:r>
              <w:rPr>
                <w:rFonts w:ascii="Arial" w:cs="Arial" w:eastAsia="Arial" w:hAnsi="Arial"/>
                <w:sz w:val="18"/>
                <w:szCs w:val="18"/>
                <w:color w:val="auto"/>
              </w:rPr>
              <w:t>61.3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 – transitional Fab 3 foundry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720"/>
              <w:spacing w:after="0"/>
              <w:rPr>
                <w:sz w:val="20"/>
                <w:szCs w:val="20"/>
                <w:color w:val="auto"/>
              </w:rPr>
            </w:pPr>
            <w:r>
              <w:rPr>
                <w:rFonts w:ascii="Arial" w:cs="Arial" w:eastAsia="Arial" w:hAnsi="Arial"/>
                <w:sz w:val="18"/>
                <w:szCs w:val="18"/>
                <w:color w:val="auto"/>
              </w:rPr>
              <w:t>Total gross profit</w:t>
            </w:r>
          </w:p>
        </w:tc>
        <w:tc>
          <w:tcPr>
            <w:tcW w:w="16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6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w w:val="85"/>
              </w:rPr>
              <w:t>61.3</w:t>
            </w:r>
          </w:p>
        </w:tc>
        <w:tc>
          <w:tcPr>
            <w:tcW w:w="160" w:type="dxa"/>
            <w:vAlign w:val="bottom"/>
            <w:vMerge w:val="continue"/>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100" w:firstLine="440"/>
        <w:spacing w:after="0" w:line="342" w:lineRule="auto"/>
        <w:rPr>
          <w:sz w:val="20"/>
          <w:szCs w:val="20"/>
          <w:color w:val="auto"/>
        </w:rPr>
      </w:pPr>
      <w:r>
        <w:rPr>
          <w:rFonts w:ascii="Arial" w:cs="Arial" w:eastAsia="Arial" w:hAnsi="Arial"/>
          <w:sz w:val="16"/>
          <w:szCs w:val="16"/>
          <w:color w:val="auto"/>
        </w:rPr>
        <w:t>Total revenues were $236.9 million for the six months ended June 30, 2021, a $2.4 million, or 1.0%, decrease compared to $239.3 million for the six months ended June 30, 2020. This decrease was primarily due to a decrease in revenue related to our standard products business as described below.</w:t>
      </w:r>
    </w:p>
    <w:p>
      <w:pPr>
        <w:spacing w:after="0" w:line="12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b w:val="1"/>
          <w:bCs w:val="1"/>
          <w:i w:val="1"/>
          <w:iCs w:val="1"/>
          <w:color w:val="auto"/>
        </w:rPr>
        <w:t xml:space="preserve">The standard products business. </w:t>
      </w:r>
      <w:r>
        <w:rPr>
          <w:rFonts w:ascii="Arial" w:cs="Arial" w:eastAsia="Arial" w:hAnsi="Arial"/>
          <w:sz w:val="16"/>
          <w:szCs w:val="16"/>
          <w:color w:val="auto"/>
        </w:rPr>
        <w:t>Net sales from our standard products business were $216.2 million for the six months ended June 30, 2021,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 million, or 1.6%, decrease compared to $219.7 million for the six months ended June 30, 2020. This decrease was primarily attributable to a decrease in revenue from our mobile OLED display driver ICs stemming from a continuing global shortage in manufacturing capacity, as we outsource manufacturing of these products to external 12-inch foundries, and a strategic reduction of our lower margin non-auto LCD business. This decrease was offset in part by a higher demand for power products such as MOSFETs, including high-end MOSFETs, primarily for TVs and e-bikes, whereas the revenue for power products in the first half of 2020 was impacted by COVID-19-related supply chain issues and market softness in China.</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The transitional Fab 3 foundry services. </w:t>
      </w:r>
      <w:r>
        <w:rPr>
          <w:rFonts w:ascii="Arial" w:cs="Arial" w:eastAsia="Arial" w:hAnsi="Arial"/>
          <w:sz w:val="18"/>
          <w:szCs w:val="18"/>
          <w:color w:val="auto"/>
        </w:rPr>
        <w:t>Net sales from the transitional Fab 3 foundry services were $20.7 million and $19.6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Total gross profit was $68.4 million for the six months ended June 30, 2021 compared to $61.3 million for the six months ended June 30, 2020, a $7.1 million, or 11.6%, increase. Gross profit as a percentage of net sales for the six months ended June 30, 2021 increased to 28.9% compared to 25.6% for the six months ended June 30, 2020. The increase in gross profit and gross profit as a percentage of net sales was primarily due to our standard products business as further described below.</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The standard products business. </w:t>
      </w:r>
      <w:r>
        <w:rPr>
          <w:rFonts w:ascii="Arial" w:cs="Arial" w:eastAsia="Arial" w:hAnsi="Arial"/>
          <w:sz w:val="18"/>
          <w:szCs w:val="18"/>
          <w:color w:val="auto"/>
        </w:rPr>
        <w:t>Gross profit from our standard products business was $66.5 million for the six months ended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represented a $5.3 million, or 8.6%, increase from gross profit of $61.3 million for the six months ended June 30, 2020. Gross profit as a percentage of net sales for the six months ended June 30, 2021 increased to 30.8% compared to 27.9% for the six months ended June 30, 2020. The increase in both gross profit and gross profit margin was primarily attributable to an improved product mix and a higher utilization rate of our internal fabrication facility in Gumi.</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86"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Sales – Standard Products Business by Geographic Region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six months ended June 30, 2021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8"/>
              </w:rPr>
              <w:t>Six Months Ended</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Net sales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Net sales –</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standard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standard</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products</w:t>
            </w:r>
          </w:p>
        </w:tc>
        <w:tc>
          <w:tcPr>
            <w:tcW w:w="240" w:type="dxa"/>
            <w:vAlign w:val="bottom"/>
          </w:tcPr>
          <w:p>
            <w:pPr>
              <w:spacing w:after="0"/>
              <w:rPr>
                <w:sz w:val="12"/>
                <w:szCs w:val="12"/>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business</w:t>
            </w:r>
          </w:p>
        </w:tc>
        <w:tc>
          <w:tcPr>
            <w:tcW w:w="2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business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57.3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153.1</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161.8</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460" w:type="dxa"/>
            <w:vAlign w:val="bottom"/>
            <w:gridSpan w:val="2"/>
          </w:tcPr>
          <w:p>
            <w:pPr>
              <w:jc w:val="right"/>
              <w:ind w:right="4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216.2</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219.7</w:t>
            </w:r>
          </w:p>
        </w:tc>
        <w:tc>
          <w:tcPr>
            <w:tcW w:w="360" w:type="dxa"/>
            <w:vAlign w:val="bottom"/>
            <w:vMerge w:val="continue"/>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Net sales – standard products business in Korea for the six months ended June 30, 2021 increased from $52.8 million to $57.3 million compared to the six months ended June 30, 2020, or by $4.5 million, or 8.6%, primarily due to a higher demand for power products such as MOSFETs, including high-end MOSFETs, primarily for TV and smartphone applications. This increase was offset in part by a decrease in revenue related to our mobile OLED display driver ICs stemming from a continuing global shortage in manufacturing capacity, as we outsource manufacturing of these products to external 12-inch foundries, and a strategic reduction of our lower margin non-auto LCD business.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Net sales – standard products business in Asia Pacific (other than Korea) for the six months ended June 30, 2021 decreased to $153.1 million from $161.8 million in the six months ended June 30, 2020, or by $8.7 million, or 5.4%, primarily due to a decrease in revenue from our mobile OLED display driver ICs stemming from a continuing global shortage in manufacturing capacity, as we outsource manufacturing of these products to external 12-inch foundries, which was offset in part by a higher demand for power products such as MOSFETs, including high-end MOSFETs, primarily for TVs and e-bikes.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were $26.6 million, or 11.2% of total revenues,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June 30, 2021, compared to $24.5 million, or 10.2% of total revenues, for the six months ended June 30, 2020. The increase of $2.1 million, or 8.7%, was primarily attributable to certain non-income-based tax assessments of $0.6 million as a result of a regular tax examination completed for our primary operating entity in Korea for multiple tax years, and the grant timing of equity-based compensation. This increase was offset in part by a decrease in professional fees mainly comprised of legal and consulting fees.</w:t>
      </w:r>
    </w:p>
    <w:p>
      <w:pPr>
        <w:spacing w:after="0" w:line="176"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$26.7 million, or 11.3% of total revenues,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2021, compared to $21.6 million, or 9.0% of total revenues, for the six months ended June 30, 2020. The increase of $5.1 million, or 23.7%, was primarily attributable to an increase in outside service fees and variable overhead expenses, and an increase in material costs for new product development.</w:t>
      </w:r>
    </w:p>
    <w:p>
      <w:pPr>
        <w:spacing w:after="0" w:line="18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Other Charges. </w:t>
      </w:r>
      <w:r>
        <w:rPr>
          <w:rFonts w:ascii="Arial" w:cs="Arial" w:eastAsia="Arial" w:hAnsi="Arial"/>
          <w:sz w:val="18"/>
          <w:szCs w:val="18"/>
          <w:color w:val="auto"/>
        </w:rPr>
        <w:t>Other charges were $15.4 million for the six months ended June 30, 2021, which were consisted of non-recurring professional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fees and expenses incurred in connection with the Merger and regulatory requests. Other charges were $0.6 million for the six months ended June 30, 2021, which pertained to non-recurring professional service fees and expenses incurred in connection with certain treasury and finance initiatives.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a result of the foregoing, operating loss was $0.5 million for the six months ended June 30, 2021 compared to operating income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$14.6 million the six months ended June 30, 2020. As discussed above, the decrease in operating income of $15.1 million resulted primarily from a</w:t>
      </w:r>
    </w:p>
    <w:p>
      <w:pPr>
        <w:spacing w:after="0" w:line="2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$14.9 million increase in other charges, a $5.1 million increase in research and development expenses, and a $2.1 million increase in selling, general and administrative expenses. This increase was offset in part by a $7.1 million increase in gross profit.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expenses was $1.1 million and $11.0 million for the six months ended June 30, 2021 and June 30, 2020,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expenses was incurred primarily under our 2021 Notes and Exchangeable Notes. We redeemed all outstanding 2021 Notes on October 2, 2020. Our Exchangeable Notes were exchanged for common stock prior to their maturity date of March 1, 2021. From and after October 2, 2020 and March 1, 2021, we have not incurred interest expense associated with the 2021 Notes and Exchangeable Notes, respectively.</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Foreign Currency Loss, Net. </w:t>
      </w:r>
      <w:r>
        <w:rPr>
          <w:rFonts w:ascii="Arial" w:cs="Arial" w:eastAsia="Arial" w:hAnsi="Arial"/>
          <w:sz w:val="18"/>
          <w:szCs w:val="18"/>
          <w:color w:val="auto"/>
        </w:rPr>
        <w:t>Net foreign currency loss for the six months ended June 30, 2021 was $4.4 million compared to net foreign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$22.5 million for the six months ended June 30, 2020. The net foreign currency loss for the six months ended June 30, 2021 and June 30, 2020 was due to the depreciation in value of the Korean won relative to the U.S. dollar during the period.</w:t>
      </w:r>
    </w:p>
    <w:p>
      <w:pPr>
        <w:spacing w:after="0" w:line="18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June 30, 2021 and June 30, 2020, the outstanding intercompany loan balances, including accrued interest between our Korean subsidiary and our Dutch subsidiary, were $387 million and $691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164"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six months ended June 30, 2021 and June 30, 2020 was $1.2 million and $1.6 million,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Income tax expense was $2.9 million for the six months ended June 30, 2021, which was primarily attributable to interest on intercompany loan balances and certain income-based tax assessments of $0.6 million as a result of a regular tax examination completed during the second quarter of 2021 for our Korean subsidiary for multiple tax years. Income tax expense was $2.0 million for the six months ended June 30, 2020, which was primarily attributable to interest on intercompany loan balances and the estimated taxable income for our Korean subsidiary, combined with its ability to utilize net operating loss carryforwards up to 60%.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Loss from continuing operations for the six months ended June 30, 2021 was $7.7 million compared to loss from continuing operations of</w:t>
      </w:r>
    </w:p>
    <w:p>
      <w:pPr>
        <w:spacing w:after="0" w:line="35"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$19.3 million for the six months ended June 30, 2020. The $11.6 million improvement in results from continuing operations was primarily attributable to an $18.1 million improvement in net foreign currency loss and a $9.9 million decrease in interest expense, which were offset in part by a $15.1 million decrease in operating income.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March 30, 2020, we entered into the Business Transfer Agreement for the sale of our Foundry Services Group business and Fab 4. As a result, the results of the Foundry Services Group business were classified as discontinued operations in our consolidated statements of operations and excluded from our continuing operations for all periods presented. Income from discontinued operations, net of tax was $24.7 million for the six months ended June 30, 2020. On September 1, 2020, we completed the sale of our Foundry Services Group business and Fab 4 for a purchase price equal to approximately $350.6 million in cash. We have not incurred a gain or loss from discontinued operations in 2021 as the sale of the Foundry Service Group business and Fab 4 was completed in 2020.</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120" w:right="720" w:firstLine="440"/>
        <w:spacing w:after="0" w:line="291" w:lineRule="auto"/>
        <w:rPr>
          <w:sz w:val="20"/>
          <w:szCs w:val="20"/>
          <w:color w:val="auto"/>
        </w:rPr>
      </w:pPr>
      <w:r>
        <w:rPr>
          <w:rFonts w:ascii="Arial" w:cs="Arial" w:eastAsia="Arial" w:hAnsi="Arial"/>
          <w:sz w:val="16"/>
          <w:szCs w:val="16"/>
          <w:color w:val="auto"/>
        </w:rPr>
        <w:t>As a result of the foregoing, a net loss of $7.7 million was recorded for the six months ended June 30, 2021 compared to a net income of $5.4 million for the six months ended June 30, 2020. As discussed above, the decrease in net income of $13.1 million primarily resulted from a</w:t>
      </w:r>
    </w:p>
    <w:p>
      <w:pPr>
        <w:ind w:left="120" w:right="240"/>
        <w:spacing w:after="0" w:line="260" w:lineRule="auto"/>
        <w:rPr>
          <w:sz w:val="20"/>
          <w:szCs w:val="20"/>
          <w:color w:val="auto"/>
        </w:rPr>
      </w:pPr>
      <w:r>
        <w:rPr>
          <w:rFonts w:ascii="Arial" w:cs="Arial" w:eastAsia="Arial" w:hAnsi="Arial"/>
          <w:sz w:val="18"/>
          <w:szCs w:val="18"/>
          <w:color w:val="auto"/>
        </w:rPr>
        <w:t>$24.7 million decrease in income from discontinued operations, net of tax, which was offset by an $11.6 million improvement in loss from continuing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and to fund working capital needs. We calculate working capital as current assets less current liabilities.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principal sources of liquidity are our cash, cash equivalents, cash flows from operations and financing activities. Our ability to manage cash and cash equivalents may be limited, as our primary cash flows are dictated from time to time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June 30, 2021, we do not have any accounts payable on extended terms or payment deferment with our vendors.</w:t>
      </w:r>
    </w:p>
    <w:p>
      <w:pPr>
        <w:spacing w:after="0" w:line="19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On September 1, 2020, we completed the sale of our Foundry Services Group business and Fab 4 to Key Foundry Co., Ltd. in exchange for a purchase price equal to approximately $350.6 million in cash. The purchase price was paid in a combination of U.S. Dollars in the amount of $46.5 million and Korean Won in the amount of approximately KRW 360.6 billion.</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October 2, 2020, we redeemed of all of our outstanding 2021 Notes. We paid approximately $227.4 million to fully redeem all of the outstanding $224.25 million aggregate principal amount of the 2021 Notes at a redemption price equal to the sum of 100% of the principal amount plus accrued and unpaid interest thereon.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January 17, 2017, we issued an aggregate of $86.3 million in principal amount of our Exchangeable Notes. Prior to the March 1, 2021 maturity of our Exchangeable Notes, holders elected to exchange for an aggregate of 10,144,131 shares of our common stock in satisfaction in full of the remaining outstanding obligations under the Exchangeable Notes.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12 months and the foreseeable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Our working capital balance as of June 30, 2021 was $312.9 million compared to $236.0 million as of December 31, 2020. The $76.9 million increase was primarily attributable to the exchange of our Exchangeable Notes for common stock prior to their maturity date of March 1,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consolidated statements of cash flows have not been adjusted to separately disclose cash flows related to discontinued operations for the six months ended June 30, 2020, but the material items in the operating and investing activities of cash flows relating to discontinued operations in the referred period are disclosed in “Item 1. Financial Statements and Supplementary Data – Notes to Consolidated Financial Statements – Note 3 – Discontinued Operations” included elsewhere in this Report.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Cash inflow provided by operating activities totaled $10.4 million for the six months ended June 30, 2021, compared to $57.1 million of cash inflow provided by operating activities for the six months ended June 30, 2020. The net operating cash inflow for the six months ended June 30, 2021 reflects our net loss of $7.7 million, as adjusted favorably by $35.1 million, which mainly consisted of depreciation and amortization, provision for severance benefits, restructuring and other charges, stock-based compensation and net foreign currency loss, and net unfavorable impact of $17.0 million from changes of operating assets and liabilities.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Cash outflow used in investing activities totaled $9.6 million for the six months ended June 30, 2021, compared to $11.8 million of cash outflow used in investing activities for the six months ended June 30, 2020. The $2.3 million decrease was primarily attributable to a $4.0 million decrease in purchase of property, plant and equipment and a $2.4 million net decrease in hedge collateral, which were offset in part by a $4.1 million net increase in guarantee deposits.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left="120" w:right="220" w:firstLine="440"/>
        <w:spacing w:after="0" w:line="285" w:lineRule="auto"/>
        <w:rPr>
          <w:sz w:val="20"/>
          <w:szCs w:val="20"/>
          <w:color w:val="auto"/>
        </w:rPr>
      </w:pPr>
      <w:r>
        <w:rPr>
          <w:rFonts w:ascii="Arial" w:cs="Arial" w:eastAsia="Arial" w:hAnsi="Arial"/>
          <w:sz w:val="16"/>
          <w:szCs w:val="16"/>
          <w:color w:val="auto"/>
        </w:rPr>
        <w:t>Cash inflow provided by financing activities totaled $0.6 million for the six months ended June 30, 2021, compared to $0.7 million of cash outflow used in financing activities for the six months ended June 30, 2020. The financing cash inflow for the six months ended June 30, 2021 was primarily attributable to $2.5 million of proceeds received from the issuance of common stock in connection with the exercise of stock options, which was offset in part by a payment of $1.7 million for the repurchase of our common stock to satisfy tax withholding obligations in connection with the vesting of restricted stock units. The financing cash outflow for the six months ended June 30, 2020 was primarily attributable to a payment of</w:t>
      </w:r>
    </w:p>
    <w:p>
      <w:pPr>
        <w:spacing w:after="0" w:line="2" w:lineRule="exact"/>
        <w:rPr>
          <w:sz w:val="20"/>
          <w:szCs w:val="20"/>
          <w:color w:val="auto"/>
        </w:rPr>
      </w:pPr>
    </w:p>
    <w:p>
      <w:pPr>
        <w:ind w:left="120" w:right="80"/>
        <w:spacing w:after="0" w:line="323" w:lineRule="auto"/>
        <w:rPr>
          <w:sz w:val="20"/>
          <w:szCs w:val="20"/>
          <w:color w:val="auto"/>
        </w:rPr>
      </w:pPr>
      <w:r>
        <w:rPr>
          <w:rFonts w:ascii="Arial" w:cs="Arial" w:eastAsia="Arial" w:hAnsi="Arial"/>
          <w:sz w:val="16"/>
          <w:szCs w:val="16"/>
          <w:color w:val="auto"/>
        </w:rPr>
        <w:t>$1.0 million for the repurchase of our common stock to satisfy tax withholding obligation in connection with the vesting of restricted stock units, which was offset in part by a $0.7 million of proceeds received from the issuance of common stock in connection with the exercise of stock options.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routinely make capital expenditures for fabrication facility maintenance, enhancement of our existing facilities and reinforcement of our global research and development capability. For the six months ended June 30, 2021, capital expenditures for property, plant and equipment were $4.9 million, a $4.0 million, or 45.0%, decrease from $8.8 million, including a $4.4 million capital expenditures for discontinued operations, for the six months ended June 30, 2020. The capital expenditures for the six months ended June 30, 2021 and 2020 were related to meeting our customer demand and supporting technology and facility improvement at our fabrication facilities.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our contractual obligations as of June 30, 2021:</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jc w:val="right"/>
              <w:ind w:right="16"/>
              <w:spacing w:after="0" w:line="119" w:lineRule="exact"/>
              <w:rPr>
                <w:sz w:val="20"/>
                <w:szCs w:val="20"/>
                <w:color w:val="auto"/>
              </w:rPr>
            </w:pPr>
            <w:r>
              <w:rPr>
                <w:rFonts w:ascii="Arial" w:cs="Arial" w:eastAsia="Arial" w:hAnsi="Arial"/>
                <w:sz w:val="13"/>
                <w:szCs w:val="13"/>
                <w:b w:val="1"/>
                <w:bCs w:val="1"/>
                <w:color w:val="auto"/>
              </w:rPr>
              <w:t>Remainder</w:t>
            </w: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4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of</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2024</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2025</w:t>
            </w:r>
          </w:p>
        </w:tc>
        <w:tc>
          <w:tcPr>
            <w:tcW w:w="8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4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2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4"/>
              </w:rPr>
              <w:t>$ 0.6</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$ 0.4</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Finance leases(1)</w:t>
            </w:r>
          </w:p>
        </w:tc>
        <w:tc>
          <w:tcPr>
            <w:tcW w:w="2540" w:type="dxa"/>
            <w:vAlign w:val="bottom"/>
            <w:gridSpan w:val="2"/>
          </w:tcPr>
          <w:p>
            <w:pPr>
              <w:jc w:val="right"/>
              <w:ind w:right="48"/>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0.0</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0.1</w:t>
            </w:r>
          </w:p>
        </w:tc>
        <w:tc>
          <w:tcPr>
            <w:tcW w:w="520" w:type="dxa"/>
            <w:vAlign w:val="bottom"/>
          </w:tcPr>
          <w:p>
            <w:pPr>
              <w:jc w:val="center"/>
              <w:ind w:right="14"/>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Services(1)(2)</w:t>
            </w:r>
          </w:p>
        </w:tc>
        <w:tc>
          <w:tcPr>
            <w:tcW w:w="2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Others(3)</w:t>
            </w:r>
          </w:p>
        </w:tc>
        <w:tc>
          <w:tcPr>
            <w:tcW w:w="2540" w:type="dxa"/>
            <w:vAlign w:val="bottom"/>
            <w:gridSpan w:val="2"/>
          </w:tcPr>
          <w:p>
            <w:pPr>
              <w:jc w:val="right"/>
              <w:ind w:right="48"/>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0"/>
                <w:szCs w:val="20"/>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3.0</w:t>
            </w:r>
          </w:p>
        </w:tc>
        <w:tc>
          <w:tcPr>
            <w:tcW w:w="5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1,130:1, the exchange rate as of June 30,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facility in Gumi, Korea based on the contractual terms.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We lease land, office space and equipment under various operating lease agreements that expire through 2025.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party to an arrangement for the water treatment facility in Gumi, Korea, which includes a 10-year service agreement beginning July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June 30, 2021, our accrued severance benefits, net, totaled $39.5 million and cumulative contributions to these severance insurance deposit accounts amounted to $13.3 million.</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June 30, 2021. These unrecognized tax benefits have been excluded from the above table because we cannot estimate the period of cash settlement with the respective taxing authorities.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2020, or our 2020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2020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2020 Form 10-K.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86"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2021 for our Korean subsidiary, a 10% devaluation of the Korean won against the U.S. dollar would have resulted in a decrease of $2.2 million in our U.S. dollar financial instruments and cash balances.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See “Note 9.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June 30, 2021,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86"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For a discussion of legal proceedings, see “Item 1. Interim Consolidated Financial Statements—Notes to Consolidated Financial Statements— Note 19. Commitments and Contingencies” in this Report and “Part I: Item 3. Legal Proceedings” of our 2020 Form 10-K.</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“Item 1A. Risk Factors” in this Report and “Part I: Item 1A. Risk Factors” of our 2020 Form 10-K for additional information.</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2020 Form</w:t>
      </w:r>
    </w:p>
    <w:p>
      <w:pPr>
        <w:ind w:left="120"/>
        <w:spacing w:after="0" w:line="255" w:lineRule="auto"/>
        <w:rPr>
          <w:sz w:val="20"/>
          <w:szCs w:val="20"/>
          <w:color w:val="auto"/>
        </w:rPr>
      </w:pPr>
      <w:r>
        <w:rPr>
          <w:rFonts w:ascii="Arial" w:cs="Arial" w:eastAsia="Arial" w:hAnsi="Arial"/>
          <w:sz w:val="18"/>
          <w:szCs w:val="18"/>
          <w:color w:val="auto"/>
        </w:rPr>
        <w:t>10-K (including that the impact of the COVID-19 pandemic may also exacerbate the risks discussed therein), herein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risks and uncertainties associated with the Merger.</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On March 25, 2021, we entered into the Merger Agreement with Parent and Merger Sub, pursuant to which, among other things, and subject to the terms and conditions thereof, Merger Sub will be merged with and into the Company, with the Company continuing its corporate existence as the surviving corporation in the Merger and becoming a wholly owned subsidiary of Parent. The consummation of the Merger is conditioned on the receipt of the approval of our stockholders, as well as the satisfaction of other customary closing conditions, including (i) the receipt of certain required or requested governmental approvals or authorizations (including from CFIUS and MOTIE), (ii) the absence of any order or law issued, enacted or deemed applicable by certain governmental authorities specified in the Merger Agreement that makes consummation of the Merger illegal and that remains in effect, (iii) the absence of a Company Material Adverse Effect (as defined in the Merger Agreement) and (iv) other customary closing conditions, including the accuracy of each party’s representations and warranties, and each party’s compliance with its obligations under the Merger Agreement (subject in the case of this clause (iv) to certain materiality qualifiers). There is no assurance that the conditions to the Merger will be satisfied in a timely manner or at all. Additionally, if the Merger is not completed, we may suffer a number of consequences that could adversely affect our business, results of operations, and stock price. There are numerous other risks related to the Merger as well, including the following:</w:t>
      </w:r>
    </w:p>
    <w:p>
      <w:pPr>
        <w:spacing w:after="0" w:line="77" w:lineRule="exact"/>
        <w:rPr>
          <w:sz w:val="20"/>
          <w:szCs w:val="20"/>
          <w:color w:val="auto"/>
        </w:rPr>
      </w:pPr>
    </w:p>
    <w:p>
      <w:pPr>
        <w:ind w:left="1080" w:right="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any or all of the conditions precedent to the consummation of the proposed Merger, including the receipt of stockholder and regulatory approvals or authorizations, may not be satisfied or waived;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difficulties or expenditures relating to the proposed Merger;</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consummate the proposed Merger may result in negative publicity and a negative impression of us in the investment community;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required or requested regulatory approvals or authorizations from governmental entities may delay the proposed Merger or result in the imposition of conditions that could cause Parent to abandon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any event, change or circumstance that could give rise to the termination of the Merger Agreement;</w:t>
      </w:r>
    </w:p>
    <w:p>
      <w:pPr>
        <w:spacing w:after="0" w:line="130"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that any termination of the Merger Agreement may have on the Company or our business, including the risks that (a) the price of our common stock may decline significantly if the Merger is not completed, (b) the Merger Agreement may be terminated in circumstances requiring the Company to pay Parent a termination fee, or (c) the circumstances of the termination, including the possible imposition of a 12-month tail period during which the termination fee could be payable upon certain subsequent transactions, may have a chilling effect on alternatives to the Merger;</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and attention of management of Magnachip on transaction-related issues;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proceedings, judgments or settlements, including those that have been and may in the future be instituted against Magnachip, our Board of Directors and executive officers and others following the announcement of the proposed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of current plans and operations caused by the announcement and pendency of the proposed Merger;</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difficulties in employee retention (including executive and other key officers) due to the announcement and pendency of the proposed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response of customers, suppliers, business partners and regulators to the announcement of the proposed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 of limitations that the Merger Agreement places on our ability to operate our business or engage in alternative transactions;</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Merger may be completed even though certain events occur prior to consummation of the Merger that materially and adversely affect us; and</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and uncertainties and the factors identified under “Forward-Looking Information” in our Proxy Statement on Schedule 14A filed on May 7, 2021 and under “Risk Factors” in Part I, Item 1A of Magnachip’s Annual Report on Form 10-K for the year ended December 31, 2020, and updated in subsequent reports filed by Magnachip with the SEC.</w:t>
      </w:r>
    </w:p>
    <w:p>
      <w:pPr>
        <w:spacing w:after="0" w:line="184"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In addition, we have incurred, and will continue to incur, significant costs, expenses and fees for professional services and other transaction costs in connection with the Merger, and these fees and costs are payable by us regardless of whether the Merger is consummated.</w:t>
      </w:r>
    </w:p>
    <w:p>
      <w:pPr>
        <w:spacing w:after="0" w:line="14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Lawsuits have been filed, and other lawsuits may be filed, against the Company and current or former members of our Board of Directors in connection with the Merger, and an adverse ruling in any such lawsuit may delay or prevent the completion of the Merger or result in an award of damages against the Company.</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See “Item 1. Interim Consolidated Financial Statements—Notes to Consolidated Financial Statements—19. Commitments and Contingencies” in this Report for a description of the Merger-related lawsuits.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lawsuits arising out of or relating to the Merger Agreement or the Merger may be filed in the future. The results of complex legal proceedings are difficult to predict and could delay or prevent the completion of the Merger. The existence of litigation relating to the Merger could impact the likelihood of obtaining stockholder approval of the Merger. Moreover, the pending litigation is, and any future additional litigation could be, time consuming and expensive and could divert management’s attention away from its regular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86"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860" w:type="dxa"/>
            <w:vAlign w:val="bottom"/>
            <w:gridSpan w:val="10"/>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300" w:type="dxa"/>
            <w:vAlign w:val="bottom"/>
            <w:gridSpan w:val="7"/>
          </w:tcPr>
          <w:p>
            <w:pPr>
              <w:ind w:left="3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ind w:left="18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20" w:type="dxa"/>
            <w:vAlign w:val="bottom"/>
            <w:gridSpan w:val="9"/>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Letter Agreement, dated as of June 11, 2021, by and among Magnachip Semiconductor Corporation, South Dearborn Limited and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4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Michigan Merger Sub, Inc. (incorporated by reference to Exhibit 2.1 to our Current Report on Form 8-K filed on June 14, 2021).</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vMerge w:val="restart"/>
          </w:tcPr>
          <w:p>
            <w:pPr>
              <w:ind w:left="80"/>
              <w:spacing w:after="0"/>
              <w:rPr>
                <w:sz w:val="20"/>
                <w:szCs w:val="20"/>
                <w:color w:val="auto"/>
              </w:rPr>
            </w:pPr>
            <w:r>
              <w:rPr>
                <w:rFonts w:ascii="Arial" w:cs="Arial" w:eastAsia="Arial" w:hAnsi="Arial"/>
                <w:sz w:val="18"/>
                <w:szCs w:val="18"/>
                <w:color w:val="auto"/>
              </w:rPr>
              <w:t>31.1</w:t>
            </w:r>
            <w:r>
              <w:rPr>
                <w:rFonts w:ascii="Arial" w:cs="Arial" w:eastAsia="Arial" w:hAnsi="Arial"/>
                <w:sz w:val="25"/>
                <w:szCs w:val="25"/>
                <w:color w:val="auto"/>
                <w:vertAlign w:val="superscript"/>
              </w:rPr>
              <w:t>#</w:t>
            </w: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9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pursuant to Rule 13a-14(a) or Rule 15d-14(a) of the Securities Exchange Act of 1934 of the Chief Executive Officer.</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ind w:left="80"/>
              <w:spacing w:after="0"/>
              <w:rPr>
                <w:sz w:val="20"/>
                <w:szCs w:val="20"/>
                <w:color w:val="auto"/>
              </w:rPr>
            </w:pPr>
            <w:r>
              <w:rPr>
                <w:rFonts w:ascii="Arial" w:cs="Arial" w:eastAsia="Arial" w:hAnsi="Arial"/>
                <w:sz w:val="18"/>
                <w:szCs w:val="18"/>
                <w:color w:val="auto"/>
              </w:rPr>
              <w:t>31.2</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pursuant to Rule 13a-14(a) or Rule 15d-14(a) of the Securities Exchange Act of 1934 of the Principal Financial Officer.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ind w:left="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Executive Officer.</w:t>
              </w:r>
            </w:hyperlink>
          </w:p>
        </w:tc>
        <w:tc>
          <w:tcPr>
            <w:tcW w:w="8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ind w:left="8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920" w:type="dxa"/>
            <w:vAlign w:val="bottom"/>
            <w:gridSpan w:val="3"/>
            <w:vMerge w:val="restart"/>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25"/>
                <w:szCs w:val="25"/>
                <w:color w:val="auto"/>
                <w:vertAlign w:val="superscript"/>
              </w:rPr>
              <w:t>#</w:t>
            </w:r>
          </w:p>
        </w:tc>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5"/>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25"/>
                <w:szCs w:val="25"/>
                <w:color w:val="auto"/>
                <w:vertAlign w:val="superscript"/>
              </w:rPr>
              <w:t>#</w:t>
            </w:r>
          </w:p>
        </w:tc>
        <w:tc>
          <w:tcPr>
            <w:tcW w:w="24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73"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Filed herewith</w:t>
      </w:r>
    </w:p>
    <w:p>
      <w:pPr>
        <w:spacing w:after="0" w:line="2"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0"/>
          </w:cols>
          <w:pgMar w:left="320" w:top="486" w:right="6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380"/>
          </w:cols>
          <w:pgMar w:left="320" w:top="486" w:right="11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225" w:lineRule="exact"/>
        <w:rPr>
          <w:sz w:val="20"/>
          <w:szCs w:val="20"/>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80" w:firstLine="436"/>
        <w:spacing w:after="0" w:line="342"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 Soo Woo, certify that:</w:t>
      </w:r>
    </w:p>
    <w:p>
      <w:pPr>
        <w:spacing w:after="0" w:line="225" w:lineRule="exact"/>
        <w:rPr>
          <w:sz w:val="20"/>
          <w:szCs w:val="20"/>
          <w:color w:val="auto"/>
        </w:rPr>
      </w:pPr>
    </w:p>
    <w:p>
      <w:pPr>
        <w:ind w:left="620" w:hanging="184"/>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left="440" w:right="140" w:hanging="4"/>
        <w:spacing w:after="0" w:line="263"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40" w:right="60" w:hanging="4"/>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640" w:hanging="4"/>
        <w:spacing w:after="0" w:line="342" w:lineRule="auto"/>
        <w:tabs>
          <w:tab w:leader="none" w:pos="6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hanging="4"/>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80" w:firstLine="436"/>
        <w:spacing w:after="0" w:line="342"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40" w:hanging="4"/>
        <w:spacing w:after="0" w:line="277"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40" w:hanging="4"/>
        <w:spacing w:after="0" w:line="277"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260" w:firstLine="436"/>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260" w:firstLine="436"/>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3" w:lineRule="exact"/>
        <w:rPr>
          <w:rFonts w:ascii="Arial" w:cs="Arial" w:eastAsia="Arial" w:hAnsi="Arial"/>
          <w:sz w:val="18"/>
          <w:szCs w:val="18"/>
          <w:color w:val="auto"/>
        </w:rPr>
      </w:pPr>
    </w:p>
    <w:p>
      <w:pPr>
        <w:ind w:right="720" w:firstLine="436"/>
        <w:spacing w:after="0" w:line="277"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6, 2021</w:t>
      </w:r>
      <w:r>
        <w:rPr>
          <w:sz w:val="20"/>
          <w:szCs w:val="20"/>
          <w:color w:val="auto"/>
        </w:rPr>
        <w:tab/>
      </w:r>
      <w:r>
        <w:rPr>
          <w:rFonts w:ascii="Arial" w:cs="Arial" w:eastAsia="Arial" w:hAnsi="Arial"/>
          <w:sz w:val="16"/>
          <w:szCs w:val="16"/>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1)"/>
      <w:numFmt w:val="lowerRoman"/>
      <w:start w:val="4"/>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lvl w:ilvl="1">
      <w:lvlJc w:val="left"/>
      <w:lvlText w:val="•"/>
      <w:numFmt w:val="bullet"/>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3"/>
    </w:lvl>
    <w:lvl w:ilvl="1">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82" Type="http://schemas.openxmlformats.org/officeDocument/2006/relationships/hyperlink" Target="http://www.sec.gov/Archives/edgar/data/0001325702/000119312521189259/d15382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2021-08-06T15:50:08Z</dcterms:created>
  <dcterms:modified xsi:type="dcterms:W3CDTF">2021-08-06T15:50:08Z</dcterms:modified>
</cp:coreProperties>
</file>