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right="8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8"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ind w:left="200" w:right="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36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50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As of July 31, 2018, the registrant had 34,495,040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35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8"/>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360" w:type="dxa"/>
            <w:vAlign w:val="bottom"/>
            <w:gridSpan w:val="16"/>
            <w:vMerge w:val="restart"/>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8"/>
            <w:vMerge w:val="continue"/>
          </w:tcPr>
          <w:p>
            <w:pPr>
              <w:spacing w:after="0"/>
              <w:rPr>
                <w:sz w:val="13"/>
                <w:szCs w:val="13"/>
                <w:color w:val="auto"/>
              </w:rPr>
            </w:pPr>
          </w:p>
        </w:tc>
        <w:tc>
          <w:tcPr>
            <w:tcW w:w="7360" w:type="dxa"/>
            <w:vAlign w:val="bottom"/>
            <w:gridSpan w:val="16"/>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 (Unaudited)</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MagnaChip Semiconductor Corporation and Subsidiaries Consolidated Balance Sheets as of June 30, 2018 and</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2017</w:t>
              </w:r>
            </w:hyperlink>
          </w:p>
        </w:tc>
        <w:tc>
          <w:tcPr>
            <w:tcW w:w="880" w:type="dxa"/>
            <w:vAlign w:val="bottom"/>
            <w:gridSpan w:val="4"/>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MagnaChip Semiconductor Corporation and Subsidiaries Consolidated Statements of Operations for the Three</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Six Months Ended June 30, 2018 and 2017</w:t>
              </w:r>
            </w:hyperlink>
          </w:p>
        </w:tc>
        <w:tc>
          <w:tcPr>
            <w:tcW w:w="4380" w:type="dxa"/>
            <w:vAlign w:val="bottom"/>
            <w:tcBorders>
              <w:top w:val="single" w:sz="8" w:color="0000EE"/>
            </w:tcBorders>
            <w:gridSpan w:val="7"/>
          </w:tcPr>
          <w:p>
            <w:pPr>
              <w:spacing w:after="0"/>
              <w:rPr>
                <w:sz w:val="17"/>
                <w:szCs w:val="17"/>
                <w:color w:val="auto"/>
              </w:rPr>
            </w:pPr>
          </w:p>
        </w:tc>
        <w:tc>
          <w:tcPr>
            <w:tcW w:w="920" w:type="dxa"/>
            <w:vAlign w:val="bottom"/>
            <w:gridSpan w:val="5"/>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MagnaChip Semiconductor Corporation and Subsidiaries Consolidated Statements of Comprehensive Income (Loss) for</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Three and Six Months Ended June 30, 2018 and 2017</w:t>
              </w:r>
            </w:hyperlink>
          </w:p>
        </w:tc>
        <w:tc>
          <w:tcPr>
            <w:tcW w:w="22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MagnaChip Semiconductor Corporation and Subsidiaries Consolidated Statements of Changes in Stockholders’ Equity</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 the Six Months Ended June 30, 2018 and 2017</w:t>
              </w:r>
            </w:hyperlink>
          </w:p>
        </w:tc>
        <w:tc>
          <w:tcPr>
            <w:tcW w:w="4760" w:type="dxa"/>
            <w:vAlign w:val="bottom"/>
            <w:tcBorders>
              <w:top w:val="single" w:sz="8" w:color="0000EE"/>
            </w:tcBorders>
            <w:gridSpan w:val="9"/>
          </w:tcPr>
          <w:p>
            <w:pPr>
              <w:spacing w:after="0"/>
              <w:rPr>
                <w:sz w:val="17"/>
                <w:szCs w:val="17"/>
                <w:color w:val="auto"/>
              </w:rPr>
            </w:pPr>
          </w:p>
        </w:tc>
        <w:tc>
          <w:tcPr>
            <w:tcW w:w="320" w:type="dxa"/>
            <w:vAlign w:val="bottom"/>
            <w:gridSpan w:val="2"/>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Cash Flows for the Six Months</w:t>
              </w:r>
            </w:hyperlink>
          </w:p>
        </w:tc>
        <w:tc>
          <w:tcPr>
            <w:tcW w:w="4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Ended June 30, 2018 and 2017</w:t>
              </w:r>
            </w:hyperlink>
          </w:p>
        </w:tc>
        <w:tc>
          <w:tcPr>
            <w:tcW w:w="6480" w:type="dxa"/>
            <w:vAlign w:val="bottom"/>
            <w:gridSpan w:val="13"/>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MagnaChip Semiconductor Corporation and Subsidiaries Notes to Consolidated Financial Statements</w:t>
              </w:r>
            </w:hyperlink>
          </w:p>
        </w:tc>
        <w:tc>
          <w:tcPr>
            <w:tcW w:w="1560" w:type="dxa"/>
            <w:vAlign w:val="bottom"/>
            <w:gridSpan w:val="6"/>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7"/>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Disclosures About Market Risk</w:t>
              </w:r>
            </w:hyperlink>
          </w:p>
        </w:tc>
        <w:tc>
          <w:tcPr>
            <w:tcW w:w="4520" w:type="dxa"/>
            <w:vAlign w:val="bottom"/>
            <w:gridSpan w:val="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888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12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0" w:type="dxa"/>
            <w:vAlign w:val="bottom"/>
            <w:gridSpan w:val="2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PART II OTHER INFORMATION</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560" w:type="dxa"/>
            <w:vAlign w:val="bottom"/>
            <w:gridSpan w:val="17"/>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888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13"/>
          </w:tcPr>
          <w:p>
            <w:pPr>
              <w:ind w:left="4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tcPr>
          <w:p>
            <w:pPr>
              <w:jc w:val="center"/>
              <w:ind w:left="169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180" w:type="dxa"/>
            <w:vAlign w:val="bottom"/>
          </w:tcPr>
          <w:p>
            <w:pPr>
              <w:ind w:left="4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tcPr>
          <w:p>
            <w:pPr>
              <w:jc w:val="center"/>
              <w:ind w:left="167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131,682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85,570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 (Note 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Other current assets (Notes 7 and 18)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350,383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120" w:type="dxa"/>
            <w:vAlign w:val="bottom"/>
            <w:shd w:val="clear" w:color="auto" w:fill="CCEEFF"/>
          </w:tcPr>
          <w:p>
            <w:pPr>
              <w:spacing w:after="0"/>
              <w:rPr>
                <w:sz w:val="18"/>
                <w:szCs w:val="18"/>
                <w:color w:val="auto"/>
              </w:rPr>
            </w:pPr>
          </w:p>
        </w:tc>
      </w:tr>
      <w:tr>
        <w:trPr>
          <w:trHeight w:val="223"/>
        </w:trPr>
        <w:tc>
          <w:tcPr>
            <w:tcW w:w="8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197,034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571,092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Other accounts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 (Note 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139,960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145,542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 (Note 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604,885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$0.01 par value, 150,000,000 shares authorized, 42,877,395 shares issued and 34,483,754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91"/>
              </w:rPr>
              <w:t>outstanding at June 30, 2018 and 42,563,808 shares issued and 34,189,599 outstanding at December 31, 2017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136,259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(40,889)</w:t>
            </w:r>
          </w:p>
        </w:tc>
      </w:tr>
      <w:tr>
        <w:trPr>
          <w:trHeight w:val="216"/>
        </w:trPr>
        <w:tc>
          <w:tcPr>
            <w:tcW w:w="2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color w:val="auto"/>
              </w:rPr>
              <w:t>Treasury stock, 8,393,641shares at June 30, 2018 and 8,374,209 shares at December 31, 2017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(102,518)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(102,319)</w:t>
            </w: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(33,793)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571,092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3"/>
              </w:rPr>
              <w:t>(In thousands of US dollars, except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365,504</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328,395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267,069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88,232</w:t>
            </w:r>
          </w:p>
        </w:tc>
        <w:tc>
          <w:tcPr>
            <w:tcW w:w="120" w:type="dxa"/>
            <w:vAlign w:val="bottom"/>
            <w:shd w:val="clear" w:color="auto" w:fill="CCEEFF"/>
          </w:tcPr>
          <w:p>
            <w:pPr>
              <w:spacing w:after="0"/>
              <w:rPr>
                <w:sz w:val="18"/>
                <w:szCs w:val="18"/>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(17,010)</w:t>
            </w: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20" w:type="dxa"/>
            <w:vAlign w:val="bottom"/>
            <w:shd w:val="clear" w:color="auto" w:fill="CCEEFF"/>
          </w:tcPr>
          <w:p>
            <w:pPr>
              <w:spacing w:after="0"/>
              <w:rPr>
                <w:sz w:val="18"/>
                <w:szCs w:val="18"/>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(10,614)</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(27,449)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(26,131)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8"/>
                <w:szCs w:val="18"/>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(18,742</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34,420,654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33,952,574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34,337,345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33,808,237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34,420,654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33,952,574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34,337,345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43,772,115</w:t>
            </w:r>
          </w:p>
        </w:tc>
        <w:tc>
          <w:tcPr>
            <w:tcW w:w="1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(21,505)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w w:val="98"/>
              </w:rPr>
              <w:t>Reclassification adjustment for gain on derivatives included in net income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(26,358)</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122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8"/>
        </w:trPr>
        <w:tc>
          <w:tcPr>
            <w:tcW w:w="416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Six Months Ended June 30, 2018:</w:t>
            </w:r>
          </w:p>
        </w:tc>
        <w:tc>
          <w:tcPr>
            <w:tcW w:w="1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Balance at December 31, 2017, as previously</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reported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tcPr>
          <w:p>
            <w:pPr>
              <w:spacing w:after="0"/>
              <w:rPr>
                <w:sz w:val="20"/>
                <w:szCs w:val="20"/>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(40,889)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(102,319)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(33,114)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(102,319)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(33,114)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64,753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34,483,754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139,502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(102,518)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2017: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35,048,338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$130,189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(125,825)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(90,918)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(72,114)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397,522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(1,795,444)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net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(26,358)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Balance at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34,010,627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424</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(102,319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(70,490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Restructuring and other gain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severance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(33,482)</w:t>
            </w:r>
          </w:p>
        </w:tc>
        <w:tc>
          <w:tcPr>
            <w:tcW w:w="0" w:type="dxa"/>
            <w:vAlign w:val="bottom"/>
          </w:tcPr>
          <w:p>
            <w:pPr>
              <w:spacing w:after="0"/>
              <w:rPr>
                <w:sz w:val="1"/>
                <w:szCs w:val="1"/>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Payment of hedge collateral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 (Note 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Proceeds from issuance of senior notes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 (Note 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cash, cash equivalents and restricted cash</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128,575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131,682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9,609</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additions in other accounts payable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Acquisition of treasury stock to satisfy the tax withholding obligations in connection with equity- based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611"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611"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accordingly, do not include all of the information and note disclosures required by US GAAP for complete financial statements, except for the changes below. The results of operations for the three and six months ended June 30, 2018 are not necessarily indicative of the results to be expected for a full year or for any other periods.</w:t>
      </w:r>
    </w:p>
    <w:p>
      <w:pPr>
        <w:spacing w:after="0" w:line="16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December 31, 2017 balance sheet data was derived from the Company’s audited financial statements, but does not include all disclosures required by US GAAP.</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Upon the adoption of Accounting Standards Update No. 2014-09, “Revenue from Contracts with Customers (Topic 606)” (“ASU 2014-09”) effective on January 1, 2018 (the “new revenue standard”), the Company has updated its accounting policy for revenue recognition as detailed below. As the Company adopted the new revenue standard using the modified retrospective method, which allows the recognition of the cumulative effect of initially applying the new revenue standard as an adjustment to the Company’s equity as of January 1, 2018. The comparative information has not been restated and continues to be reported under the accounting standards in effect for those periods.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a customer.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measured based on a consideration specified in a contract with a customer in exchange for such product or service.</w:t>
      </w:r>
    </w:p>
    <w:p>
      <w:pPr>
        <w:spacing w:after="0" w:line="21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Foundry Services Group of the Company manufactures products based on customers’ specific product designs. The Company recognizes revenue over time for those foundry products without alternative use where the Company has an enforceable right to payment for the related foundry services completed to date. The revenue recognized over time is in proportion of wafer manufacturing costs incurred relative to total estimated costs at completion to measure the Company’s performance to date. However, in certain circumstances, the Company may not have an enforceable right to payment for performed foundry services pursuant to a customer contract or an individual purchase order. In this situation, the Company recognizes revenue when a customer obtains control of the product, which is generally upon product shipment, delivery at the customer’s location or upon customer acceptance, depending on the terms of the arrangement.</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 portion of the Company’s sales are made through distributors for which the Company applies the same revenue recognition guidance as described above. The Company defers recognition of revenue when it receives cash from certain customers and distributors for the sale of products prior to obtaining an enforceable right to payment for performance completed to date or control of the product being transferred to the customer.</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 of operations on a net basis.</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Company provides a warranty, under which customers can return defective products. The Company estimates the costs related to those defective product returns and records them as a component of cost of sales.</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addition, the Company offers sales returns (other than those that relate to defective products under warranty), cash discounts for early payments, volume rebate and certain allowances to its customers, including distributors. The Company records reserves for those returns, discounts and allowances as a deduction from sales, based on historical experience and other quantitative and qualitative factors.</w:t>
      </w:r>
    </w:p>
    <w:p>
      <w:pPr>
        <w:spacing w:after="0" w:line="166"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February 2018, the Financial Accounting Standards Board (“FASB”) issued Accounting Standards Update No. 2018-02 “Income Statement— Reporting Comprehensive Income (Topic 220): Reclassification of Certain Tax Effects from Accumulated Other Comprehensive Income” (“ASU</w:t>
      </w:r>
    </w:p>
    <w:p>
      <w:pPr>
        <w:ind w:left="200" w:right="40"/>
        <w:spacing w:after="0" w:line="295" w:lineRule="auto"/>
        <w:rPr>
          <w:sz w:val="20"/>
          <w:szCs w:val="20"/>
          <w:color w:val="auto"/>
        </w:rPr>
      </w:pPr>
      <w:r>
        <w:rPr>
          <w:rFonts w:ascii="Arial" w:cs="Arial" w:eastAsia="Arial" w:hAnsi="Arial"/>
          <w:sz w:val="16"/>
          <w:szCs w:val="16"/>
          <w:color w:val="auto"/>
        </w:rPr>
        <w:t>2018-02”). ASU 2018-02 addresses the accounting issue pertaining to the deferred tax amounts that are “stranded” in accumulated other comprehensive income as a result of the Tax Cuts and Jobs Act. ASU 2018-02 is effective for interim and annual periods beginning after December 15, 2018 and interim periods within those fiscal years. The Company does not have deferred tax amounts recorded through accumulated other comprehensive income and thus does not expect that the adoption will have an impact on its consolidated financial statements.</w:t>
      </w:r>
    </w:p>
    <w:p>
      <w:pPr>
        <w:spacing w:after="0" w:line="1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is currently evaluating the impact of adoption of ASU 2017-12 on its consolidated financial statements.</w:t>
      </w:r>
    </w:p>
    <w:p>
      <w:pPr>
        <w:spacing w:after="0" w:line="18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is currently evaluating the impact of adoption of ASU 2017-11 on its consolidated financial statements.</w:t>
      </w:r>
    </w:p>
    <w:p>
      <w:pPr>
        <w:spacing w:after="0" w:line="19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recognizes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In January 2018, the FASB issued Accounting Standards Update No 2018-01, “Leases (Topic 842) Land Easement Practical Expedient for Transition to Topic 842” (“ASU 2018-01”). ASU 2018-01 permits an entity to elect an optional transition practical expedient not to evaluate land easements that exist or expired before the entity’s adoption of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The effective date and transition requirements for ASU 2016-02, ASU 2018-01 and ASU 2018-10 are the same. The Company will adopt this standard on January 1, 2019. The Company is currently evaluating the potential impact of adopting this new guidance. In terms of the Company’s evaluation efforts, the Company has assigned internal resources and engaged third party service providers to assist in its evaluation.</w:t>
      </w:r>
    </w:p>
    <w:p>
      <w:pPr>
        <w:sectPr>
          <w:pgSz w:w="11900" w:h="16838" w:orient="portrait"/>
          <w:cols w:equalWidth="0" w:num="1">
            <w:col w:w="11200"/>
          </w:cols>
          <w:pgMar w:left="240" w:top="459" w:right="459" w:bottom="1440" w:gutter="0" w:footer="0" w:header="0"/>
        </w:sectPr>
      </w:pP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The Company adopted ASU 2017-09 in the first quarter of 2018, and the adoption did not impact the Company’s consolidated financial statements.</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ASU 2016-18 clarifies certain existing principles in ASC 230, including providing additional guidance related to transfers between cash and restricted cash and how entities present, “net cash used in operating” and “net cash used in investing” in their statement of cash flows, the cash receipts and cash payments that directly affect the restricted cash accounts. The Company adopted ASU 2016-18 in the first quarter of 2018. As of December 31, 2016, the Company held $18,251 thousand of restricted cash in connection with an arrangement to sell the building that housed the Company’s legacy 6-inch fab. This restricted cash was not previously included in the ending cash balance as of December 31, 2016 within the consolidated statements of cash flows. As a result of adopting ASU 2016-18, the consolidated statement of cash flows for the six months ended June 30, 2017 was revised to include such receipt of restricted cash of $18,251 thousand as cash, cash equivalents and restricted cash as of January 1, 2017, resulting in a cash outflow of $1,809 thousand in operating cash flows, a cash outflow of $17,625 thousand in investing cash flows, and an increase of $1,183 thousand in cash, cash equivalents and restricted cash due to the effect of exchange rates, from what was previously reported.</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Statement of Cash Flows (“ASC 230”), including providing additional guidance on how and what an entity should consider in determining the classification of certain cash flows. The Company adopted ASU 2016-15 in the first quarter of 2018, and the adoption of ASU 2016-15 did not impact the Company’s consolidated financial statements.</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May 2014, the FASB issued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The new guidance allows for the amendments to be applied either retrospectively to each prior reporting period presented (the “full 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 606 “Revenue from Contracts with Customers.” The effective date and transition requirements for ASU 2016-08, ASU 2016-10, ASU 2016-12 and ASU 2016-20 are the same as the effective date and transition requirements of ASU 2014-09 (collectively, the “new revenue standard”).</w:t>
      </w:r>
    </w:p>
    <w:p>
      <w:pPr>
        <w:spacing w:after="0" w:line="17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Prior to the adoption of the new revenue standard effective on January 1, 2018, the Company had historically recognized revenue when risk and reward of ownership pass to the customer either upon shipment, upon product delivery at the customer’s location or upon customer acceptance, depending on the terms of the related arrangement. After the adoption of the new revenue standard effective on January 1, 2018, the Company recognizes revenue over time for those foundry products without alternative use where the Company has an enforceable right to payment for the related foundry services completed to date. As the Company adopted the new revenue standard using the modified retrospective method, it recognized the cumulative effect of initially applying the new revenue standard as an adjustment to the Company’s equity as of January 1, 2018, while prior period amounts are not adjusted and continue to be reported under the accounting standards in effect for such periods. The cumulative-effect adjustments increased unbilled accounts receivable by $38,307 thousand and decreased inventories, net by $29,823 thousand, resulting in a net increase of $8,484 thousand in the Company’s beginning equity as of January 1, 2018. There was no net income tax impact from those cumulative-effect adjustments due to full allowance on deferred tax assets.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Of the recorded unbilled accounts receivable of $38,307 thousand as of January 1, 2018, $2,769 thousand and $35,038 thousand were billed to customers upon shipment, upon product delivery or upon customer acceptance, depending on the terms of the related arrangement, during the three and six months ended June 30, 2018, respectively. Of the recorded deferred revenue of $8,335 thousand as of December 31, 2017, $136 thousand and $1,222 thousand were recognized as revenue during the three and six months ended June 30, 2018, respectively.</w:t>
      </w:r>
    </w:p>
    <w:p>
      <w:pPr>
        <w:spacing w:after="0" w:line="17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impacts of adopting the new revenue standard on the Company’s consolidated financial statements for the six months ended June 30, 2018 are as follows (in thousands):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June 30, 2018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Amounts Without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Adoption of</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Topic 606</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80" w:type="dxa"/>
            <w:vAlign w:val="bottom"/>
            <w:tcBorders>
              <w:top w:val="single" w:sz="8" w:color="auto"/>
            </w:tcBorders>
            <w:gridSpan w:val="9"/>
          </w:tcPr>
          <w:p>
            <w:pPr>
              <w:jc w:val="right"/>
              <w:ind w:right="394"/>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35,857</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35,857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57,456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84,115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350,383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571,092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(60,754)</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(19,650)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(42,991)</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571,092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Unbilled accounts receivable represents the Company’s contractual right to consideration for manufacturing work performed on a customer contract or an individual purchase order basis, which has not been invoiced to the customer.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rPr>
              <w:t>Three Months Ended June 30, 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ind w:left="220"/>
              <w:spacing w:after="0" w:line="119" w:lineRule="exact"/>
              <w:rPr>
                <w:sz w:val="20"/>
                <w:szCs w:val="20"/>
                <w:color w:val="auto"/>
              </w:rPr>
            </w:pPr>
            <w:r>
              <w:rPr>
                <w:rFonts w:ascii="Arial" w:cs="Arial" w:eastAsia="Arial" w:hAnsi="Arial"/>
                <w:sz w:val="13"/>
                <w:szCs w:val="13"/>
                <w:b w:val="1"/>
                <w:bCs w:val="1"/>
                <w:color w:val="auto"/>
              </w:rPr>
              <w:t>Amounts Without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left="76"/>
              <w:spacing w:after="0" w:line="119" w:lineRule="exact"/>
              <w:rPr>
                <w:sz w:val="20"/>
                <w:szCs w:val="20"/>
                <w:color w:val="auto"/>
              </w:rPr>
            </w:pPr>
            <w:r>
              <w:rPr>
                <w:rFonts w:ascii="Arial" w:cs="Arial" w:eastAsia="Arial" w:hAnsi="Arial"/>
                <w:sz w:val="13"/>
                <w:szCs w:val="13"/>
                <w:b w:val="1"/>
                <w:bCs w:val="1"/>
                <w:color w:val="auto"/>
              </w:rPr>
              <w:t>Amounts Without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As Reported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Adoption of</w:t>
            </w:r>
          </w:p>
        </w:tc>
        <w:tc>
          <w:tcPr>
            <w:tcW w:w="11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As 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Topic 606</w:t>
            </w:r>
          </w:p>
        </w:tc>
        <w:tc>
          <w:tcPr>
            <w:tcW w:w="1140" w:type="dxa"/>
            <w:vAlign w:val="bottom"/>
            <w:gridSpan w:val="4"/>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10"/>
          </w:tcPr>
          <w:p>
            <w:pPr>
              <w:jc w:val="right"/>
              <w:ind w:right="5"/>
              <w:spacing w:after="0" w:line="142" w:lineRule="exact"/>
              <w:rPr>
                <w:sz w:val="20"/>
                <w:szCs w:val="20"/>
                <w:color w:val="auto"/>
              </w:rPr>
            </w:pPr>
            <w:r>
              <w:rPr>
                <w:rFonts w:ascii="Arial" w:cs="Arial" w:eastAsia="Arial" w:hAnsi="Arial"/>
                <w:sz w:val="14"/>
                <w:szCs w:val="14"/>
                <w:b w:val="1"/>
                <w:bCs w:val="1"/>
                <w:color w:val="auto"/>
                <w:w w:val="93"/>
              </w:rPr>
              <w:t>(In thousands of US dollars, except share data)</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199,685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365,504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145,831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267,069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(17,354)</w:t>
            </w: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(0.62)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$4,733 thousand and $11,345 thousand for the six months ended June 30, 2018 and 2017, respectively, and these sales resulted in pre-tax losses of $5 thousand and $34 thousand for the six months ended June 30, 2018 and 2017,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June 30, 2018 and December 31, 2017 consist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$10,953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35,862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Materials in-transit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57,456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three and six months ended June 30, 2018 and 2017 are as follows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Ended</w:t>
            </w: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4"/>
              </w:rPr>
              <w:t>June 30, 2018</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 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and work-in-process. Write off of this reserve is recognized only when the related inventory has been disposed or scrapped.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June 30, 2018 and December 31, 2017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302,207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308,713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417,559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421,168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(235,894)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(231,356)</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Land</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197,034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Aggregate depreciation expenses totaled $15,562 thousand and $13,233 thousand for the six months ended June 30, 2018 and 2017, respectively.</w:t>
      </w:r>
    </w:p>
    <w:p>
      <w:pPr>
        <w:spacing w:after="0" w:line="248"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June 29, 2018, the Company’s Korean subsidiary entered into an arrangement whereby it acquired a water treatment facility to support its fab in Gumi, Korea from SK Hynix for $4,172 thousand, and sold it for $4,172 thousand to a third party management company that the Company has engaged to run the facility for a 10-year term. This arrangement is accounted for as a financing due to the Company’s Korean subsidiary’s continuing involvement with the facility. As a result, as of June 30, 2018, the Company recorded the acquisition of water treatment facility of $4,172 thousand as property, plant and equipment, net, and the related liabilities of $553 thousand as other current liabilities and $3,619 thousand as other non-current liabilities, which relates to the financing and service portion of the arrangement.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June 30, 2018 and December 31, 2017 are comprised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$19,288</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(19,288)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27,702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3,966</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58,170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(54,204</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3,966</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$20,194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(20,194)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29,002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4,061</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60,515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(56,454</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4,061</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Aggregate amortization expenses for intangible assets totaled $408 thousand and $298 thousand for the six months ended June 30, 2018 and 2017,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June 30, 2018 and December 31, 2017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$16,378</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19,264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Outside service fees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4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49,506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June 30, 2018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Type of derivative</w:t>
            </w:r>
          </w:p>
        </w:tc>
        <w:tc>
          <w:tcPr>
            <w:tcW w:w="2300" w:type="dxa"/>
            <w:vAlign w:val="bottom"/>
            <w:gridSpan w:val="4"/>
          </w:tcPr>
          <w:p>
            <w:pPr>
              <w:ind w:left="320"/>
              <w:spacing w:after="0"/>
              <w:rPr>
                <w:sz w:val="20"/>
                <w:szCs w:val="20"/>
                <w:color w:val="auto"/>
              </w:rPr>
            </w:pPr>
            <w:r>
              <w:rPr>
                <w:rFonts w:ascii="Arial" w:cs="Arial" w:eastAsia="Arial" w:hAnsi="Arial"/>
                <w:sz w:val="14"/>
                <w:szCs w:val="14"/>
                <w:b w:val="1"/>
                <w:bCs w:val="1"/>
                <w:color w:val="auto"/>
              </w:rPr>
              <w:t>Total notional amount</w:t>
            </w:r>
          </w:p>
        </w:tc>
        <w:tc>
          <w:tcPr>
            <w:tcW w:w="40" w:type="dxa"/>
            <w:vAlign w:val="bottom"/>
          </w:tcPr>
          <w:p>
            <w:pPr>
              <w:spacing w:after="0"/>
              <w:rPr>
                <w:sz w:val="16"/>
                <w:szCs w:val="16"/>
                <w:color w:val="auto"/>
              </w:rPr>
            </w:pPr>
          </w:p>
        </w:tc>
        <w:tc>
          <w:tcPr>
            <w:tcW w:w="4360" w:type="dxa"/>
            <w:vAlign w:val="bottom"/>
          </w:tcPr>
          <w:p>
            <w:pPr>
              <w:ind w:left="156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18, 2018</w:t>
            </w:r>
          </w:p>
        </w:tc>
        <w:tc>
          <w:tcPr>
            <w:tcW w:w="16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94"/>
              </w:rPr>
              <w:t>Zero cost collar</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September 2018 to December 2018</w:t>
            </w: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June 18, 2018</w:t>
            </w:r>
          </w:p>
        </w:tc>
        <w:tc>
          <w:tcPr>
            <w:tcW w:w="1540" w:type="dxa"/>
            <w:vAlign w:val="bottom"/>
          </w:tcPr>
          <w:p>
            <w:pPr>
              <w:ind w:left="360"/>
              <w:spacing w:after="0"/>
              <w:rPr>
                <w:sz w:val="20"/>
                <w:szCs w:val="20"/>
                <w:color w:val="auto"/>
              </w:rPr>
            </w:pPr>
            <w:r>
              <w:rPr>
                <w:rFonts w:ascii="Arial" w:cs="Arial" w:eastAsia="Arial" w:hAnsi="Arial"/>
                <w:sz w:val="18"/>
                <w:szCs w:val="18"/>
                <w:color w:val="auto"/>
              </w:rPr>
              <w:t>Forward</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600" w:type="dxa"/>
            <w:vAlign w:val="bottom"/>
          </w:tcPr>
          <w:p>
            <w:pPr>
              <w:spacing w:after="0"/>
              <w:rPr>
                <w:sz w:val="18"/>
                <w:szCs w:val="18"/>
                <w:color w:val="auto"/>
              </w:rPr>
            </w:pPr>
          </w:p>
        </w:tc>
        <w:tc>
          <w:tcPr>
            <w:tcW w:w="4400" w:type="dxa"/>
            <w:vAlign w:val="bottom"/>
            <w:gridSpan w:val="2"/>
          </w:tcPr>
          <w:p>
            <w:pPr>
              <w:ind w:left="40"/>
              <w:spacing w:after="0"/>
              <w:rPr>
                <w:sz w:val="20"/>
                <w:szCs w:val="20"/>
                <w:color w:val="auto"/>
              </w:rPr>
            </w:pPr>
            <w:r>
              <w:rPr>
                <w:rFonts w:ascii="Arial" w:cs="Arial" w:eastAsia="Arial" w:hAnsi="Arial"/>
                <w:sz w:val="18"/>
                <w:szCs w:val="18"/>
                <w:color w:val="auto"/>
              </w:rPr>
              <w:t>September 2018 to December 2018</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27, 2018</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Zero cost collar</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2018 to June 2019</w:t>
            </w:r>
          </w:p>
        </w:tc>
      </w:tr>
      <w:tr>
        <w:trPr>
          <w:trHeight w:val="230"/>
        </w:trPr>
        <w:tc>
          <w:tcPr>
            <w:tcW w:w="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June 27, 2018</w:t>
            </w:r>
          </w:p>
        </w:tc>
        <w:tc>
          <w:tcPr>
            <w:tcW w:w="1540" w:type="dxa"/>
            <w:vAlign w:val="bottom"/>
          </w:tcPr>
          <w:p>
            <w:pPr>
              <w:ind w:left="360"/>
              <w:spacing w:after="0"/>
              <w:rPr>
                <w:sz w:val="20"/>
                <w:szCs w:val="20"/>
                <w:color w:val="auto"/>
              </w:rPr>
            </w:pPr>
            <w:r>
              <w:rPr>
                <w:rFonts w:ascii="Arial" w:cs="Arial" w:eastAsia="Arial" w:hAnsi="Arial"/>
                <w:sz w:val="18"/>
                <w:szCs w:val="18"/>
                <w:color w:val="auto"/>
              </w:rPr>
              <w:t>Forward</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58,000</w:t>
            </w:r>
          </w:p>
        </w:tc>
        <w:tc>
          <w:tcPr>
            <w:tcW w:w="600" w:type="dxa"/>
            <w:vAlign w:val="bottom"/>
          </w:tcPr>
          <w:p>
            <w:pPr>
              <w:spacing w:after="0"/>
              <w:rPr>
                <w:sz w:val="20"/>
                <w:szCs w:val="20"/>
                <w:color w:val="auto"/>
              </w:rPr>
            </w:pPr>
          </w:p>
        </w:tc>
        <w:tc>
          <w:tcPr>
            <w:tcW w:w="4400" w:type="dxa"/>
            <w:vAlign w:val="bottom"/>
            <w:gridSpan w:val="2"/>
          </w:tcPr>
          <w:p>
            <w:pPr>
              <w:ind w:left="40"/>
              <w:spacing w:after="0"/>
              <w:rPr>
                <w:sz w:val="20"/>
                <w:szCs w:val="20"/>
                <w:color w:val="auto"/>
              </w:rPr>
            </w:pPr>
            <w:r>
              <w:rPr>
                <w:rFonts w:ascii="Arial" w:cs="Arial" w:eastAsia="Arial" w:hAnsi="Arial"/>
                <w:sz w:val="18"/>
                <w:szCs w:val="18"/>
                <w:color w:val="auto"/>
              </w:rPr>
              <w:t>September 2018 to June 2019</w:t>
            </w:r>
          </w:p>
        </w:tc>
      </w:tr>
      <w:tr>
        <w:trPr>
          <w:trHeight w:val="418"/>
        </w:trPr>
        <w:tc>
          <w:tcPr>
            <w:tcW w:w="20" w:type="dxa"/>
            <w:vAlign w:val="bottom"/>
          </w:tcPr>
          <w:p>
            <w:pPr>
              <w:spacing w:after="0"/>
              <w:rPr>
                <w:sz w:val="24"/>
                <w:szCs w:val="24"/>
                <w:color w:val="auto"/>
              </w:rPr>
            </w:pPr>
          </w:p>
        </w:tc>
        <w:tc>
          <w:tcPr>
            <w:tcW w:w="6620" w:type="dxa"/>
            <w:vAlign w:val="bottom"/>
            <w:gridSpan w:val="7"/>
          </w:tcPr>
          <w:p>
            <w:pPr>
              <w:ind w:left="420"/>
              <w:spacing w:after="0"/>
              <w:rPr>
                <w:sz w:val="20"/>
                <w:szCs w:val="20"/>
                <w:color w:val="auto"/>
              </w:rPr>
            </w:pPr>
            <w:r>
              <w:rPr>
                <w:rFonts w:ascii="Arial" w:cs="Arial" w:eastAsia="Arial" w:hAnsi="Arial"/>
                <w:sz w:val="18"/>
                <w:szCs w:val="18"/>
                <w:color w:val="auto"/>
                <w:w w:val="90"/>
              </w:rPr>
              <w:t>Details of derivative contracts as of December 31, 2017 are as follows (in thousands):</w:t>
            </w: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12"/>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Type of derivative</w:t>
            </w:r>
          </w:p>
        </w:tc>
        <w:tc>
          <w:tcPr>
            <w:tcW w:w="2300" w:type="dxa"/>
            <w:vAlign w:val="bottom"/>
            <w:gridSpan w:val="4"/>
          </w:tcPr>
          <w:p>
            <w:pPr>
              <w:ind w:left="320"/>
              <w:spacing w:after="0"/>
              <w:rPr>
                <w:sz w:val="20"/>
                <w:szCs w:val="20"/>
                <w:color w:val="auto"/>
              </w:rPr>
            </w:pPr>
            <w:r>
              <w:rPr>
                <w:rFonts w:ascii="Arial" w:cs="Arial" w:eastAsia="Arial" w:hAnsi="Arial"/>
                <w:sz w:val="14"/>
                <w:szCs w:val="14"/>
                <w:b w:val="1"/>
                <w:bCs w:val="1"/>
                <w:color w:val="auto"/>
              </w:rPr>
              <w:t>Total notional amount</w:t>
            </w:r>
          </w:p>
        </w:tc>
        <w:tc>
          <w:tcPr>
            <w:tcW w:w="40" w:type="dxa"/>
            <w:vAlign w:val="bottom"/>
          </w:tcPr>
          <w:p>
            <w:pPr>
              <w:spacing w:after="0"/>
              <w:rPr>
                <w:sz w:val="24"/>
                <w:szCs w:val="24"/>
                <w:color w:val="auto"/>
              </w:rPr>
            </w:pPr>
          </w:p>
        </w:tc>
        <w:tc>
          <w:tcPr>
            <w:tcW w:w="4360" w:type="dxa"/>
            <w:vAlign w:val="bottom"/>
          </w:tcPr>
          <w:p>
            <w:pPr>
              <w:ind w:left="156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22, 2017</w:t>
            </w:r>
          </w:p>
        </w:tc>
        <w:tc>
          <w:tcPr>
            <w:tcW w:w="16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94"/>
              </w:rPr>
              <w:t>Zero cost collar</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2018 to February 2018</w:t>
            </w: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1540" w:type="dxa"/>
            <w:vAlign w:val="bottom"/>
          </w:tcPr>
          <w:p>
            <w:pPr>
              <w:ind w:left="360"/>
              <w:spacing w:after="0"/>
              <w:rPr>
                <w:sz w:val="20"/>
                <w:szCs w:val="20"/>
                <w:color w:val="auto"/>
              </w:rPr>
            </w:pPr>
            <w:r>
              <w:rPr>
                <w:rFonts w:ascii="Arial" w:cs="Arial" w:eastAsia="Arial" w:hAnsi="Arial"/>
                <w:sz w:val="18"/>
                <w:szCs w:val="18"/>
                <w:color w:val="auto"/>
                <w:w w:val="94"/>
              </w:rPr>
              <w:t>Zero cost collar</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54,000</w:t>
            </w:r>
          </w:p>
        </w:tc>
        <w:tc>
          <w:tcPr>
            <w:tcW w:w="600" w:type="dxa"/>
            <w:vAlign w:val="bottom"/>
          </w:tcPr>
          <w:p>
            <w:pPr>
              <w:spacing w:after="0"/>
              <w:rPr>
                <w:sz w:val="18"/>
                <w:szCs w:val="18"/>
                <w:color w:val="auto"/>
              </w:rPr>
            </w:pPr>
          </w:p>
        </w:tc>
        <w:tc>
          <w:tcPr>
            <w:tcW w:w="4400" w:type="dxa"/>
            <w:vAlign w:val="bottom"/>
            <w:gridSpan w:val="2"/>
          </w:tcPr>
          <w:p>
            <w:pPr>
              <w:ind w:left="40"/>
              <w:spacing w:after="0"/>
              <w:rPr>
                <w:sz w:val="20"/>
                <w:szCs w:val="20"/>
                <w:color w:val="auto"/>
              </w:rPr>
            </w:pPr>
            <w:r>
              <w:rPr>
                <w:rFonts w:ascii="Arial" w:cs="Arial" w:eastAsia="Arial" w:hAnsi="Arial"/>
                <w:sz w:val="18"/>
                <w:szCs w:val="18"/>
                <w:color w:val="auto"/>
              </w:rPr>
              <w:t>January 2018 to June 2018</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6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2018 to June 2018</w:t>
            </w:r>
          </w:p>
        </w:tc>
      </w:tr>
    </w:tbl>
    <w:p>
      <w:pPr>
        <w:spacing w:after="0" w:line="202"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values of the Company’s outstanding zero cost collar and forward contracts recorded as assets and liabilities as of June 30, 2018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 are as follows (in thousands):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46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20" w:type="dxa"/>
            <w:vAlign w:val="bottom"/>
            <w:gridSpan w:val="2"/>
            <w:vMerge w:val="continue"/>
          </w:tcPr>
          <w:p>
            <w:pPr>
              <w:spacing w:after="0"/>
              <w:rPr>
                <w:sz w:val="15"/>
                <w:szCs w:val="15"/>
                <w:color w:val="auto"/>
              </w:rPr>
            </w:pPr>
          </w:p>
        </w:tc>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3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3460" w:type="dxa"/>
            <w:vAlign w:val="bottom"/>
          </w:tcPr>
          <w:p>
            <w:pPr>
              <w:ind w:left="158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34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Liability Derivatives: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Zero cost collars</w:t>
            </w:r>
          </w:p>
        </w:tc>
        <w:tc>
          <w:tcPr>
            <w:tcW w:w="34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current liabilities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684</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Forward</w:t>
            </w:r>
          </w:p>
        </w:tc>
        <w:tc>
          <w:tcPr>
            <w:tcW w:w="3460" w:type="dxa"/>
            <w:vAlign w:val="bottom"/>
          </w:tcPr>
          <w:p>
            <w:pPr>
              <w:ind w:left="1580"/>
              <w:spacing w:after="0"/>
              <w:rPr>
                <w:sz w:val="20"/>
                <w:szCs w:val="20"/>
                <w:color w:val="auto"/>
              </w:rPr>
            </w:pPr>
            <w:r>
              <w:rPr>
                <w:rFonts w:ascii="Arial" w:cs="Arial" w:eastAsia="Arial" w:hAnsi="Arial"/>
                <w:sz w:val="18"/>
                <w:szCs w:val="18"/>
                <w:color w:val="auto"/>
              </w:rPr>
              <w:t>Other current liabilities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1,911</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June 30, 2018 is as follows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89"/>
              </w:rPr>
              <w:t>Gross amounts not offset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88"/>
              </w:rPr>
              <w:t>in the balance sheets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0" w:type="dxa"/>
            <w:vAlign w:val="bottom"/>
            <w:gridSpan w:val="3"/>
          </w:tcPr>
          <w:p>
            <w:pPr>
              <w:ind w:left="920"/>
              <w:spacing w:after="0" w:line="119" w:lineRule="exact"/>
              <w:rPr>
                <w:sz w:val="20"/>
                <w:szCs w:val="20"/>
                <w:color w:val="auto"/>
              </w:rPr>
            </w:pPr>
            <w:r>
              <w:rPr>
                <w:rFonts w:ascii="Arial" w:cs="Arial" w:eastAsia="Arial" w:hAnsi="Arial"/>
                <w:sz w:val="13"/>
                <w:szCs w:val="13"/>
                <w:b w:val="1"/>
                <w:bCs w:val="1"/>
                <w:color w:val="auto"/>
                <w:w w:val="95"/>
              </w:rPr>
              <w:t>Gross amounts of</w:t>
            </w:r>
          </w:p>
        </w:tc>
        <w:tc>
          <w:tcPr>
            <w:tcW w:w="136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4"/>
              </w:rPr>
              <w:t>Gross amounts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liabilities</w:t>
            </w:r>
          </w:p>
        </w:tc>
        <w:tc>
          <w:tcPr>
            <w:tcW w:w="44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Financial</w:t>
            </w:r>
          </w:p>
        </w:tc>
        <w:tc>
          <w:tcPr>
            <w:tcW w:w="136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June 30, 2018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4"/>
              </w:rPr>
              <w:t>recognized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420" w:type="dxa"/>
            <w:vAlign w:val="bottom"/>
            <w:gridSpan w:val="3"/>
          </w:tcPr>
          <w:p>
            <w:pPr>
              <w:jc w:val="center"/>
              <w:ind w:left="356"/>
              <w:spacing w:after="0" w:line="149" w:lineRule="exact"/>
              <w:rPr>
                <w:sz w:val="20"/>
                <w:szCs w:val="20"/>
                <w:color w:val="auto"/>
              </w:rPr>
            </w:pPr>
            <w:r>
              <w:rPr>
                <w:rFonts w:ascii="Arial" w:cs="Arial" w:eastAsia="Arial" w:hAnsi="Arial"/>
                <w:sz w:val="14"/>
                <w:szCs w:val="14"/>
                <w:b w:val="1"/>
                <w:bCs w:val="1"/>
                <w:color w:val="auto"/>
                <w:w w:val="90"/>
              </w:rPr>
              <w:t>presented in the</w:t>
            </w:r>
          </w:p>
        </w:tc>
        <w:tc>
          <w:tcPr>
            <w:tcW w:w="4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received/</w:t>
            </w:r>
          </w:p>
        </w:tc>
        <w:tc>
          <w:tcPr>
            <w:tcW w:w="12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48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79"/>
              <w:spacing w:after="0" w:line="158" w:lineRule="exact"/>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80" w:type="dxa"/>
            <w:vAlign w:val="bottom"/>
            <w:gridSpan w:val="3"/>
          </w:tcPr>
          <w:p>
            <w:pPr>
              <w:ind w:left="44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89"/>
              </w:rPr>
              <w:t>pledged</w:t>
            </w:r>
          </w:p>
        </w:tc>
        <w:tc>
          <w:tcPr>
            <w:tcW w:w="12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684</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684</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assets as of December 31, 2017 is as follows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ind w:left="400"/>
              <w:spacing w:after="0"/>
              <w:rPr>
                <w:sz w:val="20"/>
                <w:szCs w:val="20"/>
                <w:color w:val="auto"/>
              </w:rPr>
            </w:pPr>
            <w:r>
              <w:rPr>
                <w:rFonts w:ascii="Arial" w:cs="Arial" w:eastAsia="Arial" w:hAnsi="Arial"/>
                <w:sz w:val="14"/>
                <w:szCs w:val="14"/>
                <w:b w:val="1"/>
                <w:bCs w:val="1"/>
                <w:color w:val="auto"/>
                <w:w w:val="89"/>
              </w:rPr>
              <w:t>Gross amounts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Net amounts of</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1880" w:type="dxa"/>
            <w:vAlign w:val="bottom"/>
            <w:gridSpan w:val="3"/>
          </w:tcPr>
          <w:p>
            <w:pPr>
              <w:ind w:left="800"/>
              <w:spacing w:after="0" w:line="119" w:lineRule="exact"/>
              <w:rPr>
                <w:sz w:val="20"/>
                <w:szCs w:val="20"/>
                <w:color w:val="auto"/>
              </w:rPr>
            </w:pPr>
            <w:r>
              <w:rPr>
                <w:rFonts w:ascii="Arial" w:cs="Arial" w:eastAsia="Arial" w:hAnsi="Arial"/>
                <w:sz w:val="13"/>
                <w:szCs w:val="13"/>
                <w:b w:val="1"/>
                <w:bCs w:val="1"/>
                <w:color w:val="auto"/>
                <w:w w:val="95"/>
              </w:rPr>
              <w:t>Gross amounts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780" w:type="dxa"/>
            <w:vAlign w:val="bottom"/>
            <w:gridSpan w:val="3"/>
          </w:tcPr>
          <w:p>
            <w:pPr>
              <w:ind w:left="400"/>
              <w:spacing w:after="0" w:line="119" w:lineRule="exact"/>
              <w:rPr>
                <w:sz w:val="20"/>
                <w:szCs w:val="20"/>
                <w:color w:val="auto"/>
              </w:rPr>
            </w:pPr>
            <w:r>
              <w:rPr>
                <w:rFonts w:ascii="Arial" w:cs="Arial" w:eastAsia="Arial" w:hAnsi="Arial"/>
                <w:sz w:val="13"/>
                <w:szCs w:val="13"/>
                <w:b w:val="1"/>
                <w:bCs w:val="1"/>
                <w:color w:val="auto"/>
                <w:w w:val="94"/>
              </w:rPr>
              <w:t>assets presented in the</w:t>
            </w:r>
          </w:p>
        </w:tc>
        <w:tc>
          <w:tcPr>
            <w:tcW w:w="40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1340" w:type="dxa"/>
            <w:vAlign w:val="bottom"/>
            <w:gridSpan w:val="3"/>
          </w:tcPr>
          <w:p>
            <w:pPr>
              <w:ind w:left="40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12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8"/>
        </w:trPr>
        <w:tc>
          <w:tcPr>
            <w:tcW w:w="236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7"/>
              </w:rPr>
              <w:t>recognized assets</w:t>
            </w:r>
          </w:p>
        </w:tc>
        <w:tc>
          <w:tcPr>
            <w:tcW w:w="400" w:type="dxa"/>
            <w:vAlign w:val="bottom"/>
          </w:tcPr>
          <w:p>
            <w:pPr>
              <w:spacing w:after="0"/>
              <w:rPr>
                <w:sz w:val="15"/>
                <w:szCs w:val="15"/>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9"/>
              <w:spacing w:after="0" w:line="158" w:lineRule="exact"/>
              <w:rPr>
                <w:sz w:val="20"/>
                <w:szCs w:val="20"/>
                <w:color w:val="auto"/>
              </w:rPr>
            </w:pPr>
            <w:r>
              <w:rPr>
                <w:rFonts w:ascii="Arial" w:cs="Arial" w:eastAsia="Arial" w:hAnsi="Arial"/>
                <w:sz w:val="14"/>
                <w:szCs w:val="14"/>
                <w:b w:val="1"/>
                <w:bCs w:val="1"/>
                <w:color w:val="auto"/>
                <w:w w:val="95"/>
              </w:rPr>
              <w:t>balance sheets</w:t>
            </w:r>
          </w:p>
        </w:tc>
        <w:tc>
          <w:tcPr>
            <w:tcW w:w="1140" w:type="dxa"/>
            <w:vAlign w:val="bottom"/>
            <w:gridSpan w:val="3"/>
          </w:tcPr>
          <w:p>
            <w:pPr>
              <w:ind w:left="40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20" w:type="dxa"/>
            <w:vAlign w:val="bottom"/>
          </w:tcPr>
          <w:p>
            <w:pPr>
              <w:spacing w:after="0"/>
              <w:rPr>
                <w:sz w:val="15"/>
                <w:szCs w:val="15"/>
                <w:color w:val="auto"/>
              </w:rPr>
            </w:pPr>
          </w:p>
        </w:tc>
        <w:tc>
          <w:tcPr>
            <w:tcW w:w="9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pledged</w:t>
            </w: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8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2017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94"/>
              </w:rPr>
              <w:t>Amount of Gain (Loss)</w:t>
            </w:r>
          </w:p>
        </w:tc>
        <w:tc>
          <w:tcPr>
            <w:tcW w:w="80" w:type="dxa"/>
            <w:vAlign w:val="bottom"/>
          </w:tcPr>
          <w:p>
            <w:pPr>
              <w:spacing w:after="0"/>
              <w:rPr>
                <w:sz w:val="13"/>
                <w:szCs w:val="13"/>
                <w:color w:val="auto"/>
              </w:rPr>
            </w:pPr>
          </w:p>
        </w:tc>
        <w:tc>
          <w:tcPr>
            <w:tcW w:w="1520" w:type="dxa"/>
            <w:vAlign w:val="bottom"/>
          </w:tcPr>
          <w:p>
            <w:pPr>
              <w:jc w:val="center"/>
              <w:ind w:left="208"/>
              <w:spacing w:after="0" w:line="158" w:lineRule="exact"/>
              <w:rPr>
                <w:sz w:val="20"/>
                <w:szCs w:val="20"/>
                <w:color w:val="auto"/>
              </w:rPr>
            </w:pPr>
            <w:r>
              <w:rPr>
                <w:rFonts w:ascii="Arial" w:cs="Arial" w:eastAsia="Arial" w:hAnsi="Arial"/>
                <w:sz w:val="14"/>
                <w:szCs w:val="14"/>
                <w:b w:val="1"/>
                <w:bCs w:val="1"/>
                <w:color w:val="auto"/>
                <w:w w:val="94"/>
              </w:rPr>
              <w:t>Location of Gain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14"/>
              <w:spacing w:after="0" w:line="158" w:lineRule="exact"/>
              <w:rPr>
                <w:sz w:val="20"/>
                <w:szCs w:val="20"/>
                <w:color w:val="auto"/>
              </w:rPr>
            </w:pPr>
            <w:r>
              <w:rPr>
                <w:rFonts w:ascii="Arial" w:cs="Arial" w:eastAsia="Arial" w:hAnsi="Arial"/>
                <w:sz w:val="14"/>
                <w:szCs w:val="14"/>
                <w:b w:val="1"/>
                <w:bCs w:val="1"/>
                <w:color w:val="auto"/>
                <w:w w:val="95"/>
              </w:rPr>
              <w:t>Amount of Gain</w:t>
            </w:r>
          </w:p>
        </w:tc>
        <w:tc>
          <w:tcPr>
            <w:tcW w:w="160" w:type="dxa"/>
            <w:vAlign w:val="bottom"/>
          </w:tcPr>
          <w:p>
            <w:pPr>
              <w:spacing w:after="0"/>
              <w:rPr>
                <w:sz w:val="13"/>
                <w:szCs w:val="13"/>
                <w:color w:val="auto"/>
              </w:rPr>
            </w:pPr>
          </w:p>
        </w:tc>
        <w:tc>
          <w:tcPr>
            <w:tcW w:w="2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6"/>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Amount of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ASC 815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15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rPr>
              <w:t>AOCI into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Operations 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18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AOCI on</w:t>
            </w:r>
          </w:p>
        </w:tc>
        <w:tc>
          <w:tcPr>
            <w:tcW w:w="80" w:type="dxa"/>
            <w:vAlign w:val="bottom"/>
          </w:tcPr>
          <w:p>
            <w:pPr>
              <w:spacing w:after="0"/>
              <w:rPr>
                <w:sz w:val="12"/>
                <w:szCs w:val="12"/>
                <w:color w:val="auto"/>
              </w:rPr>
            </w:pPr>
          </w:p>
        </w:tc>
        <w:tc>
          <w:tcPr>
            <w:tcW w:w="15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Statement of</w:t>
            </w:r>
          </w:p>
        </w:tc>
        <w:tc>
          <w:tcPr>
            <w:tcW w:w="16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Operations on</w:t>
            </w:r>
          </w:p>
        </w:tc>
        <w:tc>
          <w:tcPr>
            <w:tcW w:w="0" w:type="dxa"/>
            <w:vAlign w:val="bottom"/>
          </w:tcPr>
          <w:p>
            <w:pPr>
              <w:spacing w:after="0"/>
              <w:rPr>
                <w:sz w:val="1"/>
                <w:szCs w:val="1"/>
                <w:color w:val="auto"/>
              </w:rPr>
            </w:pPr>
          </w:p>
        </w:tc>
      </w:tr>
      <w:tr>
        <w:trPr>
          <w:trHeight w:val="149"/>
        </w:trPr>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2"/>
                <w:szCs w:val="12"/>
                <w:color w:val="auto"/>
              </w:rPr>
            </w:pPr>
          </w:p>
        </w:tc>
        <w:tc>
          <w:tcPr>
            <w:tcW w:w="15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69"/>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Hedging Relationships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52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120" w:type="dxa"/>
            <w:vAlign w:val="bottom"/>
          </w:tcPr>
          <w:p>
            <w:pPr>
              <w:spacing w:after="0"/>
              <w:rPr>
                <w:sz w:val="14"/>
                <w:szCs w:val="14"/>
                <w:color w:val="auto"/>
              </w:rPr>
            </w:pPr>
          </w:p>
        </w:tc>
        <w:tc>
          <w:tcPr>
            <w:tcW w:w="14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Borders>
              <w:top w:val="single" w:sz="8" w:color="auto"/>
            </w:tcBorders>
            <w:gridSpan w:val="6"/>
          </w:tcPr>
          <w:p>
            <w:pPr>
              <w:jc w:val="center"/>
              <w:spacing w:after="0" w:line="126"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gridSpan w:val="5"/>
          </w:tcPr>
          <w:p>
            <w:pPr>
              <w:jc w:val="center"/>
              <w:spacing w:after="0" w:line="126" w:lineRule="exact"/>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gridSpan w:val="6"/>
          </w:tcPr>
          <w:p>
            <w:pPr>
              <w:jc w:val="center"/>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ind w:left="223"/>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7"/>
              </w:rPr>
              <w:t>(1,620)</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808</w:t>
            </w: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Other income (expenses),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w w:val="88"/>
              </w:rPr>
              <w:t>Other income (expenses), net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(1,870)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(1,594)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808</w:t>
            </w: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six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2017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vMerge w:val="restart"/>
          </w:tcPr>
          <w:p>
            <w:pPr>
              <w:jc w:val="center"/>
              <w:ind w:right="30"/>
              <w:spacing w:after="0"/>
              <w:rPr>
                <w:sz w:val="20"/>
                <w:szCs w:val="20"/>
                <w:color w:val="auto"/>
              </w:rPr>
            </w:pPr>
            <w:r>
              <w:rPr>
                <w:rFonts w:ascii="Arial" w:cs="Arial" w:eastAsia="Arial" w:hAnsi="Arial"/>
                <w:sz w:val="14"/>
                <w:szCs w:val="14"/>
                <w:b w:val="1"/>
                <w:bCs w:val="1"/>
                <w:color w:val="auto"/>
                <w:w w:val="95"/>
              </w:rPr>
              <w:t>Amount of Gain</w:t>
            </w:r>
          </w:p>
        </w:tc>
        <w:tc>
          <w:tcPr>
            <w:tcW w:w="2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w:t>
            </w: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24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4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80" w:type="dxa"/>
            <w:vAlign w:val="bottom"/>
          </w:tcPr>
          <w:p>
            <w:pPr>
              <w:spacing w:after="0"/>
              <w:rPr>
                <w:sz w:val="12"/>
                <w:szCs w:val="12"/>
                <w:color w:val="auto"/>
              </w:rPr>
            </w:pPr>
          </w:p>
        </w:tc>
        <w:tc>
          <w:tcPr>
            <w:tcW w:w="150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24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1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left="82"/>
              <w:spacing w:after="0" w:line="149" w:lineRule="exact"/>
              <w:rPr>
                <w:sz w:val="20"/>
                <w:szCs w:val="20"/>
                <w:color w:val="auto"/>
              </w:rPr>
            </w:pPr>
            <w:r>
              <w:rPr>
                <w:rFonts w:ascii="Arial" w:cs="Arial" w:eastAsia="Arial" w:hAnsi="Arial"/>
                <w:sz w:val="14"/>
                <w:szCs w:val="14"/>
                <w:b w:val="1"/>
                <w:bCs w:val="1"/>
                <w:color w:val="auto"/>
                <w:w w:val="99"/>
              </w:rPr>
              <w:t>AOCI on</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8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Statement of</w:t>
            </w:r>
          </w:p>
        </w:tc>
        <w:tc>
          <w:tcPr>
            <w:tcW w:w="24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Operations 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Operations on</w:t>
            </w:r>
          </w:p>
        </w:tc>
        <w:tc>
          <w:tcPr>
            <w:tcW w:w="0" w:type="dxa"/>
            <w:vAlign w:val="bottom"/>
          </w:tcPr>
          <w:p>
            <w:pPr>
              <w:spacing w:after="0"/>
              <w:rPr>
                <w:sz w:val="1"/>
                <w:szCs w:val="1"/>
                <w:color w:val="auto"/>
              </w:rPr>
            </w:pPr>
          </w:p>
        </w:tc>
      </w:tr>
      <w:tr>
        <w:trPr>
          <w:trHeight w:val="149"/>
        </w:trPr>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69"/>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Pr>
          <w:p>
            <w:pPr>
              <w:spacing w:after="0"/>
              <w:rPr>
                <w:sz w:val="14"/>
                <w:szCs w:val="14"/>
                <w:color w:val="auto"/>
              </w:rPr>
            </w:pPr>
          </w:p>
        </w:tc>
        <w:tc>
          <w:tcPr>
            <w:tcW w:w="1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(Ineffective Portion)</w:t>
            </w:r>
          </w:p>
        </w:tc>
        <w:tc>
          <w:tcPr>
            <w:tcW w:w="180" w:type="dxa"/>
            <w:vAlign w:val="bottom"/>
          </w:tcPr>
          <w:p>
            <w:pPr>
              <w:spacing w:after="0"/>
              <w:rPr>
                <w:sz w:val="14"/>
                <w:szCs w:val="14"/>
                <w:color w:val="auto"/>
              </w:rPr>
            </w:pPr>
          </w:p>
        </w:tc>
        <w:tc>
          <w:tcPr>
            <w:tcW w:w="15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Borders>
              <w:top w:val="single" w:sz="8" w:color="auto"/>
            </w:tcBorders>
            <w:gridSpan w:val="6"/>
          </w:tcPr>
          <w:p>
            <w:pPr>
              <w:jc w:val="center"/>
              <w:spacing w:after="0" w:line="126" w:lineRule="exact"/>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5"/>
          </w:tcPr>
          <w:p>
            <w:pPr>
              <w:jc w:val="center"/>
              <w:ind w:right="34"/>
              <w:spacing w:after="0" w:line="126" w:lineRule="exact"/>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102"/>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183"/>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883</w:t>
            </w:r>
          </w:p>
        </w:tc>
        <w:tc>
          <w:tcPr>
            <w:tcW w:w="20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1,305</w:t>
            </w:r>
          </w:p>
        </w:tc>
        <w:tc>
          <w:tcPr>
            <w:tcW w:w="2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income (expenses), net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Net sales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Other income (expenses),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909</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1,305</w:t>
            </w: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June 30, 2018, the amount expected to be reclassified from accumulated other comprehensive loss into loss within the next twelve months is $1,280 thousand.</w:t>
      </w:r>
    </w:p>
    <w:p>
      <w:pPr>
        <w:spacing w:after="0" w:line="17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Company set aside $10,100 thousand and $7,600 thousand of cash deposits to the counterparty, Nomura Financial Investment (Korea) Co., Ltd. (“NFIK”) as required for the zero cost collar and forward contracts outstanding as of June 30, 2018 and December 31, 2017, respectively. These cash deposits are recorded as hedge collateral on the consolidated balance sheets.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is required to deposit additional cash collateral with NFIK for any exposure in excess of $500 thousand and no such cash collateral was required as of June 30, 2018 and December 31, 2017, respectively. These outstanding zero cost collar and forward contracts are subject to termination if the sum of qualified and unrestricted cash and cash equivalents held by the Company is less than $30,000 thousand on the last day of a fiscal quarter.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June 30, 2018,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Fair Value</w:t>
            </w:r>
          </w:p>
        </w:tc>
        <w:tc>
          <w:tcPr>
            <w:tcW w:w="15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Significant</w:t>
            </w:r>
          </w:p>
        </w:tc>
        <w:tc>
          <w:tcPr>
            <w:tcW w:w="5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5"/>
              </w:rPr>
              <w:t>Carrying Value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5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Observable</w:t>
            </w:r>
          </w:p>
        </w:tc>
        <w:tc>
          <w:tcPr>
            <w:tcW w:w="54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2018</w:t>
            </w:r>
          </w:p>
        </w:tc>
        <w:tc>
          <w:tcPr>
            <w:tcW w:w="5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June 30, 2018</w:t>
            </w:r>
          </w:p>
        </w:tc>
        <w:tc>
          <w:tcPr>
            <w:tcW w:w="5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150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5"/>
              </w:rPr>
              <w:t>Inputs (Level 2)</w:t>
            </w:r>
          </w:p>
        </w:tc>
        <w:tc>
          <w:tcPr>
            <w:tcW w:w="158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2,595</w:t>
            </w:r>
          </w:p>
        </w:tc>
        <w:tc>
          <w:tcPr>
            <w:tcW w:w="52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2,595</w:t>
            </w:r>
          </w:p>
        </w:tc>
        <w:tc>
          <w:tcPr>
            <w:tcW w:w="54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the following table represents the Company’s assets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2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5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3"/>
              </w:rPr>
              <w:t>Carrying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40" w:type="dxa"/>
            <w:vAlign w:val="bottom"/>
            <w:gridSpan w:val="2"/>
          </w:tcPr>
          <w:p>
            <w:pPr>
              <w:jc w:val="center"/>
              <w:ind w:left="41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4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Measurement</w:t>
            </w: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w w:val="90"/>
              </w:rPr>
              <w:t>December 31, 2017</w:t>
            </w:r>
          </w:p>
        </w:tc>
        <w:tc>
          <w:tcPr>
            <w:tcW w:w="16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December 31, 2017</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Derivative assets (other current assets)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5,179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5,179</w:t>
            </w:r>
          </w:p>
        </w:tc>
        <w:tc>
          <w:tcPr>
            <w:tcW w:w="52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439"/>
              <w:spacing w:after="0"/>
              <w:rPr>
                <w:sz w:val="20"/>
                <w:szCs w:val="20"/>
                <w:color w:val="auto"/>
              </w:rPr>
            </w:pPr>
            <w:r>
              <w:rPr>
                <w:rFonts w:ascii="Arial" w:cs="Arial" w:eastAsia="Arial" w:hAnsi="Arial"/>
                <w:sz w:val="18"/>
                <w:szCs w:val="18"/>
                <w:color w:val="auto"/>
              </w:rPr>
              <w:t>$   5,179</w:t>
            </w:r>
          </w:p>
        </w:tc>
        <w:tc>
          <w:tcPr>
            <w:tcW w:w="5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restricted cash,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2017</w:t>
            </w: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82"/>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880" w:type="dxa"/>
            <w:vAlign w:val="bottom"/>
            <w:tcBorders>
              <w:top w:val="single" w:sz="8" w:color="auto"/>
            </w:tcBorders>
          </w:tcPr>
          <w:p>
            <w:pPr>
              <w:jc w:val="center"/>
              <w:ind w:left="8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center"/>
              <w:ind w:left="82"/>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w w:val="99"/>
              </w:rPr>
              <w:t>(In thousands of US dollars)</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82,249</w:t>
            </w:r>
          </w:p>
        </w:tc>
        <w:tc>
          <w:tcPr>
            <w:tcW w:w="860" w:type="dxa"/>
            <w:vAlign w:val="bottom"/>
          </w:tcPr>
          <w:p>
            <w:pPr>
              <w:jc w:val="center"/>
              <w:ind w:left="82"/>
              <w:spacing w:after="0"/>
              <w:rPr>
                <w:sz w:val="20"/>
                <w:szCs w:val="20"/>
                <w:color w:val="auto"/>
              </w:rPr>
            </w:pPr>
            <w:r>
              <w:rPr>
                <w:rFonts w:ascii="Arial" w:cs="Arial" w:eastAsia="Arial" w:hAnsi="Arial"/>
                <w:sz w:val="18"/>
                <w:szCs w:val="18"/>
                <w:color w:val="auto"/>
                <w:w w:val="93"/>
              </w:rPr>
              <w:t>$131,100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81,576</w:t>
            </w:r>
          </w:p>
        </w:tc>
        <w:tc>
          <w:tcPr>
            <w:tcW w:w="880" w:type="dxa"/>
            <w:vAlign w:val="bottom"/>
          </w:tcPr>
          <w:p>
            <w:pPr>
              <w:jc w:val="center"/>
              <w:ind w:left="80"/>
              <w:spacing w:after="0"/>
              <w:rPr>
                <w:sz w:val="20"/>
                <w:szCs w:val="20"/>
                <w:color w:val="auto"/>
              </w:rPr>
            </w:pPr>
            <w:r>
              <w:rPr>
                <w:rFonts w:ascii="Arial" w:cs="Arial" w:eastAsia="Arial" w:hAnsi="Arial"/>
                <w:sz w:val="18"/>
                <w:szCs w:val="18"/>
                <w:color w:val="auto"/>
                <w:w w:val="90"/>
              </w:rPr>
              <w:t>$127,617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222,240</w:t>
            </w:r>
          </w:p>
        </w:tc>
        <w:tc>
          <w:tcPr>
            <w:tcW w:w="86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93"/>
              </w:rPr>
              <w:t>$218,700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221,840</w:t>
            </w:r>
          </w:p>
        </w:tc>
        <w:tc>
          <w:tcPr>
            <w:tcW w:w="88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0"/>
              </w:rPr>
              <w:t>$224,719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9, “Long-term Borrowings”.</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$5.0 million of debt issuance costs. The Company estimates the fair value of the 2021 Notes using the market approach, which utilizes quoted market prices that fall under Level 2. For further description of the 2021 Notes, see Note 9, “Long-term Borrowings”.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June 30, 2018 and 2017, the Company did not have any assets or liabilities measured at fair value on a non-recurring basis.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June 30, 2018 and December 31, 2017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225,000</w:t>
            </w:r>
          </w:p>
        </w:tc>
        <w:tc>
          <w:tcPr>
            <w:tcW w:w="32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(7,834)</w:t>
            </w: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304,489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303,416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 thousand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six months ended</w:t>
      </w:r>
    </w:p>
    <w:p>
      <w:pPr>
        <w:ind w:left="200" w:right="60"/>
        <w:spacing w:after="0" w:line="261" w:lineRule="auto"/>
        <w:rPr>
          <w:sz w:val="20"/>
          <w:szCs w:val="20"/>
          <w:color w:val="auto"/>
        </w:rPr>
      </w:pPr>
      <w:r>
        <w:rPr>
          <w:rFonts w:ascii="Arial" w:cs="Arial" w:eastAsia="Arial" w:hAnsi="Arial"/>
          <w:sz w:val="18"/>
          <w:szCs w:val="18"/>
          <w:color w:val="auto"/>
        </w:rPr>
        <w:t>June 30, 2018 were $1,418 thousand and $2,829 thousand, respectively. Interest expense related to the Exchangeable Notes for the three and six months ended June 30, 2017 were $1,395 thousand and $2,542 thousand, respectively.</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101.656% and 100% of the principal amount of the notes redeemed on or after July 15, 2018 and 2019, respectively, plus accrued and unpaid interest and special interest, if any, on the notes redeemed, to the applicable date of redemption.</w:t>
      </w:r>
    </w:p>
    <w:p>
      <w:pPr>
        <w:spacing w:after="0" w:line="187"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three and six months ended June 30, 2018 were $3,926 thousand and $7,852 thousand, respectively. Interest expenses related to the 2021 Notes for the three and six months ended June 30, 2017 were $3,914 thousand and $7,826 thousand, respectively.</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Accrued Severance Benefits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2018, 98% of employees of the Company were eligible for severance benefits.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Three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Six</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Six</w:t>
            </w:r>
          </w:p>
        </w:tc>
      </w:tr>
      <w:tr>
        <w:trPr>
          <w:trHeight w:val="149"/>
        </w:trPr>
        <w:tc>
          <w:tcPr>
            <w:tcW w:w="53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Months</w:t>
            </w: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71"/>
        </w:trPr>
        <w:tc>
          <w:tcPr>
            <w:tcW w:w="530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5300" w:type="dxa"/>
            <w:vAlign w:val="bottom"/>
            <w:tcBorders>
              <w:bottom w:val="single" w:sz="8" w:color="CCEEFF"/>
            </w:tcBorders>
          </w:tcPr>
          <w:p>
            <w:pPr>
              <w:spacing w:after="0"/>
              <w:rPr>
                <w:sz w:val="12"/>
                <w:szCs w:val="12"/>
                <w:color w:val="auto"/>
              </w:rPr>
            </w:pPr>
          </w:p>
        </w:tc>
        <w:tc>
          <w:tcPr>
            <w:tcW w:w="1740" w:type="dxa"/>
            <w:vAlign w:val="bottom"/>
            <w:tcBorders>
              <w:top w:val="single" w:sz="8" w:color="auto"/>
              <w:bottom w:val="single" w:sz="8" w:color="auto"/>
            </w:tcBorders>
            <w:gridSpan w:val="4"/>
          </w:tcPr>
          <w:p>
            <w:pPr>
              <w:jc w:val="right"/>
              <w:ind w:right="355"/>
              <w:spacing w:after="0" w:line="142" w:lineRule="exact"/>
              <w:rPr>
                <w:sz w:val="20"/>
                <w:szCs w:val="20"/>
                <w:color w:val="auto"/>
              </w:rPr>
            </w:pPr>
            <w:r>
              <w:rPr>
                <w:rFonts w:ascii="Arial" w:cs="Arial" w:eastAsia="Arial" w:hAnsi="Arial"/>
                <w:sz w:val="14"/>
                <w:szCs w:val="14"/>
                <w:b w:val="1"/>
                <w:bCs w:val="1"/>
                <w:color w:val="auto"/>
              </w:rPr>
              <w:t>June 30, 2018</w:t>
            </w:r>
          </w:p>
        </w:tc>
        <w:tc>
          <w:tcPr>
            <w:tcW w:w="36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$152,780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$149,795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$140,878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$130,144</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Provisions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4,653</w:t>
            </w:r>
          </w:p>
        </w:tc>
        <w:tc>
          <w:tcPr>
            <w:tcW w:w="3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9,165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3,390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10,776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(7,551)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(6,831)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(2,816)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8,056</w:t>
            </w:r>
          </w:p>
        </w:tc>
      </w:tr>
      <w:tr>
        <w:trPr>
          <w:trHeight w:val="27"/>
        </w:trPr>
        <w:tc>
          <w:tcPr>
            <w:tcW w:w="5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146,375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130,894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(236)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Group severance insurance plan</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145,542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145,542</w:t>
            </w: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130,050</w:t>
            </w: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130,050</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6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3"/>
              </w:rPr>
              <w:t>Severance benefit</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2024 – 2028</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Foreign Currency Gain (Loss), Net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June 30, 2018 and December 31, 2017, the outstanding intercompany loan balances including accrued interest between the Korean subsidiary and the Dutch subsidiary were $685,098 thousand and $677,267 thousand, respectively. The Korean won to U.S. dollar exchange rates were 1,121.7:1, 1,071.4:1 using the first base rate as of June 30, 2018, December 31, 2017, respectively, as quoted by the KEB Hana Bank.</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Restructuring and other gain</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of December 21, 2016, the Company entered into a purchase and sale agreement to sell a building located in Cheongju, South Korea. The building has historically been used to house the Company’s six-inch fabrication facility in Cheongju, South Korea (the “6-inch fab”) and became vacant upon the closure of the fabrication facility in February 2016. As of December 31, 2015, the building was fully impaired. The Company received proceeds of $18,204 thousand, including a $1,655 thousand value-added tax, for the sale of the building in December 2016. As the Company was obligated to perform certain removal construction work, it recorded the $18,204 thousand proceeds as restricted cash and $16,549 thousand as deposits received in its consolidated balance sheets as of December 31, 2016. During the first quarter of 2017, the Company completed all removal construction work necessary to transfer the title of the building, and the $18,204 thousand of restricted cash was fully released. Accordingly, the Company recorded $16,635 thousand as restructuring gain in the consolidated statements of operations for the three months ended March 31, 2017.</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Early Termination Charges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of February 22, 2017, the Company’s Board of Directors approved the implementation of a new headcount reduction plan (the “Headcount Reduction Plan”). As of June 30, 2017, 352 employees elected to resign from the Company during the period in which the Headcount Reduction Plan was offered. The total cash cost of approximately $31 million has been fully paid. The Company recorded in its consolidated statement of operations $11,107 thousand and $2,262 thousand in termination related charges as early termination charges for the three months ended March 31, 2017 and June 30, 2017, respectively. The remaining total estimated cost relates to statutory severance benefits, which are required by law and have already been fully accrued in the Company’s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8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Income tax expense recorded for three and six months ended June 30, 2018 were $1,521 thousand and was $2,511, respectively. Income tax expense recorded for three and six months ended June 30, 2017 were $538 thousand and was $1,391, respectively. The increase in income tax expenses was primarily attributable to income tax expense recorded for the Korean subsidiary, which is estimated to generate taxable income for the fiscal year ending December 31, 2018, combined with its ability to utilize net operating loss carryforwards up to 70% of taxable income for the year.</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December 22, 2017, H.R. 1, originally known as the Tax Cuts and Jobs Act, was enacted in the U.S (the “Tax Reform Act”). The Tax Reform Act reduces the U.S. federal statutory rate to 21.0% from 35.0% effective January 1, 2018. The key provisions contained in the Tax Reform Act are mandatory deemed repatriation tax, global intangible low tax income and foreign derived intangible income provisions. The Company does not expect that the global intangible low tax income and foreign derived intangible income provisions will have any material impact to its income tax expense. The Company is currently reviewing the provision relating to the mandatory deemed repatriation tax and will complete its assessment before the measurement period ending in December 2018.</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Company has two operating segments: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January 2018, as part of the Company’s ongoing portfolio optimization effort to realign business processes and streamline the Company’s organizational structure, the Company transferred a portion of its non-OLED Display business from the Standard Products Group to the Foundry Services Group. The transferred non-OLED Display business has technical and business characteristics more closely aligned with the Company’s Foundry Services business than with the Company’s Standard Products business, which resided within the Company’s Display Solutions business line primarily as a result of a long standing customer relationship established many years ago. The Company recast comparative segment financial information to conform to this current period change. For the three months ended June 30, 2017, $6,021 thousand of net sales and $1,237 thousand of gross profit, and were reclassified from the Display Solutions business line in the Standard Products Group to the Foundry Services Group. For the six months ended June 30, 2017, $12,035 thousand of net sales and $2,462 thousand of gross profit were reclassified from the Display Solutions business line in the Standard Products Group to the Foundry Services Group.</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w w:val="92"/>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As Adjusted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940" w:type="dxa"/>
            <w:vAlign w:val="bottom"/>
            <w:gridSpan w:val="4"/>
          </w:tcPr>
          <w:p>
            <w:pPr>
              <w:jc w:val="center"/>
              <w:ind w:left="37"/>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80,907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87,549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158,336</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$ 171,091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128,408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Total Standard Products Group</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79,046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207,103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157,191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2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199,685</w:t>
            </w:r>
          </w:p>
        </w:tc>
        <w:tc>
          <w:tcPr>
            <w:tcW w:w="3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$ 166,685</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365,504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$ 328,395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w w:val="92"/>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As Adjusted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940" w:type="dxa"/>
            <w:vAlign w:val="bottom"/>
            <w:gridSpan w:val="4"/>
          </w:tcPr>
          <w:p>
            <w:pPr>
              <w:jc w:val="center"/>
              <w:ind w:left="37"/>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22,185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42,849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20" w:type="dxa"/>
            <w:vAlign w:val="bottom"/>
            <w:vMerge w:val="restart"/>
          </w:tcPr>
          <w:p>
            <w:pPr>
              <w:jc w:val="right"/>
              <w:ind w:right="97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Upon the adoption of the new revenue standard, the Company’s revenue for Foundry Services Group is disaggregated depending on the timing of revenue recognition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 2018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Revenue</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98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00" w:type="dxa"/>
            <w:vAlign w:val="bottom"/>
            <w:gridSpan w:val="3"/>
          </w:tcPr>
          <w:p>
            <w:pPr>
              <w:jc w:val="center"/>
              <w:ind w:left="919"/>
              <w:spacing w:after="0"/>
              <w:rPr>
                <w:sz w:val="20"/>
                <w:szCs w:val="20"/>
                <w:color w:val="auto"/>
              </w:rPr>
            </w:pPr>
            <w:r>
              <w:rPr>
                <w:rFonts w:ascii="Arial" w:cs="Arial" w:eastAsia="Arial" w:hAnsi="Arial"/>
                <w:sz w:val="14"/>
                <w:szCs w:val="14"/>
                <w:b w:val="1"/>
                <w:bCs w:val="1"/>
                <w:color w:val="auto"/>
                <w:w w:val="91"/>
              </w:rPr>
              <w:t>shipment or delivery</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1"/>
              </w:rPr>
              <w:t>shipment or delivery</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8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22,970</w:t>
            </w:r>
          </w:p>
        </w:tc>
        <w:tc>
          <w:tcPr>
            <w:tcW w:w="980" w:type="dxa"/>
            <w:vAlign w:val="bottom"/>
            <w:gridSpan w:val="2"/>
          </w:tcPr>
          <w:p>
            <w:pPr>
              <w:jc w:val="center"/>
              <w:ind w:left="239"/>
              <w:spacing w:after="0"/>
              <w:rPr>
                <w:sz w:val="20"/>
                <w:szCs w:val="20"/>
                <w:color w:val="auto"/>
              </w:rPr>
            </w:pPr>
            <w:r>
              <w:rPr>
                <w:rFonts w:ascii="Arial" w:cs="Arial" w:eastAsia="Arial" w:hAnsi="Arial"/>
                <w:sz w:val="18"/>
                <w:szCs w:val="18"/>
                <w:color w:val="auto"/>
                <w:w w:val="94"/>
              </w:rPr>
              <w:t>$ 57,937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$80,907</w:t>
            </w:r>
          </w:p>
        </w:tc>
        <w:tc>
          <w:tcPr>
            <w:tcW w:w="48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25,766</w:t>
            </w:r>
          </w:p>
        </w:tc>
        <w:tc>
          <w:tcPr>
            <w:tcW w:w="100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$132,570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$158,336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119,725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199,685</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166,685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133,062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209,430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155,988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18,597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365,504</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328,395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For the three months ended June 30, 2018 and 2017, of the Company’s net sales in Asia Pacific (other than Korea), net sales in Greater China (China, Hong Kong and Macau) represented 70.3% and 51.4%, respectively, and net sales in Taiwan represented 23.8% and 34.8%, respectively.</w:t>
      </w:r>
    </w:p>
    <w:p>
      <w:pPr>
        <w:spacing w:after="0" w:line="124" w:lineRule="exact"/>
        <w:rPr>
          <w:sz w:val="20"/>
          <w:szCs w:val="20"/>
          <w:color w:val="auto"/>
        </w:rPr>
      </w:pPr>
    </w:p>
    <w:p>
      <w:pPr>
        <w:jc w:val="both"/>
        <w:ind w:left="200" w:right="560" w:firstLine="441"/>
        <w:spacing w:after="0" w:line="342" w:lineRule="auto"/>
        <w:rPr>
          <w:sz w:val="20"/>
          <w:szCs w:val="20"/>
          <w:color w:val="auto"/>
        </w:rPr>
      </w:pPr>
      <w:r>
        <w:rPr>
          <w:rFonts w:ascii="Arial" w:cs="Arial" w:eastAsia="Arial" w:hAnsi="Arial"/>
          <w:sz w:val="16"/>
          <w:szCs w:val="16"/>
          <w:color w:val="auto"/>
        </w:rPr>
        <w:t>For the six months ended June 30, 2018 and 2017, of the Company’s net sales in Asia Pacific (other than Korea), net sales in Greater China (China, Hong Kong and Macau) represented 69.1% and 50.3%, respectively, and net sales in Taiwan represented 24.1% and 32.2%, respectively.</w:t>
      </w:r>
    </w:p>
    <w:p>
      <w:pPr>
        <w:spacing w:after="0" w:line="124"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67% and 59% for the three months ended June 30, 2018 and 2017, respectively, and 63% and 60% for the six months ended June 30, 2018 and 2017, respectively.</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the three months ended June 30, 2018, the Company had one customer that represented 28.9% of its net sales, and for the six months ended June 30, 2018, the Company had one customer that represented 23.9% of its net sales.</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the three months ended June 30, 2017, the Company had one customer that represented 15.1% of its net sales, and for the six months ended June 30, 2017, the Company had one customer that represented 14.9% of its net sales.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97% of the Company’s property, plant and equipment are located in Korea as of June 30,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loss consists of the following as of June 30, 2018 and December 31, 2017, respectively (in thousands):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$(18,780)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6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Changes in accumulated other comprehensive loss for the three months ended June 30, 2018 and 2017 are as follows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(38,896</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2,626</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(36,270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(1,870)</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(3,905)</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2017</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(20,864</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1,570</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(19,294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(1,594)</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(2,402)</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accumulated other comprehensive loss for the six months ended June 30, 2018 and 2017 are as follows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19,633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(1,937)</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(6,578)</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2017</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14,460</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$ 14,024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(25,962)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909</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(25,962)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(12,334)</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ind w:left="4540"/>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240" w:top="45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There was no income tax impact related to changes in accumulated other comprehensive loss for the six months ended June 30, 2018 and 2017 due to net operating loss carry-forwards available to offset taxable income and full allowance for deferred tax assets.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three and six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and 2017:</w:t>
      </w:r>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loss</w:t>
      </w:r>
    </w:p>
    <w:p>
      <w:pPr>
        <w:spacing w:after="0" w:line="49" w:lineRule="exact"/>
        <w:rPr>
          <w:sz w:val="20"/>
          <w:szCs w:val="20"/>
          <w:color w:val="auto"/>
        </w:rPr>
      </w:pPr>
    </w:p>
    <w:p>
      <w:pPr>
        <w:ind w:left="1520" w:right="1360"/>
        <w:spacing w:after="0" w:line="277" w:lineRule="auto"/>
        <w:rPr>
          <w:sz w:val="20"/>
          <w:szCs w:val="20"/>
          <w:color w:val="auto"/>
        </w:rPr>
      </w:pPr>
      <w:r>
        <w:rPr>
          <w:rFonts w:ascii="Arial" w:cs="Arial" w:eastAsia="Arial" w:hAnsi="Arial"/>
          <w:sz w:val="18"/>
          <w:szCs w:val="18"/>
          <w:color w:val="auto"/>
        </w:rPr>
        <w:t>Basic weighted average common stock outstanding 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-293370</wp:posOffset>
            </wp:positionV>
            <wp:extent cx="531685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income (loss)</w:t>
      </w:r>
    </w:p>
    <w:p>
      <w:pPr>
        <w:spacing w:after="0" w:line="49" w:lineRule="exact"/>
        <w:rPr>
          <w:sz w:val="20"/>
          <w:szCs w:val="20"/>
          <w:color w:val="auto"/>
        </w:rPr>
      </w:pPr>
    </w:p>
    <w:p>
      <w:pPr>
        <w:ind w:left="1520" w:right="1360"/>
        <w:spacing w:after="0" w:line="258" w:lineRule="auto"/>
        <w:rPr>
          <w:sz w:val="20"/>
          <w:szCs w:val="20"/>
          <w:color w:val="auto"/>
        </w:rPr>
      </w:pPr>
      <w:r>
        <w:rPr>
          <w:rFonts w:ascii="Arial" w:cs="Arial" w:eastAsia="Arial" w:hAnsi="Arial"/>
          <w:sz w:val="18"/>
          <w:szCs w:val="18"/>
          <w:color w:val="auto"/>
        </w:rPr>
        <w:t>Basic weighted average common stock outstanding 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-273050</wp:posOffset>
            </wp:positionV>
            <wp:extent cx="53168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b w:val="1"/>
          <w:bCs w:val="1"/>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520" w:right="1260"/>
        <w:spacing w:after="0" w:line="307" w:lineRule="auto"/>
        <w:rPr>
          <w:sz w:val="20"/>
          <w:szCs w:val="20"/>
          <w:color w:val="auto"/>
        </w:rPr>
      </w:pPr>
      <w:r>
        <w:rPr>
          <w:rFonts w:ascii="Arial" w:cs="Arial" w:eastAsia="Arial" w:hAnsi="Arial"/>
          <w:sz w:val="16"/>
          <w:szCs w:val="16"/>
          <w:color w:val="auto"/>
        </w:rPr>
        <w:t>Add back: Interest expense on Exchangeable Notes Net income (loss) allocated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-298450</wp:posOffset>
            </wp:positionV>
            <wp:extent cx="531685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right="1360"/>
        <w:spacing w:after="0" w:line="274" w:lineRule="auto"/>
        <w:rPr>
          <w:sz w:val="20"/>
          <w:szCs w:val="20"/>
          <w:color w:val="auto"/>
        </w:rPr>
      </w:pPr>
      <w:r>
        <w:rPr>
          <w:rFonts w:ascii="Arial" w:cs="Arial" w:eastAsia="Arial" w:hAnsi="Arial"/>
          <w:sz w:val="17"/>
          <w:szCs w:val="17"/>
          <w:color w:val="auto"/>
        </w:rPr>
        <w:t>Basic weighted average common stock outstanding Net effect of dilutive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-273685</wp:posOffset>
            </wp:positionV>
            <wp:extent cx="53168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700" w:right="32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-280670</wp:posOffset>
            </wp:positionV>
            <wp:extent cx="531685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6855" cy="274320"/>
                    </a:xfrm>
                    <a:prstGeom prst="rect">
                      <a:avLst/>
                    </a:prstGeom>
                    <a:noFill/>
                  </pic:spPr>
                </pic:pic>
              </a:graphicData>
            </a:graphic>
          </wp:anchor>
        </w:drawing>
      </w:r>
    </w:p>
    <w:p>
      <w:pPr>
        <w:ind w:left="1520" w:right="1220"/>
        <w:spacing w:after="0" w:line="277" w:lineRule="auto"/>
        <w:rPr>
          <w:sz w:val="20"/>
          <w:szCs w:val="20"/>
          <w:color w:val="auto"/>
        </w:rPr>
      </w:pPr>
      <w:r>
        <w:rPr>
          <w:rFonts w:ascii="Arial" w:cs="Arial" w:eastAsia="Arial" w:hAnsi="Arial"/>
          <w:sz w:val="18"/>
          <w:szCs w:val="18"/>
          <w:color w:val="auto"/>
        </w:rPr>
        <w:t>Diluted weighted average common stock outstanding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-156210</wp:posOffset>
            </wp:positionV>
            <wp:extent cx="531685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June 30,</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19"/>
        </w:trPr>
        <w:tc>
          <w:tcPr>
            <w:tcW w:w="80" w:type="dxa"/>
            <w:vAlign w:val="bottom"/>
          </w:tcPr>
          <w:p>
            <w:pPr>
              <w:spacing w:after="0"/>
              <w:rPr>
                <w:sz w:val="10"/>
                <w:szCs w:val="10"/>
                <w:color w:val="auto"/>
              </w:rPr>
            </w:pPr>
          </w:p>
        </w:tc>
        <w:tc>
          <w:tcPr>
            <w:tcW w:w="2420" w:type="dxa"/>
            <w:vAlign w:val="bottom"/>
            <w:gridSpan w:val="5"/>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60" w:type="dxa"/>
            <w:vAlign w:val="bottom"/>
          </w:tcPr>
          <w:p>
            <w:pPr>
              <w:spacing w:after="0"/>
              <w:rPr>
                <w:sz w:val="10"/>
                <w:szCs w:val="10"/>
                <w:color w:val="auto"/>
              </w:rPr>
            </w:pPr>
          </w:p>
        </w:tc>
      </w:tr>
      <w:tr>
        <w:trPr>
          <w:trHeight w:val="186"/>
        </w:trPr>
        <w:tc>
          <w:tcPr>
            <w:tcW w:w="80" w:type="dxa"/>
            <w:vAlign w:val="bottom"/>
          </w:tcPr>
          <w:p>
            <w:pPr>
              <w:spacing w:after="0"/>
              <w:rPr>
                <w:sz w:val="16"/>
                <w:szCs w:val="16"/>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(21,505)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(8,059)</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34,420,654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33,952,574</w:t>
            </w:r>
          </w:p>
        </w:tc>
        <w:tc>
          <w:tcPr>
            <w:tcW w:w="60" w:type="dxa"/>
            <w:vAlign w:val="bottom"/>
          </w:tcPr>
          <w:p>
            <w:pPr>
              <w:spacing w:after="0"/>
              <w:rPr>
                <w:sz w:val="17"/>
                <w:szCs w:val="17"/>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(0.24)</w:t>
            </w:r>
          </w:p>
        </w:tc>
      </w:tr>
      <w:tr>
        <w:trPr>
          <w:trHeight w:val="365"/>
        </w:trPr>
        <w:tc>
          <w:tcPr>
            <w:tcW w:w="80" w:type="dxa"/>
            <w:vAlign w:val="bottom"/>
          </w:tcPr>
          <w:p>
            <w:pPr>
              <w:spacing w:after="0"/>
              <w:rPr>
                <w:sz w:val="24"/>
                <w:szCs w:val="24"/>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19"/>
        </w:trPr>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June 30,</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19"/>
        </w:trPr>
        <w:tc>
          <w:tcPr>
            <w:tcW w:w="80" w:type="dxa"/>
            <w:vAlign w:val="bottom"/>
          </w:tcPr>
          <w:p>
            <w:pPr>
              <w:spacing w:after="0"/>
              <w:rPr>
                <w:sz w:val="10"/>
                <w:szCs w:val="10"/>
                <w:color w:val="auto"/>
              </w:rPr>
            </w:pPr>
          </w:p>
        </w:tc>
        <w:tc>
          <w:tcPr>
            <w:tcW w:w="2420" w:type="dxa"/>
            <w:vAlign w:val="bottom"/>
            <w:gridSpan w:val="5"/>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60" w:type="dxa"/>
            <w:vAlign w:val="bottom"/>
          </w:tcPr>
          <w:p>
            <w:pPr>
              <w:spacing w:after="0"/>
              <w:rPr>
                <w:sz w:val="10"/>
                <w:szCs w:val="10"/>
                <w:color w:val="auto"/>
              </w:rPr>
            </w:pPr>
          </w:p>
        </w:tc>
      </w:tr>
      <w:tr>
        <w:trPr>
          <w:trHeight w:val="186"/>
        </w:trPr>
        <w:tc>
          <w:tcPr>
            <w:tcW w:w="80" w:type="dxa"/>
            <w:vAlign w:val="bottom"/>
          </w:tcPr>
          <w:p>
            <w:pPr>
              <w:spacing w:after="0"/>
              <w:rPr>
                <w:sz w:val="16"/>
                <w:szCs w:val="16"/>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(18,742)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35,679</w:t>
            </w:r>
          </w:p>
        </w:tc>
        <w:tc>
          <w:tcPr>
            <w:tcW w:w="60" w:type="dxa"/>
            <w:vAlign w:val="bottom"/>
          </w:tcPr>
          <w:p>
            <w:pPr>
              <w:spacing w:after="0"/>
              <w:rPr>
                <w:sz w:val="24"/>
                <w:szCs w:val="24"/>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34,337,345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33,808,237</w:t>
            </w:r>
          </w:p>
        </w:tc>
        <w:tc>
          <w:tcPr>
            <w:tcW w:w="60" w:type="dxa"/>
            <w:vAlign w:val="bottom"/>
          </w:tcPr>
          <w:p>
            <w:pPr>
              <w:spacing w:after="0"/>
              <w:rPr>
                <w:sz w:val="17"/>
                <w:szCs w:val="17"/>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r>
      <w:tr>
        <w:trPr>
          <w:trHeight w:val="41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(18,742)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35,679</w:t>
            </w:r>
          </w:p>
        </w:tc>
        <w:tc>
          <w:tcPr>
            <w:tcW w:w="60" w:type="dxa"/>
            <w:vAlign w:val="bottom"/>
          </w:tcPr>
          <w:p>
            <w:pPr>
              <w:spacing w:after="0"/>
              <w:rPr>
                <w:sz w:val="24"/>
                <w:szCs w:val="24"/>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2,542</w:t>
            </w:r>
          </w:p>
        </w:tc>
        <w:tc>
          <w:tcPr>
            <w:tcW w:w="60" w:type="dxa"/>
            <w:vAlign w:val="bottom"/>
          </w:tcPr>
          <w:p>
            <w:pPr>
              <w:spacing w:after="0"/>
              <w:rPr>
                <w:sz w:val="18"/>
                <w:szCs w:val="18"/>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(18,742)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38,221</w:t>
            </w:r>
          </w:p>
        </w:tc>
        <w:tc>
          <w:tcPr>
            <w:tcW w:w="60" w:type="dxa"/>
            <w:vAlign w:val="bottom"/>
          </w:tcPr>
          <w:p>
            <w:pPr>
              <w:spacing w:after="0"/>
              <w:rPr>
                <w:sz w:val="20"/>
                <w:szCs w:val="20"/>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34,337,345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33,808,237</w:t>
            </w:r>
          </w:p>
        </w:tc>
        <w:tc>
          <w:tcPr>
            <w:tcW w:w="60" w:type="dxa"/>
            <w:vAlign w:val="bottom"/>
          </w:tcPr>
          <w:p>
            <w:pPr>
              <w:spacing w:after="0"/>
              <w:rPr>
                <w:sz w:val="17"/>
                <w:szCs w:val="17"/>
                <w:color w:val="auto"/>
              </w:rPr>
            </w:pPr>
          </w:p>
        </w:tc>
      </w:tr>
      <w:tr>
        <w:trPr>
          <w:trHeight w:val="230"/>
        </w:trPr>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439,264</w:t>
            </w:r>
          </w:p>
        </w:tc>
        <w:tc>
          <w:tcPr>
            <w:tcW w:w="6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9,524,614</w:t>
            </w:r>
          </w:p>
        </w:tc>
        <w:tc>
          <w:tcPr>
            <w:tcW w:w="60" w:type="dxa"/>
            <w:vAlign w:val="bottom"/>
          </w:tcPr>
          <w:p>
            <w:pPr>
              <w:spacing w:after="0"/>
              <w:rPr>
                <w:sz w:val="24"/>
                <w:szCs w:val="24"/>
                <w:color w:val="auto"/>
              </w:rPr>
            </w:pPr>
          </w:p>
        </w:tc>
      </w:tr>
      <w:tr>
        <w:trPr>
          <w:trHeight w:val="209"/>
        </w:trPr>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34,337,345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43,772,115</w:t>
            </w:r>
          </w:p>
        </w:tc>
        <w:tc>
          <w:tcPr>
            <w:tcW w:w="60" w:type="dxa"/>
            <w:vAlign w:val="bottom"/>
          </w:tcPr>
          <w:p>
            <w:pPr>
              <w:spacing w:after="0"/>
              <w:rPr>
                <w:sz w:val="18"/>
                <w:szCs w:val="18"/>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20"/>
                <w:szCs w:val="20"/>
                <w:color w:val="auto"/>
              </w:rPr>
            </w:pPr>
          </w:p>
        </w:tc>
      </w:tr>
    </w:tbl>
    <w:p>
      <w:pPr>
        <w:spacing w:after="0" w:line="201" w:lineRule="exact"/>
        <w:rPr>
          <w:sz w:val="20"/>
          <w:szCs w:val="20"/>
          <w:color w:val="auto"/>
        </w:rPr>
      </w:pPr>
    </w:p>
    <w:p>
      <w:pPr>
        <w:sectPr>
          <w:pgSz w:w="11900" w:h="16838" w:orient="portrait"/>
          <w:cols w:equalWidth="0" w:num="2">
            <w:col w:w="6580" w:space="720"/>
            <w:col w:w="3840"/>
          </w:cols>
          <w:pgMar w:left="240" w:top="459" w:right="519" w:bottom="1440" w:gutter="0" w:footer="0" w:header="0"/>
          <w:type w:val="continuous"/>
        </w:sectPr>
      </w:pPr>
    </w:p>
    <w:p>
      <w:pPr>
        <w:ind w:left="200" w:right="12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2,782,874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3,006,377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2,782,874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1,026,605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499,889</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149,495</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499,889</w:t>
            </w:r>
          </w:p>
        </w:tc>
        <w:tc>
          <w:tcPr>
            <w:tcW w:w="24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For the three and six months ended June 30, 2018 and for the three months ended June 30, 2017, 10,448,213 of potential common stock from the assumed conversion of Exchangeable Notes was excluded from the computation of diluted earnings per share as the effect was anti-dilutive for the period.</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459" w:right="5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June 30, 2018 and December 31, 2017, respectively.</w:t>
      </w:r>
    </w:p>
    <w:p>
      <w:pPr>
        <w:spacing w:after="0" w:line="173"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$8,926 thousand and $7,404 thousand as other current assets as of June 30, 2018 and December 31, 2017,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connection therewith,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117" w:lineRule="exact"/>
        <w:rPr>
          <w:sz w:val="20"/>
          <w:szCs w:val="20"/>
          <w:color w:val="auto"/>
        </w:rPr>
      </w:pPr>
    </w:p>
    <w:p>
      <w:pPr>
        <w:ind w:left="200" w:right="40" w:firstLine="441"/>
        <w:spacing w:after="0" w:line="267" w:lineRule="auto"/>
        <w:rPr>
          <w:sz w:val="20"/>
          <w:szCs w:val="20"/>
          <w:color w:val="auto"/>
        </w:rPr>
      </w:pPr>
      <w:r>
        <w:rPr>
          <w:rFonts w:ascii="Arial" w:cs="Arial" w:eastAsia="Arial" w:hAnsi="Arial"/>
          <w:sz w:val="17"/>
          <w:szCs w:val="17"/>
          <w:color w:val="auto"/>
        </w:rPr>
        <w:t>On March 12, 2014, a purported class action was filed against the Company and certain of the Company’s now-former officers. On April 21, 2015, a related purported class action lawsuit (Okla. Police Pension &amp; Retirement Sys. v. MagnaChip Semiconductor Corp., et al., No. 3:15-cv-01797) was filed against the Company, certain of the Company’s current directors and former and now-former officers, a shareholder of the Company, and certain financial firms that acted as underwriters of the Company’s public stock offerings. On June 15, 2015, these two class action lawsuits were consolidated. On June 26, 2015, an amended complaint was filed in the consolidated action, against the Company, certain of the Company’s current directors and former officers, a shareholder of the Company, and certain financial firms that acted as underwriters of the Company’s public stock offerings on behalf of a putative class consisting of all persons other than the defendants who purchased or acquired the Company’s securities between February 1, 2012 and February 12, 2015 and a putative subclass consisting of all purchasers of the Company’s common stock pursuant to or traceable to a shelf registration statement and prospectus issued in connection with the Company’s February 6, 2013 public stock offering. The consolidated amended complaint asserted claims on behalf of the putative class for (i) alleged violations of Section 10(b) of the Exchange Act and Rule 10b-5 promulgated thereunder by the Company and certain of the Company’s current directors and former officers, (ii) alleged violations of Section 20(a) of the Exchange Act by certain of the Company’s current directors and former officers, and (iii) alleged violations of Sections 20(a) and 20(A) of the Exchange Act by a shareholder. The consolidated amended complaint also asserted claims on behalf the subclass for (i) alleged violations of Section 11 of the Securities Act by the Company, certain of the Company’s current directors and former officers, and certain financial firms that acted as underwriters of the Company’s public stock offerings, (ii) alleged violations of Section 12 of the Securities Act by the Company, certain of the Company’s current directors and former officers, a shareholder of the Company, and certain financial firms that acted as underwriters of the Company’s public stock offerings, (iii) alleged violations of Section 15 of the Securities Act by the Company, certain of the Company’s former officers, and a shareholder of the Company.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On December 10, 2015, the Company and certain of its current and former officers and directors entered into a Memorandum of Understanding with the plaintiffs’ representatives to memorialize an agreement in principle to settle the consolidated securities class action lawsuit, Thomas, et al. v. MagnaChip Semiconductor Corp. et al., Civil Action No. 3:14-CV-01160-JST, pending in the United States District Court for the Northern District of California (the “Class Action Litigation”). On February 5, 2016, the plaintiffs in the consolidated securities class action filed a motion for preliminary approval of the settlement, as well as the stipulation and agreement of settlement and related exhibits. The stipulation and agreement of settlement provided that all claims asserted against all defendants in the Class Action Litigation except for Avenue Capital Management II, L.P. would be released. The stipulation and agreement of settlement also provided for an aggregate settlement payment by the Company of $23,500 thousand, which would include all attorneys’ fees, costs of administration and plaintiffs’ out-of-pocket expenses, lead plaintiff compensatory awards and disbursements. The settlement also included the dismissal of all claims against the Company and the named individuals in the Class Action Litigation without any liability or wrongdoing attributed to them.</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April 13, 2016, the plaintiffs filed a renewed motion for preliminary approval of the settlement. On July 18, 2016, the court granted plaintiffs’ renewed motion for preliminary approval of the settlement. On October 17, 2016, plaintiffs filed their motions for final approval of the settlement and plan of allocation of the settlement and for an award of attorneys’ fees, reimbursement of litigation expenses, and reimbursement of the costs and expenses of Lead Plaintiff Keith Thomas. On December 1, 2016, following a hearing on November 21, 2016 and an order dated November 21, 2016, the court entered a supplemental order and final judgment (the “Judgment”) granting final approval of the settlement. The Judgment was not appealed within the applicable appeals period (on or before January 3, 2017). The settlement therefore became effective after the expiration of the appeals period. The settlement was fully funded by insurance proceeds.</w:t>
      </w:r>
    </w:p>
    <w:p>
      <w:pPr>
        <w:spacing w:after="0" w:line="189"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 $29,571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“Shareholder Derivative Complaints”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A shareholder derivative action, styled </w:t>
      </w:r>
      <w:r>
        <w:rPr>
          <w:rFonts w:ascii="Arial" w:cs="Arial" w:eastAsia="Arial" w:hAnsi="Arial"/>
          <w:sz w:val="18"/>
          <w:szCs w:val="18"/>
          <w:i w:val="1"/>
          <w:iCs w:val="1"/>
          <w:color w:val="auto"/>
        </w:rPr>
        <w:t>Hemmingson et al. v. Elkins et al.</w:t>
      </w:r>
      <w:r>
        <w:rPr>
          <w:rFonts w:ascii="Arial" w:cs="Arial" w:eastAsia="Arial" w:hAnsi="Arial"/>
          <w:sz w:val="18"/>
          <w:szCs w:val="18"/>
          <w:color w:val="auto"/>
        </w:rPr>
        <w:t>, Case No. 1-15-cv-278614, was filed in the Superior Court of the State of California in and for Santa Clara County on March 25, 2015, naming as defendants certain of the Company’s current directors and former and now-former officers, as well as a shareholder of the Company, and naming the Company as a nominal defendant. The complaint in this action asserted claims for (i) alleged breaches of fiduciary duty by certain of the Company’s current directors and former and now-former officers for purportedly knowingly failing to maintain adequate internal controls over its accounting and reporting functions and disseminating to shareholders certain alleged materially false and misleading statements, (ii) alleged breaches of fiduciary duty by certain of the Company’s current directors and a current shareholder of the Company for purported insider trading, and (iii) alleged unjust enrichment by a shareholder of the Company for purported insider trading.</w:t>
      </w:r>
    </w:p>
    <w:p>
      <w:pPr>
        <w:spacing w:after="0" w:line="19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On June 1, 2015, a shareholder derivative action was filed in the Superior Court of the State of California, Santa Clara County styled </w:t>
      </w:r>
      <w:r>
        <w:rPr>
          <w:rFonts w:ascii="Arial" w:cs="Arial" w:eastAsia="Arial" w:hAnsi="Arial"/>
          <w:sz w:val="16"/>
          <w:szCs w:val="16"/>
          <w:i w:val="1"/>
          <w:iCs w:val="1"/>
          <w:color w:val="auto"/>
        </w:rPr>
        <w:t>Bushansky v.</w:t>
      </w:r>
      <w:r>
        <w:rPr>
          <w:rFonts w:ascii="Arial" w:cs="Arial" w:eastAsia="Arial" w:hAnsi="Arial"/>
          <w:sz w:val="16"/>
          <w:szCs w:val="16"/>
          <w:color w:val="auto"/>
        </w:rPr>
        <w:t xml:space="preserve"> </w:t>
      </w:r>
      <w:r>
        <w:rPr>
          <w:rFonts w:ascii="Arial" w:cs="Arial" w:eastAsia="Arial" w:hAnsi="Arial"/>
          <w:sz w:val="16"/>
          <w:szCs w:val="16"/>
          <w:i w:val="1"/>
          <w:iCs w:val="1"/>
          <w:color w:val="auto"/>
        </w:rPr>
        <w:t>Norby, et al.</w:t>
      </w:r>
      <w:r>
        <w:rPr>
          <w:rFonts w:ascii="Arial" w:cs="Arial" w:eastAsia="Arial" w:hAnsi="Arial"/>
          <w:sz w:val="16"/>
          <w:szCs w:val="16"/>
          <w:color w:val="auto"/>
        </w:rPr>
        <w:t>, No. 1-15-CV-281284 (PHK) (Cal. Super. Ct. Santa Clara Cnty.). The complaint names as defendants certain of the Company’s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former officers, and a shareholder of the Company, with the Company being named as a nominal defendant. The complaint asserted claims for (i) alleged breaches of fiduciary duties by certain of the Company’s current directors and former officers for knowingly failing to maintain adequate internal controls over the Company’s accounting and reporting functions and disseminating to shareholders certain alleged materially false and misleading statements; and (ii) alleged aiding and abetting of such breaches of fiduciary duties by all defendants.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On January 22, 2016, the Company and the plaintiffs in the </w:t>
      </w:r>
      <w:r>
        <w:rPr>
          <w:rFonts w:ascii="Arial" w:cs="Arial" w:eastAsia="Arial" w:hAnsi="Arial"/>
          <w:sz w:val="17"/>
          <w:szCs w:val="17"/>
          <w:i w:val="1"/>
          <w:iCs w:val="1"/>
          <w:color w:val="auto"/>
        </w:rPr>
        <w:t>Hemmingson</w:t>
      </w:r>
      <w:r>
        <w:rPr>
          <w:rFonts w:ascii="Arial" w:cs="Arial" w:eastAsia="Arial" w:hAnsi="Arial"/>
          <w:sz w:val="17"/>
          <w:szCs w:val="17"/>
          <w:color w:val="auto"/>
        </w:rPr>
        <w:t xml:space="preserve"> and </w:t>
      </w:r>
      <w:r>
        <w:rPr>
          <w:rFonts w:ascii="Arial" w:cs="Arial" w:eastAsia="Arial" w:hAnsi="Arial"/>
          <w:sz w:val="17"/>
          <w:szCs w:val="17"/>
          <w:i w:val="1"/>
          <w:iCs w:val="1"/>
          <w:color w:val="auto"/>
        </w:rPr>
        <w:t>Bushansky</w:t>
      </w:r>
      <w:r>
        <w:rPr>
          <w:rFonts w:ascii="Arial" w:cs="Arial" w:eastAsia="Arial" w:hAnsi="Arial"/>
          <w:sz w:val="17"/>
          <w:szCs w:val="17"/>
          <w:color w:val="auto"/>
        </w:rPr>
        <w:t xml:space="preserve"> actions entered into and filed a stipulation of settlement with the Superior Court of the State of California, Santa Clara County. The settlement provided for the resolution of all of the pending claims in both shareholder derivative actions against the Company and the individual defendants, without any liability or wrongdoing attributed to them. The settlement also provided for an aggregate payment from the Company defendants’ directors and officers insurance policies of $3,000 thousand to be made to an escrow account, which would be remitted to the Company once the settlement becomes final, less (i) any applicable costs of such escrow account, (ii) any amount awarded by the court to the plaintiff’s counsel for attorney’s fees and litigation expenses and (iii) the cost of providing notice of the settlement to the Company’s stockholders. The proposed settlement also required that the Company implement certain corporate governance measures. The $3,000 thousand settlement payment was included in the insurance proceeds of $29,571 thousand as discussed in “Securities Class Action Complaints”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February 22, 2016, the plaintiffs filed an unopposed motion for preliminary approval of the proposed derivative settlement. On June 10,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court granted plaintiffs’ motion for preliminary approval of the proposed settlement. On October 18, 2016, after a hearing held on October 14, 2016,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court entered its order and final judgment (the “Shareholder Derivative Judgment”) granting final approval of the proposed settlement and awarding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plaintiffs’ counsel $750 thousand for attorneys’ fees and litigation expenses. The Shareholder Derivative Judgment was not appealed within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appeals period (on or before December 19, 2016). The settlement therefore became effective after the expiration of the appeals period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$2,258 thousand ($2,250 thousand plus applicable interest) was paid to the Company from the escrow account, previously recorded as restricted cash,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2016. The remaining restricted cash related to insurance proceeds of $3,078 thousand was also released in December 2016.</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2017 Form 10-K.</w:t>
      </w:r>
    </w:p>
    <w:p>
      <w:pPr>
        <w:spacing w:after="0" w:line="18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over 30 years of operating history, a portfolio of approximately 3,100 registered patents and pending applications and extensive engineering and manufacturing process expertise.</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7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54"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As of June 29, 2018, we entered into an arrangement whereby we acquired a water treatment facility to support our fab in Gumi, Korea from SK Hynix for $4.2 million, and sold it for $4.2 million to a third party management company that we have engaged to run the facility for a 10-year term. This arrangement is accounted for as a financing due to the Company’s Korean subsidiary’s continuing involvement with the facility. As a result, as of June 30, 2018, we recorded the acquisition of water treatment facility of $4.2 million as property, plant and equipment, net, and the related liabilities of $0.6 million as other current liabilities and $3.6 million as other non-current liabilities, which relates to the financing and service portion of the arrangement.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Change</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The transferred non-OLED display business represented $3.7 million and $8.1 million of net sales for the three and six months ended June 30, 2018, respectively. The corresponding non-OLED display business represented $6.0 million and $12.0 million of net sales for the three and six months ended June 30, 2017, respectively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54"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November 29, 2017, the KNTS issued a preliminary assessment to MSK identifying its findings and proposed additional tax payments and penalties that it asserted were owed by MSK for the audit periods. The aggregate preliminary tax and penalty assessment proposed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we expect to seek reimbursement of the applicable amounts from those employees. In addition, MSK expected the KNTS to assess an administrative fine of approximately $2.0 million in connection with the above-described examination.</w:t>
      </w:r>
    </w:p>
    <w:p>
      <w:pPr>
        <w:spacing w:after="0" w:line="165"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The final assessment was issued in a manner consistent with the preliminary assessment. Based on further discussions with our Korean tax advisors, we evaluated whether an appeal of the KNTS’ final assessment was in our best interest and decided that we would accept such final assessment and administrative fine.</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and recorded the $0.5 million related to employee withholding amounts as other receivables in our consolidated balance sheets as of December 31, 2017, as we expect to seek reimbursement of the applicable amounts from those employees.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6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10, 2015, we entered into a Memorandum of Understanding with the plaintiffs’ representatives to settle the Class Action Litigation, as defined and detailed in “Item 1. Financial Statements and Supplementary Data—Notes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88"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1. Financial Statements and Supplementary Data—Notes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May 1, 2017, the SEC announced that it had reached a final settlement with us, resolving the SEC’s investigation, as detailed in “Item 1. Financial Statements and Supplementary Data—Notes to Consolidated Financial Statements—Note 18. Commitments and Contingencies” in this Report.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result of the Restatement, we have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in the current quarter, was recorded as a Restatement related gain.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We recast comparative segment financial information to conform to this current period change.</w:t>
      </w:r>
    </w:p>
    <w:p>
      <w:pPr>
        <w:spacing w:after="0" w:line="64" w:lineRule="exact"/>
        <w:rPr>
          <w:sz w:val="20"/>
          <w:szCs w:val="20"/>
          <w:color w:val="auto"/>
        </w:rPr>
      </w:pPr>
    </w:p>
    <w:p>
      <w:pPr>
        <w:ind w:left="640" w:hanging="328"/>
        <w:spacing w:after="0" w:line="28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 semiconductor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500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For the six months ended June 30, 2018, our Foundry Services Group business represented 43.3% of our net sales and its gross profit was $42.8 million. For the six months ended June 30, 2017, our Foundry Services Group business represented, on an adjusted basis, 52.1% of our net sales and its gross profit was $48.0 million, as adjusted for the segment change as described above.</w:t>
      </w:r>
    </w:p>
    <w:p>
      <w:pPr>
        <w:spacing w:after="0" w:line="78" w:lineRule="exact"/>
        <w:rPr>
          <w:rFonts w:ascii="Arial" w:cs="Arial" w:eastAsia="Arial" w:hAnsi="Arial"/>
          <w:sz w:val="16"/>
          <w:szCs w:val="16"/>
          <w:color w:val="auto"/>
        </w:rPr>
      </w:pPr>
    </w:p>
    <w:p>
      <w:pPr>
        <w:ind w:left="640" w:right="20" w:hanging="328"/>
        <w:spacing w:after="0" w:line="285"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For the six months ended June 30, 2018, our Standard Products Group, which includes our Display Solutions and Power Solutions business lines, represented 56.7% of our net sales and its gross profit was $55.7 million. For the six months ended June 30, 2017, our Standard Products Group business represented, on an adjusted basis, 47.9% of our net sales and its gross profit was $40.1 million, as adjusted for the segment change as described above.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jc w:val="both"/>
        <w:ind w:left="200" w:right="320" w:firstLine="441"/>
        <w:spacing w:after="0" w:line="291" w:lineRule="auto"/>
        <w:rPr>
          <w:sz w:val="20"/>
          <w:szCs w:val="20"/>
          <w:color w:val="auto"/>
        </w:rPr>
      </w:pPr>
      <w:r>
        <w:rPr>
          <w:rFonts w:ascii="Arial" w:cs="Arial" w:eastAsia="Arial" w:hAnsi="Arial"/>
          <w:sz w:val="16"/>
          <w:szCs w:val="16"/>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gain,</w:t>
      </w:r>
    </w:p>
    <w:p>
      <w:pPr>
        <w:jc w:val="both"/>
        <w:ind w:left="200" w:right="300" w:firstLine="4"/>
        <w:spacing w:after="0" w:line="255" w:lineRule="auto"/>
        <w:tabs>
          <w:tab w:leader="none" w:pos="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early termination charges, (iii) equity-based compensation expense, (iv) foreign currency loss (gain), net, (v) derivative valuation loss (gain), net, and (vi) restatement related expenses (gain), net. EBITDA for the periods indicated is defined as net income before interest expense, net, income tax expenses, and depreciation and amortization.</w:t>
      </w:r>
    </w:p>
    <w:p>
      <w:pPr>
        <w:spacing w:after="0" w:line="19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640" w:right="60" w:hanging="328"/>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640" w:right="160" w:hanging="328"/>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6" w:lineRule="exact"/>
        <w:rPr>
          <w:rFonts w:ascii="Arial" w:cs="Arial" w:eastAsia="Arial" w:hAnsi="Arial"/>
          <w:sz w:val="18"/>
          <w:szCs w:val="18"/>
          <w:color w:val="auto"/>
        </w:rPr>
      </w:pPr>
    </w:p>
    <w:p>
      <w:pPr>
        <w:ind w:left="640" w:right="760" w:hanging="328"/>
        <w:spacing w:after="0" w:line="30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38"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0" w:type="dxa"/>
            <w:vAlign w:val="bottom"/>
            <w:gridSpan w:val="4"/>
          </w:tcPr>
          <w:p>
            <w:pPr>
              <w:ind w:left="780"/>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w:t>
            </w:r>
          </w:p>
        </w:tc>
        <w:tc>
          <w:tcPr>
            <w:tcW w:w="15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Adjustments: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 (a)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240" w:hanging="436"/>
        <w:spacing w:after="0" w:line="25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 months ended June 30,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640" w:right="260" w:hanging="436"/>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ectPr>
          <w:pgSz w:w="11900" w:h="16838" w:orient="portrait"/>
          <w:cols w:equalWidth="0" w:num="1">
            <w:col w:w="11220"/>
          </w:cols>
          <w:pgMar w:left="240" w:top="459" w:right="43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right="200" w:hanging="436"/>
        <w:spacing w:after="0" w:line="28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40" w:hanging="436"/>
        <w:spacing w:after="0" w:line="25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For the six months ended June 30, 2017, this adjustment includes the $3.0 million civil penalty imposed by the SEC. For the six months June 30, 2018, this adjustment eliminates the reversal of a $0.8 million accrual related to certain legal fees incurred in prior periods and reimbursed by insurers in the current quarter.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86"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present Adjusted Net Income as a further supplemental measure of our performance. We prepare Adjusted Net Income by adjusting net income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present Adjusted Net Income for a number of reasons, including:</w:t>
      </w:r>
    </w:p>
    <w:p>
      <w:pPr>
        <w:spacing w:after="0" w:line="60" w:lineRule="exact"/>
        <w:rPr>
          <w:sz w:val="20"/>
          <w:szCs w:val="20"/>
          <w:color w:val="auto"/>
        </w:rPr>
      </w:pPr>
    </w:p>
    <w:p>
      <w:pPr>
        <w:ind w:left="1060" w:right="4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Adjusted Net Income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reporting Adjusted Net Income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Adjusted Net Income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for the periods indicated as net income, adjusted to exclude (i) restructuring and other gain, (ii) early termination charges, (iii) equity-based compensation expense, (iv) foreign currency loss (gain), net, (v) derivative valuation loss (gain), net, and (vi) restatement related expenses (gain), net.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95"/>
              </w:rPr>
              <w:t>Three Months</w:t>
            </w: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w:t>
            </w: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w:t>
            </w:r>
          </w:p>
        </w:tc>
        <w:tc>
          <w:tcPr>
            <w:tcW w:w="110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Adjustments: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240" w:hanging="436"/>
        <w:spacing w:after="0" w:line="25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40" w:hanging="436"/>
        <w:spacing w:after="0" w:line="25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86"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6"/>
          <w:szCs w:val="16"/>
          <w:color w:val="auto"/>
        </w:rPr>
      </w:pPr>
    </w:p>
    <w:p>
      <w:pPr>
        <w:ind w:left="640" w:right="20" w:hanging="436"/>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For the six months ended June 30, 2017, this adjustment includes the $3.0 million civil penalty imposed by the SEC. For the six months June 30, 2018, this adjustment eliminates the reversal of a $0.8 million accrual related to certain legal fees incurred in prior periods and reimbursed by insurers in the current quarter.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86" w:lineRule="exact"/>
        <w:rPr>
          <w:rFonts w:ascii="Arial" w:cs="Arial" w:eastAsia="Arial" w:hAnsi="Arial"/>
          <w:sz w:val="18"/>
          <w:szCs w:val="18"/>
          <w:color w:val="auto"/>
        </w:rPr>
      </w:pPr>
    </w:p>
    <w:p>
      <w:pPr>
        <w:ind w:left="640" w:right="280"/>
        <w:spacing w:after="0" w:line="286" w:lineRule="auto"/>
        <w:rPr>
          <w:rFonts w:ascii="Arial" w:cs="Arial" w:eastAsia="Arial" w:hAnsi="Arial"/>
          <w:sz w:val="18"/>
          <w:szCs w:val="18"/>
          <w:color w:val="auto"/>
        </w:rPr>
      </w:pPr>
      <w:r>
        <w:rPr>
          <w:rFonts w:ascii="Arial" w:cs="Arial" w:eastAsia="Arial" w:hAnsi="Arial"/>
          <w:sz w:val="17"/>
          <w:szCs w:val="17"/>
          <w:color w:val="auto"/>
        </w:rPr>
        <w:t>There was no tax impact from the adjustments to net income to calculate our Adjusted Net Income for the six months ended June 30, 2018 and 2017 due to net operating loss carry-forwards available to offset taxable income and full allowance for deferred tax assets. We believe that all adjustments to net income used to calculate Adjusted Net Income were applied consistently to the periods presented.</w:t>
      </w:r>
    </w:p>
    <w:p>
      <w:pPr>
        <w:spacing w:after="0" w:line="57"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right="660" w:hanging="316"/>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640" w:right="38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supplementally.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As we adopted the new revenue standard under the modified retrospective method, we have not changed the comparative information in our interim consolidated financial statements for the six months ended June 30, 2017. Such comparative information continues to be reported under the accounting standards in effect for that period. See “Item 1. Interim Consolidated Financial Statements— Notes to Consolidated Financial Statements— Note 1— Business, Basis of Presentation and Significant Accounting Policies— Basis of Presentation and Recent Accounting Pronouncements” in this Report for further discussion. For the six months ended June 30, 2018 and 2017, we sold products to 306 and 284 customers, respectively, and our net sales to our ten largest customers represented 63% and 60% of our net sales, respectively. We have a combined production capacity of approximately 112,000 semiconductor wafers per month. We believe our large-scale, cost-effective fabrication facilities enable us to rapidly adjust our production levels to meet shifts in demand by our end customers.</w:t>
      </w:r>
    </w:p>
    <w:p>
      <w:pPr>
        <w:spacing w:after="0" w:line="18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June 30, 2018, approximately 98% of our employees were eligible for severance benefits.</w:t>
      </w:r>
    </w:p>
    <w:p>
      <w:pPr>
        <w:spacing w:after="0" w:line="166"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The rapid technological change and product obsolescence that characterize our industry require us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the 2021 Notes and the Exchangeable Notes.</w:t>
      </w:r>
    </w:p>
    <w:p>
      <w:pPr>
        <w:spacing w:after="0" w:line="225"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2018, the outstanding intercompany loans balances including accrued interests between our Korean subsidiary and our Dutch subsidiary were $685.1 million. This amount included an intercompany loan of $75.0 million executed during the first quarter of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operations are subject to income and transaction taxes in the United States and in multiple foreign jurisdictions, including Korea.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66"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Three Months Ended June 30,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three months ended June 30, 2018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w w:val="83"/>
              </w:rPr>
              <w:t>Amount</w:t>
            </w: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82"/>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$ 199.7</w:t>
            </w:r>
          </w:p>
        </w:tc>
        <w:tc>
          <w:tcPr>
            <w:tcW w:w="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$ 166.7</w:t>
            </w:r>
          </w:p>
        </w:tc>
        <w:tc>
          <w:tcPr>
            <w:tcW w:w="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(27.4)</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Others,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(33.9)</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(17.3)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(16.6)</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(20.0)</w:t>
            </w:r>
          </w:p>
        </w:tc>
        <w:tc>
          <w:tcPr>
            <w:tcW w:w="12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8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(21.5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40.5%</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118.7</w:t>
            </w:r>
          </w:p>
        </w:tc>
        <w:tc>
          <w:tcPr>
            <w:tcW w:w="34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080" w:type="dxa"/>
            <w:vAlign w:val="bottom"/>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$ 199.7</w:t>
            </w:r>
          </w:p>
        </w:tc>
        <w:tc>
          <w:tcPr>
            <w:tcW w:w="340" w:type="dxa"/>
            <w:vAlign w:val="bottom"/>
            <w:vMerge w:val="continue"/>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6"/>
              </w:rPr>
              <w:t>$ 166.7</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27.4%</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vMerge w:val="restart"/>
          </w:tcPr>
          <w:p>
            <w:pPr>
              <w:jc w:val="right"/>
              <w:ind w:right="77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sales were $199.7 million for the three months ended June 30, 2018, a $33.0 million, or 19.8%, increase compared to $166.7 million for the three months ended June 30, 2017. This increase was primarily attributable to an increase in revenue from our Standard Products Group, which was offset in part by a decrease in revenue from our Foundry Services Group as described below.</w:t>
      </w:r>
    </w:p>
    <w:p>
      <w:pPr>
        <w:spacing w:after="0" w:line="18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Net sales from our Foundry Services Group segment were $80.9 million for the three months ended June 30, 2018,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$6.6 million, or 7.6%, decrease compared to $87.5 million for the three months ended June 30, 2017. The decrease was primarily attributable to a decrease in demand of low margin product sales from a global power management IC foundry customer and a net decrease in demand of our foundry services from certain customers serving the mid-range smartphone and consumer electronics markets.</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$118.7 million for the three months ended June 30,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$39.7 million, or 50.2%, increase compared to $79.0 million for the three months ended June 30, 2017. This increase was primarily attributable to an increase in revenue related to a sharp improvement in mobile OLED display driver ICs in connection with the introduction of new OLED smartphones from China manufacturers, which was offset in part by a strategic reduction of low margin LCD business. In addition, the increase was also attributable to a higher demand of MOSFETs for TV and mobile battery products.</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$0.04 million for the three months ended June 30, 2018 and $0.1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Total gross profit was $53.9 million for the three months ended June 30, 2018 compared to $46.7 million for the three months ended June 30, 2017, a $7.2 million, or 15.4%, increase. Gross profit as a percentage of net sales for the three months ended June 30, 2018 decreased to 27.0% compared to 28.0% for the three months ended June 30, 2017. The decrease in gross profit as a percentage of net sales was due to both of our Foundry Services Group and Standard Products Group segments as described below.</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$22.2 million for the three months ended June 30,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million, or 10.1%, decrease compared to $24.7 million for the three months ended June 30, 2017. Gross profit as a percentage of net sales for the three months ended June 30, 2018 decreased to 27.4% compared to 28.2% for the three months ended June 30, 2017. The decrease in gross profit as a percentage of net sales was mainly attributable to an unfavorable product mix, a lower utilization rate, which was affected in part by a strategic reduction of low margin LCD business, and an increase in raw wafer prices.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$31.6 million for the three months ended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$9.7 million, or 44.4%, increase from $21.9 million for the three months ended June 30, 2017. Gross profit as a percentage of net sales for the three months ended June 30, 2018 decreased to 26.6% compared to 27.7% for the three months ended June 30, 2017. The increase in gross profit was primarily attributable to an increase in revenue of mobile OLED display driver ICs. Gross profit as a percentage of net sales decreased due to a change in the product mix.</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was $0.04 million for the three months ended June 30, 2018 and $0.1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June 30, 2018 and 2017:</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199.7</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166.7</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sales in Korea for the three months ended June 30, 2018 decreased from $68.0 million to $58.1 million compared to the three months ended June 30, 2017, or by $9.9 million, or 14.6%, primarily due to a strategic reduction of low margin LCD business. This was offset in part by an increase in revenue related to the introduction of new OLED display driver ICs.</w:t>
      </w:r>
    </w:p>
    <w:p>
      <w:pPr>
        <w:spacing w:after="0" w:line="18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Net sales in Asia Pacific (other than Korea) for the three months ended June 30, 2018 increased from $76.5 million to $119.7 million compared to the three months ended June 30, 2017, or by $43.2 million, or 56.5%, primarily due to an increase in revenue related to a sharp improvement in mobile OLED display driver ICs in connection with the introduction of new OLED smartphones from China manufacturers.</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sales in the United States for the three months ended June 30, 2018 increased from $11.2 million to $13.6 million compared to the three months ended June 30, 2017, or by $2.4 million, or 21.9%, primarily due to an increase in sales of certain products from a global power management IC foundry customer.</w:t>
      </w:r>
    </w:p>
    <w:p>
      <w:pPr>
        <w:spacing w:after="0" w:line="18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Net sales in Europe for the three months ended June 30, 2018 decreased from $10.7 million to $7.6 million compared to the three months ended June 30, 2017, or by $3.1 million, or 29.0%, primarily due to lower demand of our foundry service from a customer serving the high-end smartphone market, which was offset in part by an increase in sales of certain products from a global power management IC foundry customer.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$18.9 million, or 9.5% of net sales,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2018, compared to $17.7 million, or 10.6% of net sales, for the three months ended June 30, 2017. The increase of</w:t>
      </w:r>
    </w:p>
    <w:p>
      <w:pPr>
        <w:ind w:left="200" w:right="140"/>
        <w:spacing w:after="0" w:line="255" w:lineRule="auto"/>
        <w:rPr>
          <w:sz w:val="20"/>
          <w:szCs w:val="20"/>
          <w:color w:val="auto"/>
        </w:rPr>
      </w:pPr>
      <w:r>
        <w:rPr>
          <w:rFonts w:ascii="Arial" w:cs="Arial" w:eastAsia="Arial" w:hAnsi="Arial"/>
          <w:sz w:val="18"/>
          <w:szCs w:val="18"/>
          <w:color w:val="auto"/>
        </w:rPr>
        <w:t>$1.2 million, or 6.8%, was primarily attributable to an increase in equity-based compensation and an adjustment recorded in the second quarter of 2017 related to certain accruals for performance-based compensation expense estimated based on our latest financial assumptions. This increase was in part offset by a decrease in restatement related professional fees mainly comprised of legal fees.</w:t>
      </w:r>
    </w:p>
    <w:p>
      <w:pPr>
        <w:spacing w:after="0" w:line="19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$21.0 million, or 10.5% of net sales,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compared to $16.9 million, or 10.2% of net sales, for the three months ended June 30, 2017. The increase of $4.1 million, or 24.1%, was primarily attributable to an increase in development activities for new OLED products.</w:t>
      </w:r>
    </w:p>
    <w:p>
      <w:pPr>
        <w:spacing w:after="0" w:line="18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$2.3 million for the three months ended June 30, 2017 were recorded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benefits payable to the employees affected under our Headcount Reduction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As a result of the foregoing, operating income increased by $4.2 million for the three months ended June 30, 2018 compared to the three months ended June 30, 2017. As discussed above, the increase in operating income resulted from a $7.2 million increase in gross profit, a $2.3 million decrease in early termination charges, which was partially offset by an $1.2 million increase in selling, general and administrative expenses and a $4.1 million increase in research development expenses.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$5.5 million and $5.4 million for the three months ended June 30, 2018 and June 30, 2017, respectively.</w:t>
      </w:r>
    </w:p>
    <w:p>
      <w:pPr>
        <w:spacing w:after="0" w:line="24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three months ended June 30, 2018 was $27.4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$11.9 million for the three months ended June 30, 2017. The net foreign currency loss for the three months ended June 30, 2018 and 2017 was due to the depreciation in value of the Korean won relative to the U.S. dollar during the periods.</w:t>
      </w:r>
    </w:p>
    <w:p>
      <w:pPr>
        <w:spacing w:after="0" w:line="16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spacing w:after="0" w:line="273" w:lineRule="auto"/>
        <w:rPr>
          <w:sz w:val="20"/>
          <w:szCs w:val="20"/>
          <w:color w:val="auto"/>
        </w:rPr>
      </w:pPr>
      <w:r>
        <w:rPr>
          <w:rFonts w:ascii="Arial" w:cs="Arial" w:eastAsia="Arial" w:hAnsi="Arial"/>
          <w:sz w:val="17"/>
          <w:szCs w:val="17"/>
          <w:color w:val="auto"/>
        </w:rPr>
        <w:t>U.S. dollar. As of June 30, 2018 and June 30, 2017, the outstanding intercompany loan balances including accrued interests between our Korean subsidiary and our Dutch subsidiary were $685 million and $671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June 30, 2018 and June 30, 2017 was negative $1.0 million and $0.1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Income tax expenses for the three months ended June 30, 2018 and 2017 were $1.5 million and $0.5 million, respectively. The increase in income tax expenses was primarily attributable to an increase in income tax expense for our Korean subsidiary, which is estimated to generate taxable income for the fiscal year ending December 31, 2018, combined with its ability to utilize net operating loss carryforwards up to 70% of taxable income for the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a result of the foregoing, net loss increased by $13.4 million for the three months ended June 30, 2018 compared to the three months ended June 30, 2017. As discussed above, the increase in net loss primarily resulted from a $15.5 million increase in net foreign currency loss, which was partially offset by a $4.2 million increase in operating income.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Six Months Ended June 30,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six months ended June 30, 2018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20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June 30, 2018</w:t>
            </w: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2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ind w:right="59"/>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Net Sales</w:t>
            </w:r>
          </w:p>
        </w:tc>
        <w:tc>
          <w:tcPr>
            <w:tcW w:w="880" w:type="dxa"/>
            <w:vAlign w:val="bottom"/>
            <w:gridSpan w:val="4"/>
            <w:vMerge w:val="continue"/>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$ 365.5</w:t>
            </w:r>
          </w:p>
        </w:tc>
        <w:tc>
          <w:tcPr>
            <w:tcW w:w="2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$ 328.4</w:t>
            </w: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267.1</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240.2</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Restructuring and other gain</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(11.0)</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(26.1)</w:t>
            </w: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(10.3)</w:t>
            </w: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6.4</w:t>
            </w: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(37.5)</w:t>
            </w:r>
          </w:p>
        </w:tc>
        <w:tc>
          <w:tcPr>
            <w:tcW w:w="9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(58.5)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(16.2)</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 expenses</w:t>
            </w:r>
          </w:p>
        </w:tc>
        <w:tc>
          <w:tcPr>
            <w:tcW w:w="2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(18.7)</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(54.4)</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
              <w:spacing w:after="0"/>
              <w:rPr>
                <w:sz w:val="20"/>
                <w:szCs w:val="20"/>
                <w:color w:val="auto"/>
              </w:rPr>
            </w:pPr>
            <w:r>
              <w:rPr>
                <w:rFonts w:ascii="Arial" w:cs="Arial" w:eastAsia="Arial" w:hAnsi="Arial"/>
                <w:sz w:val="14"/>
                <w:szCs w:val="14"/>
                <w:b w:val="1"/>
                <w:bCs w:val="1"/>
                <w:color w:val="auto"/>
                <w:w w:val="92"/>
              </w:rPr>
              <w:t>(As adjusted)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5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$ 158.3</w:t>
            </w:r>
          </w:p>
        </w:tc>
        <w:tc>
          <w:tcPr>
            <w:tcW w:w="2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43.3%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$ 171.1</w:t>
            </w:r>
          </w:p>
        </w:tc>
        <w:tc>
          <w:tcPr>
            <w:tcW w:w="2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52.1%</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 (12.8)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128.4</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54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365.5</w:t>
            </w:r>
          </w:p>
        </w:tc>
        <w:tc>
          <w:tcPr>
            <w:tcW w:w="2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328.4</w:t>
            </w: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
              <w:spacing w:after="0"/>
              <w:rPr>
                <w:sz w:val="20"/>
                <w:szCs w:val="20"/>
                <w:color w:val="auto"/>
              </w:rPr>
            </w:pPr>
            <w:r>
              <w:rPr>
                <w:rFonts w:ascii="Arial" w:cs="Arial" w:eastAsia="Arial" w:hAnsi="Arial"/>
                <w:sz w:val="14"/>
                <w:szCs w:val="14"/>
                <w:b w:val="1"/>
                <w:bCs w:val="1"/>
                <w:color w:val="auto"/>
                <w:w w:val="92"/>
              </w:rPr>
              <w:t>(As adjusted)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5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20" w:type="dxa"/>
            <w:vAlign w:val="bottom"/>
            <w:gridSpan w:val="2"/>
          </w:tcPr>
          <w:p>
            <w:pPr>
              <w:ind w:left="25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27.1%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28.0%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gross profit</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40" w:type="dxa"/>
            <w:vAlign w:val="bottom"/>
            <w:vMerge w:val="restart"/>
          </w:tcPr>
          <w:p>
            <w:pPr>
              <w:jc w:val="right"/>
              <w:ind w:right="1232"/>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Net sales were $365.5 million for the six months ended June 30, 2018, a $37.1 million, or 11.3%, increase compared to $328.4 million for the six months ended June 30, 2017. This increase was primarily attributable to an increase in revenue from our Standard Products Group, which was offset in part by a decrease in revenue from our Foundry Services Group as described below.</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Net sales from our Foundry Services Group segment were $158.3 million for the six months ended June 30, 2018,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$12.8 million, or 7.5%, decrease compared to net sales of $171.1 million for the six months ended June 30, 2017. The decrease was primarily attributable to a decrease in demand of low margin product sales from a global power management IC foundry customer.</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$207.1 million for the six months ended June 30,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$49.9 million, or 31.8%, increase compared to $157.2 million for the six months ended June 30, 2017. This increase was primarily attributable to an increase in revenue related to a sharp improvement in mobile OLED display driver ICs in connection with the introduction of new OLED smartphones from China manufacturers, which was offset in part by a strategic reduction of low margin LCD business. In addition, the increase was also attributable to a higher demand of MOSFETs for TV and mobile battery products.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$0.1 million for the six months ended June 30, 2018 and June 30, 2017, respectively.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Total gross profit was $98.4 million for the six months ended June 30, 2018 compared to $88.2 million for the six months ended June 30, 2017, a $10.2 million, or 11.6%, increase. Gross profit as a percentage of net sales for the six months ended June 30, 2018 was 26.9%, about flat compared to 26.9% for the six months ended June 30, 2017. The increase in gross profit as a percentage of net sales from our Standard Products Group was offset by a decrease in gross profit as a percentage of net sales from our Foundry Services Group.</w:t>
      </w:r>
    </w:p>
    <w:p>
      <w:pPr>
        <w:spacing w:after="0" w:line="17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$42.8 million for the six months ended June 30,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 million, or 10.7%, decrease compared to $48.0 million for the six months ended June 30, 2017. Gross profit as a percentage of net sales for the six months ended June 30, 2018 decreased to 27.1% compared to 28.0% for the six months ended June 30, 2017. The decrease in gross profit as a percentage of net sales was mainly attributable to an unfavorable product mix and a lower utilization rate, which was affected in part by a strategic reduction of low margin LCD business, and an increase in raw wafer prices.</w:t>
      </w:r>
    </w:p>
    <w:p>
      <w:pPr>
        <w:spacing w:after="0" w:line="18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$55.7 million for the six months ended June 30, 2018,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$15.5 million, or 38.7%, increase from $40.1 million for the six months ended June 30, 2017. Gross profit as a percentage of net sales for the six months ended June 30, 2018 increased to 26.9% compared to 25.5% for the six months ended June 30, 2017. The increase in gross profit as a percentage of net sales was primarily attributable to an increase in revenue of mobile OLED display driver ICs, which was offset in part by an unfavorable mix.</w:t>
      </w:r>
    </w:p>
    <w:p>
      <w:pPr>
        <w:spacing w:after="0" w:line="15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was negative $0.1 million for the six months ended June 30, 2018 and $0.1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six months ended June 30, 2018 and 2017:</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18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880" w:type="dxa"/>
            <w:vAlign w:val="bottom"/>
            <w:gridSpan w:val="3"/>
            <w:vMerge w:val="continue"/>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$ 112.7</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365.5</w:t>
            </w:r>
          </w:p>
        </w:tc>
        <w:tc>
          <w:tcPr>
            <w:tcW w:w="2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328.4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Net sales in Korea for the six months ended June 30, 2018 decreased from $133.1 million to $112.7 million compared to the six months ended June 30, 2017, or by $20.3 million, or 15.3%, primarily due to a strategic reduction of low margin LCD business. This was offset in part by an increase in revenue related to the introduction of new OLED display driver ICs.</w:t>
      </w:r>
    </w:p>
    <w:p>
      <w:pPr>
        <w:spacing w:after="0" w:line="18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Net sales in Asia Pacific for the six months ended June 30, 2018 increased from $156.0 million to $209.4 million compared to the six months ended June 30, 2017, or by $53.4 million, or 34.3%, primarily due to an increase in revenue related to a sharp improvement in mobile OLED display driver ICs in connection with the introduction of new OLED smartphones from China manufacturers.</w:t>
      </w:r>
    </w:p>
    <w:p>
      <w:pPr>
        <w:spacing w:after="0" w:line="166"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Net sales in the United States for the six months ended June 30, 2018 increased from $20.3 million to $23.4 million compared to the six months ended June 30, 2017, or by $3.1 million, or 15.2%, primarily due to an increase in sales of certain products from a global power management IC foundry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$36.6 million, or 10.0% of net sales,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2018, compared to $40.9 million, or 12.4% of net sales, for the six months ended June 30, 2017. The decrease of</w:t>
      </w:r>
    </w:p>
    <w:p>
      <w:pPr>
        <w:ind w:left="200" w:right="80"/>
        <w:spacing w:after="0" w:line="254" w:lineRule="auto"/>
        <w:rPr>
          <w:sz w:val="20"/>
          <w:szCs w:val="20"/>
          <w:color w:val="auto"/>
        </w:rPr>
      </w:pPr>
      <w:r>
        <w:rPr>
          <w:rFonts w:ascii="Arial" w:cs="Arial" w:eastAsia="Arial" w:hAnsi="Arial"/>
          <w:sz w:val="18"/>
          <w:szCs w:val="18"/>
          <w:color w:val="auto"/>
        </w:rPr>
        <w:t>$4.3 million, or 10.6%, was mainly attributable to a $3.0 million civil penalty in connection with our final settlement with the SEC, which was recorded in the first quarter of 2017 and the reversal of a $0.8 million accrual related to certain legal fees incurred in prior periods and reimbursed by insurers in the first quarter of 2018. The remainder was primarily attributable to a decrease in professional fees mainly comprised of legal and consulting services, which was offset in part by an increase in equity-based compensation.</w:t>
      </w:r>
    </w:p>
    <w:p>
      <w:pPr>
        <w:spacing w:after="0" w:line="190"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$40.6 million, or 11.1% of net sales,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compared to $34.9 million, or 10.6% of net sales, for the six months ended June 30, 2017. The increase of $5.7 million, or 16.3%, was primarily attributable to an increase in development activities for new OLED products.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Gain. </w:t>
      </w:r>
      <w:r>
        <w:rPr>
          <w:rFonts w:ascii="Arial" w:cs="Arial" w:eastAsia="Arial" w:hAnsi="Arial"/>
          <w:sz w:val="18"/>
          <w:szCs w:val="18"/>
          <w:color w:val="auto"/>
        </w:rPr>
        <w:t>Restructuring and other gain, net of $17.0 million recorded for the six months ended June 30, 2017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$16.6 million restructuring gain on the sale of the building related to the closure of our 6-inch fab and a $0.4 million gain on sale of our sensor business.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$13.4 million for the six months ended June 30, 2017 were recorded for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payable to the employees affected under our Headcount Reduction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 a result of the foregoing, operating income increased by $5.2 million for the six months ended June 30, 2018 compared to the six months ended June 30, 2017. As discussed above, the increase in operating income resulted from a $10.2 million increase in gross profit, a $13.4 million decrease in early termination charges and $4.3 million decrease in selling, general and administrative expenses, which was partially offset by a $17.0 million decrease in restructuring and other gain and a $5.7 million increase in research development expenses.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$11.0 million and $10.6 million for the six months ended June 30, 2018 and June 30, 2017, respectively.</w:t>
      </w:r>
    </w:p>
    <w:p>
      <w:pPr>
        <w:spacing w:after="0" w:line="24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Gain (Loss), Net. </w:t>
      </w:r>
      <w:r>
        <w:rPr>
          <w:rFonts w:ascii="Arial" w:cs="Arial" w:eastAsia="Arial" w:hAnsi="Arial"/>
          <w:sz w:val="17"/>
          <w:szCs w:val="17"/>
          <w:color w:val="auto"/>
        </w:rPr>
        <w:t>Net foreign currency loss for the six months ended June 30, 2018 was $26.1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gain of $29.9 million for the six months ended June 30, 2017. The net foreign currency loss for the six months ended June 30, 2018 was due to the depreciation in value of the Korean won relative to the U.S. dollar during the period. The net foreign currency gain for the six months ended June 30, 2017 was due to the appreciation in value of the Korean won relative to the U.S. dollar during the period.</w:t>
      </w:r>
    </w:p>
    <w:p>
      <w:pPr>
        <w:spacing w:after="0" w:line="17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20"/>
        <w:spacing w:after="0" w:line="273" w:lineRule="auto"/>
        <w:rPr>
          <w:sz w:val="20"/>
          <w:szCs w:val="20"/>
          <w:color w:val="auto"/>
        </w:rPr>
      </w:pPr>
      <w:r>
        <w:rPr>
          <w:rFonts w:ascii="Arial" w:cs="Arial" w:eastAsia="Arial" w:hAnsi="Arial"/>
          <w:sz w:val="17"/>
          <w:szCs w:val="17"/>
          <w:color w:val="auto"/>
        </w:rPr>
        <w:t>U.S. dollar. As of June 30, 2018 and June 30, 2017, the outstanding intercompany loan balances including accrued interests between our Korean subsidiary and our Dutch subsidiary were $685 million and $671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six months ended June 30, 2018 and June 30, 2017 was negative $0.4 million and $1.7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Income tax expenses for the six months ended June 30, 2018 and 2017 were $2.5 million and $1.4 million, respectively. The increase in income tax expenses was primarily attributable to an increase in income tax expense for our Korean subsidiary, which is estimated to generate taxable income for the fiscal year ending December 31, 2018, combined with its ability to utilize net operating loss carryforwards up to 70% of taxable income for the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As a result of the foregoing, net loss increased by $54.4 million for the six months ended June 30, 2018 compared to the six months ended June 30, 2017. As discussed above, the increase in net loss primarily resulted from a $56.0 million increase in net foreign currency loss, which was partially offset by a $5.2 million increase in operating income.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Interim Consolidated Financial Statements—Notes to Consolidated Financial Statements—Note 2. Sales of Accounts Receivable and Receivable Discount Program” included elsewhere in this Report. In addition, from time to time, we may make payments to our vendors on extended terms with their consent. As of June 30, 2018, we do not have any accounts payable on extended terms or payment deferment with our vendors.</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January 17, 2017, MagnaChip Semiconductor S.A., our Luxembourg subsidiary, closed the Exchangeable Notes Offering of the Exchangeable Notes with $86.25 million aggregate principal amount,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Cash inflow provided by operating activities totaled $21.8 million for the six months ended June 30, 2018, compared to $33.5 million of cash outflow used in operating activities for the six months ended June 30, 2017. The net operating cash inflow for the six months ended June 30, 2018 reflects our net loss of $18.7 million and favorable adjustments of $62.4 million which mainly consisted of depreciation and amortization, provision for severance benefits and net foreign currency loss, and a net decrease in operating assets and liabilities of $21.9 million. The decrease in operating assets and liabilities was primarily related to a decrease in net inventories as of June 30, 2018 compared to that as of December 31, 2017.</w:t>
      </w:r>
    </w:p>
    <w:p>
      <w:pPr>
        <w:spacing w:after="0" w:line="15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working capital balance as of June 30, 2018 was $210.4 million compared to $192.1 million as of December 31, 2017. The $18.3 million increase was primarily attributable to a $35.9 million increase in unbilled accounts receivable, which was a new item created in our balance sheet to conform with the new revenue recognition standard and represented our contractual right to consideration for manufacturing work performed on a customer contract or an individual purchase order basis, which had not been invoiced to the customer. This increase in unbilled accounts receivable was offset in part by a $15.6 million decrease in our net inventories.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Cash outflow used in investing activities totaled $18.3 million and $12.1 million for the six months ended June 30, 2018 and 2017, respectively. The $6.2 million increase was primarily attributable to a $6.0 million net increase in purchase of plant, property and equipment, including a $4.3 million increase in payment for the purchase of certain facilities related to a water treatment facility arrangement.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Cash inflow provided by financing activities totaled $4.7 million for the six months ended June 30, 2018, compared to $71.5 million of cash inflow provided by financing activities for the six months ended June 30, 2017. The financing cash inflow for the six months ended June 30, 2018 was primarily attributable to proceeds of $4.3 million in connection with the water treatment facility arrangement. The financing cash inflow for the six months ended June 30, 2017 consisted of $80.3 million of net proceeds received from the issuance of the Exchangeable Notes and $2.5 million of proceeds received from the exercise of stock options, which was partly offset by the payment of $11.4 million for the repurchase of 1,795,444 shares of our common stock in January 2017 pursuant to our stock repurchase plan.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routinely make capital expenditures for fab maintenance, enhancement of our existing facilities and reinforcement of our global research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development capability. For the six months ended June 30, 2018, capital expenditures were $15.7 million, a $4.9 million, or 45.4%, increase from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$10.8 million for the six months ended June 30, 2017. The capital expenditures for the six months ended June 30, 2018 were for meeting our customer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demand, and supporting technology and facility improvements at our fabrication facilities.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240" w:top="459" w:right="5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jc w:val="right"/>
              <w:ind w:right="55"/>
              <w:spacing w:after="0" w:line="119" w:lineRule="exact"/>
              <w:rPr>
                <w:sz w:val="20"/>
                <w:szCs w:val="20"/>
                <w:color w:val="auto"/>
              </w:rPr>
            </w:pPr>
            <w:r>
              <w:rPr>
                <w:rFonts w:ascii="Arial" w:cs="Arial" w:eastAsia="Arial" w:hAnsi="Arial"/>
                <w:sz w:val="13"/>
                <w:szCs w:val="13"/>
                <w:b w:val="1"/>
                <w:bCs w:val="1"/>
                <w:color w:val="auto"/>
              </w:rPr>
              <w:t>Remainder</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8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7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5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w:t>
            </w:r>
            <w:r>
              <w:rPr>
                <w:rFonts w:ascii="Arial" w:cs="Arial" w:eastAsia="Arial" w:hAnsi="Arial"/>
                <w:sz w:val="15"/>
                <w:szCs w:val="15"/>
                <w:color w:val="auto"/>
              </w:rPr>
              <w:t>(1)</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$ 4.3</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$ 88.4</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2021 Notes</w:t>
            </w:r>
            <w:r>
              <w:rPr>
                <w:rFonts w:ascii="Arial" w:cs="Arial" w:eastAsia="Arial" w:hAnsi="Arial"/>
                <w:sz w:val="15"/>
                <w:szCs w:val="15"/>
                <w:color w:val="auto"/>
              </w:rPr>
              <w:t>(2)</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277.2</w:t>
            </w:r>
          </w:p>
        </w:tc>
        <w:tc>
          <w:tcPr>
            <w:tcW w:w="28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14.9</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239.9</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r>
              <w:rPr>
                <w:rFonts w:ascii="Arial" w:cs="Arial" w:eastAsia="Arial" w:hAnsi="Arial"/>
                <w:sz w:val="15"/>
                <w:szCs w:val="15"/>
                <w:color w:val="auto"/>
              </w:rPr>
              <w:t>(3)</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Water Treatment Services</w:t>
            </w:r>
            <w:r>
              <w:rPr>
                <w:rFonts w:ascii="Arial" w:cs="Arial" w:eastAsia="Arial" w:hAnsi="Arial"/>
                <w:sz w:val="15"/>
                <w:szCs w:val="15"/>
                <w:color w:val="auto"/>
              </w:rPr>
              <w:t>(3)(4)</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8.6</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(5)</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80" w:hanging="436"/>
        <w:spacing w:after="0" w:line="25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payments as well as $86.25 million aggregate principal amount of the Exchangeable Notes outstanding as of June 30, 2018, which bear interest at a rate of 5.0% per annum and are scheduled to mature in 2021 if not earlier converted or redeemed.</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payments as well as $225.0 million aggregate principal amount of the 2021 Notes outstanding as of June 30, 2018, which bear interest at a rate of 6.625% per annum and are scheduled to mature in 2021 if not earlier redeemed.</w:t>
      </w: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1,121.7:1, the exchange rate as of June 30,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based on contractual terms for our fabs in Korea.</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Interim Consolidated Financial Statements—Notes to Consolidated Financial Statements—Note 9.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are a party to the arrangements for the water treatment facilities in Cheongju and Gumi, Korea, which includes a 5-year and 10-year service agreements, respectively.</w:t>
      </w:r>
    </w:p>
    <w:p>
      <w:pPr>
        <w:spacing w:after="0" w:line="170"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Beginning in July 2018, we contribute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certain severance insurance deposit accounts from our accrued severance benefits. Our accrued severance benefits totaled $145.5 million as of June 30, 2018 and no such contribution was made as of June 30, 2018. Our related cash payments for future contributions have been included in the amount of $2.7 million,</w:t>
      </w:r>
    </w:p>
    <w:p>
      <w:pPr>
        <w:spacing w:after="0" w:line="2" w:lineRule="exact"/>
        <w:rPr>
          <w:sz w:val="20"/>
          <w:szCs w:val="20"/>
          <w:color w:val="auto"/>
        </w:rPr>
      </w:pPr>
    </w:p>
    <w:p>
      <w:pPr>
        <w:ind w:left="200" w:right="540"/>
        <w:spacing w:after="0" w:line="261" w:lineRule="auto"/>
        <w:rPr>
          <w:sz w:val="20"/>
          <w:szCs w:val="20"/>
          <w:color w:val="auto"/>
        </w:rPr>
      </w:pPr>
      <w:r>
        <w:rPr>
          <w:rFonts w:ascii="Arial" w:cs="Arial" w:eastAsia="Arial" w:hAnsi="Arial"/>
          <w:sz w:val="18"/>
          <w:szCs w:val="18"/>
          <w:color w:val="auto"/>
        </w:rPr>
        <w:t>$2.7 million and $3.6 million for the second half of 2018, 2019 and 2020, respectively, to the extent that our obligations are contractual, fixed and reasonably estimable.</w:t>
      </w:r>
    </w:p>
    <w:p>
      <w:pPr>
        <w:spacing w:after="0" w:line="18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follow accounting guidance on uncertain tax positions. Our unrecognized tax benefits totaled $0.5 million as of June 30, 2018. These unrecognized tax benefits have been excluded from the above table because we cannot estimate the period of cash settlement with the respective taxing authorities.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2017, or our 2017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2017 Form 10-K, under “Management’s Discussion and Analysis of Financial Conditions and Reports of Operations—Critical Accounting Policies and Estimates.” Our critical accounting policies for revenue recognition as updated for the adoption of the new revenue standard are disclosed in the following section. There have been no other material changes to our critical accounting policies and estimates as compared to our critical accounting policies and estimates included in our 2017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We recognize revenue when a performance obligation is satisfied by transferring control over a product or service to a customer. Revenue is measured based on the consideration specified in a contract with a customer in exchange for such product or service.</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Foundry Services Group manufactures products based on customers’ specific product designs. We recognize revenue over time for those foundry products without alternative use where we have an enforceable right to payment for the related foundry services completed to date. The revenue recognized over time is in proportion of wafer manufacturing costs incurred relative to total estimated costs at completion to measure our performance to date. However, in certain circumstances, we may not have an enforceable right to payment for performed foundry services pursuant to a customer contract or an individual purchase order. In this situation, we recognize revenue when a customer obtains control of the product, which is generally upon product shipment, delivery at the customer’s location or upon customer acceptance, depending on the terms of the arrangement.</w:t>
      </w:r>
    </w:p>
    <w:p>
      <w:pPr>
        <w:spacing w:after="0" w:line="165"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Standards Products Group sells products manufactured based on our design. Our Standard Products Group’s products are either standardized with an alternative use or we do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 portion of our sales are made through distributors for which we apply the same revenue recognition guidance as described above. We defer recognition of revenue when we receive cash from certain customers and distributors for the sale of products prior to obtaining an enforceable right to payment for performance completed to date or control of the product being transferred to the customer.</w:t>
      </w:r>
    </w:p>
    <w:p>
      <w:pPr>
        <w:spacing w:after="0" w:line="166"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the revenue recognition guidance, any tax assessed by a governmental authority that is both imposed on and concurrent with a specific revenue-producing transaction, and that is collected by us from a customer, is excluded from revenue and presented in the statement of operations on a net basis.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provide a warranty, under which customers can return defective products. We estimate the costs related to those defective product returns and record them as a component of cost of sales.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we offer sales returns (other than those that relate to defective products under warranty), cash discounts for early payments, volume rebate and certain allowances to its customers, including distributors. We record reserves for those returns, discounts and allowances as a deduction from sales, based on historical experience and other quantitative and qualitative factors.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Substantially all of our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2018 for our Korean subsidiary, a 10% devaluation of the Korean won against the U.S. dollar would have resulted in a decrease of $1.8 million in our U.S. dollar financial instruments and cash balances.</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As of June 30, 2018,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June 30, 2018,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June 30, 2018,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2018.</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24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 discussion of legal proceedings, see “Part I: Item 3. Legal Proceedings” of our 2017 Form 10-K.</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See also “Part I: Item 1A. Risk Factors” of our 2017 Form 10-K and Note 18 to our consolidated financial statements in this Report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2017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62"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3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Since the beginning of 2018, there has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impacting China’s overall economic condition, which could negatively affect demand for the Company’s products in China and materially and adversely affect our business and results of operations from our customers serving the China markets. Furthermore, imposition of tariffs could increase costs of the end-user products we supply or those manufactured by our Foundry Services Group, which could in turn cause a decrease in the sales of our products and services and materially and adversely affect our business and results of operations.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6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Employment Agreement with Young-Joon Kim, dated April 26, 2018 (incorporated by reference to Exhibit 10.1 to our Current Report</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on Form 8-K filed on April 27, 2018).</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360" w:type="dxa"/>
            <w:vAlign w:val="bottom"/>
            <w:tcBorders>
              <w:bottom w:val="single" w:sz="8" w:color="0000EE"/>
            </w:tcBorders>
            <w:gridSpan w:val="9"/>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Restricted Stock Units Agreement (incorporated by reference to Exhibit 10.2 to our Current Report on Form 8-K filed on</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April 27, 2018).</w:t>
              </w:r>
            </w:hyperlink>
          </w:p>
        </w:tc>
        <w:tc>
          <w:tcPr>
            <w:tcW w:w="8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Restricted Stock Units Agreement (TSR Performance) (incorporated by reference to Exhibit 10.3 to our Current Report on</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Form 8-K filed on April 27, 2018).</w:t>
              </w:r>
            </w:hyperlink>
          </w:p>
        </w:tc>
        <w:tc>
          <w:tcPr>
            <w:tcW w:w="7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EE"/>
                <w:w w:val="93"/>
              </w:rPr>
            </w:pPr>
            <w:hyperlink r:id="rId85">
              <w:r>
                <w:rPr>
                  <w:rFonts w:ascii="Arial" w:cs="Arial" w:eastAsia="Arial" w:hAnsi="Arial"/>
                  <w:sz w:val="18"/>
                  <w:szCs w:val="18"/>
                  <w:color w:val="0000EE"/>
                  <w:w w:val="93"/>
                </w:rPr>
                <w:t>Form of Restricted Stock Units Agreement (AOP Performance) (incorporated by reference to Exhibit 10.4 to our Current Report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Form 8-K filed on April 27, 2018).</w:t>
              </w:r>
            </w:hyperlink>
          </w:p>
        </w:tc>
        <w:tc>
          <w:tcPr>
            <w:tcW w:w="6960" w:type="dxa"/>
            <w:vAlign w:val="bottom"/>
            <w:tcBorders>
              <w:top w:val="single" w:sz="8" w:color="0000EE"/>
            </w:tcBorders>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tcPr>
          <w:p>
            <w:pPr>
              <w:spacing w:after="0"/>
              <w:rPr>
                <w:sz w:val="24"/>
                <w:szCs w:val="24"/>
                <w:color w:val="auto"/>
              </w:rPr>
            </w:pP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ind w:left="100"/>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Executive Officer.</w:t>
              </w:r>
            </w:hyperlink>
          </w:p>
        </w:tc>
        <w:tc>
          <w:tcPr>
            <w:tcW w:w="8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2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101.SCH</w:t>
            </w:r>
            <w:r>
              <w:rPr>
                <w:rFonts w:ascii="Arial" w:cs="Arial" w:eastAsia="Arial" w:hAnsi="Arial"/>
                <w:sz w:val="15"/>
                <w:szCs w:val="15"/>
                <w:color w:val="auto"/>
                <w:w w:val="90"/>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101.CAL</w:t>
            </w:r>
            <w:r>
              <w:rPr>
                <w:rFonts w:ascii="Arial" w:cs="Arial" w:eastAsia="Arial" w:hAnsi="Arial"/>
                <w:sz w:val="15"/>
                <w:szCs w:val="15"/>
                <w:color w:val="auto"/>
                <w:w w:val="96"/>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101.DEF</w:t>
            </w:r>
            <w:r>
              <w:rPr>
                <w:rFonts w:ascii="Arial" w:cs="Arial" w:eastAsia="Arial" w:hAnsi="Arial"/>
                <w:sz w:val="15"/>
                <w:szCs w:val="15"/>
                <w:color w:val="auto"/>
                <w:w w:val="93"/>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101.LAB</w:t>
            </w:r>
            <w:r>
              <w:rPr>
                <w:rFonts w:ascii="Arial" w:cs="Arial" w:eastAsia="Arial" w:hAnsi="Arial"/>
                <w:sz w:val="15"/>
                <w:szCs w:val="15"/>
                <w:color w:val="auto"/>
                <w:w w:val="98"/>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101.PRE</w:t>
            </w:r>
            <w:r>
              <w:rPr>
                <w:rFonts w:ascii="Arial" w:cs="Arial" w:eastAsia="Arial" w:hAnsi="Arial"/>
                <w:sz w:val="15"/>
                <w:szCs w:val="15"/>
                <w:color w:val="auto"/>
                <w:w w:val="89"/>
              </w:rPr>
              <w:t>#</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7"/>
          <w:szCs w:val="17"/>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6"/>
          <w:szCs w:val="16"/>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80"/>
          </w:cols>
          <w:pgMar w:left="240" w:top="459" w:right="11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76"/>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17" w:lineRule="exact"/>
        <w:rPr>
          <w:sz w:val="20"/>
          <w:szCs w:val="20"/>
          <w:color w:val="auto"/>
        </w:rPr>
      </w:pPr>
    </w:p>
    <w:p>
      <w:pPr>
        <w:ind w:left="620" w:hanging="17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40" w:firstLine="444"/>
        <w:spacing w:after="0" w:line="264"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14605</wp:posOffset>
            </wp:positionV>
            <wp:extent cx="2160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40" w:firstLine="444"/>
        <w:spacing w:after="0" w:line="264" w:lineRule="auto"/>
        <w:tabs>
          <w:tab w:leader="none" w:pos="6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14605</wp:posOffset>
            </wp:positionV>
            <wp:extent cx="2160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(Principal Financial and Accounting Officer)</w:t>
      </w:r>
    </w:p>
    <w:p>
      <w:pPr>
        <w:spacing w:after="0" w:line="236"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3"/>
    </w:lvl>
    <w:lvl w:ilvl="1">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5"/>
    </w:lvl>
    <w:lvl w:ilvl="1">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2" Type="http://schemas.openxmlformats.org/officeDocument/2006/relationships/hyperlink" Target="http://www.sec.gov/Archives/edgar/data/1325702/000119312518138973/d571231dex101.htm" TargetMode="External"/><Relationship Id="rId83" Type="http://schemas.openxmlformats.org/officeDocument/2006/relationships/hyperlink" Target="http://www.sec.gov/Archives/edgar/data/1325702/000119312518138973/d571231dex102.htm" TargetMode="External"/><Relationship Id="rId84" Type="http://schemas.openxmlformats.org/officeDocument/2006/relationships/hyperlink" Target="http://www.sec.gov/Archives/edgar/data/1325702/000119312518138973/d571231dex103.htm" TargetMode="External"/><Relationship Id="rId85" Type="http://schemas.openxmlformats.org/officeDocument/2006/relationships/hyperlink" Target="http://www.sec.gov/Archives/edgar/data/1325702/000119312518138973/d571231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2019-12-28T20:04:02Z</dcterms:created>
  <dcterms:modified xsi:type="dcterms:W3CDTF">2019-12-28T20:04:02Z</dcterms:modified>
</cp:coreProperties>
</file>