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HorizontalLine"/>
        <w:jc w:val="left"/>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w:t>
            </w:r>
          </w:p>
        </w:tc>
        <w:tc>
          <w:tcPr>
            <w:tcW w:w="10294" w:type="dxa"/>
            <w:tcBorders/>
            <w:shd w:fill="auto" w:val="clear"/>
            <w:vAlign w:val="center"/>
          </w:tcPr>
          <w:p>
            <w:pPr>
              <w:pStyle w:val="TableContents"/>
              <w:spacing w:before="0" w:after="0"/>
              <w:rPr>
                <w:b/>
              </w:rPr>
            </w:pPr>
            <w:r>
              <w:rPr>
                <w:b/>
              </w:rPr>
              <w:t>QUARTERLY REPORT PURSUANT TO SECTION 13 OR 15(d) OF THE SECURITIES EXCHANGE ACT OF 1934</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quarterly period ended March 31, 2023</w:t>
      </w:r>
    </w:p>
    <w:p>
      <w:pPr>
        <w:pStyle w:val="TextBody"/>
        <w:spacing w:before="0" w:after="0"/>
        <w:jc w:val="center"/>
        <w:rPr>
          <w:rFonts w:ascii="Times New Roman" w:hAnsi="Times New Roman"/>
          <w:b/>
          <w:color w:val="000000"/>
          <w:sz w:val="20"/>
        </w:rPr>
      </w:pPr>
      <w:r>
        <w:rPr>
          <w:rFonts w:ascii="Times New Roman" w:hAnsi="Times New Roman"/>
          <w:b/>
          <w:color w:val="000000"/>
          <w:sz w:val="20"/>
        </w:rPr>
        <w:t>or</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w:t>
            </w:r>
          </w:p>
        </w:tc>
        <w:tc>
          <w:tcPr>
            <w:tcW w:w="10294" w:type="dxa"/>
            <w:tcBorders/>
            <w:shd w:fill="auto" w:val="clear"/>
            <w:vAlign w:val="center"/>
          </w:tcPr>
          <w:p>
            <w:pPr>
              <w:pStyle w:val="TableContents"/>
              <w:spacing w:before="0" w:after="0"/>
              <w:rPr>
                <w:b/>
              </w:rPr>
            </w:pPr>
            <w:r>
              <w:rPr>
                <w:b/>
              </w:rPr>
              <w:t>TRANSITION REPORT PURSUANT TO SECTION 13 OR 15(d) OF THE SECURITIES EXCHANGE ACT OF 1934</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transition period from ____________to_____________.</w:t>
      </w:r>
    </w:p>
    <w:p>
      <w:pPr>
        <w:pStyle w:val="TextBody"/>
        <w:spacing w:before="0" w:after="0"/>
        <w:jc w:val="center"/>
        <w:rPr>
          <w:rFonts w:ascii="Times New Roman" w:hAnsi="Times New Roman"/>
          <w:b/>
          <w:color w:val="000000"/>
          <w:sz w:val="20"/>
        </w:rPr>
      </w:pPr>
      <w:r>
        <w:rPr>
          <w:rFonts w:ascii="Times New Roman" w:hAnsi="Times New Roman"/>
          <w:b/>
          <w:color w:val="000000"/>
          <w:sz w:val="20"/>
        </w:rPr>
        <w:t>Commission File Number: 001-34791</w:t>
      </w:r>
    </w:p>
    <w:p>
      <w:pPr>
        <w:pStyle w:val="TextBody"/>
        <w:spacing w:before="0" w:after="0"/>
        <w:jc w:val="center"/>
        <w:rPr/>
      </w:pPr>
      <w:r>
        <w:rPr/>
      </w:r>
    </w:p>
    <w:p>
      <w:pPr>
        <w:pStyle w:val="HorizontalLine"/>
        <w:jc w:val="left"/>
        <w:rPr/>
      </w:pPr>
      <w:r>
        <w:rPr/>
      </w:r>
    </w:p>
    <w:p>
      <w:pPr>
        <w:pStyle w:val="TextBody"/>
        <w:spacing w:before="0" w:after="0"/>
        <w:jc w:val="center"/>
        <w:rPr>
          <w:color w:val="000000"/>
        </w:rPr>
      </w:pPr>
      <w:r>
        <w:rPr>
          <w:color w:val="000000"/>
        </w:rPr>
        <w:drawing>
          <wp:inline distT="0" distB="0" distL="0" distR="0">
            <wp:extent cx="30861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86100" cy="714375"/>
                    </a:xfrm>
                    <a:prstGeom prst="rect">
                      <a:avLst/>
                    </a:prstGeom>
                  </pic:spPr>
                </pic:pic>
              </a:graphicData>
            </a:graphic>
          </wp:inline>
        </w:drawing>
      </w:r>
    </w:p>
    <w:p>
      <w:pPr>
        <w:pStyle w:val="TextBody"/>
        <w:spacing w:before="0" w:after="0"/>
        <w:jc w:val="center"/>
        <w:rPr>
          <w:rFonts w:ascii="Times New Roman" w:hAnsi="Times New Roman"/>
          <w:b/>
          <w:color w:val="000000"/>
          <w:sz w:val="48"/>
        </w:rPr>
      </w:pPr>
      <w:r>
        <w:rPr>
          <w:rFonts w:ascii="Times New Roman" w:hAnsi="Times New Roman"/>
          <w:b/>
          <w:color w:val="000000"/>
          <w:sz w:val="48"/>
        </w:rPr>
        <w:t>Magnachip Semiconductor Corporation</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jc w:val="left"/>
        <w:rPr/>
      </w:pPr>
      <w:r>
        <w:rPr/>
      </w:r>
    </w:p>
    <w:p>
      <w:pPr>
        <w:pStyle w:val="TextBody"/>
        <w:spacing w:before="0" w:after="0"/>
        <w:jc w:val="left"/>
        <w:rPr>
          <w:rFonts w:ascii="Times New Roman" w:hAnsi="Times New Roman"/>
          <w:sz w:val="20"/>
        </w:rPr>
      </w:pPr>
      <w:r>
        <w:rPr>
          <w:rFonts w:ascii="Times New Roman" w:hAnsi="Times New Roman"/>
          <w:sz w:val="20"/>
        </w:rPr>
      </w:r>
    </w:p>
    <w:tbl>
      <w:tblPr>
        <w:tblW w:w="5035" w:type="dxa"/>
        <w:jc w:val="left"/>
        <w:tblInd w:w="0" w:type="dxa"/>
        <w:tblCellMar>
          <w:top w:w="0" w:type="dxa"/>
          <w:left w:w="0" w:type="dxa"/>
          <w:bottom w:w="0" w:type="dxa"/>
          <w:right w:w="0" w:type="dxa"/>
        </w:tblCellMar>
      </w:tblPr>
      <w:tblGrid>
        <w:gridCol w:w="3110"/>
        <w:gridCol w:w="60"/>
        <w:gridCol w:w="1865"/>
      </w:tblGrid>
      <w:tr>
        <w:trPr/>
        <w:tc>
          <w:tcPr>
            <w:tcW w:w="3110" w:type="dxa"/>
            <w:tcBorders/>
            <w:shd w:fill="auto" w:val="clear"/>
            <w:vAlign w:val="center"/>
          </w:tcPr>
          <w:p>
            <w:pPr>
              <w:pStyle w:val="TableContents"/>
              <w:spacing w:before="0" w:after="0"/>
              <w:jc w:val="center"/>
              <w:rPr>
                <w:b/>
              </w:rPr>
            </w:pPr>
            <w:r>
              <w:rPr>
                <w:b/>
              </w:rPr>
              <w:t>Delaware</w:t>
            </w:r>
          </w:p>
        </w:tc>
        <w:tc>
          <w:tcPr>
            <w:tcW w:w="6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0"/>
              <w:jc w:val="center"/>
              <w:rPr>
                <w:b/>
              </w:rPr>
            </w:pPr>
            <w:r>
              <w:rPr>
                <w:b/>
              </w:rPr>
              <w:t>83-0406195</w:t>
            </w:r>
          </w:p>
        </w:tc>
      </w:tr>
      <w:tr>
        <w:trPr/>
        <w:tc>
          <w:tcPr>
            <w:tcW w:w="3110" w:type="dxa"/>
            <w:tcBorders/>
            <w:shd w:fill="auto" w:val="clear"/>
            <w:vAlign w:val="center"/>
          </w:tcPr>
          <w:p>
            <w:pPr>
              <w:pStyle w:val="TableContents"/>
              <w:spacing w:before="0" w:after="0"/>
              <w:jc w:val="center"/>
              <w:rPr>
                <w:b/>
              </w:rPr>
            </w:pPr>
            <w:r>
              <w:rPr>
                <w:b/>
              </w:rPr>
              <w:t xml:space="preserve">(State or other jurisdiction of </w:t>
            </w:r>
          </w:p>
          <w:p>
            <w:pPr>
              <w:pStyle w:val="TableContents"/>
              <w:spacing w:before="0" w:after="0"/>
              <w:jc w:val="center"/>
              <w:rPr>
                <w:b/>
              </w:rPr>
            </w:pPr>
            <w:r>
              <w:rPr>
                <w:b/>
              </w:rPr>
              <w:t>incorporation or organization)</w:t>
            </w:r>
          </w:p>
        </w:tc>
        <w:tc>
          <w:tcPr>
            <w:tcW w:w="60" w:type="dxa"/>
            <w:tcBorders/>
            <w:shd w:fill="auto" w:val="clear"/>
            <w:vAlign w:val="center"/>
          </w:tcPr>
          <w:p>
            <w:pPr>
              <w:pStyle w:val="TableContents"/>
              <w:spacing w:before="0" w:after="283"/>
              <w:rPr/>
            </w:pPr>
            <w:r>
              <w:rPr/>
              <w:t> </w:t>
            </w:r>
          </w:p>
        </w:tc>
        <w:tc>
          <w:tcPr>
            <w:tcW w:w="1865" w:type="dxa"/>
            <w:tcBorders/>
            <w:shd w:fill="auto" w:val="clear"/>
            <w:vAlign w:val="center"/>
          </w:tcPr>
          <w:p>
            <w:pPr>
              <w:pStyle w:val="TableContents"/>
              <w:spacing w:before="0" w:after="0"/>
              <w:jc w:val="center"/>
              <w:rPr>
                <w:b/>
              </w:rPr>
            </w:pPr>
            <w:r>
              <w:rPr>
                <w:b/>
              </w:rPr>
              <w:t xml:space="preserve">(I.R.S. Employer </w:t>
            </w:r>
          </w:p>
          <w:p>
            <w:pPr>
              <w:pStyle w:val="TableContents"/>
              <w:spacing w:before="0" w:after="0"/>
              <w:jc w:val="center"/>
              <w:rPr>
                <w:b/>
              </w:rPr>
            </w:pPr>
            <w:r>
              <w:rPr>
                <w:b/>
              </w:rPr>
              <w:t>Identification No.)</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c/o Magnachip Semiconductor, Ltd.</w:t>
      </w:r>
    </w:p>
    <w:p>
      <w:pPr>
        <w:pStyle w:val="TextBody"/>
        <w:spacing w:before="0" w:after="0"/>
        <w:jc w:val="center"/>
        <w:rPr>
          <w:rFonts w:ascii="Times New Roman" w:hAnsi="Times New Roman"/>
          <w:b/>
          <w:color w:val="000000"/>
          <w:sz w:val="20"/>
        </w:rPr>
      </w:pPr>
      <w:r>
        <w:rPr>
          <w:rFonts w:ascii="Times New Roman" w:hAnsi="Times New Roman"/>
          <w:b/>
          <w:color w:val="000000"/>
          <w:sz w:val="20"/>
        </w:rPr>
        <w:t>15F, 76 Jikji-daero 436beon-gil, Heungdeok-gu</w:t>
      </w:r>
    </w:p>
    <w:p>
      <w:pPr>
        <w:pStyle w:val="TextBody"/>
        <w:spacing w:before="0" w:after="0"/>
        <w:jc w:val="center"/>
        <w:rPr>
          <w:rFonts w:ascii="Times New Roman" w:hAnsi="Times New Roman"/>
          <w:b/>
          <w:color w:val="000000"/>
          <w:sz w:val="20"/>
        </w:rPr>
      </w:pPr>
      <w:r>
        <w:rPr>
          <w:rFonts w:ascii="Times New Roman" w:hAnsi="Times New Roman"/>
          <w:b/>
          <w:color w:val="000000"/>
          <w:sz w:val="20"/>
        </w:rPr>
        <w:t>Cheongju-si, Chungcheongbuk-do, Republic of Korea 28581</w:t>
      </w:r>
    </w:p>
    <w:p>
      <w:pPr>
        <w:pStyle w:val="TextBody"/>
        <w:spacing w:before="0" w:after="0"/>
        <w:jc w:val="center"/>
        <w:rPr>
          <w:rFonts w:ascii="Times New Roman" w:hAnsi="Times New Roman"/>
          <w:b/>
          <w:color w:val="000000"/>
          <w:sz w:val="20"/>
        </w:rPr>
      </w:pPr>
      <w:r>
        <w:rPr>
          <w:rFonts w:ascii="Times New Roman" w:hAnsi="Times New Roman"/>
          <w:b/>
          <w:color w:val="000000"/>
          <w:sz w:val="20"/>
        </w:rPr>
        <w:t>(Address of principal executive offices) (Zip Code)</w:t>
      </w:r>
    </w:p>
    <w:p>
      <w:pPr>
        <w:pStyle w:val="TextBody"/>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+82 (2) 6903-3000</w:t>
      </w:r>
    </w:p>
    <w:p>
      <w:pPr>
        <w:pStyle w:val="TextBody"/>
        <w:spacing w:before="0" w:after="0"/>
        <w:jc w:val="center"/>
        <w:rPr/>
      </w:pPr>
      <w:r>
        <w:rPr/>
      </w:r>
    </w:p>
    <w:p>
      <w:pPr>
        <w:pStyle w:val="HorizontalLine"/>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spacing w:before="0" w:after="0"/>
        <w:jc w:val="left"/>
        <w:rPr>
          <w:rFonts w:ascii="Times New Roman" w:hAnsi="Times New Roman"/>
          <w:sz w:val="20"/>
        </w:rPr>
      </w:pPr>
      <w:r>
        <w:rPr>
          <w:rFonts w:ascii="Times New Roman" w:hAnsi="Times New Roman"/>
          <w:sz w:val="20"/>
        </w:rPr>
      </w:r>
    </w:p>
    <w:tbl>
      <w:tblPr>
        <w:tblW w:w="8250" w:type="dxa"/>
        <w:jc w:val="left"/>
        <w:tblInd w:w="0" w:type="dxa"/>
        <w:tblCellMar>
          <w:top w:w="0" w:type="dxa"/>
          <w:left w:w="0" w:type="dxa"/>
          <w:bottom w:w="28" w:type="dxa"/>
          <w:right w:w="0" w:type="dxa"/>
        </w:tblCellMar>
      </w:tblPr>
      <w:tblGrid>
        <w:gridCol w:w="4310"/>
        <w:gridCol w:w="60"/>
        <w:gridCol w:w="1025"/>
        <w:gridCol w:w="60"/>
        <w:gridCol w:w="2795"/>
      </w:tblGrid>
      <w:tr>
        <w:trPr/>
        <w:tc>
          <w:tcPr>
            <w:tcW w:w="4310" w:type="dxa"/>
            <w:tcBorders>
              <w:bottom w:val="single" w:sz="12" w:space="0" w:color="000000"/>
            </w:tcBorders>
            <w:shd w:fill="auto" w:val="clear"/>
            <w:vAlign w:val="center"/>
          </w:tcPr>
          <w:p>
            <w:pPr>
              <w:pStyle w:val="TableContents"/>
              <w:spacing w:before="0" w:after="0"/>
              <w:jc w:val="center"/>
              <w:rPr>
                <w:b/>
              </w:rPr>
            </w:pPr>
            <w:r>
              <w:rPr>
                <w:b/>
              </w:rPr>
              <w:t>Title of each class</w:t>
            </w:r>
          </w:p>
        </w:tc>
        <w:tc>
          <w:tcPr>
            <w:tcW w:w="60" w:type="dxa"/>
            <w:tcBorders/>
            <w:shd w:fill="auto" w:val="clear"/>
            <w:tcMar>
              <w:bottom w:w="0" w:type="dxa"/>
            </w:tcMar>
            <w:vAlign w:val="center"/>
          </w:tcPr>
          <w:p>
            <w:pPr>
              <w:pStyle w:val="TableContents"/>
              <w:spacing w:before="0" w:after="283"/>
              <w:rPr/>
            </w:pPr>
            <w:r>
              <w:rPr/>
              <w:t> </w:t>
            </w:r>
          </w:p>
        </w:tc>
        <w:tc>
          <w:tcPr>
            <w:tcW w:w="1025" w:type="dxa"/>
            <w:tcBorders>
              <w:bottom w:val="single" w:sz="12" w:space="0" w:color="000000"/>
            </w:tcBorders>
            <w:shd w:fill="auto" w:val="clear"/>
            <w:vAlign w:val="center"/>
          </w:tcPr>
          <w:p>
            <w:pPr>
              <w:pStyle w:val="TableContents"/>
              <w:spacing w:before="0" w:after="0"/>
              <w:jc w:val="center"/>
              <w:rPr>
                <w:b/>
              </w:rPr>
            </w:pPr>
            <w:r>
              <w:rPr>
                <w:b/>
              </w:rPr>
              <w:t>Trading</w:t>
            </w:r>
          </w:p>
          <w:p>
            <w:pPr>
              <w:pStyle w:val="TableContents"/>
              <w:spacing w:before="0" w:after="0"/>
              <w:jc w:val="center"/>
              <w:rPr>
                <w:b/>
              </w:rPr>
            </w:pPr>
            <w:r>
              <w:rPr>
                <w:b/>
              </w:rPr>
              <w:t>Symbol(s)</w:t>
            </w:r>
          </w:p>
        </w:tc>
        <w:tc>
          <w:tcPr>
            <w:tcW w:w="60" w:type="dxa"/>
            <w:tcBorders/>
            <w:shd w:fill="auto" w:val="clear"/>
            <w:tcMar>
              <w:bottom w:w="0" w:type="dxa"/>
            </w:tcMar>
            <w:vAlign w:val="center"/>
          </w:tcPr>
          <w:p>
            <w:pPr>
              <w:pStyle w:val="TableContents"/>
              <w:spacing w:before="0" w:after="283"/>
              <w:rPr/>
            </w:pPr>
            <w:r>
              <w:rPr/>
              <w:t> </w:t>
            </w:r>
          </w:p>
        </w:tc>
        <w:tc>
          <w:tcPr>
            <w:tcW w:w="2795" w:type="dxa"/>
            <w:tcBorders>
              <w:bottom w:val="single" w:sz="12" w:space="0" w:color="000000"/>
            </w:tcBorders>
            <w:shd w:fill="auto" w:val="clear"/>
            <w:vAlign w:val="center"/>
          </w:tcPr>
          <w:p>
            <w:pPr>
              <w:pStyle w:val="TableContents"/>
              <w:spacing w:before="0" w:after="0"/>
              <w:jc w:val="center"/>
              <w:rPr>
                <w:b/>
              </w:rPr>
            </w:pPr>
            <w:r>
              <w:rPr>
                <w:b/>
              </w:rPr>
              <w:t>Name of each exchange</w:t>
            </w:r>
          </w:p>
          <w:p>
            <w:pPr>
              <w:pStyle w:val="TableContents"/>
              <w:spacing w:before="0" w:after="0"/>
              <w:jc w:val="center"/>
              <w:rPr>
                <w:b/>
              </w:rPr>
            </w:pPr>
            <w:r>
              <w:rPr>
                <w:b/>
              </w:rPr>
              <w:t>on which registered</w:t>
            </w:r>
          </w:p>
        </w:tc>
      </w:tr>
      <w:tr>
        <w:trPr/>
        <w:tc>
          <w:tcPr>
            <w:tcW w:w="4310" w:type="dxa"/>
            <w:tcBorders/>
            <w:shd w:fill="auto" w:val="clear"/>
            <w:tcMar>
              <w:bottom w:w="0" w:type="dxa"/>
            </w:tcMar>
            <w:vAlign w:val="center"/>
          </w:tcPr>
          <w:p>
            <w:pPr>
              <w:pStyle w:val="TableContents"/>
              <w:spacing w:before="0" w:after="0"/>
              <w:jc w:val="center"/>
              <w:rPr>
                <w:b/>
              </w:rPr>
            </w:pPr>
            <w:r>
              <w:rPr>
                <w:b/>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025" w:type="dxa"/>
            <w:tcBorders/>
            <w:shd w:fill="auto" w:val="clear"/>
            <w:tcMar>
              <w:bottom w:w="0" w:type="dxa"/>
            </w:tcMar>
            <w:vAlign w:val="center"/>
          </w:tcPr>
          <w:p>
            <w:pPr>
              <w:pStyle w:val="TableContents"/>
              <w:spacing w:before="0" w:after="0"/>
              <w:jc w:val="center"/>
              <w:rPr>
                <w:b/>
              </w:rPr>
            </w:pPr>
            <w:r>
              <w:rPr>
                <w:b/>
              </w:rPr>
              <w:t>MX</w:t>
            </w:r>
          </w:p>
        </w:tc>
        <w:tc>
          <w:tcPr>
            <w:tcW w:w="60" w:type="dxa"/>
            <w:tcBorders/>
            <w:shd w:fill="auto" w:val="clear"/>
            <w:tcMar>
              <w:bottom w:w="0" w:type="dxa"/>
            </w:tcMar>
            <w:vAlign w:val="center"/>
          </w:tcPr>
          <w:p>
            <w:pPr>
              <w:pStyle w:val="TableContents"/>
              <w:spacing w:before="0" w:after="283"/>
              <w:rPr/>
            </w:pPr>
            <w:r>
              <w:rPr/>
              <w:t> </w:t>
            </w:r>
          </w:p>
        </w:tc>
        <w:tc>
          <w:tcPr>
            <w:tcW w:w="2795" w:type="dxa"/>
            <w:tcBorders/>
            <w:shd w:fill="auto" w:val="clear"/>
            <w:tcMar>
              <w:bottom w:w="0" w:type="dxa"/>
            </w:tcMar>
            <w:vAlign w:val="center"/>
          </w:tcPr>
          <w:p>
            <w:pPr>
              <w:pStyle w:val="TableContents"/>
              <w:spacing w:before="0" w:after="0"/>
              <w:jc w:val="center"/>
              <w:rPr>
                <w:b/>
              </w:rPr>
            </w:pPr>
            <w:r>
              <w:rPr>
                <w:b/>
              </w:rPr>
              <w:t>New York Stock Exchange</w:t>
            </w:r>
          </w:p>
        </w:tc>
      </w:tr>
    </w:tbl>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rFonts w:ascii="Times New Roman" w:hAnsi="Times New Roman"/>
          <w:sz w:val="20"/>
        </w:rPr>
      </w:pPr>
      <w:r>
        <w:rPr>
          <w:rFonts w:ascii="Times New Roman" w:hAnsi="Times New Roman"/>
          <w:sz w:val="20"/>
        </w:rPr>
      </w:r>
    </w:p>
    <w:tbl>
      <w:tblPr>
        <w:tblW w:w="5405" w:type="dxa"/>
        <w:jc w:val="left"/>
        <w:tblInd w:w="0" w:type="dxa"/>
        <w:tblCellMar>
          <w:top w:w="0" w:type="dxa"/>
          <w:left w:w="0" w:type="dxa"/>
          <w:bottom w:w="0" w:type="dxa"/>
          <w:right w:w="0" w:type="dxa"/>
        </w:tblCellMar>
      </w:tblPr>
      <w:tblGrid>
        <w:gridCol w:w="2135"/>
        <w:gridCol w:w="60"/>
        <w:gridCol w:w="230"/>
        <w:gridCol w:w="60"/>
        <w:gridCol w:w="2615"/>
        <w:gridCol w:w="60"/>
        <w:gridCol w:w="245"/>
      </w:tblGrid>
      <w:tr>
        <w:trPr/>
        <w:tc>
          <w:tcPr>
            <w:tcW w:w="2135" w:type="dxa"/>
            <w:tcBorders/>
            <w:shd w:fill="auto" w:val="clear"/>
            <w:vAlign w:val="center"/>
          </w:tcPr>
          <w:p>
            <w:pPr>
              <w:pStyle w:val="TableContents"/>
              <w:spacing w:before="0" w:after="0"/>
              <w:rPr/>
            </w:pPr>
            <w:r>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rPr/>
            </w:pPr>
            <w:r>
              <w:rPr/>
              <w:t>☒</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67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pPr>
            <w:r>
              <w:rPr/>
              <w:t>Non-accelerated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rPr/>
            </w:pPr>
            <w:r>
              <w:rPr/>
              <w:t>☐</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pPr>
            <w:r>
              <w:rPr/>
              <w:t>☐</w:t>
            </w:r>
          </w:p>
        </w:tc>
      </w:tr>
      <w:tr>
        <w:trPr/>
        <w:tc>
          <w:tcPr>
            <w:tcW w:w="213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67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pPr>
            <w:r>
              <w:rPr/>
              <w:t>☐</w:t>
            </w:r>
          </w:p>
        </w:tc>
      </w:tr>
    </w:tbl>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540"/>
        <w:jc w:val="left"/>
        <w:rPr>
          <w:rFonts w:ascii="Times New Roman" w:hAnsi="Times New Roman"/>
          <w:color w:val="000000"/>
          <w:sz w:val="20"/>
        </w:rPr>
      </w:pPr>
      <w:r>
        <w:rPr>
          <w:rFonts w:ascii="Times New Roman" w:hAnsi="Times New Roman"/>
          <w:color w:val="000000"/>
          <w:sz w:val="20"/>
        </w:rPr>
        <w:t>As of April 30, 2023, the registrant had 42,265,480 shares of common stock outstanding.</w:t>
      </w:r>
    </w:p>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TABLE OF CONTENTS</w:t>
      </w:r>
      <w:bookmarkStart w:id="0" w:name="TABLEOFCONTENTS"/>
      <w:bookmarkEnd w:id="0"/>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118"/>
        <w:gridCol w:w="60"/>
        <w:gridCol w:w="8586"/>
        <w:gridCol w:w="60"/>
        <w:gridCol w:w="715"/>
      </w:tblGrid>
      <w:tr>
        <w:trPr/>
        <w:tc>
          <w:tcPr>
            <w:tcW w:w="11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283"/>
              <w:rPr/>
            </w:pPr>
            <w:r>
              <w:rPr/>
              <w:t> </w:t>
            </w:r>
          </w:p>
        </w:tc>
      </w:tr>
      <w:tr>
        <w:trPr/>
        <w:tc>
          <w:tcPr>
            <w:tcW w:w="11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5" w:type="dxa"/>
            <w:tcBorders>
              <w:bottom w:val="single" w:sz="12" w:space="0" w:color="000000"/>
            </w:tcBorders>
            <w:shd w:fill="auto" w:val="clear"/>
            <w:tcMar>
              <w:bottom w:w="28" w:type="dxa"/>
            </w:tcMar>
            <w:vAlign w:val="center"/>
          </w:tcPr>
          <w:p>
            <w:pPr>
              <w:pStyle w:val="TableContents"/>
              <w:spacing w:before="0" w:after="0"/>
              <w:jc w:val="center"/>
              <w:rPr>
                <w:b/>
              </w:rPr>
            </w:pPr>
            <w:r>
              <w:rPr>
                <w:b/>
              </w:rPr>
              <w:t>Page No.</w:t>
            </w:r>
          </w:p>
        </w:tc>
      </w:tr>
      <w:tr>
        <w:trPr/>
        <w:tc>
          <w:tcPr>
            <w:tcW w:w="9764" w:type="dxa"/>
            <w:gridSpan w:val="3"/>
            <w:tcBorders/>
            <w:shd w:fill="CCEEFF" w:val="clear"/>
            <w:vAlign w:val="center"/>
          </w:tcPr>
          <w:p>
            <w:pPr>
              <w:pStyle w:val="TableContents"/>
              <w:spacing w:before="0" w:after="0"/>
              <w:rPr/>
            </w:pPr>
            <w:hyperlink w:anchor="FINANCIALINFORMATION">
              <w:r>
                <w:rPr>
                  <w:rStyle w:val="InternetLink"/>
                </w:rPr>
                <w:t>PART I FINANCIAL INFORMATION</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3</w:t>
            </w:r>
          </w:p>
        </w:tc>
      </w:tr>
      <w:tr>
        <w:trPr/>
        <w:tc>
          <w:tcPr>
            <w:tcW w:w="1118" w:type="dxa"/>
            <w:tcBorders/>
            <w:shd w:fill="auto" w:val="clear"/>
            <w:vAlign w:val="center"/>
          </w:tcPr>
          <w:p>
            <w:pPr>
              <w:pStyle w:val="TableContents"/>
              <w:spacing w:before="0" w:after="0"/>
              <w:ind w:left="0" w:right="0" w:firstLine="480"/>
              <w:rPr/>
            </w:pPr>
            <w:r>
              <w:rPr/>
              <w:t>Item 1.</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Item1.">
              <w:r>
                <w:rPr>
                  <w:rStyle w:val="InternetLink"/>
                </w:rPr>
                <w:t>Interim Consolidated Financial Statements (Unaudited)</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3</w:t>
            </w:r>
          </w:p>
        </w:tc>
      </w:tr>
      <w:tr>
        <w:trPr/>
        <w:tc>
          <w:tcPr>
            <w:tcW w:w="11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BALANCESHEETS">
              <w:r>
                <w:rPr>
                  <w:rStyle w:val="InternetLink"/>
                </w:rPr>
                <w:t>Magnachip Semiconductor Corporation and Subsidiaries Consolidated Balance Sheets as of March 31, 2023 and December 31, 2022</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3</w:t>
            </w:r>
          </w:p>
        </w:tc>
      </w:tr>
      <w:tr>
        <w:trPr/>
        <w:tc>
          <w:tcPr>
            <w:tcW w:w="11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STATEMENTSOFOPERATIONS">
              <w:r>
                <w:rPr>
                  <w:rStyle w:val="InternetLink"/>
                </w:rPr>
                <w:t>Magnachip Semiconductor Corporation and Subsidiaries Consolidated Statements of Operations for the Three Months Ended March 31, 2023 and 2022</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w:t>
            </w:r>
          </w:p>
        </w:tc>
      </w:tr>
      <w:tr>
        <w:trPr/>
        <w:tc>
          <w:tcPr>
            <w:tcW w:w="11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COMPREHENSIVEINCOME">
              <w:r>
                <w:rPr>
                  <w:rStyle w:val="InternetLink"/>
                </w:rPr>
                <w:t>Magnachip Semiconductor Corporation and Subsidiaries Consolidated Statements of Comprehensive Income (Loss) for the Three Months Ended March 31, 2023 and 2022</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5</w:t>
            </w:r>
          </w:p>
        </w:tc>
      </w:tr>
      <w:tr>
        <w:trPr/>
        <w:tc>
          <w:tcPr>
            <w:tcW w:w="11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STOCKHOLDERSEQUITY">
              <w:r>
                <w:rPr>
                  <w:rStyle w:val="InternetLink"/>
                </w:rPr>
                <w:t>Magnachip Semiconductor Corporation and Subsidiaries Consolidated Statements of Changes in Stockholders’ Equity for the Three Months Ended March 31, 2023 and 2022</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6</w:t>
            </w:r>
          </w:p>
        </w:tc>
      </w:tr>
      <w:tr>
        <w:trPr/>
        <w:tc>
          <w:tcPr>
            <w:tcW w:w="11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CASHFLOWS">
              <w:r>
                <w:rPr>
                  <w:rStyle w:val="InternetLink"/>
                </w:rPr>
                <w:t>Magnachip Semiconductor Corporation and Subsidiaries Consolidated Statements of Cash Flows for the Three Months Ended March 31, 2023 and 2022</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7</w:t>
            </w:r>
          </w:p>
        </w:tc>
      </w:tr>
      <w:tr>
        <w:trPr/>
        <w:tc>
          <w:tcPr>
            <w:tcW w:w="11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NOTES">
              <w:r>
                <w:rPr>
                  <w:rStyle w:val="InternetLink"/>
                </w:rPr>
                <w:t>Magnachip Semiconductor Corporation and Subsidiaries Notes to Consolidated Financial Statements</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8</w:t>
            </w:r>
          </w:p>
        </w:tc>
      </w:tr>
      <w:tr>
        <w:trPr/>
        <w:tc>
          <w:tcPr>
            <w:tcW w:w="1118" w:type="dxa"/>
            <w:tcBorders/>
            <w:shd w:fill="CCEEFF" w:val="clear"/>
            <w:vAlign w:val="center"/>
          </w:tcPr>
          <w:p>
            <w:pPr>
              <w:pStyle w:val="TableContents"/>
              <w:spacing w:before="0" w:after="0"/>
              <w:ind w:left="0" w:right="0" w:firstLine="480"/>
              <w:rPr/>
            </w:pPr>
            <w:r>
              <w:rPr/>
              <w:t>Item 2.</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ManagementsDiscussionandA">
              <w:r>
                <w:rPr>
                  <w:rStyle w:val="InternetLink"/>
                </w:rPr>
                <w:t>Management’s Discussion and Analysis of Financial Condition and Results of Operations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25</w:t>
            </w:r>
          </w:p>
        </w:tc>
      </w:tr>
      <w:tr>
        <w:trPr/>
        <w:tc>
          <w:tcPr>
            <w:tcW w:w="1118" w:type="dxa"/>
            <w:tcBorders/>
            <w:shd w:fill="auto" w:val="clear"/>
            <w:vAlign w:val="center"/>
          </w:tcPr>
          <w:p>
            <w:pPr>
              <w:pStyle w:val="TableContents"/>
              <w:spacing w:before="0" w:after="0"/>
              <w:ind w:left="0" w:right="0" w:firstLine="480"/>
              <w:rPr/>
            </w:pPr>
            <w:r>
              <w:rPr/>
              <w:t>Item 3.</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QuantitativeandQualitativ">
              <w:r>
                <w:rPr>
                  <w:rStyle w:val="InternetLink"/>
                </w:rPr>
                <w:t>Quantitative and Qualitative Disclosures About Market Risk</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42</w:t>
            </w:r>
          </w:p>
        </w:tc>
      </w:tr>
      <w:tr>
        <w:trPr/>
        <w:tc>
          <w:tcPr>
            <w:tcW w:w="1118" w:type="dxa"/>
            <w:tcBorders/>
            <w:shd w:fill="CCEEFF" w:val="clear"/>
            <w:vAlign w:val="center"/>
          </w:tcPr>
          <w:p>
            <w:pPr>
              <w:pStyle w:val="TableContents"/>
              <w:spacing w:before="0" w:after="0"/>
              <w:ind w:left="0" w:right="0" w:firstLine="480"/>
              <w:rPr/>
            </w:pPr>
            <w:r>
              <w:rPr/>
              <w:t>Item 4.</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ControlsandProcedures">
              <w:r>
                <w:rPr>
                  <w:rStyle w:val="InternetLink"/>
                </w:rPr>
                <w:t>Controls and Procedures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43</w:t>
            </w:r>
          </w:p>
        </w:tc>
      </w:tr>
      <w:tr>
        <w:trPr/>
        <w:tc>
          <w:tcPr>
            <w:tcW w:w="9764" w:type="dxa"/>
            <w:gridSpan w:val="3"/>
            <w:tcBorders/>
            <w:shd w:fill="auto" w:val="clear"/>
            <w:vAlign w:val="center"/>
          </w:tcPr>
          <w:p>
            <w:pPr>
              <w:pStyle w:val="TableContents"/>
              <w:spacing w:before="0" w:after="0"/>
              <w:rPr/>
            </w:pPr>
            <w:hyperlink w:anchor="OTHERINFORMATION">
              <w:r>
                <w:rPr>
                  <w:rStyle w:val="InternetLink"/>
                </w:rPr>
                <w:t>PART II OTHER INFORMATION</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44</w:t>
            </w:r>
          </w:p>
        </w:tc>
      </w:tr>
      <w:tr>
        <w:trPr/>
        <w:tc>
          <w:tcPr>
            <w:tcW w:w="1118" w:type="dxa"/>
            <w:tcBorders/>
            <w:shd w:fill="CCEEFF" w:val="clear"/>
            <w:vAlign w:val="center"/>
          </w:tcPr>
          <w:p>
            <w:pPr>
              <w:pStyle w:val="TableContents"/>
              <w:spacing w:before="0" w:after="0"/>
              <w:ind w:left="0" w:right="0" w:firstLine="480"/>
              <w:rPr/>
            </w:pPr>
            <w:r>
              <w:rPr/>
              <w:t>Item 1.</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LegalProceedings">
              <w:r>
                <w:rPr>
                  <w:rStyle w:val="InternetLink"/>
                </w:rPr>
                <w:t>Legal Proceedings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44</w:t>
            </w:r>
          </w:p>
        </w:tc>
      </w:tr>
      <w:tr>
        <w:trPr/>
        <w:tc>
          <w:tcPr>
            <w:tcW w:w="1118" w:type="dxa"/>
            <w:tcBorders/>
            <w:shd w:fill="auto" w:val="clear"/>
            <w:vAlign w:val="center"/>
          </w:tcPr>
          <w:p>
            <w:pPr>
              <w:pStyle w:val="TableContents"/>
              <w:spacing w:before="0" w:after="0"/>
              <w:ind w:left="0" w:right="0" w:firstLine="480"/>
              <w:rPr/>
            </w:pPr>
            <w:r>
              <w:rPr/>
              <w:t>Item 1A.</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RiskFactors">
              <w:r>
                <w:rPr>
                  <w:rStyle w:val="InternetLink"/>
                </w:rPr>
                <w:t>Risk Factors</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44</w:t>
            </w:r>
          </w:p>
        </w:tc>
      </w:tr>
      <w:tr>
        <w:trPr/>
        <w:tc>
          <w:tcPr>
            <w:tcW w:w="1118" w:type="dxa"/>
            <w:tcBorders/>
            <w:shd w:fill="CCEEFF" w:val="clear"/>
            <w:vAlign w:val="center"/>
          </w:tcPr>
          <w:p>
            <w:pPr>
              <w:pStyle w:val="TableContents"/>
              <w:spacing w:before="0" w:after="0"/>
              <w:ind w:left="0" w:right="0" w:firstLine="480"/>
              <w:rPr/>
            </w:pPr>
            <w:r>
              <w:rPr/>
              <w:t>Item 2.</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UnregisteredSalesofEquity">
              <w:r>
                <w:rPr>
                  <w:rStyle w:val="InternetLink"/>
                </w:rPr>
                <w:t>Unregistered Sales of Equity Securities and Use of Proceeds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44</w:t>
            </w:r>
          </w:p>
        </w:tc>
      </w:tr>
      <w:tr>
        <w:trPr/>
        <w:tc>
          <w:tcPr>
            <w:tcW w:w="1118" w:type="dxa"/>
            <w:tcBorders/>
            <w:shd w:fill="auto" w:val="clear"/>
            <w:vAlign w:val="center"/>
          </w:tcPr>
          <w:p>
            <w:pPr>
              <w:pStyle w:val="TableContents"/>
              <w:spacing w:before="0" w:after="0"/>
              <w:ind w:left="0" w:right="0" w:firstLine="480"/>
              <w:rPr/>
            </w:pPr>
            <w:r>
              <w:rPr/>
              <w:t>Item 3.</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DefaultsUponSeniorSecurit">
              <w:r>
                <w:rPr>
                  <w:rStyle w:val="InternetLink"/>
                </w:rPr>
                <w:t>Defaults Upon Senior Securities</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44</w:t>
            </w:r>
          </w:p>
        </w:tc>
      </w:tr>
      <w:tr>
        <w:trPr/>
        <w:tc>
          <w:tcPr>
            <w:tcW w:w="1118" w:type="dxa"/>
            <w:tcBorders/>
            <w:shd w:fill="CCEEFF" w:val="clear"/>
            <w:vAlign w:val="center"/>
          </w:tcPr>
          <w:p>
            <w:pPr>
              <w:pStyle w:val="TableContents"/>
              <w:spacing w:before="0" w:after="0"/>
              <w:ind w:left="0" w:right="0" w:firstLine="480"/>
              <w:rPr/>
            </w:pPr>
            <w:r>
              <w:rPr/>
              <w:t>Item 4.</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MineSafetyDisclosures">
              <w:r>
                <w:rPr>
                  <w:rStyle w:val="InternetLink"/>
                </w:rPr>
                <w:t>Mine Safety Disclosures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44</w:t>
            </w:r>
          </w:p>
        </w:tc>
      </w:tr>
      <w:tr>
        <w:trPr/>
        <w:tc>
          <w:tcPr>
            <w:tcW w:w="1118" w:type="dxa"/>
            <w:tcBorders/>
            <w:shd w:fill="auto" w:val="clear"/>
            <w:vAlign w:val="center"/>
          </w:tcPr>
          <w:p>
            <w:pPr>
              <w:pStyle w:val="TableContents"/>
              <w:spacing w:before="0" w:after="0"/>
              <w:ind w:left="0" w:right="0" w:firstLine="480"/>
              <w:rPr/>
            </w:pPr>
            <w:r>
              <w:rPr/>
              <w:t>Item 5.</w:t>
            </w:r>
          </w:p>
        </w:tc>
        <w:tc>
          <w:tcPr>
            <w:tcW w:w="60" w:type="dxa"/>
            <w:tcBorders/>
            <w:shd w:fill="auto" w:val="clear"/>
            <w:vAlign w:val="center"/>
          </w:tcPr>
          <w:p>
            <w:pPr>
              <w:pStyle w:val="TableContents"/>
              <w:spacing w:before="0" w:after="283"/>
              <w:rPr/>
            </w:pPr>
            <w:r>
              <w:rPr/>
              <w:t> </w:t>
            </w:r>
          </w:p>
        </w:tc>
        <w:tc>
          <w:tcPr>
            <w:tcW w:w="8586" w:type="dxa"/>
            <w:tcBorders/>
            <w:shd w:fill="auto" w:val="clear"/>
            <w:vAlign w:val="center"/>
          </w:tcPr>
          <w:p>
            <w:pPr>
              <w:pStyle w:val="TableContents"/>
              <w:spacing w:before="0" w:after="0"/>
              <w:rPr/>
            </w:pPr>
            <w:hyperlink w:anchor="OtherInformation">
              <w:r>
                <w:rPr>
                  <w:rStyle w:val="InternetLink"/>
                </w:rPr>
                <w:t>Other Information</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44</w:t>
            </w:r>
          </w:p>
        </w:tc>
      </w:tr>
      <w:tr>
        <w:trPr/>
        <w:tc>
          <w:tcPr>
            <w:tcW w:w="1118" w:type="dxa"/>
            <w:tcBorders/>
            <w:shd w:fill="CCEEFF" w:val="clear"/>
            <w:vAlign w:val="center"/>
          </w:tcPr>
          <w:p>
            <w:pPr>
              <w:pStyle w:val="TableContents"/>
              <w:spacing w:before="0" w:after="0"/>
              <w:ind w:left="0" w:right="0" w:firstLine="480"/>
              <w:rPr/>
            </w:pPr>
            <w:r>
              <w:rPr/>
              <w:t>Item 6.</w:t>
            </w:r>
          </w:p>
        </w:tc>
        <w:tc>
          <w:tcPr>
            <w:tcW w:w="60" w:type="dxa"/>
            <w:tcBorders/>
            <w:shd w:fill="CCEEFF" w:val="clear"/>
            <w:vAlign w:val="center"/>
          </w:tcPr>
          <w:p>
            <w:pPr>
              <w:pStyle w:val="TableContents"/>
              <w:spacing w:before="0" w:after="283"/>
              <w:rPr/>
            </w:pPr>
            <w:r>
              <w:rPr/>
              <w:t> </w:t>
            </w:r>
          </w:p>
        </w:tc>
        <w:tc>
          <w:tcPr>
            <w:tcW w:w="8586" w:type="dxa"/>
            <w:tcBorders/>
            <w:shd w:fill="CCEEFF" w:val="clear"/>
            <w:vAlign w:val="center"/>
          </w:tcPr>
          <w:p>
            <w:pPr>
              <w:pStyle w:val="TableContents"/>
              <w:spacing w:before="0" w:after="0"/>
              <w:rPr/>
            </w:pPr>
            <w:hyperlink w:anchor="Exhibits.">
              <w:r>
                <w:rPr>
                  <w:rStyle w:val="InternetLink"/>
                </w:rPr>
                <w:t>Exhibits</w:t>
              </w:r>
            </w:hyperlink>
          </w:p>
        </w:tc>
        <w:tc>
          <w:tcPr>
            <w:tcW w:w="60"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0"/>
              <w:jc w:val="right"/>
              <w:rPr/>
            </w:pPr>
            <w:r>
              <w:rPr/>
              <w:t>45</w:t>
            </w:r>
          </w:p>
        </w:tc>
      </w:tr>
      <w:tr>
        <w:trPr/>
        <w:tc>
          <w:tcPr>
            <w:tcW w:w="9764" w:type="dxa"/>
            <w:gridSpan w:val="3"/>
            <w:tcBorders/>
            <w:shd w:fill="auto" w:val="clear"/>
            <w:vAlign w:val="center"/>
          </w:tcPr>
          <w:p>
            <w:pPr>
              <w:pStyle w:val="TableContents"/>
              <w:spacing w:before="0" w:after="0"/>
              <w:rPr/>
            </w:pPr>
            <w:hyperlink w:anchor="SIGNATURES">
              <w:r>
                <w:rPr>
                  <w:rStyle w:val="InternetLink"/>
                </w:rPr>
                <w:t>SIGNATURES</w:t>
              </w:r>
            </w:hyperlink>
          </w:p>
        </w:tc>
        <w:tc>
          <w:tcPr>
            <w:tcW w:w="60" w:type="dxa"/>
            <w:tcBorders/>
            <w:shd w:fill="auto" w:val="clear"/>
            <w:vAlign w:val="center"/>
          </w:tcPr>
          <w:p>
            <w:pPr>
              <w:pStyle w:val="TableContents"/>
              <w:spacing w:before="0" w:after="283"/>
              <w:rPr/>
            </w:pPr>
            <w:r>
              <w:rPr/>
              <w:t> </w:t>
            </w:r>
          </w:p>
        </w:tc>
        <w:tc>
          <w:tcPr>
            <w:tcW w:w="715" w:type="dxa"/>
            <w:tcBorders/>
            <w:shd w:fill="auto" w:val="clear"/>
            <w:vAlign w:val="center"/>
          </w:tcPr>
          <w:p>
            <w:pPr>
              <w:pStyle w:val="TableContents"/>
              <w:spacing w:before="0" w:after="0"/>
              <w:jc w:val="right"/>
              <w:rPr/>
            </w:pPr>
            <w:r>
              <w:rPr/>
              <w:t>46</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PART I—FINANCIAL INFORMATION</w:t>
      </w:r>
      <w:bookmarkStart w:id="1" w:name="FINANCIALINFORMATION"/>
      <w:bookmarkEnd w:id="1"/>
    </w:p>
    <w:p>
      <w:pPr>
        <w:pStyle w:val="TextBody"/>
        <w:spacing w:before="0" w:after="0"/>
        <w:jc w:val="left"/>
        <w:rPr>
          <w:rFonts w:ascii="Times New Roman" w:hAnsi="Times New Roman"/>
          <w:sz w:val="20"/>
        </w:rPr>
      </w:pPr>
      <w:r>
        <w:rPr>
          <w:rFonts w:ascii="Times New Roman" w:hAnsi="Times New Roman"/>
          <w:sz w:val="20"/>
        </w:rPr>
      </w:r>
    </w:p>
    <w:p>
      <w:pPr>
        <w:pStyle w:val="Normal"/>
        <w:spacing w:before="0" w:after="0"/>
        <w:jc w:val="left"/>
        <w:rPr>
          <w:sz w:val="4"/>
          <w:szCs w:val="4"/>
        </w:rPr>
      </w:pPr>
      <w:r>
        <w:rPr>
          <w:sz w:val="4"/>
          <w:szCs w:val="4"/>
        </w:rPr>
      </w:r>
      <w:bookmarkStart w:id="2" w:name="Item1."/>
      <w:bookmarkStart w:id="3" w:name="Item1."/>
      <w:bookmarkEnd w:id="3"/>
    </w:p>
    <w:tbl>
      <w:tblPr>
        <w:tblW w:w="6400" w:type="dxa"/>
        <w:jc w:val="left"/>
        <w:tblInd w:w="0" w:type="dxa"/>
        <w:tblCellMar>
          <w:top w:w="0" w:type="dxa"/>
          <w:left w:w="0" w:type="dxa"/>
          <w:bottom w:w="0" w:type="dxa"/>
          <w:right w:w="0" w:type="dxa"/>
        </w:tblCellMar>
      </w:tblPr>
      <w:tblGrid>
        <w:gridCol w:w="740"/>
        <w:gridCol w:w="5660"/>
      </w:tblGrid>
      <w:tr>
        <w:trPr/>
        <w:tc>
          <w:tcPr>
            <w:tcW w:w="740" w:type="dxa"/>
            <w:tcBorders/>
            <w:shd w:fill="auto" w:val="clear"/>
            <w:vAlign w:val="center"/>
          </w:tcPr>
          <w:p>
            <w:pPr>
              <w:pStyle w:val="TableContents"/>
              <w:spacing w:before="0" w:after="283"/>
              <w:rPr>
                <w:b/>
              </w:rPr>
            </w:pPr>
            <w:r>
              <w:rPr>
                <w:b/>
              </w:rPr>
              <w:t>Item 1.</w:t>
            </w:r>
          </w:p>
        </w:tc>
        <w:tc>
          <w:tcPr>
            <w:tcW w:w="5660" w:type="dxa"/>
            <w:tcBorders/>
            <w:shd w:fill="auto" w:val="clear"/>
            <w:vAlign w:val="center"/>
          </w:tcPr>
          <w:p>
            <w:pPr>
              <w:pStyle w:val="TableContents"/>
              <w:spacing w:before="0" w:after="0"/>
              <w:rPr>
                <w:b/>
              </w:rPr>
            </w:pPr>
            <w:r>
              <w:rPr>
                <w:b/>
              </w:rPr>
              <w:t>Interim Consolidated Financial Statements (Unaudited)</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4" w:name="BALANCESHEETS"/>
      <w:bookmarkEnd w:id="4"/>
      <w:r>
        <w:rPr>
          <w:rFonts w:ascii="Times New Roman" w:hAnsi="Times New Roman"/>
          <w:b/>
          <w:color w:val="000000"/>
          <w:sz w:val="20"/>
        </w:rPr>
        <w:t>BALANCE SHEETS (Unaudited)</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7325"/>
        <w:gridCol w:w="60"/>
        <w:gridCol w:w="180"/>
        <w:gridCol w:w="1131"/>
        <w:gridCol w:w="119"/>
        <w:gridCol w:w="75"/>
        <w:gridCol w:w="210"/>
        <w:gridCol w:w="1325"/>
        <w:gridCol w:w="114"/>
      </w:tblGrid>
      <w:tr>
        <w:trPr/>
        <w:tc>
          <w:tcPr>
            <w:tcW w:w="73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1"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53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114" w:type="dxa"/>
            <w:tcBorders/>
            <w:shd w:fill="auto"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40" w:type="dxa"/>
            <w:gridSpan w:val="6"/>
            <w:tcBorders/>
            <w:shd w:fill="auto" w:val="clear"/>
            <w:vAlign w:val="bottom"/>
          </w:tcPr>
          <w:p>
            <w:pPr>
              <w:pStyle w:val="TableContents"/>
              <w:spacing w:before="0" w:after="0"/>
              <w:jc w:val="center"/>
              <w:rPr>
                <w:b/>
              </w:rPr>
            </w:pPr>
            <w:r>
              <w:rPr>
                <w:b/>
              </w:rPr>
              <w:t>(In thousands of U.S. dollars, except share data)</w:t>
            </w:r>
          </w:p>
        </w:tc>
        <w:tc>
          <w:tcPr>
            <w:tcW w:w="114" w:type="dxa"/>
            <w:tcBorders/>
            <w:shd w:fill="auto"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b/>
              </w:rPr>
            </w:pPr>
            <w:r>
              <w:rPr>
                <w:b/>
              </w:rPr>
              <w:t>Assets</w:t>
            </w:r>
          </w:p>
        </w:tc>
        <w:tc>
          <w:tcPr>
            <w:tcW w:w="60" w:type="dxa"/>
            <w:tcBorders/>
            <w:shd w:fill="auto" w:val="clear"/>
            <w:vAlign w:val="bottom"/>
          </w:tcPr>
          <w:p>
            <w:pPr>
              <w:pStyle w:val="TableContents"/>
              <w:spacing w:before="0" w:after="283"/>
              <w:rPr/>
            </w:pPr>
            <w:r>
              <w:rPr/>
              <w:t> </w:t>
            </w:r>
          </w:p>
        </w:tc>
        <w:tc>
          <w:tcPr>
            <w:tcW w:w="1311"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535"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Current assets</w:t>
            </w:r>
          </w:p>
        </w:tc>
        <w:tc>
          <w:tcPr>
            <w:tcW w:w="60" w:type="dxa"/>
            <w:tcBorders/>
            <w:shd w:fill="auto" w:val="clear"/>
            <w:vAlign w:val="bottom"/>
          </w:tcPr>
          <w:p>
            <w:pPr>
              <w:pStyle w:val="TableContents"/>
              <w:spacing w:before="0" w:after="283"/>
              <w:rPr/>
            </w:pPr>
            <w:r>
              <w:rPr/>
              <w:t> </w:t>
            </w:r>
          </w:p>
        </w:tc>
        <w:tc>
          <w:tcPr>
            <w:tcW w:w="1311"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535"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Cash and cash equivalents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0"/>
              <w:jc w:val="left"/>
              <w:rPr/>
            </w:pPr>
            <w:r>
              <w:rPr/>
              <w:t>$</w:t>
            </w:r>
          </w:p>
        </w:tc>
        <w:tc>
          <w:tcPr>
            <w:tcW w:w="1131" w:type="dxa"/>
            <w:tcBorders/>
            <w:shd w:fill="CCEEFF" w:val="clear"/>
            <w:vAlign w:val="bottom"/>
          </w:tcPr>
          <w:p>
            <w:pPr>
              <w:pStyle w:val="TableContents"/>
              <w:spacing w:before="0" w:after="0"/>
              <w:jc w:val="right"/>
              <w:rPr/>
            </w:pPr>
            <w:r>
              <w:rPr/>
              <w:t>212,085</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0"/>
              <w:jc w:val="left"/>
              <w:rPr/>
            </w:pPr>
            <w:r>
              <w:rPr/>
              <w:t>$</w:t>
            </w:r>
          </w:p>
        </w:tc>
        <w:tc>
          <w:tcPr>
            <w:tcW w:w="1325" w:type="dxa"/>
            <w:tcBorders/>
            <w:shd w:fill="CCEEFF" w:val="clear"/>
            <w:vAlign w:val="bottom"/>
          </w:tcPr>
          <w:p>
            <w:pPr>
              <w:pStyle w:val="TableContents"/>
              <w:spacing w:before="0" w:after="0"/>
              <w:jc w:val="right"/>
              <w:rPr/>
            </w:pPr>
            <w:r>
              <w:rPr/>
              <w:t>225,477</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Accounts receivable, net</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32,143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35,380</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Inventories, net</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36,360</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39,883</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Other receivables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5,342</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7,847</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Prepaid expenses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11,238</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10,560</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Hedge collateral (Note 7)</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2,820</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2,940</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Other current assets (Note 18)</w:t>
            </w:r>
          </w:p>
        </w:tc>
        <w:tc>
          <w:tcPr>
            <w:tcW w:w="60" w:type="dxa"/>
            <w:tcBorders/>
            <w:shd w:fill="CCEEFF" w:val="clear"/>
            <w:vAlign w:val="bottom"/>
          </w:tcPr>
          <w:p>
            <w:pPr>
              <w:pStyle w:val="TableContents"/>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spacing w:before="0" w:after="0"/>
              <w:jc w:val="right"/>
              <w:rPr/>
            </w:pPr>
            <w:r>
              <w:rPr/>
              <w:t>14,927</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spacing w:before="0" w:after="0"/>
              <w:jc w:val="right"/>
              <w:rPr/>
            </w:pPr>
            <w:r>
              <w:rPr/>
              <w:t>15,766</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504" w:right="0" w:hanging="144"/>
              <w:rPr/>
            </w:pPr>
            <w:r>
              <w:rPr/>
              <w:t>Total current assets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314,915</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337,853</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Property, plant and equipment, net</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104,568</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110,747</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Operating lease right-of-use assets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5,413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5,265</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Intangible assets, net</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1,784</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1,930</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Long-term prepaid expenses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9,101</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10,939</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Deferred income taxes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37,380</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38,324</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Other non-current assets</w:t>
            </w:r>
          </w:p>
        </w:tc>
        <w:tc>
          <w:tcPr>
            <w:tcW w:w="60" w:type="dxa"/>
            <w:tcBorders/>
            <w:shd w:fill="auto" w:val="clear"/>
            <w:vAlign w:val="bottom"/>
          </w:tcPr>
          <w:p>
            <w:pPr>
              <w:pStyle w:val="TableContents"/>
              <w:spacing w:before="0" w:after="283"/>
              <w:jc w:val="right"/>
              <w:rPr/>
            </w:pPr>
            <w:r>
              <w:rPr/>
              <w:t> </w:t>
            </w:r>
          </w:p>
        </w:tc>
        <w:tc>
          <w:tcPr>
            <w:tcW w:w="1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auto" w:val="clear"/>
            <w:tcMar>
              <w:bottom w:w="28" w:type="dxa"/>
            </w:tcMar>
            <w:vAlign w:val="bottom"/>
          </w:tcPr>
          <w:p>
            <w:pPr>
              <w:pStyle w:val="TableContents"/>
              <w:spacing w:before="0" w:after="0"/>
              <w:jc w:val="right"/>
              <w:rPr/>
            </w:pPr>
            <w:r>
              <w:rPr/>
              <w:t>14,683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auto" w:val="clear"/>
            <w:tcMar>
              <w:bottom w:w="28" w:type="dxa"/>
            </w:tcMar>
            <w:vAlign w:val="bottom"/>
          </w:tcPr>
          <w:p>
            <w:pPr>
              <w:pStyle w:val="TableContents"/>
              <w:spacing w:before="0" w:after="0"/>
              <w:jc w:val="right"/>
              <w:rPr/>
            </w:pPr>
            <w:r>
              <w:rPr/>
              <w:t>11,587</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504" w:right="0" w:hanging="144"/>
              <w:rPr/>
            </w:pPr>
            <w:r>
              <w:rPr/>
              <w:t>Total assets</w:t>
            </w:r>
          </w:p>
        </w:tc>
        <w:tc>
          <w:tcPr>
            <w:tcW w:w="60" w:type="dxa"/>
            <w:tcBorders/>
            <w:shd w:fill="CCEEFF" w:val="clear"/>
            <w:vAlign w:val="bottom"/>
          </w:tcPr>
          <w:p>
            <w:pPr>
              <w:pStyle w:val="TableContents"/>
              <w:spacing w:before="0" w:after="283"/>
              <w:jc w:val="right"/>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31" w:type="dxa"/>
            <w:tcBorders>
              <w:bottom w:val="double" w:sz="8" w:space="0" w:color="000000"/>
            </w:tcBorders>
            <w:shd w:fill="CCEEFF" w:val="clear"/>
            <w:tcMar>
              <w:bottom w:w="28" w:type="dxa"/>
            </w:tcMar>
            <w:vAlign w:val="bottom"/>
          </w:tcPr>
          <w:p>
            <w:pPr>
              <w:pStyle w:val="TableContents"/>
              <w:spacing w:before="0" w:after="0"/>
              <w:jc w:val="right"/>
              <w:rPr/>
            </w:pPr>
            <w:r>
              <w:rPr/>
              <w:t>487,844</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325" w:type="dxa"/>
            <w:tcBorders>
              <w:bottom w:val="double" w:sz="8" w:space="0" w:color="000000"/>
            </w:tcBorders>
            <w:shd w:fill="CCEEFF" w:val="clear"/>
            <w:tcMar>
              <w:bottom w:w="28" w:type="dxa"/>
            </w:tcMar>
            <w:vAlign w:val="bottom"/>
          </w:tcPr>
          <w:p>
            <w:pPr>
              <w:pStyle w:val="TableContents"/>
              <w:spacing w:before="0" w:after="0"/>
              <w:jc w:val="right"/>
              <w:rPr/>
            </w:pPr>
            <w:r>
              <w:rPr/>
              <w:t>516,645</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b/>
              </w:rPr>
            </w:pPr>
            <w:r>
              <w:rPr>
                <w:b/>
              </w:rPr>
              <w:t>Liabilities and Stockholders’ Equity</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Current liabilities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Accounts payable</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0"/>
              <w:jc w:val="left"/>
              <w:rPr/>
            </w:pPr>
            <w:r>
              <w:rPr/>
              <w:t>$</w:t>
            </w:r>
          </w:p>
        </w:tc>
        <w:tc>
          <w:tcPr>
            <w:tcW w:w="1131" w:type="dxa"/>
            <w:tcBorders/>
            <w:shd w:fill="auto" w:val="clear"/>
            <w:vAlign w:val="bottom"/>
          </w:tcPr>
          <w:p>
            <w:pPr>
              <w:pStyle w:val="TableContents"/>
              <w:spacing w:before="0" w:after="0"/>
              <w:jc w:val="right"/>
              <w:rPr/>
            </w:pPr>
            <w:r>
              <w:rPr/>
              <w:t>19,921</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0"/>
              <w:jc w:val="left"/>
              <w:rPr/>
            </w:pPr>
            <w:r>
              <w:rPr/>
              <w:t>$</w:t>
            </w:r>
          </w:p>
        </w:tc>
        <w:tc>
          <w:tcPr>
            <w:tcW w:w="1325" w:type="dxa"/>
            <w:tcBorders/>
            <w:shd w:fill="auto" w:val="clear"/>
            <w:vAlign w:val="bottom"/>
          </w:tcPr>
          <w:p>
            <w:pPr>
              <w:pStyle w:val="TableContents"/>
              <w:spacing w:before="0" w:after="0"/>
              <w:jc w:val="right"/>
              <w:rPr/>
            </w:pPr>
            <w:r>
              <w:rPr/>
              <w:t>17,998</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Other accounts payable</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9,216</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9,702</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Accrued expenses (Note 6)</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17,125</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9,688</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Accrued income taxes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146</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3,154</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Operating lease liabilities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1,622</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1,397</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Other current liabilities</w:t>
            </w:r>
          </w:p>
        </w:tc>
        <w:tc>
          <w:tcPr>
            <w:tcW w:w="60" w:type="dxa"/>
            <w:tcBorders/>
            <w:shd w:fill="CCEEFF" w:val="clear"/>
            <w:vAlign w:val="bottom"/>
          </w:tcPr>
          <w:p>
            <w:pPr>
              <w:pStyle w:val="TableContents"/>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spacing w:before="0" w:after="0"/>
              <w:jc w:val="right"/>
              <w:rPr/>
            </w:pPr>
            <w:r>
              <w:rPr/>
              <w:t>5,261</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spacing w:before="0" w:after="0"/>
              <w:jc w:val="right"/>
              <w:rPr/>
            </w:pPr>
            <w:r>
              <w:rPr/>
              <w:t>5,306</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504" w:right="0" w:hanging="144"/>
              <w:rPr/>
            </w:pPr>
            <w:r>
              <w:rPr/>
              <w:t>Total current liabilities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53,291</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47,245</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Accrued severance benefits, net</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23,608</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23,121</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Non-current operating lease liabilities</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3,996</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4,091</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Other non-current liabilities</w:t>
            </w:r>
          </w:p>
        </w:tc>
        <w:tc>
          <w:tcPr>
            <w:tcW w:w="60" w:type="dxa"/>
            <w:tcBorders/>
            <w:shd w:fill="CCEEFF" w:val="clear"/>
            <w:vAlign w:val="bottom"/>
          </w:tcPr>
          <w:p>
            <w:pPr>
              <w:pStyle w:val="TableContents"/>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spacing w:before="0" w:after="0"/>
              <w:jc w:val="right"/>
              <w:rPr/>
            </w:pPr>
            <w:r>
              <w:rPr/>
              <w:t>13,596</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spacing w:before="0" w:after="0"/>
              <w:jc w:val="right"/>
              <w:rPr/>
            </w:pPr>
            <w:r>
              <w:rPr/>
              <w:t>14,035</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504" w:right="0" w:hanging="144"/>
              <w:rPr/>
            </w:pPr>
            <w:r>
              <w:rPr/>
              <w:t>Total liabilities</w:t>
            </w:r>
          </w:p>
        </w:tc>
        <w:tc>
          <w:tcPr>
            <w:tcW w:w="60" w:type="dxa"/>
            <w:tcBorders/>
            <w:shd w:fill="auto" w:val="clear"/>
            <w:vAlign w:val="bottom"/>
          </w:tcPr>
          <w:p>
            <w:pPr>
              <w:pStyle w:val="TableContents"/>
              <w:spacing w:before="0" w:after="283"/>
              <w:jc w:val="right"/>
              <w:rPr/>
            </w:pPr>
            <w:r>
              <w:rPr/>
              <w:t> </w:t>
            </w:r>
          </w:p>
        </w:tc>
        <w:tc>
          <w:tcPr>
            <w:tcW w:w="1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auto" w:val="clear"/>
            <w:tcMar>
              <w:bottom w:w="28" w:type="dxa"/>
            </w:tcMar>
            <w:vAlign w:val="bottom"/>
          </w:tcPr>
          <w:p>
            <w:pPr>
              <w:pStyle w:val="TableContents"/>
              <w:spacing w:before="0" w:after="0"/>
              <w:jc w:val="right"/>
              <w:rPr/>
            </w:pPr>
            <w:r>
              <w:rPr/>
              <w:t>94,491</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auto" w:val="clear"/>
            <w:tcMar>
              <w:bottom w:w="28" w:type="dxa"/>
            </w:tcMar>
            <w:vAlign w:val="bottom"/>
          </w:tcPr>
          <w:p>
            <w:pPr>
              <w:pStyle w:val="TableContents"/>
              <w:spacing w:before="0" w:after="0"/>
              <w:jc w:val="right"/>
              <w:rPr/>
            </w:pPr>
            <w:r>
              <w:rPr/>
              <w:t>88,492</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144" w:right="0" w:hanging="144"/>
              <w:rPr/>
            </w:pPr>
            <w:r>
              <w:rPr/>
              <w:t>Commitments and contingencies (Note 18)</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144" w:right="0" w:hanging="144"/>
              <w:rPr/>
            </w:pPr>
            <w:r>
              <w:rPr/>
              <w:t>Stockholders’ equity</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60" w:right="0" w:hanging="0"/>
              <w:rPr/>
            </w:pPr>
            <w:r>
              <w:rPr/>
              <w:t>Common stock, $0.01 par value, 150,000,000 shares authorized, 56,437,182 shares issued and 42,589,315 outstanding at March 31, 2023 and 56,432,449 shares issued and 43,824,575 outstanding at December 31, 2022</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564</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564</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144"/>
              <w:rPr/>
            </w:pPr>
            <w:r>
              <w:rPr/>
              <w:t>Additional paid-in capital</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267,187</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266,058</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324" w:right="0" w:hanging="144"/>
              <w:rPr/>
            </w:pPr>
            <w:r>
              <w:rPr/>
              <w:t>Retained earnings</w:t>
            </w:r>
          </w:p>
        </w:tc>
        <w:tc>
          <w:tcPr>
            <w:tcW w:w="60" w:type="dxa"/>
            <w:tcBorders/>
            <w:shd w:fill="CCEEFF" w:val="clear"/>
            <w:vAlign w:val="bottom"/>
          </w:tcPr>
          <w:p>
            <w:pPr>
              <w:pStyle w:val="TableContents"/>
              <w:spacing w:before="0" w:after="283"/>
              <w:jc w:val="right"/>
              <w:rPr/>
            </w:pPr>
            <w:r>
              <w:rPr/>
              <w:t> </w:t>
            </w:r>
          </w:p>
        </w:tc>
        <w:tc>
          <w:tcPr>
            <w:tcW w:w="18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0"/>
              <w:jc w:val="right"/>
              <w:rPr/>
            </w:pPr>
            <w:r>
              <w:rPr/>
              <w:t>314,036</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325" w:type="dxa"/>
            <w:tcBorders/>
            <w:shd w:fill="CCEEFF" w:val="clear"/>
            <w:vAlign w:val="bottom"/>
          </w:tcPr>
          <w:p>
            <w:pPr>
              <w:pStyle w:val="TableContents"/>
              <w:spacing w:before="0" w:after="0"/>
              <w:jc w:val="right"/>
              <w:rPr/>
            </w:pPr>
            <w:r>
              <w:rPr/>
              <w:t>335,506</w:t>
            </w:r>
          </w:p>
        </w:tc>
        <w:tc>
          <w:tcPr>
            <w:tcW w:w="114" w:type="dxa"/>
            <w:tcBorders/>
            <w:shd w:fill="CCEEFF" w:val="clear"/>
            <w:vAlign w:val="bottom"/>
          </w:tcPr>
          <w:p>
            <w:pPr>
              <w:pStyle w:val="TableContents"/>
              <w:spacing w:before="0" w:after="283"/>
              <w:jc w:val="left"/>
              <w:rPr/>
            </w:pPr>
            <w:r>
              <w:rPr/>
              <w:t> </w:t>
            </w:r>
          </w:p>
        </w:tc>
      </w:tr>
      <w:tr>
        <w:trPr/>
        <w:tc>
          <w:tcPr>
            <w:tcW w:w="7325" w:type="dxa"/>
            <w:tcBorders/>
            <w:shd w:fill="auto" w:val="clear"/>
            <w:vAlign w:val="bottom"/>
          </w:tcPr>
          <w:p>
            <w:pPr>
              <w:pStyle w:val="TableContents"/>
              <w:spacing w:before="0" w:after="0"/>
              <w:ind w:left="324" w:right="0" w:hanging="0"/>
              <w:rPr/>
            </w:pPr>
            <w:r>
              <w:rPr/>
              <w:t>Treasury stock, 13,847,867 shares at March 31, 2023 and 12,607,874 shares at December 31, 2022, respectively</w:t>
            </w:r>
          </w:p>
        </w:tc>
        <w:tc>
          <w:tcPr>
            <w:tcW w:w="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0"/>
              <w:jc w:val="right"/>
              <w:rPr/>
            </w:pPr>
            <w:r>
              <w:rPr/>
              <w:t>(173,441</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0"/>
              <w:jc w:val="right"/>
              <w:rPr/>
            </w:pPr>
            <w:r>
              <w:rPr/>
              <w:t>(161,422</w:t>
            </w:r>
          </w:p>
        </w:tc>
        <w:tc>
          <w:tcPr>
            <w:tcW w:w="114" w:type="dxa"/>
            <w:tcBorders/>
            <w:shd w:fill="auto" w:val="clear"/>
            <w:vAlign w:val="bottom"/>
          </w:tcPr>
          <w:p>
            <w:pPr>
              <w:pStyle w:val="TableContents"/>
              <w:spacing w:before="0" w:after="0"/>
              <w:jc w:val="left"/>
              <w:rPr/>
            </w:pPr>
            <w:r>
              <w:rPr/>
              <w:t>)</w:t>
            </w:r>
          </w:p>
        </w:tc>
      </w:tr>
      <w:tr>
        <w:trPr/>
        <w:tc>
          <w:tcPr>
            <w:tcW w:w="7325" w:type="dxa"/>
            <w:tcBorders/>
            <w:shd w:fill="CCEEFF" w:val="clear"/>
            <w:vAlign w:val="bottom"/>
          </w:tcPr>
          <w:p>
            <w:pPr>
              <w:pStyle w:val="TableContents"/>
              <w:spacing w:before="0" w:after="0"/>
              <w:ind w:left="324" w:right="0" w:hanging="144"/>
              <w:rPr/>
            </w:pPr>
            <w:r>
              <w:rPr/>
              <w:t>Accumulated other comprehensive loss</w:t>
            </w:r>
          </w:p>
        </w:tc>
        <w:tc>
          <w:tcPr>
            <w:tcW w:w="60" w:type="dxa"/>
            <w:tcBorders/>
            <w:shd w:fill="CCEEFF" w:val="clear"/>
            <w:vAlign w:val="bottom"/>
          </w:tcPr>
          <w:p>
            <w:pPr>
              <w:pStyle w:val="TableContents"/>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spacing w:before="0" w:after="0"/>
              <w:jc w:val="right"/>
              <w:rPr/>
            </w:pPr>
            <w:r>
              <w:rPr/>
              <w:t>(14,993</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spacing w:before="0" w:after="0"/>
              <w:jc w:val="right"/>
              <w:rPr/>
            </w:pPr>
            <w:r>
              <w:rPr/>
              <w:t>(12,553</w:t>
            </w:r>
          </w:p>
        </w:tc>
        <w:tc>
          <w:tcPr>
            <w:tcW w:w="114" w:type="dxa"/>
            <w:tcBorders/>
            <w:shd w:fill="CCEEFF" w:val="clear"/>
            <w:vAlign w:val="bottom"/>
          </w:tcPr>
          <w:p>
            <w:pPr>
              <w:pStyle w:val="TableContents"/>
              <w:spacing w:before="0" w:after="0"/>
              <w:jc w:val="left"/>
              <w:rPr/>
            </w:pPr>
            <w:r>
              <w:rPr/>
              <w:t>)</w:t>
            </w:r>
          </w:p>
        </w:tc>
      </w:tr>
      <w:tr>
        <w:trPr/>
        <w:tc>
          <w:tcPr>
            <w:tcW w:w="7325" w:type="dxa"/>
            <w:tcBorders/>
            <w:shd w:fill="auto" w:val="clear"/>
            <w:vAlign w:val="bottom"/>
          </w:tcPr>
          <w:p>
            <w:pPr>
              <w:pStyle w:val="TableContents"/>
              <w:spacing w:before="0" w:after="0"/>
              <w:ind w:left="504" w:right="0" w:hanging="144"/>
              <w:rPr/>
            </w:pPr>
            <w:r>
              <w:rPr/>
              <w:t>Total stockholders’ equity</w:t>
            </w:r>
          </w:p>
        </w:tc>
        <w:tc>
          <w:tcPr>
            <w:tcW w:w="60" w:type="dxa"/>
            <w:tcBorders/>
            <w:shd w:fill="auto" w:val="clear"/>
            <w:vAlign w:val="bottom"/>
          </w:tcPr>
          <w:p>
            <w:pPr>
              <w:pStyle w:val="TableContents"/>
              <w:spacing w:before="0" w:after="283"/>
              <w:jc w:val="right"/>
              <w:rPr/>
            </w:pPr>
            <w:r>
              <w:rPr/>
              <w:t> </w:t>
            </w:r>
          </w:p>
        </w:tc>
        <w:tc>
          <w:tcPr>
            <w:tcW w:w="1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auto" w:val="clear"/>
            <w:tcMar>
              <w:bottom w:w="28" w:type="dxa"/>
            </w:tcMar>
            <w:vAlign w:val="bottom"/>
          </w:tcPr>
          <w:p>
            <w:pPr>
              <w:pStyle w:val="TableContents"/>
              <w:spacing w:before="0" w:after="0"/>
              <w:jc w:val="right"/>
              <w:rPr/>
            </w:pPr>
            <w:r>
              <w:rPr/>
              <w:t>393,353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5" w:type="dxa"/>
            <w:tcBorders>
              <w:bottom w:val="single" w:sz="12" w:space="0" w:color="000000"/>
            </w:tcBorders>
            <w:shd w:fill="auto" w:val="clear"/>
            <w:tcMar>
              <w:bottom w:w="28" w:type="dxa"/>
            </w:tcMar>
            <w:vAlign w:val="bottom"/>
          </w:tcPr>
          <w:p>
            <w:pPr>
              <w:pStyle w:val="TableContents"/>
              <w:spacing w:before="0" w:after="0"/>
              <w:jc w:val="right"/>
              <w:rPr/>
            </w:pPr>
            <w:r>
              <w:rPr/>
              <w:t>428,153</w:t>
            </w:r>
          </w:p>
        </w:tc>
        <w:tc>
          <w:tcPr>
            <w:tcW w:w="114" w:type="dxa"/>
            <w:tcBorders/>
            <w:shd w:fill="auto" w:val="clear"/>
            <w:vAlign w:val="bottom"/>
          </w:tcPr>
          <w:p>
            <w:pPr>
              <w:pStyle w:val="TableContents"/>
              <w:spacing w:before="0" w:after="283"/>
              <w:jc w:val="left"/>
              <w:rPr/>
            </w:pPr>
            <w:r>
              <w:rPr/>
              <w:t> </w:t>
            </w:r>
          </w:p>
        </w:tc>
      </w:tr>
      <w:tr>
        <w:trPr/>
        <w:tc>
          <w:tcPr>
            <w:tcW w:w="7325" w:type="dxa"/>
            <w:tcBorders/>
            <w:shd w:fill="CCEEFF" w:val="clear"/>
            <w:vAlign w:val="bottom"/>
          </w:tcPr>
          <w:p>
            <w:pPr>
              <w:pStyle w:val="TableContents"/>
              <w:spacing w:before="0" w:after="0"/>
              <w:ind w:left="504" w:right="0" w:hanging="144"/>
              <w:rPr/>
            </w:pPr>
            <w:r>
              <w:rPr/>
              <w:t>Total liabilities and stockholders’ equity</w:t>
            </w:r>
          </w:p>
        </w:tc>
        <w:tc>
          <w:tcPr>
            <w:tcW w:w="60" w:type="dxa"/>
            <w:tcBorders/>
            <w:shd w:fill="CCEEFF" w:val="clear"/>
            <w:vAlign w:val="bottom"/>
          </w:tcPr>
          <w:p>
            <w:pPr>
              <w:pStyle w:val="TableContents"/>
              <w:spacing w:before="0" w:after="283"/>
              <w:jc w:val="right"/>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31" w:type="dxa"/>
            <w:tcBorders>
              <w:bottom w:val="double" w:sz="8" w:space="0" w:color="000000"/>
            </w:tcBorders>
            <w:shd w:fill="CCEEFF" w:val="clear"/>
            <w:tcMar>
              <w:bottom w:w="28" w:type="dxa"/>
            </w:tcMar>
            <w:vAlign w:val="bottom"/>
          </w:tcPr>
          <w:p>
            <w:pPr>
              <w:pStyle w:val="TableContents"/>
              <w:spacing w:before="0" w:after="0"/>
              <w:jc w:val="right"/>
              <w:rPr/>
            </w:pPr>
            <w:r>
              <w:rPr/>
              <w:t>487,844</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325" w:type="dxa"/>
            <w:tcBorders>
              <w:bottom w:val="double" w:sz="8" w:space="0" w:color="000000"/>
            </w:tcBorders>
            <w:shd w:fill="CCEEFF" w:val="clear"/>
            <w:tcMar>
              <w:bottom w:w="28" w:type="dxa"/>
            </w:tcMar>
            <w:vAlign w:val="bottom"/>
          </w:tcPr>
          <w:p>
            <w:pPr>
              <w:pStyle w:val="TableContents"/>
              <w:spacing w:before="0" w:after="0"/>
              <w:jc w:val="right"/>
              <w:rPr/>
            </w:pPr>
            <w:r>
              <w:rPr/>
              <w:t>516,645</w:t>
            </w:r>
          </w:p>
        </w:tc>
        <w:tc>
          <w:tcPr>
            <w:tcW w:w="114"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5" w:name="STATEMENTSOFOPERATIONS"/>
      <w:bookmarkEnd w:id="5"/>
      <w:r>
        <w:rPr>
          <w:rFonts w:ascii="Times New Roman" w:hAnsi="Times New Roman"/>
          <w:b/>
          <w:color w:val="000000"/>
          <w:sz w:val="20"/>
        </w:rPr>
        <w:t>STATEMENTS OF OPERATIONS (Unaudited)</w:t>
      </w:r>
    </w:p>
    <w:p>
      <w:pPr>
        <w:pStyle w:val="TextBody"/>
        <w:spacing w:before="0" w:after="0"/>
        <w:jc w:val="left"/>
        <w:rPr>
          <w:color w:val="000000"/>
        </w:rPr>
      </w:pPr>
      <w:r>
        <w:rPr>
          <w:color w:val="000000"/>
        </w:rPr>
        <w:t> </w:t>
      </w:r>
    </w:p>
    <w:tbl>
      <w:tblPr>
        <w:tblW w:w="9778" w:type="dxa"/>
        <w:jc w:val="left"/>
        <w:tblInd w:w="0" w:type="dxa"/>
        <w:tblCellMar>
          <w:top w:w="0" w:type="dxa"/>
          <w:left w:w="0" w:type="dxa"/>
          <w:bottom w:w="0" w:type="dxa"/>
          <w:right w:w="0" w:type="dxa"/>
        </w:tblCellMar>
      </w:tblPr>
      <w:tblGrid>
        <w:gridCol w:w="4730"/>
        <w:gridCol w:w="60"/>
        <w:gridCol w:w="259"/>
        <w:gridCol w:w="2037"/>
        <w:gridCol w:w="175"/>
        <w:gridCol w:w="111"/>
        <w:gridCol w:w="259"/>
        <w:gridCol w:w="2037"/>
        <w:gridCol w:w="110"/>
      </w:tblGrid>
      <w:tr>
        <w:trPr/>
        <w:tc>
          <w:tcPr>
            <w:tcW w:w="4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110" w:type="dxa"/>
            <w:tcBorders/>
            <w:shd w:fill="auto"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229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8" w:type="dxa"/>
            <w:gridSpan w:val="6"/>
            <w:tcBorders/>
            <w:shd w:fill="auto" w:val="clear"/>
            <w:vAlign w:val="bottom"/>
          </w:tcPr>
          <w:p>
            <w:pPr>
              <w:pStyle w:val="TableContents"/>
              <w:spacing w:before="0" w:after="0"/>
              <w:jc w:val="center"/>
              <w:rPr>
                <w:b/>
              </w:rPr>
            </w:pPr>
            <w:r>
              <w:rPr>
                <w:b/>
              </w:rPr>
              <w:t>(In thousands of U.S. dollars, except share data)</w:t>
            </w:r>
          </w:p>
        </w:tc>
        <w:tc>
          <w:tcPr>
            <w:tcW w:w="110" w:type="dxa"/>
            <w:tcBorders/>
            <w:shd w:fill="auto"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Revenues:</w:t>
            </w:r>
          </w:p>
        </w:tc>
        <w:tc>
          <w:tcPr>
            <w:tcW w:w="60" w:type="dxa"/>
            <w:tcBorders/>
            <w:shd w:fill="auto" w:val="clear"/>
            <w:vAlign w:val="bottom"/>
          </w:tcPr>
          <w:p>
            <w:pPr>
              <w:pStyle w:val="TableContents"/>
              <w:spacing w:before="0" w:after="283"/>
              <w:rPr/>
            </w:pPr>
            <w:r>
              <w:rPr/>
              <w:t> </w:t>
            </w:r>
          </w:p>
        </w:tc>
        <w:tc>
          <w:tcPr>
            <w:tcW w:w="4878" w:type="dxa"/>
            <w:gridSpan w:val="6"/>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324" w:right="0" w:hanging="144"/>
              <w:rPr/>
            </w:pPr>
            <w:r>
              <w:rPr/>
              <w:t>Net sales – standard products business</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51,514</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94,010</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324" w:right="0" w:hanging="144"/>
              <w:rPr/>
            </w:pPr>
            <w:r>
              <w:rPr/>
              <w:t>Net sales – transitional Fab 3 foundry services</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5,491</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10,083</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504" w:right="0" w:hanging="144"/>
              <w:rPr/>
            </w:pPr>
            <w:r>
              <w:rPr/>
              <w:t>Total revenues</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57,005</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104,093</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Cost of sales: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324" w:right="0" w:hanging="144"/>
              <w:rPr/>
            </w:pPr>
            <w:r>
              <w:rPr/>
              <w:t>Cost of sales – standard products business</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37,312</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56,080</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324" w:right="0" w:hanging="144"/>
              <w:rPr/>
            </w:pPr>
            <w:r>
              <w:rPr/>
              <w:t>Cost of sales – transitional Fab 3 foundry services</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7,599</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9,017</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504" w:right="0" w:hanging="144"/>
              <w:rPr/>
            </w:pPr>
            <w:r>
              <w:rPr/>
              <w:t>Total cost of sales</w:t>
            </w:r>
          </w:p>
        </w:tc>
        <w:tc>
          <w:tcPr>
            <w:tcW w:w="60"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44,911</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65,097</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Gross profit</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12,094</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38,996</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144" w:right="0" w:hanging="144"/>
              <w:rPr/>
            </w:pPr>
            <w:r>
              <w:rPr/>
              <w:t>Operating expenses:</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324" w:right="0" w:hanging="144"/>
              <w:rPr/>
            </w:pPr>
            <w:r>
              <w:rPr/>
              <w:t>Selling, general and administrative expenses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12,165</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14,163</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324" w:right="0" w:hanging="144"/>
              <w:rPr/>
            </w:pPr>
            <w:r>
              <w:rPr/>
              <w:t>Research and development expenses</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13,298</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11,954</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324" w:right="0" w:hanging="144"/>
              <w:rPr/>
            </w:pPr>
            <w:r>
              <w:rPr/>
              <w:t>Early termination charges</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8,449</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504" w:right="0" w:hanging="144"/>
              <w:rPr/>
            </w:pPr>
            <w:r>
              <w:rPr/>
              <w:t>Total operating expenses</w:t>
            </w:r>
          </w:p>
        </w:tc>
        <w:tc>
          <w:tcPr>
            <w:tcW w:w="60"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33,912</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26,117</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Operating income (loss)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(21,818</w:t>
            </w:r>
          </w:p>
        </w:tc>
        <w:tc>
          <w:tcPr>
            <w:tcW w:w="175" w:type="dxa"/>
            <w:tcBorders/>
            <w:shd w:fill="auto" w:val="clear"/>
            <w:vAlign w:val="bottom"/>
          </w:tcPr>
          <w:p>
            <w:pPr>
              <w:pStyle w:val="TableContents"/>
              <w:spacing w:before="0" w:after="0"/>
              <w:jc w:val="left"/>
              <w:rPr/>
            </w:pPr>
            <w:r>
              <w:rPr/>
              <w:t>)</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12,879</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324" w:right="0" w:hanging="144"/>
              <w:rPr/>
            </w:pPr>
            <w:r>
              <w:rPr/>
              <w:t>Interest income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283"/>
              <w:jc w:val="right"/>
              <w:rPr/>
            </w:pPr>
            <w:r>
              <w:rPr/>
              <w:t>2,842</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283"/>
              <w:jc w:val="right"/>
              <w:rPr/>
            </w:pPr>
            <w:r>
              <w:rPr/>
              <w:t>715</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324" w:right="0" w:hanging="144"/>
              <w:rPr/>
            </w:pPr>
            <w:r>
              <w:rPr/>
              <w:t>Interest expense</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(256</w:t>
            </w:r>
          </w:p>
        </w:tc>
        <w:tc>
          <w:tcPr>
            <w:tcW w:w="175" w:type="dxa"/>
            <w:tcBorders/>
            <w:shd w:fill="auto" w:val="clear"/>
            <w:vAlign w:val="bottom"/>
          </w:tcPr>
          <w:p>
            <w:pPr>
              <w:pStyle w:val="TableContents"/>
              <w:spacing w:before="0" w:after="0"/>
              <w:jc w:val="left"/>
              <w:rPr/>
            </w:pPr>
            <w:r>
              <w:rPr/>
              <w:t>)</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(111</w:t>
            </w:r>
          </w:p>
        </w:tc>
        <w:tc>
          <w:tcPr>
            <w:tcW w:w="110" w:type="dxa"/>
            <w:tcBorders/>
            <w:shd w:fill="auto" w:val="clear"/>
            <w:vAlign w:val="bottom"/>
          </w:tcPr>
          <w:p>
            <w:pPr>
              <w:pStyle w:val="TableContents"/>
              <w:spacing w:before="0" w:after="0"/>
              <w:jc w:val="left"/>
              <w:rPr/>
            </w:pPr>
            <w:r>
              <w:rPr/>
              <w:t>)</w:t>
            </w:r>
          </w:p>
        </w:tc>
      </w:tr>
      <w:tr>
        <w:trPr/>
        <w:tc>
          <w:tcPr>
            <w:tcW w:w="4730" w:type="dxa"/>
            <w:tcBorders/>
            <w:shd w:fill="CCEEFF" w:val="clear"/>
            <w:vAlign w:val="bottom"/>
          </w:tcPr>
          <w:p>
            <w:pPr>
              <w:pStyle w:val="TableContents"/>
              <w:spacing w:before="0" w:after="0"/>
              <w:ind w:left="324" w:right="0" w:hanging="144"/>
              <w:rPr/>
            </w:pPr>
            <w:r>
              <w:rPr/>
              <w:t>Foreign currency loss, net</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(3,430</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(690</w:t>
            </w:r>
          </w:p>
        </w:tc>
        <w:tc>
          <w:tcPr>
            <w:tcW w:w="110" w:type="dxa"/>
            <w:tcBorders/>
            <w:shd w:fill="CCEEFF" w:val="clear"/>
            <w:vAlign w:val="bottom"/>
          </w:tcPr>
          <w:p>
            <w:pPr>
              <w:pStyle w:val="TableContents"/>
              <w:spacing w:before="0" w:after="0"/>
              <w:jc w:val="left"/>
              <w:rPr/>
            </w:pPr>
            <w:r>
              <w:rPr/>
              <w:t>)</w:t>
            </w:r>
          </w:p>
        </w:tc>
      </w:tr>
      <w:tr>
        <w:trPr/>
        <w:tc>
          <w:tcPr>
            <w:tcW w:w="4730" w:type="dxa"/>
            <w:tcBorders/>
            <w:shd w:fill="auto" w:val="clear"/>
            <w:vAlign w:val="bottom"/>
          </w:tcPr>
          <w:p>
            <w:pPr>
              <w:pStyle w:val="TableContents"/>
              <w:spacing w:before="0" w:after="0"/>
              <w:ind w:left="324" w:right="0" w:hanging="144"/>
              <w:rPr/>
            </w:pPr>
            <w:r>
              <w:rPr/>
              <w:t>Other income (expense), net</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(35</w:t>
            </w:r>
          </w:p>
        </w:tc>
        <w:tc>
          <w:tcPr>
            <w:tcW w:w="175" w:type="dxa"/>
            <w:tcBorders/>
            <w:shd w:fill="auto" w:val="clear"/>
            <w:vAlign w:val="bottom"/>
          </w:tcPr>
          <w:p>
            <w:pPr>
              <w:pStyle w:val="TableContents"/>
              <w:spacing w:before="0" w:after="0"/>
              <w:jc w:val="left"/>
              <w:rPr/>
            </w:pPr>
            <w:r>
              <w:rPr/>
              <w:t>)</w:t>
            </w:r>
          </w:p>
        </w:tc>
        <w:tc>
          <w:tcPr>
            <w:tcW w:w="111"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218</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144" w:right="0" w:hanging="144"/>
              <w:rPr/>
            </w:pPr>
            <w:r>
              <w:rPr/>
              <w:t>Income (loss) before income tax expense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(22,697</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13,011</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Income tax expense (benefit)</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(1,227</w:t>
            </w:r>
          </w:p>
        </w:tc>
        <w:tc>
          <w:tcPr>
            <w:tcW w:w="175" w:type="dxa"/>
            <w:tcBorders/>
            <w:shd w:fill="auto" w:val="clear"/>
            <w:vAlign w:val="bottom"/>
          </w:tcPr>
          <w:p>
            <w:pPr>
              <w:pStyle w:val="TableContents"/>
              <w:spacing w:before="0" w:after="0"/>
              <w:jc w:val="left"/>
              <w:rPr/>
            </w:pPr>
            <w:r>
              <w:rPr/>
              <w:t>)</w:t>
            </w:r>
          </w:p>
        </w:tc>
        <w:tc>
          <w:tcPr>
            <w:tcW w:w="111"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auto" w:val="clear"/>
            <w:tcMar>
              <w:bottom w:w="28" w:type="dxa"/>
            </w:tcMar>
            <w:vAlign w:val="bottom"/>
          </w:tcPr>
          <w:p>
            <w:pPr>
              <w:pStyle w:val="TableContents"/>
              <w:spacing w:before="0" w:after="0"/>
              <w:jc w:val="right"/>
              <w:rPr/>
            </w:pPr>
            <w:r>
              <w:rPr/>
              <w:t>3,483</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(21,470</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9,528</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Basic earnings (loss) per common share—</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0"/>
              <w:jc w:val="left"/>
              <w:rPr/>
            </w:pPr>
            <w:r>
              <w:rPr/>
              <w:t>$</w:t>
            </w:r>
          </w:p>
        </w:tc>
        <w:tc>
          <w:tcPr>
            <w:tcW w:w="2037" w:type="dxa"/>
            <w:tcBorders/>
            <w:shd w:fill="auto" w:val="clear"/>
            <w:vAlign w:val="bottom"/>
          </w:tcPr>
          <w:p>
            <w:pPr>
              <w:pStyle w:val="TableContents"/>
              <w:spacing w:before="0" w:after="0"/>
              <w:jc w:val="right"/>
              <w:rPr/>
            </w:pPr>
            <w:r>
              <w:rPr/>
              <w:t>(0.49</w:t>
            </w:r>
          </w:p>
        </w:tc>
        <w:tc>
          <w:tcPr>
            <w:tcW w:w="175" w:type="dxa"/>
            <w:tcBorders/>
            <w:shd w:fill="auto" w:val="clear"/>
            <w:vAlign w:val="bottom"/>
          </w:tcPr>
          <w:p>
            <w:pPr>
              <w:pStyle w:val="TableContents"/>
              <w:spacing w:before="0" w:after="0"/>
              <w:jc w:val="left"/>
              <w:rPr/>
            </w:pPr>
            <w:r>
              <w:rPr/>
              <w:t>)</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0"/>
              <w:jc w:val="left"/>
              <w:rPr/>
            </w:pPr>
            <w:r>
              <w:rPr/>
              <w:t>$</w:t>
            </w:r>
          </w:p>
        </w:tc>
        <w:tc>
          <w:tcPr>
            <w:tcW w:w="2037" w:type="dxa"/>
            <w:tcBorders/>
            <w:shd w:fill="auto" w:val="clear"/>
            <w:vAlign w:val="bottom"/>
          </w:tcPr>
          <w:p>
            <w:pPr>
              <w:pStyle w:val="TableContents"/>
              <w:spacing w:before="0" w:after="0"/>
              <w:jc w:val="right"/>
              <w:rPr/>
            </w:pPr>
            <w:r>
              <w:rPr/>
              <w:t>0.21</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144" w:right="0" w:hanging="144"/>
              <w:rPr/>
            </w:pPr>
            <w:r>
              <w:rPr/>
              <w:t>Diluted earnings (loss) per common share—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(0.49</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0.20</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144" w:right="0" w:hanging="144"/>
              <w:rPr/>
            </w:pPr>
            <w:r>
              <w:rPr/>
              <w:t>Weighted average number of shares—</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4730" w:type="dxa"/>
            <w:tcBorders/>
            <w:shd w:fill="CCEEFF" w:val="clear"/>
            <w:vAlign w:val="bottom"/>
          </w:tcPr>
          <w:p>
            <w:pPr>
              <w:pStyle w:val="TableContents"/>
              <w:spacing w:before="0" w:after="0"/>
              <w:ind w:left="504" w:right="0" w:hanging="144"/>
              <w:rPr/>
            </w:pPr>
            <w:r>
              <w:rPr/>
              <w:t>Basic</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43,390,832</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2037" w:type="dxa"/>
            <w:tcBorders/>
            <w:shd w:fill="CCEEFF" w:val="clear"/>
            <w:vAlign w:val="bottom"/>
          </w:tcPr>
          <w:p>
            <w:pPr>
              <w:pStyle w:val="TableContents"/>
              <w:spacing w:before="0" w:after="0"/>
              <w:jc w:val="right"/>
              <w:rPr/>
            </w:pPr>
            <w:r>
              <w:rPr/>
              <w:t>45,603,208</w:t>
            </w:r>
          </w:p>
        </w:tc>
        <w:tc>
          <w:tcPr>
            <w:tcW w:w="110" w:type="dxa"/>
            <w:tcBorders/>
            <w:shd w:fill="CCEEFF" w:val="clear"/>
            <w:vAlign w:val="bottom"/>
          </w:tcPr>
          <w:p>
            <w:pPr>
              <w:pStyle w:val="TableContents"/>
              <w:spacing w:before="0" w:after="283"/>
              <w:jc w:val="left"/>
              <w:rPr/>
            </w:pPr>
            <w:r>
              <w:rPr/>
              <w:t> </w:t>
            </w:r>
          </w:p>
        </w:tc>
      </w:tr>
      <w:tr>
        <w:trPr/>
        <w:tc>
          <w:tcPr>
            <w:tcW w:w="4730" w:type="dxa"/>
            <w:tcBorders/>
            <w:shd w:fill="auto" w:val="clear"/>
            <w:vAlign w:val="bottom"/>
          </w:tcPr>
          <w:p>
            <w:pPr>
              <w:pStyle w:val="TableContents"/>
              <w:spacing w:before="0" w:after="0"/>
              <w:ind w:left="504" w:right="0" w:hanging="144"/>
              <w:rPr/>
            </w:pPr>
            <w:r>
              <w:rPr/>
              <w:t>Diluted</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43,390,832</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46,693,294</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6" w:name="COMPREHENSIVEINCOME"/>
      <w:bookmarkEnd w:id="6"/>
      <w:r>
        <w:rPr>
          <w:rFonts w:ascii="Times New Roman" w:hAnsi="Times New Roman"/>
          <w:b/>
          <w:color w:val="000000"/>
          <w:sz w:val="20"/>
        </w:rPr>
        <w:t>COMPREHENSIVE INCOME (LOSS) (Unaudited)</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7399"/>
        <w:gridCol w:w="60"/>
        <w:gridCol w:w="214"/>
        <w:gridCol w:w="1160"/>
        <w:gridCol w:w="146"/>
        <w:gridCol w:w="91"/>
        <w:gridCol w:w="243"/>
        <w:gridCol w:w="1112"/>
        <w:gridCol w:w="114"/>
      </w:tblGrid>
      <w:tr>
        <w:trPr/>
        <w:tc>
          <w:tcPr>
            <w:tcW w:w="7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114" w:type="dxa"/>
            <w:tcBorders/>
            <w:shd w:fill="auto" w:val="clear"/>
            <w:vAlign w:val="bottom"/>
          </w:tcPr>
          <w:p>
            <w:pPr>
              <w:pStyle w:val="TableContents"/>
              <w:spacing w:before="0" w:after="283"/>
              <w:jc w:val="left"/>
              <w:rPr/>
            </w:pPr>
            <w:r>
              <w:rPr/>
              <w:t> </w:t>
            </w:r>
          </w:p>
        </w:tc>
      </w:tr>
      <w:tr>
        <w:trPr/>
        <w:tc>
          <w:tcPr>
            <w:tcW w:w="7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46"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114" w:type="dxa"/>
            <w:tcBorders/>
            <w:shd w:fill="auto" w:val="clear"/>
            <w:vAlign w:val="bottom"/>
          </w:tcPr>
          <w:p>
            <w:pPr>
              <w:pStyle w:val="TableContents"/>
              <w:spacing w:before="0" w:after="283"/>
              <w:jc w:val="left"/>
              <w:rPr/>
            </w:pPr>
            <w:r>
              <w:rPr/>
              <w:t> </w:t>
            </w:r>
          </w:p>
        </w:tc>
      </w:tr>
      <w:tr>
        <w:trPr/>
        <w:tc>
          <w:tcPr>
            <w:tcW w:w="73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6" w:type="dxa"/>
            <w:gridSpan w:val="6"/>
            <w:tcBorders/>
            <w:shd w:fill="auto" w:val="clear"/>
            <w:vAlign w:val="bottom"/>
          </w:tcPr>
          <w:p>
            <w:pPr>
              <w:pStyle w:val="TableContents"/>
              <w:spacing w:before="0" w:after="0"/>
              <w:jc w:val="center"/>
              <w:rPr>
                <w:b/>
              </w:rPr>
            </w:pPr>
            <w:r>
              <w:rPr>
                <w:b/>
              </w:rPr>
              <w:t>(In thousands of U.S. dollars)</w:t>
            </w:r>
          </w:p>
        </w:tc>
        <w:tc>
          <w:tcPr>
            <w:tcW w:w="114" w:type="dxa"/>
            <w:tcBorders/>
            <w:shd w:fill="auto" w:val="clear"/>
            <w:vAlign w:val="bottom"/>
          </w:tcPr>
          <w:p>
            <w:pPr>
              <w:pStyle w:val="TableContents"/>
              <w:spacing w:before="0" w:after="283"/>
              <w:jc w:val="left"/>
              <w:rPr/>
            </w:pPr>
            <w:r>
              <w:rPr/>
              <w:t> </w:t>
            </w:r>
          </w:p>
        </w:tc>
      </w:tr>
      <w:tr>
        <w:trPr/>
        <w:tc>
          <w:tcPr>
            <w:tcW w:w="7399"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0"/>
              <w:jc w:val="left"/>
              <w:rPr/>
            </w:pPr>
            <w:r>
              <w:rPr/>
              <w:t>$</w:t>
            </w:r>
          </w:p>
        </w:tc>
        <w:tc>
          <w:tcPr>
            <w:tcW w:w="1160" w:type="dxa"/>
            <w:tcBorders/>
            <w:shd w:fill="CCEEFF" w:val="clear"/>
            <w:vAlign w:val="bottom"/>
          </w:tcPr>
          <w:p>
            <w:pPr>
              <w:pStyle w:val="TableContents"/>
              <w:spacing w:before="0" w:after="0"/>
              <w:jc w:val="right"/>
              <w:rPr/>
            </w:pPr>
            <w:r>
              <w:rPr/>
              <w:t>(21,470</w:t>
            </w:r>
          </w:p>
        </w:tc>
        <w:tc>
          <w:tcPr>
            <w:tcW w:w="146" w:type="dxa"/>
            <w:tcBorders/>
            <w:shd w:fill="CCEEFF" w:val="clear"/>
            <w:vAlign w:val="bottom"/>
          </w:tcPr>
          <w:p>
            <w:pPr>
              <w:pStyle w:val="TableContents"/>
              <w:spacing w:before="0" w:after="0"/>
              <w:jc w:val="left"/>
              <w:rPr/>
            </w:pPr>
            <w:r>
              <w:rPr/>
              <w:t>)</w:t>
            </w:r>
          </w:p>
        </w:tc>
        <w:tc>
          <w:tcPr>
            <w:tcW w:w="91" w:type="dxa"/>
            <w:tcBorders/>
            <w:shd w:fill="CCEEFF" w:val="clear"/>
            <w:vAlign w:val="bottom"/>
          </w:tcPr>
          <w:p>
            <w:pPr>
              <w:pStyle w:val="TableContents"/>
              <w:spacing w:before="0" w:after="283"/>
              <w:jc w:val="right"/>
              <w:rPr/>
            </w:pPr>
            <w:r>
              <w:rPr/>
              <w:t> </w:t>
            </w:r>
          </w:p>
        </w:tc>
        <w:tc>
          <w:tcPr>
            <w:tcW w:w="243" w:type="dxa"/>
            <w:tcBorders/>
            <w:shd w:fill="CCEEFF" w:val="clear"/>
            <w:vAlign w:val="bottom"/>
          </w:tcPr>
          <w:p>
            <w:pPr>
              <w:pStyle w:val="TableContents"/>
              <w:spacing w:before="0" w:after="0"/>
              <w:jc w:val="left"/>
              <w:rPr/>
            </w:pPr>
            <w:r>
              <w:rPr/>
              <w:t>$</w:t>
            </w:r>
          </w:p>
        </w:tc>
        <w:tc>
          <w:tcPr>
            <w:tcW w:w="1112" w:type="dxa"/>
            <w:tcBorders/>
            <w:shd w:fill="CCEEFF" w:val="clear"/>
            <w:vAlign w:val="bottom"/>
          </w:tcPr>
          <w:p>
            <w:pPr>
              <w:pStyle w:val="TableContents"/>
              <w:spacing w:before="0" w:after="0"/>
              <w:jc w:val="right"/>
              <w:rPr/>
            </w:pPr>
            <w:r>
              <w:rPr/>
              <w:t>9,528</w:t>
            </w:r>
          </w:p>
        </w:tc>
        <w:tc>
          <w:tcPr>
            <w:tcW w:w="114" w:type="dxa"/>
            <w:tcBorders/>
            <w:shd w:fill="CCEEFF" w:val="clear"/>
            <w:vAlign w:val="bottom"/>
          </w:tcPr>
          <w:p>
            <w:pPr>
              <w:pStyle w:val="TableContents"/>
              <w:spacing w:before="0" w:after="283"/>
              <w:jc w:val="left"/>
              <w:rPr/>
            </w:pPr>
            <w:r>
              <w:rPr/>
              <w:t> </w:t>
            </w:r>
          </w:p>
        </w:tc>
      </w:tr>
      <w:tr>
        <w:trPr/>
        <w:tc>
          <w:tcPr>
            <w:tcW w:w="7399" w:type="dxa"/>
            <w:tcBorders/>
            <w:shd w:fill="auto" w:val="clear"/>
            <w:vAlign w:val="bottom"/>
          </w:tcPr>
          <w:p>
            <w:pPr>
              <w:pStyle w:val="TableContents"/>
              <w:spacing w:before="0" w:after="0"/>
              <w:ind w:left="144" w:right="0" w:hanging="144"/>
              <w:rPr/>
            </w:pPr>
            <w:r>
              <w:rPr/>
              <w:t>Other comprehensive loss</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jc w:val="left"/>
              <w:rPr/>
            </w:pPr>
            <w:r>
              <w:rPr/>
              <w:t> </w:t>
            </w:r>
          </w:p>
        </w:tc>
        <w:tc>
          <w:tcPr>
            <w:tcW w:w="1112"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7399" w:type="dxa"/>
            <w:tcBorders/>
            <w:shd w:fill="CCEEFF" w:val="clear"/>
            <w:vAlign w:val="bottom"/>
          </w:tcPr>
          <w:p>
            <w:pPr>
              <w:pStyle w:val="TableContents"/>
              <w:spacing w:before="0" w:after="0"/>
              <w:ind w:left="324" w:right="0" w:hanging="144"/>
              <w:rPr/>
            </w:pPr>
            <w:r>
              <w:rPr/>
              <w:t>Foreign currency translation adjustments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0"/>
              <w:jc w:val="right"/>
              <w:rPr/>
            </w:pPr>
            <w:r>
              <w:rPr/>
              <w:t>(1,908</w:t>
            </w:r>
          </w:p>
        </w:tc>
        <w:tc>
          <w:tcPr>
            <w:tcW w:w="146" w:type="dxa"/>
            <w:tcBorders/>
            <w:shd w:fill="CCEEFF" w:val="clear"/>
            <w:vAlign w:val="bottom"/>
          </w:tcPr>
          <w:p>
            <w:pPr>
              <w:pStyle w:val="TableContents"/>
              <w:spacing w:before="0" w:after="0"/>
              <w:jc w:val="left"/>
              <w:rPr/>
            </w:pPr>
            <w:r>
              <w:rPr/>
              <w:t>)</w:t>
            </w:r>
          </w:p>
        </w:tc>
        <w:tc>
          <w:tcPr>
            <w:tcW w:w="91" w:type="dxa"/>
            <w:tcBorders/>
            <w:shd w:fill="CCEEFF" w:val="clear"/>
            <w:vAlign w:val="bottom"/>
          </w:tcPr>
          <w:p>
            <w:pPr>
              <w:pStyle w:val="TableContents"/>
              <w:spacing w:before="0" w:after="283"/>
              <w:jc w:val="right"/>
              <w:rPr/>
            </w:pPr>
            <w:r>
              <w:rPr/>
              <w:t> </w:t>
            </w:r>
          </w:p>
        </w:tc>
        <w:tc>
          <w:tcPr>
            <w:tcW w:w="243"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0"/>
              <w:jc w:val="right"/>
              <w:rPr/>
            </w:pPr>
            <w:r>
              <w:rPr/>
              <w:t>(3,045</w:t>
            </w:r>
          </w:p>
        </w:tc>
        <w:tc>
          <w:tcPr>
            <w:tcW w:w="114" w:type="dxa"/>
            <w:tcBorders/>
            <w:shd w:fill="CCEEFF" w:val="clear"/>
            <w:vAlign w:val="bottom"/>
          </w:tcPr>
          <w:p>
            <w:pPr>
              <w:pStyle w:val="TableContents"/>
              <w:spacing w:before="0" w:after="0"/>
              <w:jc w:val="left"/>
              <w:rPr/>
            </w:pPr>
            <w:r>
              <w:rPr/>
              <w:t>)</w:t>
            </w:r>
          </w:p>
        </w:tc>
      </w:tr>
      <w:tr>
        <w:trPr/>
        <w:tc>
          <w:tcPr>
            <w:tcW w:w="7399" w:type="dxa"/>
            <w:tcBorders/>
            <w:shd w:fill="auto" w:val="clear"/>
            <w:vAlign w:val="bottom"/>
          </w:tcPr>
          <w:p>
            <w:pPr>
              <w:pStyle w:val="TableContents"/>
              <w:spacing w:before="0" w:after="0"/>
              <w:ind w:left="324" w:right="0" w:hanging="144"/>
              <w:rPr/>
            </w:pPr>
            <w:r>
              <w:rPr/>
              <w:t>Derivative adjustments</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60" w:type="dxa"/>
            <w:tcBorders/>
            <w:shd w:fill="auto" w:val="clear"/>
            <w:vAlign w:val="bottom"/>
          </w:tcPr>
          <w:p>
            <w:pPr>
              <w:pStyle w:val="TableContents"/>
              <w:spacing w:before="0" w:after="283"/>
              <w:jc w:val="right"/>
              <w:rPr/>
            </w:pPr>
            <w:r>
              <w:rPr/>
              <w:t> </w:t>
            </w:r>
          </w:p>
        </w:tc>
        <w:tc>
          <w:tcPr>
            <w:tcW w:w="146"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243" w:type="dxa"/>
            <w:tcBorders/>
            <w:shd w:fill="auto" w:val="clear"/>
            <w:vAlign w:val="bottom"/>
          </w:tcPr>
          <w:p>
            <w:pPr>
              <w:pStyle w:val="TableContents"/>
              <w:spacing w:before="0" w:after="283"/>
              <w:jc w:val="left"/>
              <w:rPr/>
            </w:pPr>
            <w:r>
              <w:rPr/>
              <w:t> </w:t>
            </w:r>
          </w:p>
        </w:tc>
        <w:tc>
          <w:tcPr>
            <w:tcW w:w="1112"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7399" w:type="dxa"/>
            <w:tcBorders/>
            <w:shd w:fill="CCEEFF" w:val="clear"/>
            <w:vAlign w:val="bottom"/>
          </w:tcPr>
          <w:p>
            <w:pPr>
              <w:pStyle w:val="TableContents"/>
              <w:spacing w:before="0" w:after="0"/>
              <w:ind w:left="504" w:right="0" w:hanging="144"/>
              <w:rPr/>
            </w:pPr>
            <w:r>
              <w:rPr/>
              <w:t>Fair valuation of derivatives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jc w:val="left"/>
              <w:rPr/>
            </w:pPr>
            <w:r>
              <w:rPr/>
              <w:t> </w:t>
            </w:r>
          </w:p>
        </w:tc>
        <w:tc>
          <w:tcPr>
            <w:tcW w:w="1160" w:type="dxa"/>
            <w:tcBorders/>
            <w:shd w:fill="CCEEFF" w:val="clear"/>
            <w:vAlign w:val="bottom"/>
          </w:tcPr>
          <w:p>
            <w:pPr>
              <w:pStyle w:val="TableContents"/>
              <w:spacing w:before="0" w:after="0"/>
              <w:jc w:val="right"/>
              <w:rPr/>
            </w:pPr>
            <w:r>
              <w:rPr/>
              <w:t>(1,135</w:t>
            </w:r>
          </w:p>
        </w:tc>
        <w:tc>
          <w:tcPr>
            <w:tcW w:w="146" w:type="dxa"/>
            <w:tcBorders/>
            <w:shd w:fill="CCEEFF" w:val="clear"/>
            <w:vAlign w:val="bottom"/>
          </w:tcPr>
          <w:p>
            <w:pPr>
              <w:pStyle w:val="TableContents"/>
              <w:spacing w:before="0" w:after="0"/>
              <w:jc w:val="left"/>
              <w:rPr/>
            </w:pPr>
            <w:r>
              <w:rPr/>
              <w:t>)</w:t>
            </w:r>
          </w:p>
        </w:tc>
        <w:tc>
          <w:tcPr>
            <w:tcW w:w="91" w:type="dxa"/>
            <w:tcBorders/>
            <w:shd w:fill="CCEEFF" w:val="clear"/>
            <w:vAlign w:val="bottom"/>
          </w:tcPr>
          <w:p>
            <w:pPr>
              <w:pStyle w:val="TableContents"/>
              <w:spacing w:before="0" w:after="283"/>
              <w:jc w:val="right"/>
              <w:rPr/>
            </w:pPr>
            <w:r>
              <w:rPr/>
              <w:t> </w:t>
            </w:r>
          </w:p>
        </w:tc>
        <w:tc>
          <w:tcPr>
            <w:tcW w:w="243" w:type="dxa"/>
            <w:tcBorders/>
            <w:shd w:fill="CCEEFF" w:val="clear"/>
            <w:vAlign w:val="bottom"/>
          </w:tcPr>
          <w:p>
            <w:pPr>
              <w:pStyle w:val="TableContents"/>
              <w:spacing w:before="0" w:after="283"/>
              <w:jc w:val="left"/>
              <w:rPr/>
            </w:pPr>
            <w:r>
              <w:rPr/>
              <w:t> </w:t>
            </w:r>
          </w:p>
        </w:tc>
        <w:tc>
          <w:tcPr>
            <w:tcW w:w="1112" w:type="dxa"/>
            <w:tcBorders/>
            <w:shd w:fill="CCEEFF" w:val="clear"/>
            <w:vAlign w:val="bottom"/>
          </w:tcPr>
          <w:p>
            <w:pPr>
              <w:pStyle w:val="TableContents"/>
              <w:spacing w:before="0" w:after="0"/>
              <w:jc w:val="right"/>
              <w:rPr/>
            </w:pPr>
            <w:r>
              <w:rPr/>
              <w:t>(1,264</w:t>
            </w:r>
          </w:p>
        </w:tc>
        <w:tc>
          <w:tcPr>
            <w:tcW w:w="114" w:type="dxa"/>
            <w:tcBorders/>
            <w:shd w:fill="CCEEFF" w:val="clear"/>
            <w:vAlign w:val="bottom"/>
          </w:tcPr>
          <w:p>
            <w:pPr>
              <w:pStyle w:val="TableContents"/>
              <w:spacing w:before="0" w:after="0"/>
              <w:jc w:val="left"/>
              <w:rPr/>
            </w:pPr>
            <w:r>
              <w:rPr/>
              <w:t>)</w:t>
            </w:r>
          </w:p>
        </w:tc>
      </w:tr>
      <w:tr>
        <w:trPr/>
        <w:tc>
          <w:tcPr>
            <w:tcW w:w="7399" w:type="dxa"/>
            <w:tcBorders/>
            <w:shd w:fill="auto" w:val="clear"/>
            <w:vAlign w:val="bottom"/>
          </w:tcPr>
          <w:p>
            <w:pPr>
              <w:pStyle w:val="TableContents"/>
              <w:spacing w:before="0" w:after="0"/>
              <w:ind w:left="504" w:right="0" w:hanging="144"/>
              <w:rPr/>
            </w:pPr>
            <w:r>
              <w:rPr/>
              <w:t>Reclassification adjustment for loss on derivatives included in net income (loss)</w:t>
            </w:r>
          </w:p>
        </w:tc>
        <w:tc>
          <w:tcPr>
            <w:tcW w:w="60"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auto" w:val="clear"/>
            <w:tcMar>
              <w:bottom w:w="28" w:type="dxa"/>
            </w:tcMar>
            <w:vAlign w:val="bottom"/>
          </w:tcPr>
          <w:p>
            <w:pPr>
              <w:pStyle w:val="TableContents"/>
              <w:spacing w:before="0" w:after="0"/>
              <w:jc w:val="right"/>
              <w:rPr/>
            </w:pPr>
            <w:r>
              <w:rPr/>
              <w:t>603</w:t>
            </w:r>
          </w:p>
        </w:tc>
        <w:tc>
          <w:tcPr>
            <w:tcW w:w="146" w:type="dxa"/>
            <w:tcBorders/>
            <w:shd w:fill="auto" w:val="clear"/>
            <w:vAlign w:val="bottom"/>
          </w:tcPr>
          <w:p>
            <w:pPr>
              <w:pStyle w:val="TableContents"/>
              <w:spacing w:before="0" w:after="283"/>
              <w:jc w:val="left"/>
              <w:rPr/>
            </w:pPr>
            <w:r>
              <w:rPr/>
              <w:t> </w:t>
            </w:r>
          </w:p>
        </w:tc>
        <w:tc>
          <w:tcPr>
            <w:tcW w:w="91" w:type="dxa"/>
            <w:tcBorders/>
            <w:shd w:fill="auto" w:val="clear"/>
            <w:vAlign w:val="bottom"/>
          </w:tcPr>
          <w:p>
            <w:pPr>
              <w:pStyle w:val="TableContents"/>
              <w:spacing w:before="0" w:after="283"/>
              <w:jc w:val="right"/>
              <w:rPr/>
            </w:pPr>
            <w:r>
              <w:rPr/>
              <w:t> </w:t>
            </w:r>
          </w:p>
        </w:tc>
        <w:tc>
          <w:tcPr>
            <w:tcW w:w="2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auto" w:val="clear"/>
            <w:tcMar>
              <w:bottom w:w="28" w:type="dxa"/>
            </w:tcMar>
            <w:vAlign w:val="bottom"/>
          </w:tcPr>
          <w:p>
            <w:pPr>
              <w:pStyle w:val="TableContents"/>
              <w:spacing w:before="0" w:after="0"/>
              <w:jc w:val="right"/>
              <w:rPr/>
            </w:pPr>
            <w:r>
              <w:rPr/>
              <w:t>762</w:t>
            </w:r>
          </w:p>
        </w:tc>
        <w:tc>
          <w:tcPr>
            <w:tcW w:w="114" w:type="dxa"/>
            <w:tcBorders/>
            <w:shd w:fill="auto" w:val="clear"/>
            <w:vAlign w:val="bottom"/>
          </w:tcPr>
          <w:p>
            <w:pPr>
              <w:pStyle w:val="TableContents"/>
              <w:spacing w:before="0" w:after="283"/>
              <w:jc w:val="left"/>
              <w:rPr/>
            </w:pPr>
            <w:r>
              <w:rPr/>
              <w:t> </w:t>
            </w:r>
          </w:p>
        </w:tc>
      </w:tr>
      <w:tr>
        <w:trPr/>
        <w:tc>
          <w:tcPr>
            <w:tcW w:w="7399" w:type="dxa"/>
            <w:tcBorders/>
            <w:shd w:fill="CCEEFF" w:val="clear"/>
            <w:vAlign w:val="bottom"/>
          </w:tcPr>
          <w:p>
            <w:pPr>
              <w:pStyle w:val="TableContents"/>
              <w:spacing w:before="0" w:after="0"/>
              <w:ind w:left="144" w:right="0" w:hanging="144"/>
              <w:rPr/>
            </w:pPr>
            <w:r>
              <w:rPr/>
              <w:t>Total other comprehensive loss</w:t>
            </w:r>
          </w:p>
        </w:tc>
        <w:tc>
          <w:tcPr>
            <w:tcW w:w="60" w:type="dxa"/>
            <w:tcBorders/>
            <w:shd w:fill="CCEEFF" w:val="clear"/>
            <w:vAlign w:val="bottom"/>
          </w:tcPr>
          <w:p>
            <w:pPr>
              <w:pStyle w:val="TableContents"/>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0" w:type="dxa"/>
            <w:tcBorders>
              <w:bottom w:val="single" w:sz="12" w:space="0" w:color="000000"/>
            </w:tcBorders>
            <w:shd w:fill="CCEEFF" w:val="clear"/>
            <w:tcMar>
              <w:bottom w:w="28" w:type="dxa"/>
            </w:tcMar>
            <w:vAlign w:val="bottom"/>
          </w:tcPr>
          <w:p>
            <w:pPr>
              <w:pStyle w:val="TableContents"/>
              <w:spacing w:before="0" w:after="0"/>
              <w:jc w:val="right"/>
              <w:rPr/>
            </w:pPr>
            <w:r>
              <w:rPr/>
              <w:t>(2,440</w:t>
            </w:r>
          </w:p>
        </w:tc>
        <w:tc>
          <w:tcPr>
            <w:tcW w:w="146" w:type="dxa"/>
            <w:tcBorders/>
            <w:shd w:fill="CCEEFF" w:val="clear"/>
            <w:vAlign w:val="bottom"/>
          </w:tcPr>
          <w:p>
            <w:pPr>
              <w:pStyle w:val="TableContents"/>
              <w:spacing w:before="0" w:after="0"/>
              <w:jc w:val="left"/>
              <w:rPr/>
            </w:pPr>
            <w:r>
              <w:rPr/>
              <w:t>)</w:t>
            </w:r>
          </w:p>
        </w:tc>
        <w:tc>
          <w:tcPr>
            <w:tcW w:w="91" w:type="dxa"/>
            <w:tcBorders/>
            <w:shd w:fill="CCEEFF" w:val="clear"/>
            <w:vAlign w:val="bottom"/>
          </w:tcPr>
          <w:p>
            <w:pPr>
              <w:pStyle w:val="TableContents"/>
              <w:spacing w:before="0" w:after="283"/>
              <w:jc w:val="right"/>
              <w:rPr/>
            </w:pPr>
            <w:r>
              <w:rPr/>
              <w:t> </w:t>
            </w:r>
          </w:p>
        </w:tc>
        <w:tc>
          <w:tcPr>
            <w:tcW w:w="24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2" w:type="dxa"/>
            <w:tcBorders>
              <w:bottom w:val="single" w:sz="12" w:space="0" w:color="000000"/>
            </w:tcBorders>
            <w:shd w:fill="CCEEFF" w:val="clear"/>
            <w:tcMar>
              <w:bottom w:w="28" w:type="dxa"/>
            </w:tcMar>
            <w:vAlign w:val="bottom"/>
          </w:tcPr>
          <w:p>
            <w:pPr>
              <w:pStyle w:val="TableContents"/>
              <w:spacing w:before="0" w:after="0"/>
              <w:jc w:val="right"/>
              <w:rPr/>
            </w:pPr>
            <w:r>
              <w:rPr/>
              <w:t>(3,547</w:t>
            </w:r>
          </w:p>
        </w:tc>
        <w:tc>
          <w:tcPr>
            <w:tcW w:w="114" w:type="dxa"/>
            <w:tcBorders/>
            <w:shd w:fill="CCEEFF" w:val="clear"/>
            <w:vAlign w:val="bottom"/>
          </w:tcPr>
          <w:p>
            <w:pPr>
              <w:pStyle w:val="TableContents"/>
              <w:spacing w:before="0" w:after="0"/>
              <w:jc w:val="left"/>
              <w:rPr/>
            </w:pPr>
            <w:r>
              <w:rPr/>
              <w:t>)</w:t>
            </w:r>
          </w:p>
        </w:tc>
      </w:tr>
      <w:tr>
        <w:trPr/>
        <w:tc>
          <w:tcPr>
            <w:tcW w:w="7399" w:type="dxa"/>
            <w:tcBorders/>
            <w:shd w:fill="auto" w:val="clear"/>
            <w:vAlign w:val="bottom"/>
          </w:tcPr>
          <w:p>
            <w:pPr>
              <w:pStyle w:val="TableContents"/>
              <w:spacing w:before="0" w:after="0"/>
              <w:ind w:left="144" w:right="0" w:hanging="144"/>
              <w:rPr/>
            </w:pPr>
            <w:r>
              <w:rPr/>
              <w:t>Total comprehensive income (loss)</w:t>
            </w:r>
          </w:p>
        </w:tc>
        <w:tc>
          <w:tcPr>
            <w:tcW w:w="60"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60" w:type="dxa"/>
            <w:tcBorders>
              <w:bottom w:val="double" w:sz="8" w:space="0" w:color="000000"/>
            </w:tcBorders>
            <w:shd w:fill="auto" w:val="clear"/>
            <w:tcMar>
              <w:bottom w:w="28" w:type="dxa"/>
            </w:tcMar>
            <w:vAlign w:val="bottom"/>
          </w:tcPr>
          <w:p>
            <w:pPr>
              <w:pStyle w:val="TableContents"/>
              <w:spacing w:before="0" w:after="0"/>
              <w:jc w:val="right"/>
              <w:rPr/>
            </w:pPr>
            <w:r>
              <w:rPr/>
              <w:t>(23,910</w:t>
            </w:r>
          </w:p>
        </w:tc>
        <w:tc>
          <w:tcPr>
            <w:tcW w:w="146" w:type="dxa"/>
            <w:tcBorders/>
            <w:shd w:fill="auto" w:val="clear"/>
            <w:vAlign w:val="bottom"/>
          </w:tcPr>
          <w:p>
            <w:pPr>
              <w:pStyle w:val="TableContents"/>
              <w:spacing w:before="0" w:after="0"/>
              <w:jc w:val="left"/>
              <w:rPr/>
            </w:pPr>
            <w:r>
              <w:rPr/>
              <w:t>)</w:t>
            </w:r>
          </w:p>
        </w:tc>
        <w:tc>
          <w:tcPr>
            <w:tcW w:w="91" w:type="dxa"/>
            <w:tcBorders/>
            <w:shd w:fill="auto" w:val="clear"/>
            <w:vAlign w:val="bottom"/>
          </w:tcPr>
          <w:p>
            <w:pPr>
              <w:pStyle w:val="TableContents"/>
              <w:spacing w:before="0" w:after="283"/>
              <w:jc w:val="right"/>
              <w:rPr/>
            </w:pPr>
            <w:r>
              <w:rPr/>
              <w:t> </w:t>
            </w:r>
          </w:p>
        </w:tc>
        <w:tc>
          <w:tcPr>
            <w:tcW w:w="24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12" w:type="dxa"/>
            <w:tcBorders>
              <w:bottom w:val="double" w:sz="8" w:space="0" w:color="000000"/>
            </w:tcBorders>
            <w:shd w:fill="auto" w:val="clear"/>
            <w:tcMar>
              <w:bottom w:w="28" w:type="dxa"/>
            </w:tcMar>
            <w:vAlign w:val="bottom"/>
          </w:tcPr>
          <w:p>
            <w:pPr>
              <w:pStyle w:val="TableContents"/>
              <w:spacing w:before="0" w:after="0"/>
              <w:jc w:val="right"/>
              <w:rPr/>
            </w:pPr>
            <w:r>
              <w:rPr/>
              <w:t>5,981</w:t>
            </w:r>
          </w:p>
        </w:tc>
        <w:tc>
          <w:tcPr>
            <w:tcW w:w="114"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CHANGES IN </w:t>
      </w:r>
      <w:bookmarkStart w:id="7" w:name="STOCKHOLDERSEQUITY"/>
      <w:bookmarkEnd w:id="7"/>
      <w:r>
        <w:rPr>
          <w:rFonts w:ascii="Times New Roman" w:hAnsi="Times New Roman"/>
          <w:b/>
          <w:color w:val="000000"/>
          <w:sz w:val="20"/>
        </w:rPr>
        <w:t>STOCKHOLDERS’ EQUITY (Unaudited)</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829"/>
        <w:gridCol w:w="60"/>
        <w:gridCol w:w="60"/>
        <w:gridCol w:w="1100"/>
        <w:gridCol w:w="95"/>
        <w:gridCol w:w="60"/>
        <w:gridCol w:w="231"/>
        <w:gridCol w:w="629"/>
        <w:gridCol w:w="60"/>
        <w:gridCol w:w="60"/>
        <w:gridCol w:w="163"/>
        <w:gridCol w:w="937"/>
        <w:gridCol w:w="103"/>
        <w:gridCol w:w="60"/>
        <w:gridCol w:w="141"/>
        <w:gridCol w:w="809"/>
        <w:gridCol w:w="95"/>
        <w:gridCol w:w="60"/>
        <w:gridCol w:w="140"/>
        <w:gridCol w:w="876"/>
        <w:gridCol w:w="95"/>
        <w:gridCol w:w="60"/>
        <w:gridCol w:w="251"/>
        <w:gridCol w:w="1359"/>
        <w:gridCol w:w="95"/>
        <w:gridCol w:w="60"/>
        <w:gridCol w:w="140"/>
        <w:gridCol w:w="800"/>
        <w:gridCol w:w="111"/>
      </w:tblGrid>
      <w:tr>
        <w:trPr/>
        <w:tc>
          <w:tcPr>
            <w:tcW w:w="18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Additional</w:t>
            </w:r>
          </w:p>
          <w:p>
            <w:pPr>
              <w:pStyle w:val="TableContents"/>
              <w:spacing w:before="0" w:after="0"/>
              <w:jc w:val="center"/>
              <w:rPr>
                <w:b/>
              </w:rPr>
            </w:pPr>
            <w:r>
              <w:rPr>
                <w:b/>
              </w:rPr>
              <w:t>Paid-In</w:t>
            </w:r>
          </w:p>
          <w:p>
            <w:pPr>
              <w:pStyle w:val="TableContents"/>
              <w:spacing w:before="0" w:after="0"/>
              <w:jc w:val="center"/>
              <w:rPr>
                <w:b/>
              </w:rPr>
            </w:pPr>
            <w:r>
              <w:rPr>
                <w:b/>
              </w:rPr>
              <w:t>Capital</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Retained</w:t>
            </w:r>
          </w:p>
          <w:p>
            <w:pPr>
              <w:pStyle w:val="TableContents"/>
              <w:spacing w:before="0" w:after="0"/>
              <w:jc w:val="center"/>
              <w:rPr>
                <w:b/>
              </w:rPr>
            </w:pPr>
            <w:r>
              <w:rPr>
                <w:b/>
              </w:rPr>
              <w:t>Earnings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016"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b/>
              </w:rPr>
              <w:t>Treasury</w:t>
            </w:r>
            <w:r>
              <w:rPr/>
              <w:t xml:space="preserve"> </w:t>
            </w:r>
          </w:p>
          <w:p>
            <w:pPr>
              <w:pStyle w:val="TableContents"/>
              <w:spacing w:before="0" w:after="0"/>
              <w:jc w:val="center"/>
              <w:rPr>
                <w:b/>
              </w:rPr>
            </w:pPr>
            <w:r>
              <w:rPr>
                <w:b/>
              </w:rPr>
              <w:t>Stock</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Accumulated</w:t>
            </w:r>
          </w:p>
          <w:p>
            <w:pPr>
              <w:pStyle w:val="TableContents"/>
              <w:spacing w:before="0" w:after="0"/>
              <w:jc w:val="center"/>
              <w:rPr>
                <w:b/>
              </w:rPr>
            </w:pPr>
            <w:r>
              <w:rPr>
                <w:b/>
              </w:rPr>
              <w:t>Other</w:t>
            </w:r>
          </w:p>
          <w:p>
            <w:pPr>
              <w:pStyle w:val="TableContents"/>
              <w:spacing w:before="0" w:after="0"/>
              <w:jc w:val="center"/>
              <w:rPr>
                <w:b/>
              </w:rPr>
            </w:pPr>
            <w:r>
              <w:rPr>
                <w:b/>
              </w:rPr>
              <w:t>Comprehensive</w:t>
            </w:r>
          </w:p>
          <w:p>
            <w:pPr>
              <w:pStyle w:val="TableContents"/>
              <w:spacing w:before="0" w:after="0"/>
              <w:jc w:val="center"/>
              <w:rPr>
                <w:b/>
              </w:rPr>
            </w:pPr>
            <w:r>
              <w:rPr>
                <w:b/>
              </w:rPr>
              <w:t>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vMerge w:val="restart"/>
            <w:tcBorders>
              <w:bottom w:val="single" w:sz="12" w:space="0" w:color="000000"/>
            </w:tcBorders>
            <w:shd w:fill="auto" w:val="clear"/>
            <w:tcMar>
              <w:bottom w:w="28" w:type="dxa"/>
            </w:tcMar>
            <w:vAlign w:val="bottom"/>
          </w:tcPr>
          <w:p>
            <w:pPr>
              <w:pStyle w:val="TableContents"/>
              <w:spacing w:before="0" w:after="0"/>
              <w:rPr/>
            </w:pPr>
            <w:r>
              <w:rPr/>
            </w:r>
          </w:p>
          <w:p>
            <w:pPr>
              <w:pStyle w:val="TableContents"/>
              <w:spacing w:before="0" w:after="0"/>
              <w:jc w:val="center"/>
              <w:rPr>
                <w:b/>
              </w:rPr>
            </w:pPr>
            <w:r>
              <w:rPr>
                <w:b/>
              </w:rPr>
              <w:t>Total</w:t>
            </w:r>
          </w:p>
        </w:tc>
        <w:tc>
          <w:tcPr>
            <w:tcW w:w="111" w:type="dxa"/>
            <w:tcBorders/>
            <w:shd w:fill="auto" w:val="clear"/>
            <w:vAlign w:val="bottom"/>
          </w:tcPr>
          <w:p>
            <w:pPr>
              <w:pStyle w:val="TableContents"/>
              <w:spacing w:before="0" w:after="283"/>
              <w:jc w:val="left"/>
              <w:rPr/>
            </w:pPr>
            <w:r>
              <w:rPr/>
              <w:t> </w:t>
            </w:r>
          </w:p>
        </w:tc>
      </w:tr>
      <w:tr>
        <w:trPr/>
        <w:tc>
          <w:tcPr>
            <w:tcW w:w="1829" w:type="dxa"/>
            <w:tcBorders>
              <w:bottom w:val="single" w:sz="12" w:space="0" w:color="000000"/>
            </w:tcBorders>
            <w:shd w:fill="auto" w:val="clear"/>
            <w:tcMar>
              <w:bottom w:w="28" w:type="dxa"/>
            </w:tcMar>
            <w:vAlign w:val="bottom"/>
          </w:tcPr>
          <w:p>
            <w:pPr>
              <w:pStyle w:val="TableContents"/>
              <w:spacing w:before="0" w:after="0"/>
              <w:ind w:left="144" w:right="0" w:hanging="144"/>
              <w:rPr>
                <w:b/>
              </w:rPr>
            </w:pPr>
            <w:r>
              <w:rPr>
                <w:b/>
              </w:rPr>
              <w:t>(In thousands of U.S. dollars, except share data)</w:t>
            </w:r>
          </w:p>
        </w:tc>
        <w:tc>
          <w:tcPr>
            <w:tcW w:w="60" w:type="dxa"/>
            <w:tcBorders/>
            <w:shd w:fill="auto" w:val="clear"/>
            <w:vAlign w:val="bottom"/>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Shares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vMerge w:val="continue"/>
            <w:tcBorders>
              <w:bottom w:val="single" w:sz="12" w:space="0" w:color="000000"/>
            </w:tcBorders>
            <w:shd w:fill="auto" w:val="clear"/>
            <w:tcMar>
              <w:bottom w:w="28" w:type="dxa"/>
            </w:tcMar>
            <w:vAlign w:val="bottom"/>
          </w:tcPr>
          <w:p>
            <w:pPr>
              <w:pStyle w:val="Normal"/>
              <w:rPr/>
            </w:pPr>
            <w:r>
              <w:rPr/>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vMerge w:val="continue"/>
            <w:tcBorders>
              <w:bottom w:val="single" w:sz="12" w:space="0" w:color="000000"/>
            </w:tcBorders>
            <w:shd w:fill="auto" w:val="clear"/>
            <w:tcMar>
              <w:bottom w:w="28" w:type="dxa"/>
            </w:tcMar>
            <w:vAlign w:val="bottom"/>
          </w:tcPr>
          <w:p>
            <w:pPr>
              <w:pStyle w:val="Normal"/>
              <w:rPr/>
            </w:pPr>
            <w:r>
              <w:rPr/>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6" w:type="dxa"/>
            <w:gridSpan w:val="2"/>
            <w:vMerge w:val="continue"/>
            <w:tcBorders>
              <w:bottom w:val="single" w:sz="12" w:space="0" w:color="000000"/>
            </w:tcBorders>
            <w:shd w:fill="auto" w:val="clear"/>
            <w:tcMar>
              <w:bottom w:w="28" w:type="dxa"/>
            </w:tcMar>
            <w:vAlign w:val="bottom"/>
          </w:tcPr>
          <w:p>
            <w:pPr>
              <w:pStyle w:val="Normal"/>
              <w:rPr/>
            </w:pPr>
            <w:r>
              <w:rPr/>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vMerge w:val="continue"/>
            <w:tcBorders>
              <w:bottom w:val="single" w:sz="12" w:space="0" w:color="000000"/>
            </w:tcBorders>
            <w:shd w:fill="auto" w:val="clear"/>
            <w:tcMar>
              <w:bottom w:w="28" w:type="dxa"/>
            </w:tcMar>
            <w:vAlign w:val="bottom"/>
          </w:tcPr>
          <w:p>
            <w:pPr>
              <w:pStyle w:val="Normal"/>
              <w:rPr/>
            </w:pPr>
            <w:r>
              <w:rPr/>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vMerge w:val="continue"/>
            <w:tcBorders>
              <w:bottom w:val="single" w:sz="12" w:space="0" w:color="000000"/>
            </w:tcBorders>
            <w:shd w:fill="auto" w:val="clear"/>
            <w:tcMar>
              <w:bottom w:w="28" w:type="dxa"/>
            </w:tcMar>
            <w:vAlign w:val="bottom"/>
          </w:tcPr>
          <w:p>
            <w:pPr>
              <w:pStyle w:val="Normal"/>
              <w:rPr/>
            </w:pPr>
            <w:r>
              <w:rPr/>
            </w:r>
          </w:p>
        </w:tc>
        <w:tc>
          <w:tcPr>
            <w:tcW w:w="111" w:type="dxa"/>
            <w:tcBorders/>
            <w:shd w:fill="auto"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144" w:right="0" w:hanging="0"/>
              <w:rPr>
                <w:b/>
              </w:rPr>
            </w:pPr>
            <w:r>
              <w:rPr>
                <w:b/>
              </w:rPr>
              <w:t>Three Months Ended March 31, 2023:</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144" w:right="0" w:hanging="0"/>
              <w:rPr>
                <w:b/>
              </w:rPr>
            </w:pPr>
            <w:r>
              <w:rPr>
                <w:b/>
              </w:rPr>
              <w:t>Balance at December 31, 2022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pPr>
            <w:r>
              <w:rPr/>
              <w:t>43,824,575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0"/>
              <w:jc w:val="left"/>
              <w:rPr/>
            </w:pPr>
            <w:r>
              <w:rPr/>
              <w:t>$</w:t>
            </w:r>
          </w:p>
        </w:tc>
        <w:tc>
          <w:tcPr>
            <w:tcW w:w="629" w:type="dxa"/>
            <w:tcBorders/>
            <w:shd w:fill="CCEEFF" w:val="clear"/>
            <w:vAlign w:val="bottom"/>
          </w:tcPr>
          <w:p>
            <w:pPr>
              <w:pStyle w:val="TableContents"/>
              <w:spacing w:before="0" w:after="0"/>
              <w:jc w:val="right"/>
              <w:rPr/>
            </w:pPr>
            <w:r>
              <w:rPr/>
              <w:t>564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0"/>
              <w:jc w:val="left"/>
              <w:rPr/>
            </w:pPr>
            <w:r>
              <w:rPr/>
              <w:t>$</w:t>
            </w:r>
          </w:p>
        </w:tc>
        <w:tc>
          <w:tcPr>
            <w:tcW w:w="937" w:type="dxa"/>
            <w:tcBorders/>
            <w:shd w:fill="CCEEFF" w:val="clear"/>
            <w:vAlign w:val="bottom"/>
          </w:tcPr>
          <w:p>
            <w:pPr>
              <w:pStyle w:val="TableContents"/>
              <w:spacing w:before="0" w:after="0"/>
              <w:jc w:val="right"/>
              <w:rPr/>
            </w:pPr>
            <w:r>
              <w:rPr/>
              <w:t>266,058</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pPr>
            <w:r>
              <w:rPr/>
              <w:t>$</w:t>
            </w:r>
          </w:p>
        </w:tc>
        <w:tc>
          <w:tcPr>
            <w:tcW w:w="809" w:type="dxa"/>
            <w:tcBorders/>
            <w:shd w:fill="CCEEFF" w:val="clear"/>
            <w:vAlign w:val="bottom"/>
          </w:tcPr>
          <w:p>
            <w:pPr>
              <w:pStyle w:val="TableContents"/>
              <w:spacing w:before="0" w:after="0"/>
              <w:jc w:val="right"/>
              <w:rPr/>
            </w:pPr>
            <w:r>
              <w:rPr/>
              <w:t>335,506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876" w:type="dxa"/>
            <w:tcBorders/>
            <w:shd w:fill="CCEEFF" w:val="clear"/>
            <w:vAlign w:val="bottom"/>
          </w:tcPr>
          <w:p>
            <w:pPr>
              <w:pStyle w:val="TableContents"/>
              <w:spacing w:before="0" w:after="0"/>
              <w:jc w:val="right"/>
              <w:rPr/>
            </w:pPr>
            <w:r>
              <w:rPr/>
              <w:t>(161,422</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0"/>
              <w:jc w:val="left"/>
              <w:rPr/>
            </w:pPr>
            <w:r>
              <w:rPr/>
              <w:t>$</w:t>
            </w:r>
          </w:p>
        </w:tc>
        <w:tc>
          <w:tcPr>
            <w:tcW w:w="1359" w:type="dxa"/>
            <w:tcBorders/>
            <w:shd w:fill="CCEEFF" w:val="clear"/>
            <w:vAlign w:val="bottom"/>
          </w:tcPr>
          <w:p>
            <w:pPr>
              <w:pStyle w:val="TableContents"/>
              <w:spacing w:before="0" w:after="0"/>
              <w:jc w:val="right"/>
              <w:rPr/>
            </w:pPr>
            <w:r>
              <w:rPr/>
              <w:t>(12,553</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800" w:type="dxa"/>
            <w:tcBorders/>
            <w:shd w:fill="CCEEFF" w:val="clear"/>
            <w:vAlign w:val="bottom"/>
          </w:tcPr>
          <w:p>
            <w:pPr>
              <w:pStyle w:val="TableContents"/>
              <w:spacing w:before="0" w:after="0"/>
              <w:jc w:val="right"/>
              <w:rPr/>
            </w:pPr>
            <w:r>
              <w:rPr/>
              <w:t>428,153</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324" w:right="0" w:hanging="144"/>
              <w:rPr/>
            </w:pPr>
            <w:r>
              <w:rPr/>
              <w:t>Stock-based compensation</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0"/>
              <w:jc w:val="right"/>
              <w:rPr/>
            </w:pPr>
            <w:r>
              <w:rPr/>
              <w:t>1,120</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1,120</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324" w:right="0" w:hanging="144"/>
              <w:rPr/>
            </w:pPr>
            <w:r>
              <w:rPr/>
              <w:t>Exercise of stock options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1,400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283"/>
              <w:jc w:val="right"/>
              <w:rPr/>
            </w:pPr>
            <w:r>
              <w:rPr/>
              <w:t>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283"/>
              <w:jc w:val="right"/>
              <w:rPr/>
            </w:pPr>
            <w:r>
              <w:rPr/>
              <w:t>9</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9</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324" w:right="0" w:hanging="144"/>
              <w:rPr/>
            </w:pPr>
            <w:r>
              <w:rPr/>
              <w:t>Settlement of restricted stock units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3,333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0"/>
              <w:jc w:val="right"/>
              <w:rPr/>
            </w:pPr>
            <w:r>
              <w:rPr/>
              <w:t>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0"/>
              <w:jc w:val="right"/>
              <w:rPr/>
            </w:pPr>
            <w:r>
              <w:rPr/>
              <w:t>(0</w:t>
            </w:r>
          </w:p>
        </w:tc>
        <w:tc>
          <w:tcPr>
            <w:tcW w:w="103" w:type="dxa"/>
            <w:tcBorders/>
            <w:shd w:fill="auto" w:val="clear"/>
            <w:vAlign w:val="bottom"/>
          </w:tcPr>
          <w:p>
            <w:pPr>
              <w:pStyle w:val="TableContents"/>
              <w:spacing w:before="0" w:after="283"/>
              <w:jc w:val="left"/>
              <w:rPr/>
            </w:pPr>
            <w:r>
              <w:rPr/>
              <w:t xml:space="preserve">)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324" w:right="0" w:hanging="144"/>
              <w:rPr/>
            </w:pPr>
            <w:r>
              <w:rPr/>
              <w:t>Acquisition of treasury stock</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pPr>
            <w:r>
              <w:rPr/>
              <w:t>(1,239,993</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0"/>
              <w:jc w:val="right"/>
              <w:rPr/>
            </w:pPr>
            <w:r>
              <w:rPr/>
              <w:t>(12,019</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pPr>
            <w:r>
              <w:rPr/>
              <w:t>(12,019</w:t>
            </w:r>
          </w:p>
        </w:tc>
        <w:tc>
          <w:tcPr>
            <w:tcW w:w="111" w:type="dxa"/>
            <w:tcBorders/>
            <w:shd w:fill="CCEEFF" w:val="clear"/>
            <w:vAlign w:val="bottom"/>
          </w:tcPr>
          <w:p>
            <w:pPr>
              <w:pStyle w:val="TableContents"/>
              <w:spacing w:before="0" w:after="0"/>
              <w:jc w:val="left"/>
              <w:rPr/>
            </w:pPr>
            <w:r>
              <w:rPr/>
              <w:t>)</w:t>
            </w:r>
          </w:p>
        </w:tc>
      </w:tr>
      <w:tr>
        <w:trPr/>
        <w:tc>
          <w:tcPr>
            <w:tcW w:w="1829" w:type="dxa"/>
            <w:tcBorders/>
            <w:shd w:fill="auto" w:val="clear"/>
            <w:vAlign w:val="bottom"/>
          </w:tcPr>
          <w:p>
            <w:pPr>
              <w:pStyle w:val="TableContents"/>
              <w:spacing w:before="0" w:after="0"/>
              <w:ind w:left="324" w:right="0" w:hanging="144"/>
              <w:rPr/>
            </w:pPr>
            <w:r>
              <w:rPr/>
              <w:t>Other comprehensive loss, net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0"/>
              <w:jc w:val="right"/>
              <w:rPr/>
            </w:pPr>
            <w:r>
              <w:rPr/>
              <w:t>—</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0"/>
              <w:jc w:val="right"/>
              <w:rPr/>
            </w:pPr>
            <w:r>
              <w:rPr/>
              <w:t>(2,440</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(2,440</w:t>
            </w:r>
          </w:p>
        </w:tc>
        <w:tc>
          <w:tcPr>
            <w:tcW w:w="111" w:type="dxa"/>
            <w:tcBorders/>
            <w:shd w:fill="auto" w:val="clear"/>
            <w:vAlign w:val="bottom"/>
          </w:tcPr>
          <w:p>
            <w:pPr>
              <w:pStyle w:val="TableContents"/>
              <w:spacing w:before="0" w:after="0"/>
              <w:jc w:val="left"/>
              <w:rPr/>
            </w:pPr>
            <w:r>
              <w:rPr/>
              <w:t>)</w:t>
            </w:r>
          </w:p>
        </w:tc>
      </w:tr>
      <w:tr>
        <w:trPr/>
        <w:tc>
          <w:tcPr>
            <w:tcW w:w="1829" w:type="dxa"/>
            <w:tcBorders/>
            <w:shd w:fill="CCEEFF" w:val="clear"/>
            <w:vAlign w:val="bottom"/>
          </w:tcPr>
          <w:p>
            <w:pPr>
              <w:pStyle w:val="TableContents"/>
              <w:spacing w:before="0" w:after="0"/>
              <w:ind w:left="324" w:right="0" w:hanging="144"/>
              <w:rPr/>
            </w:pPr>
            <w:r>
              <w:rPr/>
              <w:t>Net loss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spacing w:before="0" w:after="0"/>
              <w:jc w:val="right"/>
              <w:rPr/>
            </w:pPr>
            <w:r>
              <w:rPr/>
              <w:t>(21,470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(21,470</w:t>
            </w:r>
          </w:p>
        </w:tc>
        <w:tc>
          <w:tcPr>
            <w:tcW w:w="111" w:type="dxa"/>
            <w:tcBorders/>
            <w:shd w:fill="CCEEFF" w:val="clear"/>
            <w:vAlign w:val="bottom"/>
          </w:tcPr>
          <w:p>
            <w:pPr>
              <w:pStyle w:val="TableContents"/>
              <w:spacing w:before="0" w:after="0"/>
              <w:jc w:val="left"/>
              <w:rPr/>
            </w:pPr>
            <w:r>
              <w:rPr/>
              <w:t>)</w:t>
            </w:r>
          </w:p>
        </w:tc>
      </w:tr>
      <w:tr>
        <w:trPr/>
        <w:tc>
          <w:tcPr>
            <w:tcW w:w="1829" w:type="dxa"/>
            <w:tcBorders/>
            <w:shd w:fill="auto" w:val="clear"/>
            <w:vAlign w:val="bottom"/>
          </w:tcPr>
          <w:p>
            <w:pPr>
              <w:pStyle w:val="TableContents"/>
              <w:spacing w:before="0" w:after="0"/>
              <w:ind w:left="144" w:right="0" w:hanging="0"/>
              <w:rPr>
                <w:b/>
              </w:rPr>
            </w:pPr>
            <w:r>
              <w:rPr>
                <w:b/>
              </w:rPr>
              <w:t>Balance at March 31, 2023</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pPr>
            <w:r>
              <w:rPr/>
              <w:t>42,589,315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29" w:type="dxa"/>
            <w:tcBorders>
              <w:bottom w:val="double" w:sz="8" w:space="0" w:color="000000"/>
            </w:tcBorders>
            <w:shd w:fill="auto" w:val="clear"/>
            <w:tcMar>
              <w:bottom w:w="28" w:type="dxa"/>
            </w:tcMar>
            <w:vAlign w:val="bottom"/>
          </w:tcPr>
          <w:p>
            <w:pPr>
              <w:pStyle w:val="TableContents"/>
              <w:spacing w:before="0" w:after="0"/>
              <w:jc w:val="right"/>
              <w:rPr/>
            </w:pPr>
            <w:r>
              <w:rPr/>
              <w:t>564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937" w:type="dxa"/>
            <w:tcBorders>
              <w:bottom w:val="double" w:sz="8" w:space="0" w:color="000000"/>
            </w:tcBorders>
            <w:shd w:fill="auto" w:val="clear"/>
            <w:tcMar>
              <w:bottom w:w="28" w:type="dxa"/>
            </w:tcMar>
            <w:vAlign w:val="bottom"/>
          </w:tcPr>
          <w:p>
            <w:pPr>
              <w:pStyle w:val="TableContents"/>
              <w:spacing w:before="0" w:after="0"/>
              <w:jc w:val="right"/>
              <w:rPr/>
            </w:pPr>
            <w:r>
              <w:rPr/>
              <w:t>267,187</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09" w:type="dxa"/>
            <w:tcBorders>
              <w:bottom w:val="double" w:sz="8" w:space="0" w:color="000000"/>
            </w:tcBorders>
            <w:shd w:fill="auto" w:val="clear"/>
            <w:tcMar>
              <w:bottom w:w="28" w:type="dxa"/>
            </w:tcMar>
            <w:vAlign w:val="bottom"/>
          </w:tcPr>
          <w:p>
            <w:pPr>
              <w:pStyle w:val="TableContents"/>
              <w:spacing w:before="0" w:after="0"/>
              <w:jc w:val="right"/>
              <w:rPr/>
            </w:pPr>
            <w:r>
              <w:rPr/>
              <w:t>314,036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(173,441</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5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359" w:type="dxa"/>
            <w:tcBorders>
              <w:bottom w:val="double" w:sz="8" w:space="0" w:color="000000"/>
            </w:tcBorders>
            <w:shd w:fill="auto" w:val="clear"/>
            <w:tcMar>
              <w:bottom w:w="28" w:type="dxa"/>
            </w:tcMar>
            <w:vAlign w:val="bottom"/>
          </w:tcPr>
          <w:p>
            <w:pPr>
              <w:pStyle w:val="TableContents"/>
              <w:spacing w:before="0" w:after="0"/>
              <w:jc w:val="right"/>
              <w:rPr/>
            </w:pPr>
            <w:r>
              <w:rPr/>
              <w:t>(14,993</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pPr>
            <w:r>
              <w:rPr/>
              <w:t>393,353</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144" w:right="0" w:hanging="0"/>
              <w:rPr>
                <w:b/>
              </w:rPr>
            </w:pPr>
            <w:r>
              <w:rPr>
                <w:b/>
              </w:rPr>
              <w:t>Three Months Ended March 31, 2022: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144" w:right="0" w:hanging="0"/>
              <w:rPr>
                <w:b/>
              </w:rPr>
            </w:pPr>
            <w:r>
              <w:rPr>
                <w:b/>
              </w:rPr>
              <w:t>Balance at December 31, 2021</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45,659,304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0"/>
              <w:jc w:val="left"/>
              <w:rPr/>
            </w:pPr>
            <w:r>
              <w:rPr/>
              <w:t>$</w:t>
            </w:r>
          </w:p>
        </w:tc>
        <w:tc>
          <w:tcPr>
            <w:tcW w:w="629" w:type="dxa"/>
            <w:tcBorders/>
            <w:shd w:fill="auto" w:val="clear"/>
            <w:vAlign w:val="bottom"/>
          </w:tcPr>
          <w:p>
            <w:pPr>
              <w:pStyle w:val="TableContents"/>
              <w:spacing w:before="0" w:after="0"/>
              <w:jc w:val="right"/>
              <w:rPr/>
            </w:pPr>
            <w:r>
              <w:rPr/>
              <w:t>559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0"/>
              <w:jc w:val="left"/>
              <w:rPr/>
            </w:pPr>
            <w:r>
              <w:rPr/>
              <w:t>$</w:t>
            </w:r>
          </w:p>
        </w:tc>
        <w:tc>
          <w:tcPr>
            <w:tcW w:w="937" w:type="dxa"/>
            <w:tcBorders/>
            <w:shd w:fill="auto" w:val="clear"/>
            <w:vAlign w:val="bottom"/>
          </w:tcPr>
          <w:p>
            <w:pPr>
              <w:pStyle w:val="TableContents"/>
              <w:spacing w:before="0" w:after="0"/>
              <w:jc w:val="right"/>
              <w:rPr/>
            </w:pPr>
            <w:r>
              <w:rPr/>
              <w:t>241,197</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0"/>
              <w:jc w:val="left"/>
              <w:rPr/>
            </w:pPr>
            <w:r>
              <w:rPr/>
              <w:t>$</w:t>
            </w:r>
          </w:p>
        </w:tc>
        <w:tc>
          <w:tcPr>
            <w:tcW w:w="809" w:type="dxa"/>
            <w:tcBorders/>
            <w:shd w:fill="auto" w:val="clear"/>
            <w:vAlign w:val="bottom"/>
          </w:tcPr>
          <w:p>
            <w:pPr>
              <w:pStyle w:val="TableContents"/>
              <w:spacing w:before="0" w:after="0"/>
              <w:jc w:val="right"/>
              <w:rPr/>
            </w:pPr>
            <w:r>
              <w:rPr/>
              <w:t>343,542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pPr>
            <w:r>
              <w:rPr/>
              <w:t>$</w:t>
            </w:r>
          </w:p>
        </w:tc>
        <w:tc>
          <w:tcPr>
            <w:tcW w:w="876" w:type="dxa"/>
            <w:tcBorders/>
            <w:shd w:fill="auto" w:val="clear"/>
            <w:vAlign w:val="bottom"/>
          </w:tcPr>
          <w:p>
            <w:pPr>
              <w:pStyle w:val="TableContents"/>
              <w:spacing w:before="0" w:after="0"/>
              <w:jc w:val="right"/>
              <w:rPr/>
            </w:pPr>
            <w:r>
              <w:rPr/>
              <w:t>(130,306</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0"/>
              <w:jc w:val="left"/>
              <w:rPr/>
            </w:pPr>
            <w:r>
              <w:rPr/>
              <w:t>$</w:t>
            </w:r>
          </w:p>
        </w:tc>
        <w:tc>
          <w:tcPr>
            <w:tcW w:w="1359" w:type="dxa"/>
            <w:tcBorders/>
            <w:shd w:fill="auto" w:val="clear"/>
            <w:vAlign w:val="bottom"/>
          </w:tcPr>
          <w:p>
            <w:pPr>
              <w:pStyle w:val="TableContents"/>
              <w:spacing w:before="0" w:after="0"/>
              <w:jc w:val="right"/>
              <w:rPr/>
            </w:pPr>
            <w:r>
              <w:rPr/>
              <w:t>(2,230</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pPr>
            <w:r>
              <w:rPr/>
              <w:t>$</w:t>
            </w:r>
          </w:p>
        </w:tc>
        <w:tc>
          <w:tcPr>
            <w:tcW w:w="800" w:type="dxa"/>
            <w:tcBorders/>
            <w:shd w:fill="auto" w:val="clear"/>
            <w:vAlign w:val="bottom"/>
          </w:tcPr>
          <w:p>
            <w:pPr>
              <w:pStyle w:val="TableContents"/>
              <w:spacing w:before="0" w:after="0"/>
              <w:jc w:val="right"/>
              <w:rPr/>
            </w:pPr>
            <w:r>
              <w:rPr/>
              <w:t>452,762</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324" w:right="0" w:hanging="144"/>
              <w:rPr/>
            </w:pPr>
            <w:r>
              <w:rPr/>
              <w:t>Stock-based compensation</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0"/>
              <w:jc w:val="right"/>
              <w:rPr/>
            </w:pPr>
            <w:r>
              <w:rPr/>
              <w:t>1,638</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pPr>
            <w:r>
              <w:rPr/>
              <w:t>1,638</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324" w:right="0" w:hanging="144"/>
              <w:rPr/>
            </w:pPr>
            <w:r>
              <w:rPr/>
              <w:t>Exercise of stock options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151,326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0"/>
              <w:jc w:val="right"/>
              <w:rPr/>
            </w:pPr>
            <w:r>
              <w:rPr/>
              <w:t>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0"/>
              <w:jc w:val="right"/>
              <w:rPr/>
            </w:pPr>
            <w:r>
              <w:rPr/>
              <w:t>1,780</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1,781</w:t>
            </w:r>
          </w:p>
        </w:tc>
        <w:tc>
          <w:tcPr>
            <w:tcW w:w="111" w:type="dxa"/>
            <w:tcBorders/>
            <w:shd w:fill="auto" w:val="clear"/>
            <w:vAlign w:val="bottom"/>
          </w:tcPr>
          <w:p>
            <w:pPr>
              <w:pStyle w:val="TableContents"/>
              <w:spacing w:before="0" w:after="283"/>
              <w:jc w:val="left"/>
              <w:rPr/>
            </w:pPr>
            <w:r>
              <w:rPr/>
              <w:t> </w:t>
            </w:r>
          </w:p>
        </w:tc>
      </w:tr>
      <w:tr>
        <w:trPr/>
        <w:tc>
          <w:tcPr>
            <w:tcW w:w="1829" w:type="dxa"/>
            <w:tcBorders/>
            <w:shd w:fill="CCEEFF" w:val="clear"/>
            <w:vAlign w:val="bottom"/>
          </w:tcPr>
          <w:p>
            <w:pPr>
              <w:pStyle w:val="TableContents"/>
              <w:spacing w:before="0" w:after="0"/>
              <w:ind w:left="324" w:right="0" w:hanging="144"/>
              <w:rPr/>
            </w:pPr>
            <w:r>
              <w:rPr/>
              <w:t>Settlement of restricted stock units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pPr>
            <w:r>
              <w:rPr/>
              <w:t>168,795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0"/>
              <w:jc w:val="right"/>
              <w:rPr/>
            </w:pPr>
            <w:r>
              <w:rPr/>
              <w:t>(2</w:t>
            </w:r>
          </w:p>
        </w:tc>
        <w:tc>
          <w:tcPr>
            <w:tcW w:w="103"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pPr>
            <w:r>
              <w:rPr/>
              <w:t>—</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324" w:right="0" w:hanging="144"/>
              <w:rPr/>
            </w:pPr>
            <w:r>
              <w:rPr/>
              <w:t>Acquisition of treasury stock</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(53,464</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283"/>
              <w:jc w:val="right"/>
              <w:rPr/>
            </w:pPr>
            <w:r>
              <w:rPr/>
              <w:t>—</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283"/>
              <w:jc w:val="right"/>
              <w:rPr/>
            </w:pPr>
            <w:r>
              <w:rPr/>
              <w:t>(1,000</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(1,000</w:t>
            </w:r>
          </w:p>
        </w:tc>
        <w:tc>
          <w:tcPr>
            <w:tcW w:w="111" w:type="dxa"/>
            <w:tcBorders/>
            <w:shd w:fill="auto" w:val="clear"/>
            <w:vAlign w:val="bottom"/>
          </w:tcPr>
          <w:p>
            <w:pPr>
              <w:pStyle w:val="TableContents"/>
              <w:spacing w:before="0" w:after="283"/>
              <w:jc w:val="left"/>
              <w:rPr/>
            </w:pPr>
            <w:r>
              <w:rPr/>
              <w:t>)</w:t>
            </w:r>
          </w:p>
        </w:tc>
      </w:tr>
      <w:tr>
        <w:trPr/>
        <w:tc>
          <w:tcPr>
            <w:tcW w:w="1829" w:type="dxa"/>
            <w:tcBorders/>
            <w:shd w:fill="CCEEFF" w:val="clear"/>
            <w:vAlign w:val="bottom"/>
          </w:tcPr>
          <w:p>
            <w:pPr>
              <w:pStyle w:val="TableContents"/>
              <w:spacing w:before="0" w:after="0"/>
              <w:ind w:left="324" w:right="0" w:hanging="144"/>
              <w:rPr/>
            </w:pPr>
            <w:r>
              <w:rPr/>
              <w:t>Accelerated stock repurchase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(1,031,576</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1" w:type="dxa"/>
            <w:tcBorders/>
            <w:shd w:fill="CCEEFF" w:val="clear"/>
            <w:vAlign w:val="bottom"/>
          </w:tcPr>
          <w:p>
            <w:pPr>
              <w:pStyle w:val="TableContents"/>
              <w:spacing w:before="0" w:after="283"/>
              <w:jc w:val="left"/>
              <w:rPr/>
            </w:pPr>
            <w:r>
              <w:rPr/>
              <w:t> </w:t>
            </w:r>
          </w:p>
        </w:tc>
        <w:tc>
          <w:tcPr>
            <w:tcW w:w="62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jc w:val="left"/>
              <w:rPr/>
            </w:pPr>
            <w:r>
              <w:rPr/>
              <w:t> </w:t>
            </w:r>
          </w:p>
        </w:tc>
        <w:tc>
          <w:tcPr>
            <w:tcW w:w="937" w:type="dxa"/>
            <w:tcBorders/>
            <w:shd w:fill="CCEEFF" w:val="clear"/>
            <w:vAlign w:val="bottom"/>
          </w:tcPr>
          <w:p>
            <w:pPr>
              <w:pStyle w:val="TableContents"/>
              <w:spacing w:before="0" w:after="283"/>
              <w:jc w:val="right"/>
              <w:rPr/>
            </w:pPr>
            <w:r>
              <w:rPr/>
              <w:t>17,217</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(17,217</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51" w:type="dxa"/>
            <w:tcBorders/>
            <w:shd w:fill="CCEEFF" w:val="clear"/>
            <w:vAlign w:val="bottom"/>
          </w:tcPr>
          <w:p>
            <w:pPr>
              <w:pStyle w:val="TableContents"/>
              <w:spacing w:before="0" w:after="283"/>
              <w:jc w:val="left"/>
              <w:rPr/>
            </w:pPr>
            <w:r>
              <w:rPr/>
              <w:t> </w:t>
            </w:r>
          </w:p>
        </w:tc>
        <w:tc>
          <w:tcPr>
            <w:tcW w:w="1359"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324" w:right="0" w:hanging="144"/>
              <w:rPr/>
            </w:pPr>
            <w:r>
              <w:rPr/>
              <w:t>Other comprehensive loss, net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62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jc w:val="left"/>
              <w:rPr/>
            </w:pPr>
            <w:r>
              <w:rPr/>
              <w:t> </w:t>
            </w:r>
          </w:p>
        </w:tc>
        <w:tc>
          <w:tcPr>
            <w:tcW w:w="937" w:type="dxa"/>
            <w:tcBorders/>
            <w:shd w:fill="auto" w:val="clear"/>
            <w:vAlign w:val="bottom"/>
          </w:tcPr>
          <w:p>
            <w:pPr>
              <w:pStyle w:val="TableContents"/>
              <w:spacing w:before="0" w:after="0"/>
              <w:jc w:val="right"/>
              <w:rPr/>
            </w:pPr>
            <w:r>
              <w:rPr/>
              <w:t>—</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6"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1" w:type="dxa"/>
            <w:tcBorders/>
            <w:shd w:fill="auto" w:val="clear"/>
            <w:vAlign w:val="bottom"/>
          </w:tcPr>
          <w:p>
            <w:pPr>
              <w:pStyle w:val="TableContents"/>
              <w:spacing w:before="0" w:after="283"/>
              <w:jc w:val="left"/>
              <w:rPr/>
            </w:pPr>
            <w:r>
              <w:rPr/>
              <w:t> </w:t>
            </w:r>
          </w:p>
        </w:tc>
        <w:tc>
          <w:tcPr>
            <w:tcW w:w="1359" w:type="dxa"/>
            <w:tcBorders/>
            <w:shd w:fill="auto" w:val="clear"/>
            <w:vAlign w:val="bottom"/>
          </w:tcPr>
          <w:p>
            <w:pPr>
              <w:pStyle w:val="TableContents"/>
              <w:spacing w:before="0" w:after="0"/>
              <w:jc w:val="right"/>
              <w:rPr/>
            </w:pPr>
            <w:r>
              <w:rPr/>
              <w:t>(3,547</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(3,547</w:t>
            </w:r>
          </w:p>
        </w:tc>
        <w:tc>
          <w:tcPr>
            <w:tcW w:w="111" w:type="dxa"/>
            <w:tcBorders/>
            <w:shd w:fill="auto" w:val="clear"/>
            <w:vAlign w:val="bottom"/>
          </w:tcPr>
          <w:p>
            <w:pPr>
              <w:pStyle w:val="TableContents"/>
              <w:spacing w:before="0" w:after="0"/>
              <w:jc w:val="left"/>
              <w:rPr/>
            </w:pPr>
            <w:r>
              <w:rPr/>
              <w:t>)</w:t>
            </w:r>
          </w:p>
        </w:tc>
      </w:tr>
      <w:tr>
        <w:trPr/>
        <w:tc>
          <w:tcPr>
            <w:tcW w:w="1829" w:type="dxa"/>
            <w:tcBorders/>
            <w:shd w:fill="CCEEFF" w:val="clear"/>
            <w:vAlign w:val="bottom"/>
          </w:tcPr>
          <w:p>
            <w:pPr>
              <w:pStyle w:val="TableContents"/>
              <w:spacing w:before="0" w:after="0"/>
              <w:ind w:left="324" w:right="0" w:hanging="144"/>
              <w:rPr/>
            </w:pPr>
            <w:r>
              <w:rPr/>
              <w:t>Net income</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spacing w:before="0" w:after="0"/>
              <w:jc w:val="right"/>
              <w:rPr/>
            </w:pPr>
            <w:r>
              <w:rPr/>
              <w:t>9,528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9,528</w:t>
            </w:r>
          </w:p>
        </w:tc>
        <w:tc>
          <w:tcPr>
            <w:tcW w:w="111" w:type="dxa"/>
            <w:tcBorders/>
            <w:shd w:fill="CCEEFF" w:val="clear"/>
            <w:vAlign w:val="bottom"/>
          </w:tcPr>
          <w:p>
            <w:pPr>
              <w:pStyle w:val="TableContents"/>
              <w:spacing w:before="0" w:after="283"/>
              <w:jc w:val="left"/>
              <w:rPr/>
            </w:pPr>
            <w:r>
              <w:rPr/>
              <w:t> </w:t>
            </w:r>
          </w:p>
        </w:tc>
      </w:tr>
      <w:tr>
        <w:trPr/>
        <w:tc>
          <w:tcPr>
            <w:tcW w:w="1829" w:type="dxa"/>
            <w:tcBorders/>
            <w:shd w:fill="auto" w:val="clear"/>
            <w:vAlign w:val="bottom"/>
          </w:tcPr>
          <w:p>
            <w:pPr>
              <w:pStyle w:val="TableContents"/>
              <w:spacing w:before="0" w:after="0"/>
              <w:ind w:left="144" w:right="0" w:hanging="0"/>
              <w:rPr>
                <w:b/>
              </w:rPr>
            </w:pPr>
            <w:r>
              <w:rPr>
                <w:b/>
              </w:rPr>
              <w:t>Balance at March 31, 2022</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pPr>
            <w:r>
              <w:rPr/>
              <w:t>44,894,385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29" w:type="dxa"/>
            <w:tcBorders>
              <w:bottom w:val="double" w:sz="8" w:space="0" w:color="000000"/>
            </w:tcBorders>
            <w:shd w:fill="auto" w:val="clear"/>
            <w:tcMar>
              <w:bottom w:w="28" w:type="dxa"/>
            </w:tcMar>
            <w:vAlign w:val="bottom"/>
          </w:tcPr>
          <w:p>
            <w:pPr>
              <w:pStyle w:val="TableContents"/>
              <w:spacing w:before="0" w:after="0"/>
              <w:jc w:val="right"/>
              <w:rPr/>
            </w:pPr>
            <w:r>
              <w:rPr/>
              <w:t>562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937" w:type="dxa"/>
            <w:tcBorders>
              <w:bottom w:val="double" w:sz="8" w:space="0" w:color="000000"/>
            </w:tcBorders>
            <w:shd w:fill="auto" w:val="clear"/>
            <w:tcMar>
              <w:bottom w:w="28" w:type="dxa"/>
            </w:tcMar>
            <w:vAlign w:val="bottom"/>
          </w:tcPr>
          <w:p>
            <w:pPr>
              <w:pStyle w:val="TableContents"/>
              <w:spacing w:before="0" w:after="0"/>
              <w:jc w:val="right"/>
              <w:rPr/>
            </w:pPr>
            <w:r>
              <w:rPr/>
              <w:t>261,830</w:t>
            </w:r>
          </w:p>
        </w:tc>
        <w:tc>
          <w:tcPr>
            <w:tcW w:w="103"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09" w:type="dxa"/>
            <w:tcBorders>
              <w:bottom w:val="double" w:sz="8" w:space="0" w:color="000000"/>
            </w:tcBorders>
            <w:shd w:fill="auto" w:val="clear"/>
            <w:tcMar>
              <w:bottom w:w="28" w:type="dxa"/>
            </w:tcMar>
            <w:vAlign w:val="bottom"/>
          </w:tcPr>
          <w:p>
            <w:pPr>
              <w:pStyle w:val="TableContents"/>
              <w:spacing w:before="0" w:after="0"/>
              <w:jc w:val="right"/>
              <w:rPr/>
            </w:pPr>
            <w:r>
              <w:rPr/>
              <w:t>353,070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(148,523</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5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359" w:type="dxa"/>
            <w:tcBorders>
              <w:bottom w:val="double" w:sz="8" w:space="0" w:color="000000"/>
            </w:tcBorders>
            <w:shd w:fill="auto" w:val="clear"/>
            <w:tcMar>
              <w:bottom w:w="28" w:type="dxa"/>
            </w:tcMar>
            <w:vAlign w:val="bottom"/>
          </w:tcPr>
          <w:p>
            <w:pPr>
              <w:pStyle w:val="TableContents"/>
              <w:spacing w:before="0" w:after="0"/>
              <w:jc w:val="right"/>
              <w:rPr/>
            </w:pPr>
            <w:r>
              <w:rPr/>
              <w:t>(5,777</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pPr>
            <w:r>
              <w:rPr/>
              <w:t>461,162</w:t>
            </w:r>
          </w:p>
        </w:tc>
        <w:tc>
          <w:tcPr>
            <w:tcW w:w="111" w:type="dxa"/>
            <w:tcBorders/>
            <w:shd w:fill="auto"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8" w:name="CASHFLOWS"/>
      <w:bookmarkEnd w:id="8"/>
      <w:r>
        <w:rPr>
          <w:rFonts w:ascii="Times New Roman" w:hAnsi="Times New Roman"/>
          <w:b/>
          <w:color w:val="000000"/>
          <w:sz w:val="20"/>
        </w:rPr>
        <w:t>CASH FLOWS (Unaudited)</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7709"/>
        <w:gridCol w:w="60"/>
        <w:gridCol w:w="183"/>
        <w:gridCol w:w="1048"/>
        <w:gridCol w:w="119"/>
        <w:gridCol w:w="75"/>
        <w:gridCol w:w="183"/>
        <w:gridCol w:w="1048"/>
        <w:gridCol w:w="114"/>
      </w:tblGrid>
      <w:tr>
        <w:trPr/>
        <w:tc>
          <w:tcPr>
            <w:tcW w:w="77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114" w:type="dxa"/>
            <w:tcBorders/>
            <w:shd w:fill="auto"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231"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114" w:type="dxa"/>
            <w:tcBorders/>
            <w:shd w:fill="auto"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6" w:type="dxa"/>
            <w:gridSpan w:val="6"/>
            <w:tcBorders/>
            <w:shd w:fill="auto" w:val="clear"/>
            <w:vAlign w:val="bottom"/>
          </w:tcPr>
          <w:p>
            <w:pPr>
              <w:pStyle w:val="TableContents"/>
              <w:spacing w:before="0" w:after="0"/>
              <w:jc w:val="center"/>
              <w:rPr>
                <w:b/>
              </w:rPr>
            </w:pPr>
            <w:r>
              <w:rPr>
                <w:b/>
              </w:rPr>
              <w:t>(In thousands of U.S. dollars)</w:t>
            </w:r>
          </w:p>
        </w:tc>
        <w:tc>
          <w:tcPr>
            <w:tcW w:w="114" w:type="dxa"/>
            <w:tcBorders/>
            <w:shd w:fill="auto"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b/>
              </w:rPr>
            </w:pPr>
            <w:r>
              <w:rPr>
                <w:b/>
              </w:rPr>
              <w:t>Cash flows from operating activities</w:t>
            </w:r>
          </w:p>
        </w:tc>
        <w:tc>
          <w:tcPr>
            <w:tcW w:w="60"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jc w:val="left"/>
              <w:rPr/>
            </w:pPr>
            <w:r>
              <w:rPr/>
              <w:t>$</w:t>
            </w:r>
          </w:p>
        </w:tc>
        <w:tc>
          <w:tcPr>
            <w:tcW w:w="1048" w:type="dxa"/>
            <w:tcBorders/>
            <w:shd w:fill="CCEEFF" w:val="clear"/>
            <w:vAlign w:val="bottom"/>
          </w:tcPr>
          <w:p>
            <w:pPr>
              <w:pStyle w:val="TableContents"/>
              <w:spacing w:before="0" w:after="0"/>
              <w:jc w:val="right"/>
              <w:rPr/>
            </w:pPr>
            <w:r>
              <w:rPr/>
              <w:t>(21,470</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jc w:val="left"/>
              <w:rPr/>
            </w:pPr>
            <w:r>
              <w:rPr/>
              <w:t>$</w:t>
            </w:r>
          </w:p>
        </w:tc>
        <w:tc>
          <w:tcPr>
            <w:tcW w:w="1048" w:type="dxa"/>
            <w:tcBorders/>
            <w:shd w:fill="CCEEFF" w:val="clear"/>
            <w:vAlign w:val="bottom"/>
          </w:tcPr>
          <w:p>
            <w:pPr>
              <w:pStyle w:val="TableContents"/>
              <w:spacing w:before="0" w:after="0"/>
              <w:jc w:val="right"/>
              <w:rPr/>
            </w:pPr>
            <w:r>
              <w:rPr/>
              <w:t>9,528</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pPr>
            <w:r>
              <w:rPr/>
              <w:t>Adjustments to reconcile net income (loss) to net cash provided by operating activities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Depreciation and amortization</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4,357</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3,891</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Provision for severance benefits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2,330</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1,670</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Loss on foreign currency, net</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9,082</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6,380</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Provision for inventory reserves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1,138</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145</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Stock-based compensation</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1,120</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1,638</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Other, net</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237</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161</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pPr>
            <w:r>
              <w:rPr/>
              <w:t>Changes in operating assets and liabilities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Accounts receivable, net</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2,973</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(1,213</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Inventories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1,062</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1,456</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Other receivables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2,376</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667</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Other current assets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1,456</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(6,829</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Accounts payable</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1,904</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538</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Other accounts payable</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(1,424</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(702</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Accrued expenses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7,600</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187</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Accrued income taxes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(2,923</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(2,346</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Other current liabilities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(596</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(711</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Other non-current liabilities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(169</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(73</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Payment of severance benefits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(871</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(1,389</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Other, net</w:t>
            </w:r>
          </w:p>
        </w:tc>
        <w:tc>
          <w:tcPr>
            <w:tcW w:w="60"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(306</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(178</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144" w:right="0" w:hanging="144"/>
              <w:rPr/>
            </w:pPr>
            <w:r>
              <w:rPr/>
              <w:t>Net cash provided by operating activities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7,876</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12,820</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b/>
              </w:rPr>
            </w:pPr>
            <w:r>
              <w:rPr>
                <w:b/>
              </w:rPr>
              <w:t>Cash flows from investing activities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Proceeds from settlement of hedge collateral</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1,155</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1,829</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Payment of hedge collateral</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(1,093</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(2,891</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Purchase of property, plant and equipment</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(135</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(944</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Payment for intellectual property registration</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(74</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(59</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Payment of guarantee deposits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(3,482</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(79</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Other, net</w:t>
            </w:r>
          </w:p>
        </w:tc>
        <w:tc>
          <w:tcPr>
            <w:tcW w:w="60"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19</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2</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pPr>
            <w:r>
              <w:rPr/>
              <w:t>Net cash used in investing activities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(3,610</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(2,142</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144" w:right="0" w:hanging="144"/>
              <w:rPr>
                <w:b/>
              </w:rPr>
            </w:pPr>
            <w:r>
              <w:rPr>
                <w:b/>
              </w:rPr>
              <w:t>Cash flows from financing activities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324" w:right="0" w:hanging="144"/>
              <w:rPr/>
            </w:pPr>
            <w:r>
              <w:rPr/>
              <w:t>Proceeds from exercise of stock options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9</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1,781</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324" w:right="0" w:hanging="144"/>
              <w:rPr/>
            </w:pPr>
            <w:r>
              <w:rPr/>
              <w:t>Acquisition of treasury stock</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(12,264</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0"/>
              <w:jc w:val="right"/>
              <w:rPr/>
            </w:pPr>
            <w:r>
              <w:rPr/>
              <w:t>(830</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324" w:right="0" w:hanging="144"/>
              <w:rPr/>
            </w:pPr>
            <w:r>
              <w:rPr/>
              <w:t>Repayment of financing related to water treatment facility arrangement</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(126</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(134</w:t>
            </w:r>
          </w:p>
        </w:tc>
        <w:tc>
          <w:tcPr>
            <w:tcW w:w="114" w:type="dxa"/>
            <w:tcBorders/>
            <w:shd w:fill="auto" w:val="clear"/>
            <w:vAlign w:val="bottom"/>
          </w:tcPr>
          <w:p>
            <w:pPr>
              <w:pStyle w:val="TableContents"/>
              <w:spacing w:before="0" w:after="0"/>
              <w:jc w:val="left"/>
              <w:rPr/>
            </w:pPr>
            <w:r>
              <w:rPr/>
              <w:t>)</w:t>
            </w:r>
          </w:p>
        </w:tc>
      </w:tr>
      <w:tr>
        <w:trPr/>
        <w:tc>
          <w:tcPr>
            <w:tcW w:w="7709" w:type="dxa"/>
            <w:tcBorders/>
            <w:shd w:fill="CCEEFF" w:val="clear"/>
            <w:vAlign w:val="bottom"/>
          </w:tcPr>
          <w:p>
            <w:pPr>
              <w:pStyle w:val="TableContents"/>
              <w:spacing w:before="0" w:after="0"/>
              <w:ind w:left="324" w:right="0" w:hanging="144"/>
              <w:rPr/>
            </w:pPr>
            <w:r>
              <w:rPr/>
              <w:t>Repayment of principal portion of finance lease liabilities</w:t>
            </w:r>
          </w:p>
        </w:tc>
        <w:tc>
          <w:tcPr>
            <w:tcW w:w="60"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(24</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(16</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144" w:right="0" w:hanging="144"/>
              <w:rPr/>
            </w:pPr>
            <w:r>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(12,405</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801</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pPr>
            <w:r>
              <w:rPr/>
              <w:t>Effect of exchange rates on cash and cash equivalents</w:t>
            </w:r>
          </w:p>
        </w:tc>
        <w:tc>
          <w:tcPr>
            <w:tcW w:w="60"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(5,253</w:t>
            </w:r>
          </w:p>
        </w:tc>
        <w:tc>
          <w:tcPr>
            <w:tcW w:w="119" w:type="dxa"/>
            <w:tcBorders/>
            <w:shd w:fill="CCEEFF" w:val="clear"/>
            <w:vAlign w:val="bottom"/>
          </w:tcPr>
          <w:p>
            <w:pPr>
              <w:pStyle w:val="TableContents"/>
              <w:spacing w:before="0" w:after="0"/>
              <w:jc w:val="left"/>
              <w:rPr/>
            </w:pPr>
            <w:r>
              <w:rPr/>
              <w:t>)</w:t>
            </w:r>
          </w:p>
        </w:tc>
        <w:tc>
          <w:tcPr>
            <w:tcW w:w="75"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(6,105</w:t>
            </w:r>
          </w:p>
        </w:tc>
        <w:tc>
          <w:tcPr>
            <w:tcW w:w="114" w:type="dxa"/>
            <w:tcBorders/>
            <w:shd w:fill="CCEEFF" w:val="clear"/>
            <w:vAlign w:val="bottom"/>
          </w:tcPr>
          <w:p>
            <w:pPr>
              <w:pStyle w:val="TableContents"/>
              <w:spacing w:before="0" w:after="0"/>
              <w:jc w:val="left"/>
              <w:rPr/>
            </w:pPr>
            <w:r>
              <w:rPr/>
              <w:t>)</w:t>
            </w:r>
          </w:p>
        </w:tc>
      </w:tr>
      <w:tr>
        <w:trPr/>
        <w:tc>
          <w:tcPr>
            <w:tcW w:w="7709" w:type="dxa"/>
            <w:tcBorders/>
            <w:shd w:fill="auto" w:val="clear"/>
            <w:vAlign w:val="bottom"/>
          </w:tcPr>
          <w:p>
            <w:pPr>
              <w:pStyle w:val="TableContents"/>
              <w:spacing w:before="0" w:after="0"/>
              <w:ind w:left="144" w:right="0" w:hanging="144"/>
              <w:rPr/>
            </w:pPr>
            <w:r>
              <w:rPr/>
              <w:t>Net increase (decrease) in cash and cash equivalents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(13,392</w:t>
            </w:r>
          </w:p>
        </w:tc>
        <w:tc>
          <w:tcPr>
            <w:tcW w:w="119" w:type="dxa"/>
            <w:tcBorders/>
            <w:shd w:fill="auto" w:val="clear"/>
            <w:vAlign w:val="bottom"/>
          </w:tcPr>
          <w:p>
            <w:pPr>
              <w:pStyle w:val="TableContents"/>
              <w:spacing w:before="0" w:after="0"/>
              <w:jc w:val="left"/>
              <w:rPr/>
            </w:pPr>
            <w:r>
              <w:rPr/>
              <w:t>)</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jc w:val="left"/>
              <w:rPr/>
            </w:pPr>
            <w:r>
              <w:rPr/>
              <w:t> </w:t>
            </w:r>
          </w:p>
        </w:tc>
        <w:tc>
          <w:tcPr>
            <w:tcW w:w="1048" w:type="dxa"/>
            <w:tcBorders/>
            <w:shd w:fill="auto" w:val="clear"/>
            <w:vAlign w:val="bottom"/>
          </w:tcPr>
          <w:p>
            <w:pPr>
              <w:pStyle w:val="TableContents"/>
              <w:spacing w:before="0" w:after="0"/>
              <w:jc w:val="right"/>
              <w:rPr/>
            </w:pPr>
            <w:r>
              <w:rPr/>
              <w:t>5,374</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pPr>
            <w:r>
              <w:rPr/>
              <w:t>Cash and cash equivalents at beginning of period</w:t>
            </w:r>
          </w:p>
        </w:tc>
        <w:tc>
          <w:tcPr>
            <w:tcW w:w="60"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225,477</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spacing w:before="0" w:after="0"/>
              <w:jc w:val="right"/>
              <w:rPr/>
            </w:pPr>
            <w:r>
              <w:rPr/>
              <w:t>279,547</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rPr/>
            </w:pPr>
            <w:r>
              <w:rPr/>
              <w:t>Cash and cash equivalents at end of period</w:t>
            </w:r>
          </w:p>
        </w:tc>
        <w:tc>
          <w:tcPr>
            <w:tcW w:w="60" w:type="dxa"/>
            <w:tcBorders/>
            <w:shd w:fill="auto" w:val="clear"/>
            <w:vAlign w:val="bottom"/>
          </w:tcPr>
          <w:p>
            <w:pPr>
              <w:pStyle w:val="TableContents"/>
              <w:spacing w:before="0" w:after="283"/>
              <w:jc w:val="right"/>
              <w:rPr/>
            </w:pPr>
            <w:r>
              <w:rPr/>
              <w:t> </w:t>
            </w:r>
          </w:p>
        </w:tc>
        <w:tc>
          <w:tcPr>
            <w:tcW w:w="18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048" w:type="dxa"/>
            <w:tcBorders>
              <w:bottom w:val="double" w:sz="8" w:space="0" w:color="000000"/>
            </w:tcBorders>
            <w:shd w:fill="auto" w:val="clear"/>
            <w:tcMar>
              <w:bottom w:w="28" w:type="dxa"/>
            </w:tcMar>
            <w:vAlign w:val="bottom"/>
          </w:tcPr>
          <w:p>
            <w:pPr>
              <w:pStyle w:val="TableContents"/>
              <w:spacing w:before="0" w:after="0"/>
              <w:jc w:val="right"/>
              <w:rPr/>
            </w:pPr>
            <w:r>
              <w:rPr/>
              <w:t>212,085</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048" w:type="dxa"/>
            <w:tcBorders>
              <w:bottom w:val="double" w:sz="8" w:space="0" w:color="000000"/>
            </w:tcBorders>
            <w:shd w:fill="auto" w:val="clear"/>
            <w:tcMar>
              <w:bottom w:w="28" w:type="dxa"/>
            </w:tcMar>
            <w:vAlign w:val="bottom"/>
          </w:tcPr>
          <w:p>
            <w:pPr>
              <w:pStyle w:val="TableContents"/>
              <w:spacing w:before="0" w:after="0"/>
              <w:jc w:val="right"/>
              <w:rPr/>
            </w:pPr>
            <w:r>
              <w:rPr/>
              <w:t>284,921</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b/>
              </w:rPr>
            </w:pPr>
            <w:r>
              <w:rPr>
                <w:b/>
              </w:rPr>
              <w:t>Supplemental cash flow information</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pPr>
            <w:r>
              <w:rPr/>
              <w:t>Cash paid for income taxes</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2,644</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5,421</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b/>
              </w:rPr>
            </w:pPr>
            <w:r>
              <w:rPr>
                <w:b/>
              </w:rPr>
              <w:t>Non-cash investing activities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pPr>
            <w:r>
              <w:rPr/>
              <w:t>Property, plant and equipment additions in other accounts payable</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629</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524</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b/>
              </w:rPr>
            </w:pPr>
            <w:r>
              <w:rPr>
                <w:b/>
              </w:rPr>
              <w:t>Non-cash financing activities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7709" w:type="dxa"/>
            <w:tcBorders/>
            <w:shd w:fill="auto" w:val="clear"/>
            <w:vAlign w:val="bottom"/>
          </w:tcPr>
          <w:p>
            <w:pPr>
              <w:pStyle w:val="TableContents"/>
              <w:spacing w:before="0" w:after="0"/>
              <w:ind w:left="144" w:right="0" w:hanging="144"/>
              <w:rPr/>
            </w:pPr>
            <w:r>
              <w:rPr/>
              <w:t>Acquisition of treasury stock to satisfy the tax withholding obligations in connection with equity-based compensation</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w:t>
            </w:r>
          </w:p>
        </w:tc>
        <w:tc>
          <w:tcPr>
            <w:tcW w:w="119"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0"/>
              <w:jc w:val="left"/>
              <w:rPr/>
            </w:pPr>
            <w:r>
              <w:rPr/>
              <w:t>$</w:t>
            </w:r>
          </w:p>
        </w:tc>
        <w:tc>
          <w:tcPr>
            <w:tcW w:w="1048" w:type="dxa"/>
            <w:tcBorders/>
            <w:shd w:fill="auto" w:val="clear"/>
            <w:vAlign w:val="bottom"/>
          </w:tcPr>
          <w:p>
            <w:pPr>
              <w:pStyle w:val="TableContents"/>
              <w:spacing w:before="0" w:after="0"/>
              <w:jc w:val="right"/>
              <w:rPr/>
            </w:pPr>
            <w:r>
              <w:rPr/>
              <w:t>996</w:t>
            </w:r>
          </w:p>
        </w:tc>
        <w:tc>
          <w:tcPr>
            <w:tcW w:w="114" w:type="dxa"/>
            <w:tcBorders/>
            <w:shd w:fill="auto" w:val="clear"/>
            <w:vAlign w:val="bottom"/>
          </w:tcPr>
          <w:p>
            <w:pPr>
              <w:pStyle w:val="TableContents"/>
              <w:spacing w:before="0" w:after="283"/>
              <w:jc w:val="left"/>
              <w:rPr/>
            </w:pPr>
            <w:r>
              <w:rPr/>
              <w:t> </w:t>
            </w:r>
          </w:p>
        </w:tc>
      </w:tr>
      <w:tr>
        <w:trPr/>
        <w:tc>
          <w:tcPr>
            <w:tcW w:w="7709" w:type="dxa"/>
            <w:tcBorders/>
            <w:shd w:fill="CCEEFF" w:val="clear"/>
            <w:vAlign w:val="bottom"/>
          </w:tcPr>
          <w:p>
            <w:pPr>
              <w:pStyle w:val="TableContents"/>
              <w:spacing w:before="0" w:after="0"/>
              <w:ind w:left="144" w:right="0" w:hanging="144"/>
              <w:rPr/>
            </w:pPr>
            <w:r>
              <w:rPr/>
              <w:t>Unsettled common stock repurchases</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jc w:val="left"/>
              <w:rPr/>
            </w:pPr>
            <w:r>
              <w:rPr/>
              <w:t>$</w:t>
            </w:r>
          </w:p>
        </w:tc>
        <w:tc>
          <w:tcPr>
            <w:tcW w:w="1048" w:type="dxa"/>
            <w:tcBorders/>
            <w:shd w:fill="CCEEFF" w:val="clear"/>
            <w:vAlign w:val="bottom"/>
          </w:tcPr>
          <w:p>
            <w:pPr>
              <w:pStyle w:val="TableContents"/>
              <w:spacing w:before="0" w:after="0"/>
              <w:jc w:val="right"/>
              <w:rPr/>
            </w:pPr>
            <w:r>
              <w:rPr/>
              <w:t>401</w:t>
            </w:r>
          </w:p>
        </w:tc>
        <w:tc>
          <w:tcPr>
            <w:tcW w:w="119"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jc w:val="left"/>
              <w:rPr/>
            </w:pPr>
            <w:r>
              <w:rPr/>
              <w:t>$</w:t>
            </w:r>
          </w:p>
        </w:tc>
        <w:tc>
          <w:tcPr>
            <w:tcW w:w="1048" w:type="dxa"/>
            <w:tcBorders/>
            <w:shd w:fill="CCEEFF" w:val="clear"/>
            <w:vAlign w:val="bottom"/>
          </w:tcPr>
          <w:p>
            <w:pPr>
              <w:pStyle w:val="TableContents"/>
              <w:spacing w:before="0" w:after="0"/>
              <w:jc w:val="right"/>
              <w:rPr/>
            </w:pPr>
            <w:r>
              <w:rPr/>
              <w:t>—</w:t>
            </w:r>
          </w:p>
        </w:tc>
        <w:tc>
          <w:tcPr>
            <w:tcW w:w="114" w:type="dxa"/>
            <w:tcBorders/>
            <w:shd w:fill="CCEEFF" w:val="clear"/>
            <w:vAlign w:val="bottom"/>
          </w:tcPr>
          <w:p>
            <w:pPr>
              <w:pStyle w:val="TableContents"/>
              <w:spacing w:before="0" w:after="283"/>
              <w:jc w:val="left"/>
              <w:rPr/>
            </w:pPr>
            <w:r>
              <w:rPr/>
              <w:t> </w:t>
            </w:r>
          </w:p>
        </w:tc>
      </w:tr>
    </w:tbl>
    <w:p>
      <w:pPr>
        <w:pStyle w:val="TextBody"/>
        <w:spacing w:before="0" w:after="0"/>
        <w:jc w:val="center"/>
        <w:rPr>
          <w:rFonts w:ascii="Times New Roman" w:hAnsi="Times New Roman"/>
          <w:i/>
          <w:color w:val="000000"/>
          <w:sz w:val="20"/>
        </w:rPr>
      </w:pPr>
      <w:r>
        <w:rPr>
          <w:rFonts w:ascii="Times New Roman" w:hAnsi="Times New Roman"/>
          <w:i/>
          <w:color w:val="000000"/>
          <w:sz w:val="20"/>
        </w:rPr>
      </w:r>
    </w:p>
    <w:p>
      <w:pPr>
        <w:pStyle w:val="TextBody"/>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MAGNACHIP SEMICONDUCTOR CORPORATION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TextBody"/>
        <w:spacing w:before="0" w:after="0"/>
        <w:jc w:val="center"/>
        <w:rPr>
          <w:rFonts w:ascii="Times New Roman" w:hAnsi="Times New Roman"/>
          <w:b/>
          <w:color w:val="000000"/>
          <w:sz w:val="20"/>
        </w:rPr>
      </w:pPr>
      <w:bookmarkStart w:id="9" w:name="NOTES"/>
      <w:bookmarkEnd w:id="9"/>
      <w:r>
        <w:rPr>
          <w:rFonts w:ascii="Times New Roman" w:hAnsi="Times New Roman"/>
          <w:b/>
          <w:color w:val="000000"/>
          <w:sz w:val="20"/>
        </w:rPr>
        <w:t>NOTES TO CONSOLIDATED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(TABULAR DOLLARS IN THOUSANDS, EXCEPT SHARE DATA)</w:t>
      </w:r>
    </w:p>
    <w:p>
      <w:pPr>
        <w:pStyle w:val="TextBody"/>
        <w:spacing w:before="0" w:after="0"/>
        <w:jc w:val="center"/>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 Business, Basis of Presentation and Significant Accounting Policies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Business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communications, consumer, computing, servers, automotive, and industrial applications.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On September 1, 2020, the Company completed the sale of the Company’s Foundry Services Group business and its fabrication facility located in Cheongju, Korea, known as “Fab 4”. Following the consummation of the sale, and for up to three years, the Company is expected to provide transitional foundry services associated with its fabrication facility located in Gumi, Korea, known as “Fab 3”, at an agreed upon cost plus mark-up (the “Transitional Fab 3 Foundry Services”).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Basis of Presentation</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months ended March 31, 2023 are not necessarily indicative of the results to be expected for a full year or for any other periods.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December 31, 2022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2022.</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as of and for the three months ended March 31, 2023 as compared to the significant accounting policies described in the Company’s Annual Report on Form 10-K for the fiscal year ended December 31,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2. Inventories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Inventories as of March 31, 2023 and December 31, 2022 consist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6773" w:type="dxa"/>
        <w:jc w:val="left"/>
        <w:tblInd w:w="0" w:type="dxa"/>
        <w:tblCellMar>
          <w:top w:w="0" w:type="dxa"/>
          <w:left w:w="0" w:type="dxa"/>
          <w:bottom w:w="0" w:type="dxa"/>
          <w:right w:w="0" w:type="dxa"/>
        </w:tblCellMar>
      </w:tblPr>
      <w:tblGrid>
        <w:gridCol w:w="3965"/>
        <w:gridCol w:w="60"/>
        <w:gridCol w:w="167"/>
        <w:gridCol w:w="902"/>
        <w:gridCol w:w="95"/>
        <w:gridCol w:w="60"/>
        <w:gridCol w:w="221"/>
        <w:gridCol w:w="1193"/>
        <w:gridCol w:w="110"/>
      </w:tblGrid>
      <w:tr>
        <w:trPr/>
        <w:tc>
          <w:tcPr>
            <w:tcW w:w="3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144" w:right="0" w:hanging="144"/>
              <w:rPr/>
            </w:pPr>
            <w:r>
              <w:rPr/>
              <w:t>Finished goods</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0"/>
              <w:jc w:val="left"/>
              <w:rPr/>
            </w:pPr>
            <w:r>
              <w:rPr/>
              <w:t>$</w:t>
            </w:r>
          </w:p>
        </w:tc>
        <w:tc>
          <w:tcPr>
            <w:tcW w:w="902" w:type="dxa"/>
            <w:tcBorders/>
            <w:shd w:fill="CCEEFF" w:val="clear"/>
            <w:vAlign w:val="bottom"/>
          </w:tcPr>
          <w:p>
            <w:pPr>
              <w:pStyle w:val="TableContents"/>
              <w:spacing w:before="0" w:after="0"/>
              <w:jc w:val="right"/>
              <w:rPr/>
            </w:pPr>
            <w:r>
              <w:rPr/>
              <w:t>5,523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0"/>
              <w:jc w:val="left"/>
              <w:rPr/>
            </w:pPr>
            <w:r>
              <w:rPr/>
              <w:t>$</w:t>
            </w:r>
          </w:p>
        </w:tc>
        <w:tc>
          <w:tcPr>
            <w:tcW w:w="1193" w:type="dxa"/>
            <w:tcBorders/>
            <w:shd w:fill="CCEEFF" w:val="clear"/>
            <w:vAlign w:val="bottom"/>
          </w:tcPr>
          <w:p>
            <w:pPr>
              <w:pStyle w:val="TableContents"/>
              <w:spacing w:before="0" w:after="0"/>
              <w:jc w:val="right"/>
              <w:rPr/>
            </w:pPr>
            <w:r>
              <w:rPr/>
              <w:t>6,799</w:t>
            </w:r>
          </w:p>
        </w:tc>
        <w:tc>
          <w:tcPr>
            <w:tcW w:w="110" w:type="dxa"/>
            <w:tcBorders/>
            <w:shd w:fill="CCEEFF"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44" w:right="0" w:hanging="144"/>
              <w:rPr/>
            </w:pPr>
            <w:r>
              <w:rPr/>
              <w:t>Semi-finished goods and work-in-process</w:t>
            </w:r>
          </w:p>
        </w:tc>
        <w:tc>
          <w:tcPr>
            <w:tcW w:w="60" w:type="dxa"/>
            <w:tcBorders/>
            <w:shd w:fill="auto" w:val="cle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jc w:val="left"/>
              <w:rPr/>
            </w:pPr>
            <w:r>
              <w:rPr/>
              <w:t> </w:t>
            </w:r>
          </w:p>
        </w:tc>
        <w:tc>
          <w:tcPr>
            <w:tcW w:w="902" w:type="dxa"/>
            <w:tcBorders/>
            <w:shd w:fill="auto" w:val="clear"/>
            <w:vAlign w:val="bottom"/>
          </w:tcPr>
          <w:p>
            <w:pPr>
              <w:pStyle w:val="TableContents"/>
              <w:spacing w:before="0" w:after="0"/>
              <w:jc w:val="right"/>
              <w:rPr/>
            </w:pPr>
            <w:r>
              <w:rPr/>
              <w:t>39,427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jc w:val="left"/>
              <w:rPr/>
            </w:pPr>
            <w:r>
              <w:rPr/>
              <w:t> </w:t>
            </w:r>
          </w:p>
        </w:tc>
        <w:tc>
          <w:tcPr>
            <w:tcW w:w="1193" w:type="dxa"/>
            <w:tcBorders/>
            <w:shd w:fill="auto" w:val="clear"/>
            <w:vAlign w:val="bottom"/>
          </w:tcPr>
          <w:p>
            <w:pPr>
              <w:pStyle w:val="TableContents"/>
              <w:spacing w:before="0" w:after="0"/>
              <w:jc w:val="right"/>
              <w:rPr/>
            </w:pPr>
            <w:r>
              <w:rPr/>
              <w:t>40,265</w:t>
            </w:r>
          </w:p>
        </w:tc>
        <w:tc>
          <w:tcPr>
            <w:tcW w:w="110"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144" w:right="0" w:hanging="144"/>
              <w:rPr/>
            </w:pPr>
            <w:r>
              <w:rPr/>
              <w:t>Raw materials</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pPr>
            <w:r>
              <w:rPr/>
              <w:t> </w:t>
            </w:r>
          </w:p>
        </w:tc>
        <w:tc>
          <w:tcPr>
            <w:tcW w:w="902" w:type="dxa"/>
            <w:tcBorders/>
            <w:shd w:fill="CCEEFF" w:val="clear"/>
            <w:vAlign w:val="bottom"/>
          </w:tcPr>
          <w:p>
            <w:pPr>
              <w:pStyle w:val="TableContents"/>
              <w:spacing w:before="0" w:after="0"/>
              <w:jc w:val="right"/>
              <w:rPr/>
            </w:pPr>
            <w:r>
              <w:rPr/>
              <w:t>6,351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jc w:val="left"/>
              <w:rPr/>
            </w:pPr>
            <w:r>
              <w:rPr/>
              <w:t> </w:t>
            </w:r>
          </w:p>
        </w:tc>
        <w:tc>
          <w:tcPr>
            <w:tcW w:w="1193" w:type="dxa"/>
            <w:tcBorders/>
            <w:shd w:fill="CCEEFF" w:val="clear"/>
            <w:vAlign w:val="bottom"/>
          </w:tcPr>
          <w:p>
            <w:pPr>
              <w:pStyle w:val="TableContents"/>
              <w:spacing w:before="0" w:after="0"/>
              <w:jc w:val="right"/>
              <w:rPr/>
            </w:pPr>
            <w:r>
              <w:rPr/>
              <w:t>7,460</w:t>
            </w:r>
          </w:p>
        </w:tc>
        <w:tc>
          <w:tcPr>
            <w:tcW w:w="110" w:type="dxa"/>
            <w:tcBorders/>
            <w:shd w:fill="CCEEFF"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44" w:right="0" w:hanging="144"/>
              <w:rPr/>
            </w:pPr>
            <w:r>
              <w:rPr/>
              <w:t>Materials in-transit</w:t>
            </w:r>
          </w:p>
        </w:tc>
        <w:tc>
          <w:tcPr>
            <w:tcW w:w="60" w:type="dxa"/>
            <w:tcBorders/>
            <w:shd w:fill="auto" w:val="cle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jc w:val="left"/>
              <w:rPr/>
            </w:pPr>
            <w:r>
              <w:rPr/>
              <w:t> </w:t>
            </w:r>
          </w:p>
        </w:tc>
        <w:tc>
          <w:tcPr>
            <w:tcW w:w="902"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1" w:type="dxa"/>
            <w:tcBorders/>
            <w:shd w:fill="auto" w:val="clear"/>
            <w:vAlign w:val="bottom"/>
          </w:tcPr>
          <w:p>
            <w:pPr>
              <w:pStyle w:val="TableContents"/>
              <w:spacing w:before="0" w:after="283"/>
              <w:jc w:val="left"/>
              <w:rPr/>
            </w:pPr>
            <w:r>
              <w:rPr/>
              <w:t> </w:t>
            </w:r>
          </w:p>
        </w:tc>
        <w:tc>
          <w:tcPr>
            <w:tcW w:w="1193" w:type="dxa"/>
            <w:tcBorders/>
            <w:shd w:fill="auto" w:val="clear"/>
            <w:vAlign w:val="bottom"/>
          </w:tcPr>
          <w:p>
            <w:pPr>
              <w:pStyle w:val="TableContents"/>
              <w:spacing w:before="0" w:after="0"/>
              <w:jc w:val="right"/>
              <w:rPr/>
            </w:pPr>
            <w:r>
              <w:rPr/>
              <w:t>36</w:t>
            </w:r>
          </w:p>
        </w:tc>
        <w:tc>
          <w:tcPr>
            <w:tcW w:w="110"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144" w:right="0" w:hanging="144"/>
              <w:rPr/>
            </w:pPr>
            <w:r>
              <w:rPr/>
              <w:t>Less: inventory reserve</w:t>
            </w:r>
          </w:p>
        </w:tc>
        <w:tc>
          <w:tcPr>
            <w:tcW w:w="60" w:type="dxa"/>
            <w:tcBorders/>
            <w:shd w:fill="CCEEFF" w:val="clear"/>
            <w:vAlign w:val="bottom"/>
          </w:tcPr>
          <w:p>
            <w:pPr>
              <w:pStyle w:val="TableContents"/>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02" w:type="dxa"/>
            <w:tcBorders>
              <w:bottom w:val="single" w:sz="12" w:space="0" w:color="000000"/>
            </w:tcBorders>
            <w:shd w:fill="CCEEFF" w:val="clear"/>
            <w:tcMar>
              <w:bottom w:w="28" w:type="dxa"/>
            </w:tcMar>
            <w:vAlign w:val="bottom"/>
          </w:tcPr>
          <w:p>
            <w:pPr>
              <w:pStyle w:val="TableContents"/>
              <w:spacing w:before="0" w:after="0"/>
              <w:jc w:val="right"/>
              <w:rPr/>
            </w:pPr>
            <w:r>
              <w:rPr/>
              <w:t>(14,941</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bottom"/>
          </w:tcPr>
          <w:p>
            <w:pPr>
              <w:pStyle w:val="TableContents"/>
              <w:spacing w:before="0" w:after="0"/>
              <w:jc w:val="right"/>
              <w:rPr/>
            </w:pPr>
            <w:r>
              <w:rPr/>
              <w:t>(14,677</w:t>
            </w:r>
          </w:p>
        </w:tc>
        <w:tc>
          <w:tcPr>
            <w:tcW w:w="110" w:type="dxa"/>
            <w:tcBorders/>
            <w:shd w:fill="CCEEFF" w:val="clear"/>
            <w:vAlign w:val="bottom"/>
          </w:tcPr>
          <w:p>
            <w:pPr>
              <w:pStyle w:val="TableContents"/>
              <w:spacing w:before="0" w:after="0"/>
              <w:jc w:val="left"/>
              <w:rPr/>
            </w:pPr>
            <w:r>
              <w:rPr/>
              <w:t>)</w:t>
            </w:r>
          </w:p>
        </w:tc>
      </w:tr>
      <w:tr>
        <w:trPr/>
        <w:tc>
          <w:tcPr>
            <w:tcW w:w="3965" w:type="dxa"/>
            <w:tcBorders/>
            <w:shd w:fill="auto" w:val="clear"/>
            <w:vAlign w:val="bottom"/>
          </w:tcPr>
          <w:p>
            <w:pPr>
              <w:pStyle w:val="TableContents"/>
              <w:spacing w:before="0" w:after="0"/>
              <w:ind w:left="144" w:right="0" w:hanging="144"/>
              <w:rPr/>
            </w:pPr>
            <w:r>
              <w:rPr/>
              <w:t>Inventories, net</w:t>
            </w:r>
          </w:p>
        </w:tc>
        <w:tc>
          <w:tcPr>
            <w:tcW w:w="60" w:type="dxa"/>
            <w:tcBorders/>
            <w:shd w:fill="auto" w:val="clear"/>
            <w:vAlign w:val="bottom"/>
          </w:tcPr>
          <w:p>
            <w:pPr>
              <w:pStyle w:val="TableContents"/>
              <w:spacing w:before="0" w:after="283"/>
              <w:jc w:val="right"/>
              <w:rPr/>
            </w:pPr>
            <w:r>
              <w:rPr/>
              <w:t> </w:t>
            </w:r>
          </w:p>
        </w:tc>
        <w:tc>
          <w:tcPr>
            <w:tcW w:w="16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902" w:type="dxa"/>
            <w:tcBorders>
              <w:bottom w:val="double" w:sz="8" w:space="0" w:color="000000"/>
            </w:tcBorders>
            <w:shd w:fill="auto" w:val="clear"/>
            <w:tcMar>
              <w:bottom w:w="28" w:type="dxa"/>
            </w:tcMar>
            <w:vAlign w:val="bottom"/>
          </w:tcPr>
          <w:p>
            <w:pPr>
              <w:pStyle w:val="TableContents"/>
              <w:spacing w:before="0" w:after="0"/>
              <w:jc w:val="right"/>
              <w:rPr/>
            </w:pPr>
            <w:r>
              <w:rPr/>
              <w:t>36,360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93" w:type="dxa"/>
            <w:tcBorders>
              <w:bottom w:val="double" w:sz="8" w:space="0" w:color="000000"/>
            </w:tcBorders>
            <w:shd w:fill="auto" w:val="clear"/>
            <w:tcMar>
              <w:bottom w:w="28" w:type="dxa"/>
            </w:tcMar>
            <w:vAlign w:val="bottom"/>
          </w:tcPr>
          <w:p>
            <w:pPr>
              <w:pStyle w:val="TableContents"/>
              <w:spacing w:before="0" w:after="0"/>
              <w:jc w:val="right"/>
              <w:rPr/>
            </w:pPr>
            <w:r>
              <w:rPr/>
              <w:t>39,883</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Changes in inventory reserve for the three months ended March 31, 2023 and 2022 are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6534" w:type="dxa"/>
        <w:jc w:val="left"/>
        <w:tblInd w:w="0" w:type="dxa"/>
        <w:tblCellMar>
          <w:top w:w="0" w:type="dxa"/>
          <w:left w:w="0" w:type="dxa"/>
          <w:bottom w:w="0" w:type="dxa"/>
          <w:right w:w="0" w:type="dxa"/>
        </w:tblCellMar>
      </w:tblPr>
      <w:tblGrid>
        <w:gridCol w:w="4025"/>
        <w:gridCol w:w="60"/>
        <w:gridCol w:w="169"/>
        <w:gridCol w:w="914"/>
        <w:gridCol w:w="115"/>
        <w:gridCol w:w="72"/>
        <w:gridCol w:w="192"/>
        <w:gridCol w:w="877"/>
        <w:gridCol w:w="110"/>
      </w:tblGrid>
      <w:tr>
        <w:trPr/>
        <w:tc>
          <w:tcPr>
            <w:tcW w:w="402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339"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110" w:type="dxa"/>
            <w:tcBorders/>
            <w:shd w:fill="auto" w:val="clear"/>
            <w:vAlign w:val="bottom"/>
          </w:tcPr>
          <w:p>
            <w:pPr>
              <w:pStyle w:val="TableContents"/>
              <w:spacing w:before="0" w:after="283"/>
              <w:jc w:val="left"/>
              <w:rPr/>
            </w:pPr>
            <w:r>
              <w:rPr/>
              <w:t> </w:t>
            </w:r>
          </w:p>
        </w:tc>
      </w:tr>
      <w:tr>
        <w:trPr/>
        <w:tc>
          <w:tcPr>
            <w:tcW w:w="40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1083"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5"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left"/>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jc w:val="left"/>
              <w:rPr/>
            </w:pPr>
            <w:r>
              <w:rPr/>
              <w:t> </w:t>
            </w:r>
          </w:p>
        </w:tc>
      </w:tr>
      <w:tr>
        <w:trPr/>
        <w:tc>
          <w:tcPr>
            <w:tcW w:w="4025" w:type="dxa"/>
            <w:tcBorders/>
            <w:shd w:fill="CCEEFF" w:val="clear"/>
            <w:vAlign w:val="bottom"/>
          </w:tcPr>
          <w:p>
            <w:pPr>
              <w:pStyle w:val="TableContents"/>
              <w:spacing w:before="0" w:after="0"/>
              <w:ind w:left="144" w:right="0" w:hanging="144"/>
              <w:rPr/>
            </w:pPr>
            <w:r>
              <w:rPr/>
              <w:t>Beginning balance</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0"/>
              <w:jc w:val="left"/>
              <w:rPr/>
            </w:pPr>
            <w:r>
              <w:rPr/>
              <w:t>$</w:t>
            </w:r>
          </w:p>
        </w:tc>
        <w:tc>
          <w:tcPr>
            <w:tcW w:w="914" w:type="dxa"/>
            <w:tcBorders/>
            <w:shd w:fill="CCEEFF" w:val="clear"/>
            <w:vAlign w:val="bottom"/>
          </w:tcPr>
          <w:p>
            <w:pPr>
              <w:pStyle w:val="TableContents"/>
              <w:spacing w:before="0" w:after="0"/>
              <w:jc w:val="right"/>
              <w:rPr/>
            </w:pPr>
            <w:r>
              <w:rPr/>
              <w:t>(14,677</w:t>
            </w:r>
          </w:p>
        </w:tc>
        <w:tc>
          <w:tcPr>
            <w:tcW w:w="115" w:type="dxa"/>
            <w:tcBorders/>
            <w:shd w:fill="CCEEFF" w:val="clear"/>
            <w:vAlign w:val="bottom"/>
          </w:tcPr>
          <w:p>
            <w:pPr>
              <w:pStyle w:val="TableContents"/>
              <w:spacing w:before="0" w:after="0"/>
              <w:jc w:val="left"/>
              <w:rPr/>
            </w:pPr>
            <w:r>
              <w:rPr/>
              <w:t>)</w:t>
            </w:r>
          </w:p>
        </w:tc>
        <w:tc>
          <w:tcPr>
            <w:tcW w:w="72"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0"/>
              <w:jc w:val="left"/>
              <w:rPr/>
            </w:pPr>
            <w:r>
              <w:rPr/>
              <w:t>$</w:t>
            </w:r>
          </w:p>
        </w:tc>
        <w:tc>
          <w:tcPr>
            <w:tcW w:w="877" w:type="dxa"/>
            <w:tcBorders/>
            <w:shd w:fill="CCEEFF" w:val="clear"/>
            <w:vAlign w:val="bottom"/>
          </w:tcPr>
          <w:p>
            <w:pPr>
              <w:pStyle w:val="TableContents"/>
              <w:spacing w:before="0" w:after="0"/>
              <w:jc w:val="right"/>
              <w:rPr/>
            </w:pPr>
            <w:r>
              <w:rPr/>
              <w:t>(5,730</w:t>
            </w:r>
          </w:p>
        </w:tc>
        <w:tc>
          <w:tcPr>
            <w:tcW w:w="110" w:type="dxa"/>
            <w:tcBorders/>
            <w:shd w:fill="CCEEFF" w:val="clear"/>
            <w:vAlign w:val="bottom"/>
          </w:tcPr>
          <w:p>
            <w:pPr>
              <w:pStyle w:val="TableContents"/>
              <w:spacing w:before="0" w:after="0"/>
              <w:jc w:val="left"/>
              <w:rPr/>
            </w:pPr>
            <w:r>
              <w:rPr/>
              <w:t>)</w:t>
            </w:r>
          </w:p>
        </w:tc>
      </w:tr>
      <w:tr>
        <w:trPr/>
        <w:tc>
          <w:tcPr>
            <w:tcW w:w="4025" w:type="dxa"/>
            <w:tcBorders/>
            <w:shd w:fill="auto" w:val="clear"/>
            <w:vAlign w:val="bottom"/>
          </w:tcPr>
          <w:p>
            <w:pPr>
              <w:pStyle w:val="TableContents"/>
              <w:spacing w:before="0" w:after="0"/>
              <w:ind w:left="144" w:right="0" w:hanging="144"/>
              <w:rPr/>
            </w:pPr>
            <w:r>
              <w:rPr/>
              <w:t>Change in reserve</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4025" w:type="dxa"/>
            <w:tcBorders/>
            <w:shd w:fill="CCEEFF" w:val="clear"/>
            <w:vAlign w:val="bottom"/>
          </w:tcPr>
          <w:p>
            <w:pPr>
              <w:pStyle w:val="TableContents"/>
              <w:spacing w:before="0" w:after="0"/>
              <w:ind w:left="324" w:right="0" w:hanging="144"/>
              <w:rPr/>
            </w:pPr>
            <w:r>
              <w:rPr/>
              <w:t>Inventory reserve charged to costs of sales</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0"/>
              <w:jc w:val="right"/>
              <w:rPr/>
            </w:pPr>
            <w:r>
              <w:rPr/>
              <w:t>(2,584</w:t>
            </w:r>
          </w:p>
        </w:tc>
        <w:tc>
          <w:tcPr>
            <w:tcW w:w="115" w:type="dxa"/>
            <w:tcBorders/>
            <w:shd w:fill="CCEEFF" w:val="clear"/>
            <w:vAlign w:val="bottom"/>
          </w:tcPr>
          <w:p>
            <w:pPr>
              <w:pStyle w:val="TableContents"/>
              <w:spacing w:before="0" w:after="0"/>
              <w:jc w:val="left"/>
              <w:rPr/>
            </w:pPr>
            <w:r>
              <w:rPr/>
              <w:t>)</w:t>
            </w:r>
          </w:p>
        </w:tc>
        <w:tc>
          <w:tcPr>
            <w:tcW w:w="72"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0"/>
              <w:jc w:val="right"/>
              <w:rPr/>
            </w:pPr>
            <w:r>
              <w:rPr/>
              <w:t>(1,607</w:t>
            </w:r>
          </w:p>
        </w:tc>
        <w:tc>
          <w:tcPr>
            <w:tcW w:w="110" w:type="dxa"/>
            <w:tcBorders/>
            <w:shd w:fill="CCEEFF" w:val="clear"/>
            <w:vAlign w:val="bottom"/>
          </w:tcPr>
          <w:p>
            <w:pPr>
              <w:pStyle w:val="TableContents"/>
              <w:spacing w:before="0" w:after="0"/>
              <w:jc w:val="left"/>
              <w:rPr/>
            </w:pPr>
            <w:r>
              <w:rPr/>
              <w:t>)</w:t>
            </w:r>
          </w:p>
        </w:tc>
      </w:tr>
      <w:tr>
        <w:trPr/>
        <w:tc>
          <w:tcPr>
            <w:tcW w:w="4025" w:type="dxa"/>
            <w:tcBorders/>
            <w:shd w:fill="auto" w:val="clear"/>
            <w:vAlign w:val="bottom"/>
          </w:tcPr>
          <w:p>
            <w:pPr>
              <w:pStyle w:val="TableContents"/>
              <w:spacing w:before="0" w:after="0"/>
              <w:ind w:left="324" w:right="0" w:hanging="144"/>
              <w:rPr/>
            </w:pPr>
            <w:r>
              <w:rPr/>
              <w:t>Sale of previously reserved inventory</w:t>
            </w:r>
          </w:p>
        </w:tc>
        <w:tc>
          <w:tcPr>
            <w:tcW w:w="60" w:type="dxa"/>
            <w:tcBorders/>
            <w:shd w:fill="auto" w:val="clear"/>
            <w:vAlign w:val="bottom"/>
          </w:tcPr>
          <w:p>
            <w:pPr>
              <w:pStyle w:val="TableContents"/>
              <w:spacing w:before="0" w:after="283"/>
              <w:jc w:val="right"/>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auto" w:val="clear"/>
            <w:tcMar>
              <w:bottom w:w="28" w:type="dxa"/>
            </w:tcMar>
            <w:vAlign w:val="bottom"/>
          </w:tcPr>
          <w:p>
            <w:pPr>
              <w:pStyle w:val="TableContents"/>
              <w:spacing w:before="0" w:after="0"/>
              <w:jc w:val="right"/>
              <w:rPr/>
            </w:pPr>
            <w:r>
              <w:rPr/>
              <w:t>1,476</w:t>
            </w:r>
          </w:p>
        </w:tc>
        <w:tc>
          <w:tcPr>
            <w:tcW w:w="115"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right"/>
              <w:rPr/>
            </w:pPr>
            <w:r>
              <w:rPr/>
              <w:t> </w:t>
            </w:r>
          </w:p>
        </w:tc>
        <w:tc>
          <w:tcPr>
            <w:tcW w:w="19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7" w:type="dxa"/>
            <w:tcBorders>
              <w:bottom w:val="single" w:sz="12" w:space="0" w:color="000000"/>
            </w:tcBorders>
            <w:shd w:fill="auto" w:val="clear"/>
            <w:tcMar>
              <w:bottom w:w="28" w:type="dxa"/>
            </w:tcMar>
            <w:vAlign w:val="bottom"/>
          </w:tcPr>
          <w:p>
            <w:pPr>
              <w:pStyle w:val="TableContents"/>
              <w:spacing w:before="0" w:after="0"/>
              <w:jc w:val="right"/>
              <w:rPr/>
            </w:pPr>
            <w:r>
              <w:rPr/>
              <w:t>1,452</w:t>
            </w:r>
          </w:p>
        </w:tc>
        <w:tc>
          <w:tcPr>
            <w:tcW w:w="110" w:type="dxa"/>
            <w:tcBorders/>
            <w:shd w:fill="auto" w:val="clear"/>
            <w:vAlign w:val="bottom"/>
          </w:tcPr>
          <w:p>
            <w:pPr>
              <w:pStyle w:val="TableContents"/>
              <w:spacing w:before="0" w:after="283"/>
              <w:jc w:val="left"/>
              <w:rPr/>
            </w:pPr>
            <w:r>
              <w:rPr/>
              <w:t> </w:t>
            </w:r>
          </w:p>
        </w:tc>
      </w:tr>
      <w:tr>
        <w:trPr/>
        <w:tc>
          <w:tcPr>
            <w:tcW w:w="40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0"/>
              <w:jc w:val="right"/>
              <w:rPr/>
            </w:pPr>
            <w:r>
              <w:rPr/>
              <w:t>(1,108</w:t>
            </w:r>
          </w:p>
        </w:tc>
        <w:tc>
          <w:tcPr>
            <w:tcW w:w="115" w:type="dxa"/>
            <w:tcBorders/>
            <w:shd w:fill="CCEEFF" w:val="clear"/>
            <w:vAlign w:val="bottom"/>
          </w:tcPr>
          <w:p>
            <w:pPr>
              <w:pStyle w:val="TableContents"/>
              <w:spacing w:before="0" w:after="0"/>
              <w:jc w:val="left"/>
              <w:rPr/>
            </w:pPr>
            <w:r>
              <w:rPr/>
              <w:t>)</w:t>
            </w:r>
          </w:p>
        </w:tc>
        <w:tc>
          <w:tcPr>
            <w:tcW w:w="72"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0"/>
              <w:jc w:val="right"/>
              <w:rPr/>
            </w:pPr>
            <w:r>
              <w:rPr/>
              <w:t>(155</w:t>
            </w:r>
          </w:p>
        </w:tc>
        <w:tc>
          <w:tcPr>
            <w:tcW w:w="110" w:type="dxa"/>
            <w:tcBorders/>
            <w:shd w:fill="CCEEFF" w:val="clear"/>
            <w:vAlign w:val="bottom"/>
          </w:tcPr>
          <w:p>
            <w:pPr>
              <w:pStyle w:val="TableContents"/>
              <w:spacing w:before="0" w:after="0"/>
              <w:jc w:val="left"/>
              <w:rPr/>
            </w:pPr>
            <w:r>
              <w:rPr/>
              <w:t>)</w:t>
            </w:r>
          </w:p>
        </w:tc>
      </w:tr>
      <w:tr>
        <w:trPr/>
        <w:tc>
          <w:tcPr>
            <w:tcW w:w="4025" w:type="dxa"/>
            <w:tcBorders/>
            <w:shd w:fill="auto" w:val="clear"/>
            <w:vAlign w:val="bottom"/>
          </w:tcPr>
          <w:p>
            <w:pPr>
              <w:pStyle w:val="TableContents"/>
              <w:spacing w:before="0" w:after="0"/>
              <w:ind w:left="144" w:right="0" w:hanging="144"/>
              <w:rPr/>
            </w:pPr>
            <w:r>
              <w:rPr/>
              <w:t>Write off</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914" w:type="dxa"/>
            <w:tcBorders/>
            <w:shd w:fill="auto" w:val="clear"/>
            <w:vAlign w:val="bottom"/>
          </w:tcPr>
          <w:p>
            <w:pPr>
              <w:pStyle w:val="TableContents"/>
              <w:spacing w:before="0" w:after="0"/>
              <w:jc w:val="right"/>
              <w:rPr/>
            </w:pPr>
            <w:r>
              <w:rPr/>
              <w:t>415</w:t>
            </w:r>
          </w:p>
        </w:tc>
        <w:tc>
          <w:tcPr>
            <w:tcW w:w="115" w:type="dxa"/>
            <w:tcBorders/>
            <w:shd w:fill="auto" w:val="clear"/>
            <w:vAlign w:val="bottom"/>
          </w:tcPr>
          <w:p>
            <w:pPr>
              <w:pStyle w:val="TableContents"/>
              <w:spacing w:before="0" w:after="283"/>
              <w:jc w:val="left"/>
              <w:rPr/>
            </w:pPr>
            <w:r>
              <w:rPr/>
              <w:t> </w:t>
            </w:r>
          </w:p>
        </w:tc>
        <w:tc>
          <w:tcPr>
            <w:tcW w:w="72" w:type="dxa"/>
            <w:tcBorders/>
            <w:shd w:fill="auto" w:val="clear"/>
            <w:vAlign w:val="bottom"/>
          </w:tcPr>
          <w:p>
            <w:pPr>
              <w:pStyle w:val="TableContents"/>
              <w:spacing w:before="0" w:after="283"/>
              <w:jc w:val="right"/>
              <w:rPr/>
            </w:pPr>
            <w:r>
              <w:rPr/>
              <w:t> </w:t>
            </w:r>
          </w:p>
        </w:tc>
        <w:tc>
          <w:tcPr>
            <w:tcW w:w="192"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0"/>
              <w:jc w:val="right"/>
              <w:rPr/>
            </w:pPr>
            <w:r>
              <w:rPr/>
              <w:t>211</w:t>
            </w:r>
          </w:p>
        </w:tc>
        <w:tc>
          <w:tcPr>
            <w:tcW w:w="110" w:type="dxa"/>
            <w:tcBorders/>
            <w:shd w:fill="auto" w:val="clear"/>
            <w:vAlign w:val="bottom"/>
          </w:tcPr>
          <w:p>
            <w:pPr>
              <w:pStyle w:val="TableContents"/>
              <w:spacing w:before="0" w:after="283"/>
              <w:jc w:val="left"/>
              <w:rPr/>
            </w:pPr>
            <w:r>
              <w:rPr/>
              <w:t> </w:t>
            </w:r>
          </w:p>
        </w:tc>
      </w:tr>
      <w:tr>
        <w:trPr/>
        <w:tc>
          <w:tcPr>
            <w:tcW w:w="4025" w:type="dxa"/>
            <w:tcBorders/>
            <w:shd w:fill="CCEEFF" w:val="clear"/>
            <w:vAlign w:val="bottom"/>
          </w:tcPr>
          <w:p>
            <w:pPr>
              <w:pStyle w:val="TableContents"/>
              <w:spacing w:before="0" w:after="0"/>
              <w:ind w:left="144" w:right="0" w:hanging="144"/>
              <w:rPr/>
            </w:pPr>
            <w:r>
              <w:rPr/>
              <w:t>Translation adjustments</w:t>
            </w:r>
          </w:p>
        </w:tc>
        <w:tc>
          <w:tcPr>
            <w:tcW w:w="60" w:type="dxa"/>
            <w:tcBorders/>
            <w:shd w:fill="CCEEFF" w:val="clear"/>
            <w:vAlign w:val="bottom"/>
          </w:tcPr>
          <w:p>
            <w:pPr>
              <w:pStyle w:val="TableContents"/>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429</w:t>
            </w:r>
          </w:p>
        </w:tc>
        <w:tc>
          <w:tcPr>
            <w:tcW w:w="115" w:type="dxa"/>
            <w:tcBorders/>
            <w:shd w:fill="CCEEFF" w:val="clear"/>
            <w:vAlign w:val="bottom"/>
          </w:tcPr>
          <w:p>
            <w:pPr>
              <w:pStyle w:val="TableContents"/>
              <w:spacing w:before="0" w:after="283"/>
              <w:jc w:val="left"/>
              <w:rPr/>
            </w:pPr>
            <w:r>
              <w:rPr/>
              <w:t> </w:t>
            </w:r>
          </w:p>
        </w:tc>
        <w:tc>
          <w:tcPr>
            <w:tcW w:w="72" w:type="dxa"/>
            <w:tcBorders/>
            <w:shd w:fill="CCEEFF" w:val="clear"/>
            <w:vAlign w:val="bottom"/>
          </w:tcPr>
          <w:p>
            <w:pPr>
              <w:pStyle w:val="TableContents"/>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7" w:type="dxa"/>
            <w:tcBorders>
              <w:bottom w:val="single" w:sz="12" w:space="0" w:color="000000"/>
            </w:tcBorders>
            <w:shd w:fill="CCEEFF" w:val="clear"/>
            <w:tcMar>
              <w:bottom w:w="28" w:type="dxa"/>
            </w:tcMar>
            <w:vAlign w:val="bottom"/>
          </w:tcPr>
          <w:p>
            <w:pPr>
              <w:pStyle w:val="TableContents"/>
              <w:spacing w:before="0" w:after="0"/>
              <w:jc w:val="right"/>
              <w:rPr/>
            </w:pPr>
            <w:r>
              <w:rPr/>
              <w:t>119</w:t>
            </w:r>
          </w:p>
        </w:tc>
        <w:tc>
          <w:tcPr>
            <w:tcW w:w="110" w:type="dxa"/>
            <w:tcBorders/>
            <w:shd w:fill="CCEEFF" w:val="clear"/>
            <w:vAlign w:val="bottom"/>
          </w:tcPr>
          <w:p>
            <w:pPr>
              <w:pStyle w:val="TableContents"/>
              <w:spacing w:before="0" w:after="283"/>
              <w:jc w:val="left"/>
              <w:rPr/>
            </w:pPr>
            <w:r>
              <w:rPr/>
              <w:t> </w:t>
            </w:r>
          </w:p>
        </w:tc>
      </w:tr>
      <w:tr>
        <w:trPr/>
        <w:tc>
          <w:tcPr>
            <w:tcW w:w="4025" w:type="dxa"/>
            <w:tcBorders/>
            <w:shd w:fill="auto" w:val="clear"/>
            <w:vAlign w:val="bottom"/>
          </w:tcPr>
          <w:p>
            <w:pPr>
              <w:pStyle w:val="TableContents"/>
              <w:spacing w:before="0" w:after="0"/>
              <w:ind w:left="144" w:right="0" w:hanging="144"/>
              <w:rPr/>
            </w:pPr>
            <w:r>
              <w:rPr/>
              <w:t>Ending balance</w:t>
            </w:r>
          </w:p>
        </w:tc>
        <w:tc>
          <w:tcPr>
            <w:tcW w:w="60" w:type="dxa"/>
            <w:tcBorders/>
            <w:shd w:fill="auto" w:val="clear"/>
            <w:vAlign w:val="bottom"/>
          </w:tcPr>
          <w:p>
            <w:pPr>
              <w:pStyle w:val="TableContents"/>
              <w:spacing w:before="0" w:after="283"/>
              <w:jc w:val="right"/>
              <w:rPr/>
            </w:pPr>
            <w:r>
              <w:rPr/>
              <w:t> </w:t>
            </w:r>
          </w:p>
        </w:tc>
        <w:tc>
          <w:tcPr>
            <w:tcW w:w="169"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914" w:type="dxa"/>
            <w:tcBorders>
              <w:bottom w:val="double" w:sz="8" w:space="0" w:color="000000"/>
            </w:tcBorders>
            <w:shd w:fill="auto" w:val="clear"/>
            <w:tcMar>
              <w:bottom w:w="28" w:type="dxa"/>
            </w:tcMar>
            <w:vAlign w:val="bottom"/>
          </w:tcPr>
          <w:p>
            <w:pPr>
              <w:pStyle w:val="TableContents"/>
              <w:spacing w:before="0" w:after="0"/>
              <w:jc w:val="right"/>
              <w:rPr/>
            </w:pPr>
            <w:r>
              <w:rPr/>
              <w:t>(14,941</w:t>
            </w:r>
          </w:p>
        </w:tc>
        <w:tc>
          <w:tcPr>
            <w:tcW w:w="115" w:type="dxa"/>
            <w:tcBorders/>
            <w:shd w:fill="auto" w:val="clear"/>
            <w:vAlign w:val="bottom"/>
          </w:tcPr>
          <w:p>
            <w:pPr>
              <w:pStyle w:val="TableContents"/>
              <w:spacing w:before="0" w:after="0"/>
              <w:jc w:val="left"/>
              <w:rPr/>
            </w:pPr>
            <w:r>
              <w:rPr/>
              <w:t>)</w:t>
            </w:r>
          </w:p>
        </w:tc>
        <w:tc>
          <w:tcPr>
            <w:tcW w:w="72" w:type="dxa"/>
            <w:tcBorders/>
            <w:shd w:fill="auto" w:val="clear"/>
            <w:vAlign w:val="bottom"/>
          </w:tcPr>
          <w:p>
            <w:pPr>
              <w:pStyle w:val="TableContents"/>
              <w:spacing w:before="0" w:after="283"/>
              <w:jc w:val="right"/>
              <w:rPr/>
            </w:pPr>
            <w:r>
              <w:rPr/>
              <w:t> </w:t>
            </w:r>
          </w:p>
        </w:tc>
        <w:tc>
          <w:tcPr>
            <w:tcW w:w="192"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77" w:type="dxa"/>
            <w:tcBorders>
              <w:bottom w:val="double" w:sz="8" w:space="0" w:color="000000"/>
            </w:tcBorders>
            <w:shd w:fill="auto" w:val="clear"/>
            <w:tcMar>
              <w:bottom w:w="28" w:type="dxa"/>
            </w:tcMar>
            <w:vAlign w:val="bottom"/>
          </w:tcPr>
          <w:p>
            <w:pPr>
              <w:pStyle w:val="TableContents"/>
              <w:spacing w:before="0" w:after="0"/>
              <w:jc w:val="right"/>
              <w:rPr/>
            </w:pPr>
            <w:r>
              <w:rPr/>
              <w:t>(5,555</w:t>
            </w:r>
          </w:p>
        </w:tc>
        <w:tc>
          <w:tcPr>
            <w:tcW w:w="110" w:type="dxa"/>
            <w:tcBorders/>
            <w:shd w:fill="auto" w:val="clear"/>
            <w:vAlign w:val="bottom"/>
          </w:tcPr>
          <w:p>
            <w:pPr>
              <w:pStyle w:val="TableContents"/>
              <w:spacing w:before="0" w:after="0"/>
              <w:jc w:val="left"/>
              <w:rPr/>
            </w:pPr>
            <w:r>
              <w:rPr/>
              <w:t>)</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3. Property, Plant and Equipment</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Property, plant and equipment as of March 31, 2023 and December 31, 2022 are comprised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6098" w:type="dxa"/>
        <w:jc w:val="left"/>
        <w:tblInd w:w="0" w:type="dxa"/>
        <w:tblCellMar>
          <w:top w:w="0" w:type="dxa"/>
          <w:left w:w="0" w:type="dxa"/>
          <w:bottom w:w="0" w:type="dxa"/>
          <w:right w:w="0" w:type="dxa"/>
        </w:tblCellMar>
      </w:tblPr>
      <w:tblGrid>
        <w:gridCol w:w="3290"/>
        <w:gridCol w:w="60"/>
        <w:gridCol w:w="147"/>
        <w:gridCol w:w="922"/>
        <w:gridCol w:w="95"/>
        <w:gridCol w:w="60"/>
        <w:gridCol w:w="194"/>
        <w:gridCol w:w="1220"/>
        <w:gridCol w:w="110"/>
      </w:tblGrid>
      <w:tr>
        <w:trPr/>
        <w:tc>
          <w:tcPr>
            <w:tcW w:w="3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4" w:right="0" w:hanging="144"/>
              <w:rPr/>
            </w:pPr>
            <w:r>
              <w:rPr/>
              <w:t>Buildings and related structures</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0"/>
              <w:jc w:val="left"/>
              <w:rPr/>
            </w:pPr>
            <w:r>
              <w:rPr/>
              <w:t>$</w:t>
            </w:r>
          </w:p>
        </w:tc>
        <w:tc>
          <w:tcPr>
            <w:tcW w:w="922" w:type="dxa"/>
            <w:tcBorders/>
            <w:shd w:fill="CCEEFF" w:val="clear"/>
            <w:vAlign w:val="bottom"/>
          </w:tcPr>
          <w:p>
            <w:pPr>
              <w:pStyle w:val="TableContents"/>
              <w:spacing w:before="0" w:after="0"/>
              <w:jc w:val="right"/>
              <w:rPr/>
            </w:pPr>
            <w:r>
              <w:rPr/>
              <w:t>24,214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0"/>
              <w:jc w:val="left"/>
              <w:rPr/>
            </w:pPr>
            <w:r>
              <w:rPr/>
              <w:t>$</w:t>
            </w:r>
          </w:p>
        </w:tc>
        <w:tc>
          <w:tcPr>
            <w:tcW w:w="1220" w:type="dxa"/>
            <w:tcBorders/>
            <w:shd w:fill="CCEEFF" w:val="clear"/>
            <w:vAlign w:val="bottom"/>
          </w:tcPr>
          <w:p>
            <w:pPr>
              <w:pStyle w:val="TableContents"/>
              <w:spacing w:before="0" w:after="0"/>
              <w:jc w:val="right"/>
              <w:rPr/>
            </w:pPr>
            <w:r>
              <w:rPr/>
              <w:t>24,780</w:t>
            </w:r>
          </w:p>
        </w:tc>
        <w:tc>
          <w:tcPr>
            <w:tcW w:w="110"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4" w:right="0" w:hanging="144"/>
              <w:rPr/>
            </w:pPr>
            <w:r>
              <w:rPr/>
              <w:t>Machinery and equipment</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pPr>
            <w:r>
              <w:rPr/>
              <w:t>134,843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1220" w:type="dxa"/>
            <w:tcBorders/>
            <w:shd w:fill="auto" w:val="clear"/>
            <w:vAlign w:val="bottom"/>
          </w:tcPr>
          <w:p>
            <w:pPr>
              <w:pStyle w:val="TableContents"/>
              <w:spacing w:before="0" w:after="0"/>
              <w:jc w:val="right"/>
              <w:rPr/>
            </w:pPr>
            <w:r>
              <w:rPr/>
              <w:t>137,666</w:t>
            </w:r>
          </w:p>
        </w:tc>
        <w:tc>
          <w:tcPr>
            <w:tcW w:w="110"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4" w:right="0" w:hanging="144"/>
              <w:rPr/>
            </w:pPr>
            <w:r>
              <w:rPr/>
              <w:t>Finance lease right-of-use assets</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pPr>
            <w:r>
              <w:rPr/>
              <w:t>707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0"/>
              <w:jc w:val="right"/>
              <w:rPr/>
            </w:pPr>
            <w:r>
              <w:rPr/>
              <w:t>389</w:t>
            </w:r>
          </w:p>
        </w:tc>
        <w:tc>
          <w:tcPr>
            <w:tcW w:w="110"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4" w:right="0" w:hanging="144"/>
              <w:rPr/>
            </w:pPr>
            <w:r>
              <w:rPr/>
              <w:t>Others</w:t>
            </w:r>
          </w:p>
        </w:tc>
        <w:tc>
          <w:tcPr>
            <w:tcW w:w="60" w:type="dxa"/>
            <w:tcBorders/>
            <w:shd w:fill="auto" w:val="clear"/>
            <w:vAlign w:val="bottom"/>
          </w:tcPr>
          <w:p>
            <w:pPr>
              <w:pStyle w:val="TableContents"/>
              <w:spacing w:before="0" w:after="283"/>
              <w:jc w:val="right"/>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auto" w:val="clear"/>
            <w:tcMar>
              <w:bottom w:w="28" w:type="dxa"/>
            </w:tcMar>
            <w:vAlign w:val="bottom"/>
          </w:tcPr>
          <w:p>
            <w:pPr>
              <w:pStyle w:val="TableContents"/>
              <w:spacing w:before="0" w:after="0"/>
              <w:jc w:val="right"/>
              <w:rPr/>
            </w:pPr>
            <w:r>
              <w:rPr/>
              <w:t>33,529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right"/>
              <w:rPr/>
            </w:pPr>
            <w:r>
              <w:rPr/>
              <w:t>33,890</w:t>
            </w:r>
          </w:p>
        </w:tc>
        <w:tc>
          <w:tcPr>
            <w:tcW w:w="110"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pPr>
            <w:r>
              <w:rPr/>
              <w:t>193,293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0"/>
              <w:jc w:val="right"/>
              <w:rPr/>
            </w:pPr>
            <w:r>
              <w:rPr/>
              <w:t>196,725</w:t>
            </w:r>
          </w:p>
        </w:tc>
        <w:tc>
          <w:tcPr>
            <w:tcW w:w="110"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4" w:right="0" w:hanging="144"/>
              <w:rPr/>
            </w:pPr>
            <w:r>
              <w:rPr/>
              <w:t>Less: accumulated depreciation</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922" w:type="dxa"/>
            <w:tcBorders/>
            <w:shd w:fill="auto" w:val="clear"/>
            <w:vAlign w:val="bottom"/>
          </w:tcPr>
          <w:p>
            <w:pPr>
              <w:pStyle w:val="TableContents"/>
              <w:spacing w:before="0" w:after="0"/>
              <w:jc w:val="right"/>
              <w:rPr/>
            </w:pPr>
            <w:r>
              <w:rPr/>
              <w:t>(102,768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1220" w:type="dxa"/>
            <w:tcBorders/>
            <w:shd w:fill="auto" w:val="clear"/>
            <w:vAlign w:val="bottom"/>
          </w:tcPr>
          <w:p>
            <w:pPr>
              <w:pStyle w:val="TableContents"/>
              <w:spacing w:before="0" w:after="0"/>
              <w:jc w:val="right"/>
              <w:rPr/>
            </w:pPr>
            <w:r>
              <w:rPr/>
              <w:t>(101,502</w:t>
            </w:r>
          </w:p>
        </w:tc>
        <w:tc>
          <w:tcPr>
            <w:tcW w:w="110" w:type="dxa"/>
            <w:tcBorders/>
            <w:shd w:fill="auto" w:val="clear"/>
            <w:vAlign w:val="bottom"/>
          </w:tcPr>
          <w:p>
            <w:pPr>
              <w:pStyle w:val="TableContents"/>
              <w:spacing w:before="0" w:after="0"/>
              <w:jc w:val="left"/>
              <w:rPr/>
            </w:pPr>
            <w:r>
              <w:rPr/>
              <w:t>)</w:t>
            </w:r>
          </w:p>
        </w:tc>
      </w:tr>
      <w:tr>
        <w:trPr/>
        <w:tc>
          <w:tcPr>
            <w:tcW w:w="3290" w:type="dxa"/>
            <w:tcBorders/>
            <w:shd w:fill="CCEEFF" w:val="clear"/>
            <w:vAlign w:val="bottom"/>
          </w:tcPr>
          <w:p>
            <w:pPr>
              <w:pStyle w:val="TableContents"/>
              <w:spacing w:before="0" w:after="0"/>
              <w:ind w:left="144" w:right="0" w:hanging="144"/>
              <w:rPr/>
            </w:pPr>
            <w:r>
              <w:rPr/>
              <w:t>Land</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922" w:type="dxa"/>
            <w:tcBorders/>
            <w:shd w:fill="CCEEFF" w:val="clear"/>
            <w:vAlign w:val="bottom"/>
          </w:tcPr>
          <w:p>
            <w:pPr>
              <w:pStyle w:val="TableContents"/>
              <w:spacing w:before="0" w:after="0"/>
              <w:jc w:val="right"/>
              <w:rPr/>
            </w:pPr>
            <w:r>
              <w:rPr/>
              <w:t>12,670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1220" w:type="dxa"/>
            <w:tcBorders/>
            <w:shd w:fill="CCEEFF" w:val="clear"/>
            <w:vAlign w:val="bottom"/>
          </w:tcPr>
          <w:p>
            <w:pPr>
              <w:pStyle w:val="TableContents"/>
              <w:spacing w:before="0" w:after="0"/>
              <w:jc w:val="right"/>
              <w:rPr/>
            </w:pPr>
            <w:r>
              <w:rPr/>
              <w:t>13,034</w:t>
            </w:r>
          </w:p>
        </w:tc>
        <w:tc>
          <w:tcPr>
            <w:tcW w:w="110"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4" w:right="0" w:hanging="144"/>
              <w:rPr/>
            </w:pPr>
            <w:r>
              <w:rPr/>
              <w:t>Construction in progress</w:t>
            </w:r>
          </w:p>
        </w:tc>
        <w:tc>
          <w:tcPr>
            <w:tcW w:w="60" w:type="dxa"/>
            <w:tcBorders/>
            <w:shd w:fill="auto" w:val="clear"/>
            <w:vAlign w:val="bottom"/>
          </w:tcPr>
          <w:p>
            <w:pPr>
              <w:pStyle w:val="TableContents"/>
              <w:spacing w:before="0" w:after="283"/>
              <w:jc w:val="right"/>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22" w:type="dxa"/>
            <w:tcBorders>
              <w:bottom w:val="single" w:sz="12" w:space="0" w:color="000000"/>
            </w:tcBorders>
            <w:shd w:fill="auto" w:val="clear"/>
            <w:tcMar>
              <w:bottom w:w="28" w:type="dxa"/>
            </w:tcMar>
            <w:vAlign w:val="bottom"/>
          </w:tcPr>
          <w:p>
            <w:pPr>
              <w:pStyle w:val="TableContents"/>
              <w:spacing w:before="0" w:after="0"/>
              <w:jc w:val="right"/>
              <w:rPr/>
            </w:pPr>
            <w:r>
              <w:rPr/>
              <w:t>1,373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right"/>
              <w:rPr/>
            </w:pPr>
            <w:r>
              <w:rPr/>
              <w:t>2,490</w:t>
            </w:r>
          </w:p>
        </w:tc>
        <w:tc>
          <w:tcPr>
            <w:tcW w:w="110"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4" w:right="0" w:hanging="144"/>
              <w:rPr/>
            </w:pPr>
            <w:r>
              <w:rPr/>
              <w:t>Property, plant and equipment, net</w:t>
            </w:r>
          </w:p>
        </w:tc>
        <w:tc>
          <w:tcPr>
            <w:tcW w:w="60" w:type="dxa"/>
            <w:tcBorders/>
            <w:shd w:fill="CCEEFF" w:val="clear"/>
            <w:vAlign w:val="bottom"/>
          </w:tcPr>
          <w:p>
            <w:pPr>
              <w:pStyle w:val="TableContents"/>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922" w:type="dxa"/>
            <w:tcBorders>
              <w:bottom w:val="double" w:sz="8" w:space="0" w:color="000000"/>
            </w:tcBorders>
            <w:shd w:fill="CCEEFF" w:val="clear"/>
            <w:tcMar>
              <w:bottom w:w="28" w:type="dxa"/>
            </w:tcMar>
            <w:vAlign w:val="bottom"/>
          </w:tcPr>
          <w:p>
            <w:pPr>
              <w:pStyle w:val="TableContents"/>
              <w:spacing w:before="0" w:after="0"/>
              <w:jc w:val="right"/>
              <w:rPr/>
            </w:pPr>
            <w:r>
              <w:rPr/>
              <w:t>104,568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220" w:type="dxa"/>
            <w:tcBorders>
              <w:bottom w:val="double" w:sz="8" w:space="0" w:color="000000"/>
            </w:tcBorders>
            <w:shd w:fill="CCEEFF" w:val="clear"/>
            <w:tcMar>
              <w:bottom w:w="28" w:type="dxa"/>
            </w:tcMar>
            <w:vAlign w:val="bottom"/>
          </w:tcPr>
          <w:p>
            <w:pPr>
              <w:pStyle w:val="TableContents"/>
              <w:spacing w:before="0" w:after="0"/>
              <w:jc w:val="right"/>
              <w:rPr/>
            </w:pPr>
            <w:r>
              <w:rPr/>
              <w:t>110,747</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Aggregate depreciation expenses totaled $4,193 thousand and $3,706 thousand for the three months ended March 31, 2023 and 2022, respectively.</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4. Intangible Assets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Intangible assets as of March 31, 2023 and December 31, 2022 are comprised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5905" w:type="dxa"/>
        <w:jc w:val="left"/>
        <w:tblInd w:w="0" w:type="dxa"/>
        <w:tblCellMar>
          <w:top w:w="0" w:type="dxa"/>
          <w:left w:w="0" w:type="dxa"/>
          <w:bottom w:w="0" w:type="dxa"/>
          <w:right w:w="0" w:type="dxa"/>
        </w:tblCellMar>
      </w:tblPr>
      <w:tblGrid>
        <w:gridCol w:w="2525"/>
        <w:gridCol w:w="60"/>
        <w:gridCol w:w="160"/>
        <w:gridCol w:w="640"/>
        <w:gridCol w:w="60"/>
        <w:gridCol w:w="60"/>
        <w:gridCol w:w="247"/>
        <w:gridCol w:w="1123"/>
        <w:gridCol w:w="95"/>
        <w:gridCol w:w="60"/>
        <w:gridCol w:w="160"/>
        <w:gridCol w:w="640"/>
        <w:gridCol w:w="75"/>
      </w:tblGrid>
      <w:tr>
        <w:trPr/>
        <w:tc>
          <w:tcPr>
            <w:tcW w:w="25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5"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March 31, 2023</w:t>
            </w:r>
          </w:p>
        </w:tc>
        <w:tc>
          <w:tcPr>
            <w:tcW w:w="75" w:type="dxa"/>
            <w:tcBorders/>
            <w:shd w:fill="auto" w:val="clear"/>
            <w:vAlign w:val="bottom"/>
          </w:tcPr>
          <w:p>
            <w:pPr>
              <w:pStyle w:val="TableContents"/>
              <w:spacing w:before="0" w:after="283"/>
              <w:jc w:val="left"/>
              <w:rPr/>
            </w:pPr>
            <w:r>
              <w:rPr/>
              <w:t> </w:t>
            </w:r>
          </w:p>
        </w:tc>
      </w:tr>
      <w:tr>
        <w:trPr/>
        <w:tc>
          <w:tcPr>
            <w:tcW w:w="25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Gross</w:t>
            </w:r>
          </w:p>
          <w:p>
            <w:pPr>
              <w:pStyle w:val="TableContents"/>
              <w:spacing w:before="0" w:after="0"/>
              <w:jc w:val="center"/>
              <w:rPr>
                <w:b/>
              </w:rPr>
            </w:pPr>
            <w:r>
              <w:rPr>
                <w:b/>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Accumulated</w:t>
            </w:r>
          </w:p>
          <w:p>
            <w:pPr>
              <w:pStyle w:val="TableContents"/>
              <w:spacing w:before="0" w:after="0"/>
              <w:jc w:val="center"/>
              <w:rPr>
                <w:b/>
              </w:rPr>
            </w:pPr>
            <w:r>
              <w:rPr>
                <w:b/>
              </w:rPr>
              <w:t>amortization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Net</w:t>
            </w:r>
          </w:p>
          <w:p>
            <w:pPr>
              <w:pStyle w:val="TableContents"/>
              <w:spacing w:before="0" w:after="0"/>
              <w:jc w:val="center"/>
              <w:rPr>
                <w:b/>
              </w:rPr>
            </w:pPr>
            <w:r>
              <w:rPr>
                <w:b/>
              </w:rPr>
              <w:t>amount</w:t>
            </w:r>
          </w:p>
        </w:tc>
        <w:tc>
          <w:tcPr>
            <w:tcW w:w="75" w:type="dxa"/>
            <w:tcBorders/>
            <w:shd w:fill="auto" w:val="clear"/>
            <w:vAlign w:val="bottom"/>
          </w:tcPr>
          <w:p>
            <w:pPr>
              <w:pStyle w:val="TableContents"/>
              <w:spacing w:before="0" w:after="283"/>
              <w:jc w:val="left"/>
              <w:rPr/>
            </w:pPr>
            <w:r>
              <w:rPr/>
              <w:t> </w:t>
            </w:r>
          </w:p>
        </w:tc>
      </w:tr>
      <w:tr>
        <w:trPr/>
        <w:tc>
          <w:tcPr>
            <w:tcW w:w="2525" w:type="dxa"/>
            <w:tcBorders/>
            <w:shd w:fill="CCEEFF" w:val="clear"/>
            <w:vAlign w:val="bottom"/>
          </w:tcPr>
          <w:p>
            <w:pPr>
              <w:pStyle w:val="TableContents"/>
              <w:spacing w:before="0" w:after="0"/>
              <w:ind w:left="144" w:right="0" w:hanging="144"/>
              <w:rPr/>
            </w:pPr>
            <w:r>
              <w:rPr/>
              <w:t>Intellectual property assets</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40" w:type="dxa"/>
            <w:tcBorders>
              <w:bottom w:val="single" w:sz="12" w:space="0" w:color="000000"/>
            </w:tcBorders>
            <w:shd w:fill="CCEEFF" w:val="clear"/>
            <w:tcMar>
              <w:bottom w:w="28" w:type="dxa"/>
            </w:tcMar>
            <w:vAlign w:val="bottom"/>
          </w:tcPr>
          <w:p>
            <w:pPr>
              <w:pStyle w:val="TableContents"/>
              <w:spacing w:before="0" w:after="0"/>
              <w:jc w:val="right"/>
              <w:rPr/>
            </w:pPr>
            <w:r>
              <w:rPr/>
              <w:t>8,916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7"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123" w:type="dxa"/>
            <w:tcBorders>
              <w:bottom w:val="single" w:sz="12" w:space="0" w:color="000000"/>
            </w:tcBorders>
            <w:shd w:fill="CCEEFF" w:val="clear"/>
            <w:tcMar>
              <w:bottom w:w="28" w:type="dxa"/>
            </w:tcMar>
            <w:vAlign w:val="bottom"/>
          </w:tcPr>
          <w:p>
            <w:pPr>
              <w:pStyle w:val="TableContents"/>
              <w:spacing w:before="0" w:after="0"/>
              <w:jc w:val="right"/>
              <w:rPr/>
            </w:pPr>
            <w:r>
              <w:rPr/>
              <w:t>(7,132</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40" w:type="dxa"/>
            <w:tcBorders>
              <w:bottom w:val="single" w:sz="12" w:space="0" w:color="000000"/>
            </w:tcBorders>
            <w:shd w:fill="CCEEFF" w:val="clear"/>
            <w:tcMar>
              <w:bottom w:w="28" w:type="dxa"/>
            </w:tcMar>
            <w:vAlign w:val="bottom"/>
          </w:tcPr>
          <w:p>
            <w:pPr>
              <w:pStyle w:val="TableContents"/>
              <w:spacing w:before="0" w:after="0"/>
              <w:jc w:val="right"/>
              <w:rPr/>
            </w:pPr>
            <w:r>
              <w:rPr/>
              <w:t>1,784</w:t>
            </w:r>
          </w:p>
        </w:tc>
        <w:tc>
          <w:tcPr>
            <w:tcW w:w="75" w:type="dxa"/>
            <w:tcBorders/>
            <w:shd w:fill="CCEEFF" w:val="clear"/>
            <w:vAlign w:val="bottom"/>
          </w:tcPr>
          <w:p>
            <w:pPr>
              <w:pStyle w:val="TableContents"/>
              <w:spacing w:before="0" w:after="283"/>
              <w:jc w:val="left"/>
              <w:rPr/>
            </w:pPr>
            <w:r>
              <w:rPr/>
              <w:t> </w:t>
            </w:r>
          </w:p>
        </w:tc>
      </w:tr>
      <w:tr>
        <w:trPr/>
        <w:tc>
          <w:tcPr>
            <w:tcW w:w="2525" w:type="dxa"/>
            <w:tcBorders/>
            <w:shd w:fill="auto" w:val="clear"/>
            <w:vAlign w:val="bottom"/>
          </w:tcPr>
          <w:p>
            <w:pPr>
              <w:pStyle w:val="TableContents"/>
              <w:spacing w:before="0" w:after="0"/>
              <w:ind w:left="144" w:right="0" w:hanging="144"/>
              <w:rPr/>
            </w:pPr>
            <w:r>
              <w:rPr/>
              <w:t>Intangible assets</w:t>
            </w:r>
          </w:p>
        </w:tc>
        <w:tc>
          <w:tcPr>
            <w:tcW w:w="60"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40" w:type="dxa"/>
            <w:tcBorders>
              <w:bottom w:val="double" w:sz="8" w:space="0" w:color="000000"/>
            </w:tcBorders>
            <w:shd w:fill="auto" w:val="clear"/>
            <w:tcMar>
              <w:bottom w:w="28" w:type="dxa"/>
            </w:tcMar>
            <w:vAlign w:val="bottom"/>
          </w:tcPr>
          <w:p>
            <w:pPr>
              <w:pStyle w:val="TableContents"/>
              <w:spacing w:before="0" w:after="0"/>
              <w:jc w:val="right"/>
              <w:rPr/>
            </w:pPr>
            <w:r>
              <w:rPr/>
              <w:t>8,916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23" w:type="dxa"/>
            <w:tcBorders>
              <w:bottom w:val="double" w:sz="8" w:space="0" w:color="000000"/>
            </w:tcBorders>
            <w:shd w:fill="auto" w:val="clear"/>
            <w:tcMar>
              <w:bottom w:w="28" w:type="dxa"/>
            </w:tcMar>
            <w:vAlign w:val="bottom"/>
          </w:tcPr>
          <w:p>
            <w:pPr>
              <w:pStyle w:val="TableContents"/>
              <w:spacing w:before="0" w:after="0"/>
              <w:jc w:val="right"/>
              <w:rPr/>
            </w:pPr>
            <w:r>
              <w:rPr/>
              <w:t>(7,132</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40" w:type="dxa"/>
            <w:tcBorders>
              <w:bottom w:val="double" w:sz="8" w:space="0" w:color="000000"/>
            </w:tcBorders>
            <w:shd w:fill="auto" w:val="clear"/>
            <w:tcMar>
              <w:bottom w:w="28" w:type="dxa"/>
            </w:tcMar>
            <w:vAlign w:val="bottom"/>
          </w:tcPr>
          <w:p>
            <w:pPr>
              <w:pStyle w:val="TableContents"/>
              <w:spacing w:before="0" w:after="0"/>
              <w:jc w:val="right"/>
              <w:rPr/>
            </w:pPr>
            <w:r>
              <w:rPr/>
              <w:t>1,784</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r>
    </w:p>
    <w:tbl>
      <w:tblPr>
        <w:tblW w:w="5905" w:type="dxa"/>
        <w:jc w:val="left"/>
        <w:tblInd w:w="0" w:type="dxa"/>
        <w:tblCellMar>
          <w:top w:w="0" w:type="dxa"/>
          <w:left w:w="0" w:type="dxa"/>
          <w:bottom w:w="0" w:type="dxa"/>
          <w:right w:w="0" w:type="dxa"/>
        </w:tblCellMar>
      </w:tblPr>
      <w:tblGrid>
        <w:gridCol w:w="2525"/>
        <w:gridCol w:w="60"/>
        <w:gridCol w:w="160"/>
        <w:gridCol w:w="640"/>
        <w:gridCol w:w="60"/>
        <w:gridCol w:w="60"/>
        <w:gridCol w:w="247"/>
        <w:gridCol w:w="1123"/>
        <w:gridCol w:w="95"/>
        <w:gridCol w:w="60"/>
        <w:gridCol w:w="160"/>
        <w:gridCol w:w="640"/>
        <w:gridCol w:w="75"/>
      </w:tblGrid>
      <w:tr>
        <w:trPr/>
        <w:tc>
          <w:tcPr>
            <w:tcW w:w="25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5"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December 31, 2022</w:t>
            </w:r>
          </w:p>
        </w:tc>
        <w:tc>
          <w:tcPr>
            <w:tcW w:w="75" w:type="dxa"/>
            <w:tcBorders/>
            <w:shd w:fill="auto" w:val="clear"/>
            <w:vAlign w:val="bottom"/>
          </w:tcPr>
          <w:p>
            <w:pPr>
              <w:pStyle w:val="TableContents"/>
              <w:spacing w:before="0" w:after="283"/>
              <w:jc w:val="left"/>
              <w:rPr/>
            </w:pPr>
            <w:r>
              <w:rPr/>
              <w:t> </w:t>
            </w:r>
          </w:p>
        </w:tc>
      </w:tr>
      <w:tr>
        <w:trPr/>
        <w:tc>
          <w:tcPr>
            <w:tcW w:w="25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Gross</w:t>
            </w:r>
          </w:p>
          <w:p>
            <w:pPr>
              <w:pStyle w:val="TableContents"/>
              <w:spacing w:before="0" w:after="0"/>
              <w:jc w:val="center"/>
              <w:rPr>
                <w:b/>
              </w:rPr>
            </w:pPr>
            <w:r>
              <w:rPr>
                <w:b/>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Accumulated</w:t>
            </w:r>
          </w:p>
          <w:p>
            <w:pPr>
              <w:pStyle w:val="TableContents"/>
              <w:spacing w:before="0" w:after="0"/>
              <w:jc w:val="center"/>
              <w:rPr>
                <w:b/>
              </w:rPr>
            </w:pPr>
            <w:r>
              <w:rPr>
                <w:b/>
              </w:rPr>
              <w:t>amortization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Net</w:t>
            </w:r>
          </w:p>
          <w:p>
            <w:pPr>
              <w:pStyle w:val="TableContents"/>
              <w:spacing w:before="0" w:after="0"/>
              <w:jc w:val="center"/>
              <w:rPr>
                <w:b/>
              </w:rPr>
            </w:pPr>
            <w:r>
              <w:rPr>
                <w:b/>
              </w:rPr>
              <w:t>amount</w:t>
            </w:r>
          </w:p>
        </w:tc>
        <w:tc>
          <w:tcPr>
            <w:tcW w:w="75" w:type="dxa"/>
            <w:tcBorders/>
            <w:shd w:fill="auto" w:val="clear"/>
            <w:vAlign w:val="bottom"/>
          </w:tcPr>
          <w:p>
            <w:pPr>
              <w:pStyle w:val="TableContents"/>
              <w:spacing w:before="0" w:after="283"/>
              <w:jc w:val="left"/>
              <w:rPr/>
            </w:pPr>
            <w:r>
              <w:rPr/>
              <w:t> </w:t>
            </w:r>
          </w:p>
        </w:tc>
      </w:tr>
      <w:tr>
        <w:trPr/>
        <w:tc>
          <w:tcPr>
            <w:tcW w:w="2525" w:type="dxa"/>
            <w:tcBorders/>
            <w:shd w:fill="CCEEFF" w:val="clear"/>
            <w:vAlign w:val="bottom"/>
          </w:tcPr>
          <w:p>
            <w:pPr>
              <w:pStyle w:val="TableContents"/>
              <w:spacing w:before="0" w:after="0"/>
              <w:ind w:left="144" w:right="0" w:hanging="144"/>
              <w:rPr/>
            </w:pPr>
            <w:r>
              <w:rPr/>
              <w:t>Intellectual property assets</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40" w:type="dxa"/>
            <w:tcBorders>
              <w:bottom w:val="single" w:sz="12" w:space="0" w:color="000000"/>
            </w:tcBorders>
            <w:shd w:fill="CCEEFF" w:val="clear"/>
            <w:tcMar>
              <w:bottom w:w="28" w:type="dxa"/>
            </w:tcMar>
            <w:vAlign w:val="bottom"/>
          </w:tcPr>
          <w:p>
            <w:pPr>
              <w:pStyle w:val="TableContents"/>
              <w:spacing w:before="0" w:after="0"/>
              <w:jc w:val="right"/>
              <w:rPr/>
            </w:pPr>
            <w:r>
              <w:rPr/>
              <w:t>9,111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7"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123" w:type="dxa"/>
            <w:tcBorders>
              <w:bottom w:val="single" w:sz="12" w:space="0" w:color="000000"/>
            </w:tcBorders>
            <w:shd w:fill="CCEEFF" w:val="clear"/>
            <w:tcMar>
              <w:bottom w:w="28" w:type="dxa"/>
            </w:tcMar>
            <w:vAlign w:val="bottom"/>
          </w:tcPr>
          <w:p>
            <w:pPr>
              <w:pStyle w:val="TableContents"/>
              <w:spacing w:before="0" w:after="0"/>
              <w:jc w:val="right"/>
              <w:rPr/>
            </w:pPr>
            <w:r>
              <w:rPr/>
              <w:t>(7,181</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40" w:type="dxa"/>
            <w:tcBorders>
              <w:bottom w:val="single" w:sz="12" w:space="0" w:color="000000"/>
            </w:tcBorders>
            <w:shd w:fill="CCEEFF" w:val="clear"/>
            <w:tcMar>
              <w:bottom w:w="28" w:type="dxa"/>
            </w:tcMar>
            <w:vAlign w:val="bottom"/>
          </w:tcPr>
          <w:p>
            <w:pPr>
              <w:pStyle w:val="TableContents"/>
              <w:spacing w:before="0" w:after="0"/>
              <w:jc w:val="right"/>
              <w:rPr/>
            </w:pPr>
            <w:r>
              <w:rPr/>
              <w:t>1,930</w:t>
            </w:r>
          </w:p>
        </w:tc>
        <w:tc>
          <w:tcPr>
            <w:tcW w:w="75" w:type="dxa"/>
            <w:tcBorders/>
            <w:shd w:fill="CCEEFF" w:val="clear"/>
            <w:vAlign w:val="bottom"/>
          </w:tcPr>
          <w:p>
            <w:pPr>
              <w:pStyle w:val="TableContents"/>
              <w:spacing w:before="0" w:after="283"/>
              <w:jc w:val="left"/>
              <w:rPr/>
            </w:pPr>
            <w:r>
              <w:rPr/>
              <w:t> </w:t>
            </w:r>
          </w:p>
        </w:tc>
      </w:tr>
      <w:tr>
        <w:trPr/>
        <w:tc>
          <w:tcPr>
            <w:tcW w:w="2525" w:type="dxa"/>
            <w:tcBorders/>
            <w:shd w:fill="auto" w:val="clear"/>
            <w:vAlign w:val="bottom"/>
          </w:tcPr>
          <w:p>
            <w:pPr>
              <w:pStyle w:val="TableContents"/>
              <w:spacing w:before="0" w:after="0"/>
              <w:ind w:left="144" w:right="0" w:hanging="144"/>
              <w:rPr/>
            </w:pPr>
            <w:r>
              <w:rPr/>
              <w:t>Intangible assets</w:t>
            </w:r>
          </w:p>
        </w:tc>
        <w:tc>
          <w:tcPr>
            <w:tcW w:w="60"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40" w:type="dxa"/>
            <w:tcBorders>
              <w:bottom w:val="double" w:sz="8" w:space="0" w:color="000000"/>
            </w:tcBorders>
            <w:shd w:fill="auto" w:val="clear"/>
            <w:tcMar>
              <w:bottom w:w="28" w:type="dxa"/>
            </w:tcMar>
            <w:vAlign w:val="bottom"/>
          </w:tcPr>
          <w:p>
            <w:pPr>
              <w:pStyle w:val="TableContents"/>
              <w:spacing w:before="0" w:after="0"/>
              <w:jc w:val="right"/>
              <w:rPr/>
            </w:pPr>
            <w:r>
              <w:rPr/>
              <w:t>9,111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23" w:type="dxa"/>
            <w:tcBorders>
              <w:bottom w:val="double" w:sz="8" w:space="0" w:color="000000"/>
            </w:tcBorders>
            <w:shd w:fill="auto" w:val="clear"/>
            <w:tcMar>
              <w:bottom w:w="28" w:type="dxa"/>
            </w:tcMar>
            <w:vAlign w:val="bottom"/>
          </w:tcPr>
          <w:p>
            <w:pPr>
              <w:pStyle w:val="TableContents"/>
              <w:spacing w:before="0" w:after="0"/>
              <w:jc w:val="right"/>
              <w:rPr/>
            </w:pPr>
            <w:r>
              <w:rPr/>
              <w:t>(7,181</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6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40" w:type="dxa"/>
            <w:tcBorders>
              <w:bottom w:val="double" w:sz="8" w:space="0" w:color="000000"/>
            </w:tcBorders>
            <w:shd w:fill="auto" w:val="clear"/>
            <w:tcMar>
              <w:bottom w:w="28" w:type="dxa"/>
            </w:tcMar>
            <w:vAlign w:val="bottom"/>
          </w:tcPr>
          <w:p>
            <w:pPr>
              <w:pStyle w:val="TableContents"/>
              <w:spacing w:before="0" w:after="0"/>
              <w:jc w:val="right"/>
              <w:rPr/>
            </w:pPr>
            <w:r>
              <w:rPr/>
              <w:t>1,930</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Aggregate amortization expenses for intangible assets totaled $164 thousand and $185 thousand for the three months ended March 31, 2023 and 2022, respectively.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5. Leases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has operating and finance leases for buildings and other assets such as vehicles and office equipment. The Company’s leases have remaining lease terms ranging from 1 year to 5 years.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tables below present financial information related to the Company’s leases.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Supplemental balance sheets information related to leases as of March 31, 2023 and December 31, 2022 are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8345" w:type="dxa"/>
        <w:jc w:val="left"/>
        <w:tblInd w:w="0" w:type="dxa"/>
        <w:tblCellMar>
          <w:top w:w="0" w:type="dxa"/>
          <w:left w:w="0" w:type="dxa"/>
          <w:bottom w:w="0" w:type="dxa"/>
          <w:right w:w="0" w:type="dxa"/>
        </w:tblCellMar>
      </w:tblPr>
      <w:tblGrid>
        <w:gridCol w:w="2060"/>
        <w:gridCol w:w="3545"/>
        <w:gridCol w:w="60"/>
        <w:gridCol w:w="214"/>
        <w:gridCol w:w="856"/>
        <w:gridCol w:w="60"/>
        <w:gridCol w:w="60"/>
        <w:gridCol w:w="283"/>
        <w:gridCol w:w="1132"/>
        <w:gridCol w:w="75"/>
      </w:tblGrid>
      <w:tr>
        <w:trPr/>
        <w:tc>
          <w:tcPr>
            <w:tcW w:w="2060" w:type="dxa"/>
            <w:tcBorders/>
            <w:shd w:fill="auto" w:val="clear"/>
            <w:vAlign w:val="bottom"/>
          </w:tcPr>
          <w:p>
            <w:pPr>
              <w:pStyle w:val="TableContents"/>
              <w:spacing w:before="0" w:after="0"/>
              <w:ind w:left="144" w:right="0" w:hanging="144"/>
              <w:rPr>
                <w:b/>
              </w:rPr>
            </w:pPr>
            <w:r>
              <w:rPr>
                <w:b/>
              </w:rPr>
              <w:t>Leases</w:t>
            </w:r>
          </w:p>
        </w:tc>
        <w:tc>
          <w:tcPr>
            <w:tcW w:w="3545" w:type="dxa"/>
            <w:tcBorders>
              <w:bottom w:val="single" w:sz="12" w:space="0" w:color="000000"/>
            </w:tcBorders>
            <w:shd w:fill="auto" w:val="clear"/>
            <w:tcMar>
              <w:bottom w:w="28" w:type="dxa"/>
            </w:tcMar>
            <w:vAlign w:val="bottom"/>
          </w:tcPr>
          <w:p>
            <w:pPr>
              <w:pStyle w:val="TableContents"/>
              <w:spacing w:before="0" w:after="0"/>
              <w:jc w:val="center"/>
              <w:rPr>
                <w:b/>
              </w:rPr>
            </w:pPr>
            <w:r>
              <w:rPr>
                <w:b/>
              </w:rPr>
              <w:t>Classification</w:t>
            </w:r>
          </w:p>
        </w:tc>
        <w:tc>
          <w:tcPr>
            <w:tcW w:w="60" w:type="dxa"/>
            <w:tcBorders/>
            <w:shd w:fill="auto" w:val="clear"/>
            <w:vAlign w:val="bottom"/>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144" w:right="0" w:hanging="144"/>
              <w:rPr>
                <w:b/>
              </w:rPr>
            </w:pPr>
            <w:r>
              <w:rPr>
                <w:b/>
              </w:rPr>
              <w:t>Assets</w:t>
            </w:r>
          </w:p>
        </w:tc>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324" w:right="0" w:hanging="144"/>
              <w:rPr/>
            </w:pPr>
            <w:r>
              <w:rPr/>
              <w:t>Operating lease</w:t>
            </w:r>
          </w:p>
        </w:tc>
        <w:tc>
          <w:tcPr>
            <w:tcW w:w="3545" w:type="dxa"/>
            <w:tcBorders/>
            <w:shd w:fill="CCEEFF" w:val="clear"/>
            <w:vAlign w:val="bottom"/>
          </w:tcPr>
          <w:p>
            <w:pPr>
              <w:pStyle w:val="TableContents"/>
              <w:spacing w:before="0" w:after="0"/>
              <w:rPr/>
            </w:pPr>
            <w:r>
              <w:rPr/>
              <w:t>Operating lease right-of-use assets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0"/>
              <w:rPr/>
            </w:pPr>
            <w:r>
              <w:rPr/>
              <w:t>$</w:t>
            </w:r>
          </w:p>
        </w:tc>
        <w:tc>
          <w:tcPr>
            <w:tcW w:w="856" w:type="dxa"/>
            <w:tcBorders/>
            <w:shd w:fill="CCEEFF" w:val="clear"/>
            <w:vAlign w:val="bottom"/>
          </w:tcPr>
          <w:p>
            <w:pPr>
              <w:pStyle w:val="TableContents"/>
              <w:spacing w:before="0" w:after="0"/>
              <w:jc w:val="right"/>
              <w:rPr/>
            </w:pPr>
            <w:r>
              <w:rPr/>
              <w:t>5,413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0"/>
              <w:rPr/>
            </w:pPr>
            <w:r>
              <w:rPr/>
              <w:t>$</w:t>
            </w:r>
          </w:p>
        </w:tc>
        <w:tc>
          <w:tcPr>
            <w:tcW w:w="1132" w:type="dxa"/>
            <w:tcBorders/>
            <w:shd w:fill="CCEEFF" w:val="clear"/>
            <w:vAlign w:val="bottom"/>
          </w:tcPr>
          <w:p>
            <w:pPr>
              <w:pStyle w:val="TableContents"/>
              <w:spacing w:before="0" w:after="0"/>
              <w:jc w:val="right"/>
              <w:rPr/>
            </w:pPr>
            <w:r>
              <w:rPr/>
              <w:t>5,265</w:t>
            </w:r>
          </w:p>
        </w:tc>
        <w:tc>
          <w:tcPr>
            <w:tcW w:w="75" w:type="dxa"/>
            <w:tcBorders/>
            <w:shd w:fill="CCEE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324" w:right="0" w:hanging="144"/>
              <w:rPr/>
            </w:pPr>
            <w:r>
              <w:rPr/>
              <w:t>Finance lease</w:t>
            </w:r>
          </w:p>
        </w:tc>
        <w:tc>
          <w:tcPr>
            <w:tcW w:w="3545" w:type="dxa"/>
            <w:tcBorders/>
            <w:shd w:fill="auto" w:val="clear"/>
            <w:vAlign w:val="bottom"/>
          </w:tcPr>
          <w:p>
            <w:pPr>
              <w:pStyle w:val="TableContents"/>
              <w:spacing w:before="0" w:after="0"/>
              <w:rPr/>
            </w:pPr>
            <w:r>
              <w:rPr/>
              <w:t>Property, plant and equipment, net</w:t>
            </w:r>
          </w:p>
        </w:tc>
        <w:tc>
          <w:tcPr>
            <w:tcW w:w="60"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rPr/>
            </w:pPr>
            <w:r>
              <w:rPr/>
              <w:t> </w:t>
            </w:r>
          </w:p>
        </w:tc>
        <w:tc>
          <w:tcPr>
            <w:tcW w:w="856" w:type="dxa"/>
            <w:tcBorders>
              <w:bottom w:val="single" w:sz="12" w:space="0" w:color="000000"/>
            </w:tcBorders>
            <w:shd w:fill="auto" w:val="clear"/>
            <w:tcMar>
              <w:bottom w:w="28" w:type="dxa"/>
            </w:tcMar>
            <w:vAlign w:val="bottom"/>
          </w:tcPr>
          <w:p>
            <w:pPr>
              <w:pStyle w:val="TableContents"/>
              <w:spacing w:before="0" w:after="0"/>
              <w:jc w:val="right"/>
              <w:rPr/>
            </w:pPr>
            <w:r>
              <w:rPr/>
              <w:t>436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bottom w:val="single" w:sz="12" w:space="0" w:color="000000"/>
            </w:tcBorders>
            <w:shd w:fill="auto" w:val="clear"/>
            <w:tcMar>
              <w:bottom w:w="28" w:type="dxa"/>
            </w:tcMar>
            <w:vAlign w:val="bottom"/>
          </w:tcPr>
          <w:p>
            <w:pPr>
              <w:pStyle w:val="TableContents"/>
              <w:spacing w:before="0" w:after="283"/>
              <w:rPr/>
            </w:pPr>
            <w:r>
              <w:rPr/>
              <w:t> </w:t>
            </w:r>
          </w:p>
        </w:tc>
        <w:tc>
          <w:tcPr>
            <w:tcW w:w="1132" w:type="dxa"/>
            <w:tcBorders>
              <w:bottom w:val="single" w:sz="12" w:space="0" w:color="000000"/>
            </w:tcBorders>
            <w:shd w:fill="auto" w:val="clear"/>
            <w:tcMar>
              <w:bottom w:w="28" w:type="dxa"/>
            </w:tcMar>
            <w:vAlign w:val="bottom"/>
          </w:tcPr>
          <w:p>
            <w:pPr>
              <w:pStyle w:val="TableContents"/>
              <w:spacing w:before="0" w:after="0"/>
              <w:jc w:val="right"/>
              <w:rPr/>
            </w:pPr>
            <w:r>
              <w:rPr/>
              <w:t>143</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144" w:right="0" w:hanging="144"/>
              <w:rPr>
                <w:b/>
              </w:rPr>
            </w:pPr>
            <w:r>
              <w:rPr>
                <w:b/>
              </w:rPr>
              <w:t>Total lease assets</w:t>
            </w:r>
          </w:p>
        </w:tc>
        <w:tc>
          <w:tcPr>
            <w:tcW w:w="3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5,849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bottom w:val="double" w:sz="8" w:space="0" w:color="000000"/>
            </w:tcBorders>
            <w:shd w:fill="CCEEFF" w:val="clear"/>
            <w:tcMar>
              <w:bottom w:w="28" w:type="dxa"/>
            </w:tcMar>
            <w:vAlign w:val="bottom"/>
          </w:tcPr>
          <w:p>
            <w:pPr>
              <w:pStyle w:val="TableContents"/>
              <w:spacing w:before="0" w:after="0"/>
              <w:rPr/>
            </w:pPr>
            <w:r>
              <w:rPr/>
              <w:t>$</w:t>
            </w:r>
          </w:p>
        </w:tc>
        <w:tc>
          <w:tcPr>
            <w:tcW w:w="1132" w:type="dxa"/>
            <w:tcBorders>
              <w:bottom w:val="double" w:sz="8" w:space="0" w:color="000000"/>
            </w:tcBorders>
            <w:shd w:fill="CCEEFF" w:val="clear"/>
            <w:tcMar>
              <w:bottom w:w="28" w:type="dxa"/>
            </w:tcMar>
            <w:vAlign w:val="bottom"/>
          </w:tcPr>
          <w:p>
            <w:pPr>
              <w:pStyle w:val="TableContents"/>
              <w:spacing w:before="0" w:after="0"/>
              <w:jc w:val="right"/>
              <w:rPr/>
            </w:pPr>
            <w:r>
              <w:rPr/>
              <w:t>5,408</w:t>
            </w:r>
          </w:p>
        </w:tc>
        <w:tc>
          <w:tcPr>
            <w:tcW w:w="75" w:type="dxa"/>
            <w:tcBorders/>
            <w:shd w:fill="CCEE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144" w:right="0" w:hanging="144"/>
              <w:rPr>
                <w:b/>
              </w:rPr>
            </w:pPr>
            <w:r>
              <w:rPr>
                <w:b/>
              </w:rPr>
              <w:t>Liabilities</w:t>
            </w:r>
          </w:p>
        </w:tc>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144" w:right="0" w:hanging="144"/>
              <w:rPr/>
            </w:pPr>
            <w:r>
              <w:rPr/>
              <w:t>Current</w:t>
            </w:r>
          </w:p>
        </w:tc>
        <w:tc>
          <w:tcPr>
            <w:tcW w:w="3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324" w:right="0" w:hanging="144"/>
              <w:rPr/>
            </w:pPr>
            <w:r>
              <w:rPr/>
              <w:t>Operating</w:t>
            </w:r>
          </w:p>
        </w:tc>
        <w:tc>
          <w:tcPr>
            <w:tcW w:w="3545" w:type="dxa"/>
            <w:tcBorders/>
            <w:shd w:fill="auto" w:val="clear"/>
            <w:vAlign w:val="bottom"/>
          </w:tcPr>
          <w:p>
            <w:pPr>
              <w:pStyle w:val="TableContents"/>
              <w:spacing w:before="0" w:after="0"/>
              <w:rPr/>
            </w:pPr>
            <w:r>
              <w:rPr/>
              <w:t>Operating lease liabilities</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0"/>
              <w:rPr/>
            </w:pPr>
            <w:r>
              <w:rPr/>
              <w:t>$</w:t>
            </w:r>
          </w:p>
        </w:tc>
        <w:tc>
          <w:tcPr>
            <w:tcW w:w="856" w:type="dxa"/>
            <w:tcBorders/>
            <w:shd w:fill="auto" w:val="clear"/>
            <w:vAlign w:val="bottom"/>
          </w:tcPr>
          <w:p>
            <w:pPr>
              <w:pStyle w:val="TableContents"/>
              <w:spacing w:before="0" w:after="0"/>
              <w:jc w:val="right"/>
              <w:rPr/>
            </w:pPr>
            <w:r>
              <w:rPr/>
              <w:t>1,622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shd w:fill="auto" w:val="clear"/>
            <w:vAlign w:val="bottom"/>
          </w:tcPr>
          <w:p>
            <w:pPr>
              <w:pStyle w:val="TableContents"/>
              <w:spacing w:before="0" w:after="0"/>
              <w:rPr/>
            </w:pPr>
            <w:r>
              <w:rPr/>
              <w:t>$</w:t>
            </w:r>
          </w:p>
        </w:tc>
        <w:tc>
          <w:tcPr>
            <w:tcW w:w="1132" w:type="dxa"/>
            <w:tcBorders/>
            <w:shd w:fill="auto" w:val="clear"/>
            <w:vAlign w:val="bottom"/>
          </w:tcPr>
          <w:p>
            <w:pPr>
              <w:pStyle w:val="TableContents"/>
              <w:spacing w:before="0" w:after="0"/>
              <w:jc w:val="right"/>
              <w:rPr/>
            </w:pPr>
            <w:r>
              <w:rPr/>
              <w:t>1,397</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324" w:right="0" w:hanging="144"/>
              <w:rPr/>
            </w:pPr>
            <w:r>
              <w:rPr/>
              <w:t>Finance</w:t>
            </w:r>
          </w:p>
        </w:tc>
        <w:tc>
          <w:tcPr>
            <w:tcW w:w="3545" w:type="dxa"/>
            <w:tcBorders/>
            <w:shd w:fill="CCEEFF" w:val="clear"/>
            <w:vAlign w:val="bottom"/>
          </w:tcPr>
          <w:p>
            <w:pPr>
              <w:pStyle w:val="TableContents"/>
              <w:spacing w:before="0" w:after="0"/>
              <w:rPr/>
            </w:pPr>
            <w:r>
              <w:rPr/>
              <w:t>Other current liabilities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0"/>
              <w:jc w:val="right"/>
              <w:rPr/>
            </w:pPr>
            <w:r>
              <w:rPr/>
              <w:t>90</w:t>
            </w:r>
          </w:p>
        </w:tc>
        <w:tc>
          <w:tcPr>
            <w:tcW w:w="75" w:type="dxa"/>
            <w:tcBorders/>
            <w:shd w:fill="CCEE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144" w:right="0" w:hanging="144"/>
              <w:rPr/>
            </w:pPr>
            <w:r>
              <w:rPr/>
              <w:t>Non-current</w:t>
            </w:r>
          </w:p>
        </w:tc>
        <w:tc>
          <w:tcPr>
            <w:tcW w:w="3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324" w:right="0" w:hanging="144"/>
              <w:rPr/>
            </w:pPr>
            <w:r>
              <w:rPr/>
              <w:t>Operating</w:t>
            </w:r>
          </w:p>
        </w:tc>
        <w:tc>
          <w:tcPr>
            <w:tcW w:w="3545" w:type="dxa"/>
            <w:tcBorders/>
            <w:shd w:fill="CCEEFF" w:val="clear"/>
            <w:vAlign w:val="bottom"/>
          </w:tcPr>
          <w:p>
            <w:pPr>
              <w:pStyle w:val="TableContents"/>
              <w:spacing w:before="0" w:after="0"/>
              <w:rPr/>
            </w:pPr>
            <w:r>
              <w:rPr/>
              <w:t>Non-current operating lease liabilities</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3,996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0"/>
              <w:jc w:val="right"/>
              <w:rPr/>
            </w:pPr>
            <w:r>
              <w:rPr/>
              <w:t>4,091</w:t>
            </w:r>
          </w:p>
        </w:tc>
        <w:tc>
          <w:tcPr>
            <w:tcW w:w="75" w:type="dxa"/>
            <w:tcBorders/>
            <w:shd w:fill="CCEE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0"/>
              <w:ind w:left="324" w:right="0" w:hanging="144"/>
              <w:rPr/>
            </w:pPr>
            <w:r>
              <w:rPr/>
              <w:t>Finance</w:t>
            </w:r>
          </w:p>
        </w:tc>
        <w:tc>
          <w:tcPr>
            <w:tcW w:w="3545" w:type="dxa"/>
            <w:tcBorders/>
            <w:shd w:fill="auto" w:val="clear"/>
            <w:vAlign w:val="bottom"/>
          </w:tcPr>
          <w:p>
            <w:pPr>
              <w:pStyle w:val="TableContents"/>
              <w:spacing w:before="0" w:after="0"/>
              <w:rPr/>
            </w:pPr>
            <w:r>
              <w:rPr/>
              <w:t>Other non-current liabilities</w:t>
            </w:r>
          </w:p>
        </w:tc>
        <w:tc>
          <w:tcPr>
            <w:tcW w:w="60"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rPr/>
            </w:pPr>
            <w:r>
              <w:rPr/>
              <w:t> </w:t>
            </w:r>
          </w:p>
        </w:tc>
        <w:tc>
          <w:tcPr>
            <w:tcW w:w="856" w:type="dxa"/>
            <w:tcBorders>
              <w:bottom w:val="single" w:sz="12" w:space="0" w:color="000000"/>
            </w:tcBorders>
            <w:shd w:fill="auto" w:val="clear"/>
            <w:tcMar>
              <w:bottom w:w="28" w:type="dxa"/>
            </w:tcMar>
            <w:vAlign w:val="bottom"/>
          </w:tcPr>
          <w:p>
            <w:pPr>
              <w:pStyle w:val="TableContents"/>
              <w:spacing w:before="0" w:after="0"/>
              <w:jc w:val="right"/>
              <w:rPr/>
            </w:pPr>
            <w:r>
              <w:rPr/>
              <w:t>364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bottom w:val="single" w:sz="12" w:space="0" w:color="000000"/>
            </w:tcBorders>
            <w:shd w:fill="auto" w:val="clear"/>
            <w:tcMar>
              <w:bottom w:w="28" w:type="dxa"/>
            </w:tcMar>
            <w:vAlign w:val="bottom"/>
          </w:tcPr>
          <w:p>
            <w:pPr>
              <w:pStyle w:val="TableContents"/>
              <w:spacing w:before="0" w:after="283"/>
              <w:rPr/>
            </w:pPr>
            <w:r>
              <w:rPr/>
              <w:t> </w:t>
            </w:r>
          </w:p>
        </w:tc>
        <w:tc>
          <w:tcPr>
            <w:tcW w:w="1132" w:type="dxa"/>
            <w:tcBorders>
              <w:bottom w:val="single" w:sz="12" w:space="0" w:color="000000"/>
            </w:tcBorders>
            <w:shd w:fill="auto" w:val="clear"/>
            <w:tcMar>
              <w:bottom w:w="28" w:type="dxa"/>
            </w:tcMar>
            <w:vAlign w:val="bottom"/>
          </w:tcPr>
          <w:p>
            <w:pPr>
              <w:pStyle w:val="TableContents"/>
              <w:spacing w:before="0" w:after="0"/>
              <w:jc w:val="right"/>
              <w:rPr/>
            </w:pPr>
            <w:r>
              <w:rPr/>
              <w:t>63</w:t>
            </w:r>
          </w:p>
        </w:tc>
        <w:tc>
          <w:tcPr>
            <w:tcW w:w="75" w:type="dxa"/>
            <w:tcBorders/>
            <w:shd w:fill="auto" w:val="clear"/>
            <w:vAlign w:val="bottom"/>
          </w:tcPr>
          <w:p>
            <w:pPr>
              <w:pStyle w:val="TableContents"/>
              <w:spacing w:before="0" w:after="283"/>
              <w:rPr/>
            </w:pPr>
            <w:r>
              <w:rPr/>
              <w:t> </w:t>
            </w:r>
          </w:p>
        </w:tc>
      </w:tr>
      <w:tr>
        <w:trPr/>
        <w:tc>
          <w:tcPr>
            <w:tcW w:w="2060" w:type="dxa"/>
            <w:tcBorders/>
            <w:shd w:fill="CCEEFF" w:val="clear"/>
            <w:vAlign w:val="bottom"/>
          </w:tcPr>
          <w:p>
            <w:pPr>
              <w:pStyle w:val="TableContents"/>
              <w:spacing w:before="0" w:after="0"/>
              <w:ind w:left="144" w:right="0" w:hanging="144"/>
              <w:rPr>
                <w:b/>
              </w:rPr>
            </w:pPr>
            <w:r>
              <w:rPr>
                <w:b/>
              </w:rPr>
              <w:t>Total lease liabilities</w:t>
            </w:r>
          </w:p>
        </w:tc>
        <w:tc>
          <w:tcPr>
            <w:tcW w:w="3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6,072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bottom w:val="double" w:sz="8" w:space="0" w:color="000000"/>
            </w:tcBorders>
            <w:shd w:fill="CCEEFF" w:val="clear"/>
            <w:tcMar>
              <w:bottom w:w="28" w:type="dxa"/>
            </w:tcMar>
            <w:vAlign w:val="bottom"/>
          </w:tcPr>
          <w:p>
            <w:pPr>
              <w:pStyle w:val="TableContents"/>
              <w:spacing w:before="0" w:after="0"/>
              <w:rPr/>
            </w:pPr>
            <w:r>
              <w:rPr/>
              <w:t>$</w:t>
            </w:r>
          </w:p>
        </w:tc>
        <w:tc>
          <w:tcPr>
            <w:tcW w:w="1132" w:type="dxa"/>
            <w:tcBorders>
              <w:bottom w:val="double" w:sz="8" w:space="0" w:color="000000"/>
            </w:tcBorders>
            <w:shd w:fill="CCEEFF" w:val="clear"/>
            <w:tcMar>
              <w:bottom w:w="28" w:type="dxa"/>
            </w:tcMar>
            <w:vAlign w:val="bottom"/>
          </w:tcPr>
          <w:p>
            <w:pPr>
              <w:pStyle w:val="TableContents"/>
              <w:spacing w:before="0" w:after="0"/>
              <w:jc w:val="right"/>
              <w:rPr/>
            </w:pPr>
            <w:r>
              <w:rPr/>
              <w:t>5,641</w:t>
            </w:r>
          </w:p>
        </w:tc>
        <w:tc>
          <w:tcPr>
            <w:tcW w:w="75"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presents the weighted average remaining lease term and discount rate:</w:t>
      </w:r>
    </w:p>
    <w:p>
      <w:pPr>
        <w:pStyle w:val="TextBody"/>
        <w:spacing w:before="0" w:after="0"/>
        <w:jc w:val="left"/>
        <w:rPr>
          <w:rFonts w:ascii="Times New Roman" w:hAnsi="Times New Roman"/>
          <w:sz w:val="20"/>
        </w:rPr>
      </w:pPr>
      <w:r>
        <w:rPr>
          <w:rFonts w:ascii="Times New Roman" w:hAnsi="Times New Roman"/>
          <w:sz w:val="20"/>
        </w:rPr>
      </w:r>
    </w:p>
    <w:tbl>
      <w:tblPr>
        <w:tblW w:w="7088" w:type="dxa"/>
        <w:jc w:val="left"/>
        <w:tblInd w:w="0" w:type="dxa"/>
        <w:tblCellMar>
          <w:top w:w="0" w:type="dxa"/>
          <w:left w:w="0" w:type="dxa"/>
          <w:bottom w:w="0" w:type="dxa"/>
          <w:right w:w="0" w:type="dxa"/>
        </w:tblCellMar>
      </w:tblPr>
      <w:tblGrid>
        <w:gridCol w:w="4040"/>
        <w:gridCol w:w="60"/>
        <w:gridCol w:w="168"/>
        <w:gridCol w:w="901"/>
        <w:gridCol w:w="215"/>
        <w:gridCol w:w="60"/>
        <w:gridCol w:w="222"/>
        <w:gridCol w:w="1192"/>
        <w:gridCol w:w="230"/>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230" w:type="dxa"/>
            <w:tcBorders/>
            <w:shd w:fill="auto" w:val="clear"/>
            <w:vAlign w:val="bottom"/>
          </w:tcPr>
          <w:p>
            <w:pPr>
              <w:pStyle w:val="TableContents"/>
              <w:spacing w:before="0" w:after="283"/>
              <w:jc w:val="left"/>
              <w:rPr/>
            </w:pPr>
            <w:r>
              <w:rPr/>
              <w:t> </w:t>
            </w:r>
          </w:p>
        </w:tc>
      </w:tr>
      <w:tr>
        <w:trPr/>
        <w:tc>
          <w:tcPr>
            <w:tcW w:w="4040" w:type="dxa"/>
            <w:tcBorders/>
            <w:shd w:fill="auto" w:val="clear"/>
            <w:vAlign w:val="bottom"/>
          </w:tcPr>
          <w:p>
            <w:pPr>
              <w:pStyle w:val="TableContents"/>
              <w:spacing w:before="0" w:after="0"/>
              <w:ind w:left="144" w:right="0" w:hanging="144"/>
              <w:rPr>
                <w:b/>
              </w:rPr>
            </w:pPr>
            <w:r>
              <w:rPr>
                <w:b/>
              </w:rPr>
              <w:t>Weighted average remaining lease term</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r>
      <w:tr>
        <w:trPr/>
        <w:tc>
          <w:tcPr>
            <w:tcW w:w="4040" w:type="dxa"/>
            <w:tcBorders/>
            <w:shd w:fill="CCEEFF" w:val="clear"/>
            <w:vAlign w:val="bottom"/>
          </w:tcPr>
          <w:p>
            <w:pPr>
              <w:pStyle w:val="TableContents"/>
              <w:spacing w:before="0" w:after="0"/>
              <w:ind w:left="324" w:right="0" w:hanging="144"/>
              <w:rPr/>
            </w:pPr>
            <w:r>
              <w:rPr/>
              <w:t>Operating leases</w:t>
            </w:r>
          </w:p>
        </w:tc>
        <w:tc>
          <w:tcPr>
            <w:tcW w:w="60" w:type="dxa"/>
            <w:tcBorders/>
            <w:shd w:fill="CCEEFF" w:val="clear"/>
            <w:vAlign w:val="bottom"/>
          </w:tcPr>
          <w:p>
            <w:pPr>
              <w:pStyle w:val="TableContents"/>
              <w:spacing w:before="0" w:after="283"/>
              <w:rPr/>
            </w:pPr>
            <w:r>
              <w:rPr/>
              <w:t> </w:t>
            </w:r>
          </w:p>
        </w:tc>
        <w:tc>
          <w:tcPr>
            <w:tcW w:w="1069" w:type="dxa"/>
            <w:gridSpan w:val="2"/>
            <w:tcBorders/>
            <w:shd w:fill="CCEEFF" w:val="clear"/>
            <w:vAlign w:val="bottom"/>
          </w:tcPr>
          <w:p>
            <w:pPr>
              <w:pStyle w:val="TableContents"/>
              <w:spacing w:before="0" w:after="0"/>
              <w:jc w:val="right"/>
              <w:rPr/>
            </w:pPr>
            <w:r>
              <w:rPr/>
              <w:t>3.4 years</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4" w:type="dxa"/>
            <w:gridSpan w:val="2"/>
            <w:tcBorders/>
            <w:shd w:fill="CCEEFF" w:val="clear"/>
            <w:vAlign w:val="bottom"/>
          </w:tcPr>
          <w:p>
            <w:pPr>
              <w:pStyle w:val="TableContents"/>
              <w:spacing w:before="0" w:after="0"/>
              <w:jc w:val="right"/>
              <w:rPr/>
            </w:pPr>
            <w:r>
              <w:rPr/>
              <w:t>3.7 years</w:t>
            </w:r>
          </w:p>
        </w:tc>
        <w:tc>
          <w:tcPr>
            <w:tcW w:w="230" w:type="dxa"/>
            <w:tcBorders/>
            <w:shd w:fill="CCEEFF" w:val="clear"/>
            <w:vAlign w:val="bottom"/>
          </w:tcPr>
          <w:p>
            <w:pPr>
              <w:pStyle w:val="TableContents"/>
              <w:spacing w:before="0" w:after="283"/>
              <w:jc w:val="left"/>
              <w:rPr/>
            </w:pPr>
            <w:r>
              <w:rPr/>
              <w:t> </w:t>
            </w:r>
          </w:p>
        </w:tc>
      </w:tr>
      <w:tr>
        <w:trPr/>
        <w:tc>
          <w:tcPr>
            <w:tcW w:w="4040" w:type="dxa"/>
            <w:tcBorders/>
            <w:shd w:fill="auto" w:val="clear"/>
            <w:vAlign w:val="bottom"/>
          </w:tcPr>
          <w:p>
            <w:pPr>
              <w:pStyle w:val="TableContents"/>
              <w:spacing w:before="0" w:after="0"/>
              <w:ind w:left="324" w:right="0" w:hanging="144"/>
              <w:rPr/>
            </w:pPr>
            <w:r>
              <w:rPr/>
              <w:t>Finance leases</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0"/>
              <w:jc w:val="right"/>
              <w:rPr/>
            </w:pPr>
            <w:r>
              <w:rPr/>
              <w:t>4.1 years</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shd w:fill="auto" w:val="clear"/>
            <w:vAlign w:val="bottom"/>
          </w:tcPr>
          <w:p>
            <w:pPr>
              <w:pStyle w:val="TableContents"/>
              <w:spacing w:before="0" w:after="0"/>
              <w:jc w:val="right"/>
              <w:rPr/>
            </w:pPr>
            <w:r>
              <w:rPr/>
              <w:t>2.4 years</w:t>
            </w:r>
          </w:p>
        </w:tc>
        <w:tc>
          <w:tcPr>
            <w:tcW w:w="230" w:type="dxa"/>
            <w:tcBorders/>
            <w:shd w:fill="auto" w:val="clear"/>
            <w:vAlign w:val="bottom"/>
          </w:tcPr>
          <w:p>
            <w:pPr>
              <w:pStyle w:val="TableContents"/>
              <w:spacing w:before="0" w:after="283"/>
              <w:jc w:val="left"/>
              <w:rPr/>
            </w:pPr>
            <w:r>
              <w:rPr/>
              <w:t> </w:t>
            </w:r>
          </w:p>
        </w:tc>
      </w:tr>
      <w:tr>
        <w:trPr/>
        <w:tc>
          <w:tcPr>
            <w:tcW w:w="4040" w:type="dxa"/>
            <w:tcBorders/>
            <w:shd w:fill="CCEEFF" w:val="clear"/>
            <w:vAlign w:val="bottom"/>
          </w:tcPr>
          <w:p>
            <w:pPr>
              <w:pStyle w:val="TableContents"/>
              <w:spacing w:before="0" w:after="0"/>
              <w:ind w:left="144" w:right="0" w:hanging="144"/>
              <w:rPr>
                <w:b/>
              </w:rPr>
            </w:pPr>
            <w:r>
              <w:rPr>
                <w:b/>
              </w:rPr>
              <w:t>Weighted average discount rate</w:t>
            </w:r>
          </w:p>
        </w:tc>
        <w:tc>
          <w:tcPr>
            <w:tcW w:w="60" w:type="dxa"/>
            <w:tcBorders/>
            <w:shd w:fill="CCEEFF" w:val="clear"/>
            <w:vAlign w:val="bottom"/>
          </w:tcPr>
          <w:p>
            <w:pPr>
              <w:pStyle w:val="TableContents"/>
              <w:spacing w:before="0" w:after="283"/>
              <w:rPr/>
            </w:pPr>
            <w:r>
              <w:rPr/>
              <w:t> </w:t>
            </w:r>
          </w:p>
        </w:tc>
        <w:tc>
          <w:tcPr>
            <w:tcW w:w="1069" w:type="dxa"/>
            <w:gridSpan w:val="2"/>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4" w:type="dxa"/>
            <w:gridSpan w:val="2"/>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r>
      <w:tr>
        <w:trPr/>
        <w:tc>
          <w:tcPr>
            <w:tcW w:w="4040" w:type="dxa"/>
            <w:tcBorders/>
            <w:shd w:fill="auto" w:val="clear"/>
            <w:vAlign w:val="bottom"/>
          </w:tcPr>
          <w:p>
            <w:pPr>
              <w:pStyle w:val="TableContents"/>
              <w:spacing w:before="0" w:after="0"/>
              <w:ind w:left="324" w:right="0" w:hanging="144"/>
              <w:rPr/>
            </w:pPr>
            <w:r>
              <w:rPr/>
              <w:t>Operating leases</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901" w:type="dxa"/>
            <w:tcBorders/>
            <w:shd w:fill="auto" w:val="clear"/>
            <w:vAlign w:val="bottom"/>
          </w:tcPr>
          <w:p>
            <w:pPr>
              <w:pStyle w:val="TableContents"/>
              <w:spacing w:before="0" w:after="0"/>
              <w:jc w:val="right"/>
              <w:rPr/>
            </w:pPr>
            <w:r>
              <w:rPr/>
              <w:t>6.6</w:t>
            </w:r>
          </w:p>
        </w:tc>
        <w:tc>
          <w:tcPr>
            <w:tcW w:w="21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2" w:type="dxa"/>
            <w:tcBorders/>
            <w:shd w:fill="auto" w:val="clear"/>
            <w:vAlign w:val="bottom"/>
          </w:tcPr>
          <w:p>
            <w:pPr>
              <w:pStyle w:val="TableContents"/>
              <w:spacing w:before="0" w:after="283"/>
              <w:jc w:val="left"/>
              <w:rPr/>
            </w:pPr>
            <w:r>
              <w:rPr/>
              <w:t> </w:t>
            </w:r>
          </w:p>
        </w:tc>
        <w:tc>
          <w:tcPr>
            <w:tcW w:w="1192" w:type="dxa"/>
            <w:tcBorders/>
            <w:shd w:fill="auto" w:val="clear"/>
            <w:vAlign w:val="bottom"/>
          </w:tcPr>
          <w:p>
            <w:pPr>
              <w:pStyle w:val="TableContents"/>
              <w:spacing w:before="0" w:after="0"/>
              <w:jc w:val="right"/>
              <w:rPr/>
            </w:pPr>
            <w:r>
              <w:rPr/>
              <w:t>6.6</w:t>
            </w:r>
          </w:p>
        </w:tc>
        <w:tc>
          <w:tcPr>
            <w:tcW w:w="230" w:type="dxa"/>
            <w:tcBorders/>
            <w:shd w:fill="auto" w:val="clear"/>
            <w:vAlign w:val="bottom"/>
          </w:tcPr>
          <w:p>
            <w:pPr>
              <w:pStyle w:val="TableContents"/>
              <w:spacing w:before="0" w:after="0"/>
              <w:jc w:val="left"/>
              <w:rPr/>
            </w:pPr>
            <w:r>
              <w:rPr/>
              <w:t>%</w:t>
            </w:r>
          </w:p>
        </w:tc>
      </w:tr>
      <w:tr>
        <w:trPr/>
        <w:tc>
          <w:tcPr>
            <w:tcW w:w="4040" w:type="dxa"/>
            <w:tcBorders/>
            <w:shd w:fill="CCEEFF" w:val="clear"/>
            <w:vAlign w:val="bottom"/>
          </w:tcPr>
          <w:p>
            <w:pPr>
              <w:pStyle w:val="TableContents"/>
              <w:spacing w:before="0" w:after="0"/>
              <w:ind w:left="324" w:right="0" w:hanging="144"/>
              <w:rPr/>
            </w:pPr>
            <w:r>
              <w:rPr/>
              <w:t>Finance leases</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901" w:type="dxa"/>
            <w:tcBorders/>
            <w:shd w:fill="CCEEFF" w:val="clear"/>
            <w:vAlign w:val="bottom"/>
          </w:tcPr>
          <w:p>
            <w:pPr>
              <w:pStyle w:val="TableContents"/>
              <w:spacing w:before="0" w:after="0"/>
              <w:jc w:val="right"/>
              <w:rPr/>
            </w:pPr>
            <w:r>
              <w:rPr/>
              <w:t>7.7</w:t>
            </w:r>
          </w:p>
        </w:tc>
        <w:tc>
          <w:tcPr>
            <w:tcW w:w="21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2" w:type="dxa"/>
            <w:tcBorders/>
            <w:shd w:fill="CCEEFF" w:val="clear"/>
            <w:vAlign w:val="bottom"/>
          </w:tcPr>
          <w:p>
            <w:pPr>
              <w:pStyle w:val="TableContents"/>
              <w:spacing w:before="0" w:after="283"/>
              <w:jc w:val="left"/>
              <w:rPr/>
            </w:pPr>
            <w:r>
              <w:rPr/>
              <w:t> </w:t>
            </w:r>
          </w:p>
        </w:tc>
        <w:tc>
          <w:tcPr>
            <w:tcW w:w="1192" w:type="dxa"/>
            <w:tcBorders/>
            <w:shd w:fill="CCEEFF" w:val="clear"/>
            <w:vAlign w:val="bottom"/>
          </w:tcPr>
          <w:p>
            <w:pPr>
              <w:pStyle w:val="TableContents"/>
              <w:spacing w:before="0" w:after="0"/>
              <w:jc w:val="right"/>
              <w:rPr/>
            </w:pPr>
            <w:r>
              <w:rPr/>
              <w:t>7.6</w:t>
            </w:r>
          </w:p>
        </w:tc>
        <w:tc>
          <w:tcPr>
            <w:tcW w:w="230" w:type="dxa"/>
            <w:tcBorders/>
            <w:shd w:fill="CCEEFF" w:val="clear"/>
            <w:vAlign w:val="bottom"/>
          </w:tcPr>
          <w:p>
            <w:pPr>
              <w:pStyle w:val="TableContents"/>
              <w:spacing w:before="0" w:after="0"/>
              <w:jc w:val="left"/>
              <w:rPr/>
            </w:pPr>
            <w:r>
              <w:rPr/>
              <w:t>%</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components of lease cost included in the Company’s consolidated statements of operations, are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5791" w:type="dxa"/>
        <w:jc w:val="left"/>
        <w:tblInd w:w="0" w:type="dxa"/>
        <w:tblCellMar>
          <w:top w:w="0" w:type="dxa"/>
          <w:left w:w="0" w:type="dxa"/>
          <w:bottom w:w="0" w:type="dxa"/>
          <w:right w:w="0" w:type="dxa"/>
        </w:tblCellMar>
      </w:tblPr>
      <w:tblGrid>
        <w:gridCol w:w="3290"/>
        <w:gridCol w:w="60"/>
        <w:gridCol w:w="287"/>
        <w:gridCol w:w="782"/>
        <w:gridCol w:w="114"/>
        <w:gridCol w:w="114"/>
        <w:gridCol w:w="287"/>
        <w:gridCol w:w="782"/>
        <w:gridCol w:w="75"/>
      </w:tblGrid>
      <w:tr>
        <w:trPr/>
        <w:tc>
          <w:tcPr>
            <w:tcW w:w="3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6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4" w:right="0" w:hanging="144"/>
              <w:rPr/>
            </w:pPr>
            <w:r>
              <w:rPr/>
              <w:t>Operating lease cost</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pPr>
            <w:r>
              <w:rPr/>
              <w:t>$</w:t>
            </w:r>
          </w:p>
        </w:tc>
        <w:tc>
          <w:tcPr>
            <w:tcW w:w="782" w:type="dxa"/>
            <w:tcBorders/>
            <w:shd w:fill="CCEEFF" w:val="clear"/>
            <w:vAlign w:val="bottom"/>
          </w:tcPr>
          <w:p>
            <w:pPr>
              <w:pStyle w:val="TableContents"/>
              <w:spacing w:before="0" w:after="0"/>
              <w:jc w:val="right"/>
              <w:rPr/>
            </w:pPr>
            <w:r>
              <w:rPr/>
              <w:t>555</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pPr>
            <w:r>
              <w:rPr/>
              <w:t>$</w:t>
            </w:r>
          </w:p>
        </w:tc>
        <w:tc>
          <w:tcPr>
            <w:tcW w:w="782" w:type="dxa"/>
            <w:tcBorders/>
            <w:shd w:fill="CCEEFF" w:val="clear"/>
            <w:vAlign w:val="bottom"/>
          </w:tcPr>
          <w:p>
            <w:pPr>
              <w:pStyle w:val="TableContents"/>
              <w:spacing w:before="0" w:after="0"/>
              <w:jc w:val="right"/>
              <w:rPr/>
            </w:pPr>
            <w:r>
              <w:rPr/>
              <w:t>569</w:t>
            </w:r>
          </w:p>
        </w:tc>
        <w:tc>
          <w:tcPr>
            <w:tcW w:w="75"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144" w:right="0" w:hanging="144"/>
              <w:rPr/>
            </w:pPr>
            <w:r>
              <w:rPr/>
              <w:t>Finance lease cost</w:t>
            </w:r>
          </w:p>
        </w:tc>
        <w:tc>
          <w:tcPr>
            <w:tcW w:w="60"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782"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782"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324" w:right="0" w:hanging="144"/>
              <w:rPr/>
            </w:pPr>
            <w:r>
              <w:rPr/>
              <w:t>Amortization of right-of-use assets</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782" w:type="dxa"/>
            <w:tcBorders/>
            <w:shd w:fill="CCEEFF" w:val="clear"/>
            <w:vAlign w:val="bottom"/>
          </w:tcPr>
          <w:p>
            <w:pPr>
              <w:pStyle w:val="TableContents"/>
              <w:spacing w:before="0" w:after="0"/>
              <w:jc w:val="right"/>
              <w:rPr/>
            </w:pPr>
            <w:r>
              <w:rPr/>
              <w:t>32</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782" w:type="dxa"/>
            <w:tcBorders/>
            <w:shd w:fill="CCEEFF" w:val="clear"/>
            <w:vAlign w:val="bottom"/>
          </w:tcPr>
          <w:p>
            <w:pPr>
              <w:pStyle w:val="TableContents"/>
              <w:spacing w:before="0" w:after="0"/>
              <w:jc w:val="right"/>
              <w:rPr/>
            </w:pPr>
            <w:r>
              <w:rPr/>
              <w:t>16</w:t>
            </w:r>
          </w:p>
        </w:tc>
        <w:tc>
          <w:tcPr>
            <w:tcW w:w="75"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ind w:left="324" w:right="0" w:hanging="144"/>
              <w:rPr/>
            </w:pPr>
            <w:r>
              <w:rPr/>
              <w:t>Interest on lease liabilities</w:t>
            </w:r>
          </w:p>
        </w:tc>
        <w:tc>
          <w:tcPr>
            <w:tcW w:w="60" w:type="dxa"/>
            <w:tcBorders/>
            <w:shd w:fill="auto" w:val="clear"/>
            <w:vAlign w:val="bottom"/>
          </w:tcPr>
          <w:p>
            <w:pPr>
              <w:pStyle w:val="TableContents"/>
              <w:spacing w:before="0" w:after="283"/>
              <w:jc w:val="right"/>
              <w:rPr/>
            </w:pPr>
            <w:r>
              <w:rPr/>
              <w:t> </w:t>
            </w:r>
          </w:p>
        </w:tc>
        <w:tc>
          <w:tcPr>
            <w:tcW w:w="2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2" w:type="dxa"/>
            <w:tcBorders>
              <w:bottom w:val="single" w:sz="12" w:space="0" w:color="000000"/>
            </w:tcBorders>
            <w:shd w:fill="auto" w:val="clear"/>
            <w:tcMar>
              <w:bottom w:w="28" w:type="dxa"/>
            </w:tcMar>
            <w:vAlign w:val="bottom"/>
          </w:tcPr>
          <w:p>
            <w:pPr>
              <w:pStyle w:val="TableContents"/>
              <w:spacing w:before="0" w:after="0"/>
              <w:jc w:val="right"/>
              <w:rPr/>
            </w:pPr>
            <w:r>
              <w:rPr/>
              <w:t>7</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right"/>
              <w:rPr/>
            </w:pPr>
            <w:r>
              <w:rPr/>
              <w:t> </w:t>
            </w:r>
          </w:p>
        </w:tc>
        <w:tc>
          <w:tcPr>
            <w:tcW w:w="2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2" w:type="dxa"/>
            <w:tcBorders>
              <w:bottom w:val="single" w:sz="12" w:space="0" w:color="000000"/>
            </w:tcBorders>
            <w:shd w:fill="auto" w:val="clear"/>
            <w:tcMar>
              <w:bottom w:w="28" w:type="dxa"/>
            </w:tcMar>
            <w:vAlign w:val="bottom"/>
          </w:tcPr>
          <w:p>
            <w:pPr>
              <w:pStyle w:val="TableContents"/>
              <w:spacing w:before="0" w:after="0"/>
              <w:jc w:val="right"/>
              <w:rPr/>
            </w:pPr>
            <w:r>
              <w:rPr/>
              <w:t>2</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ind w:left="144" w:right="0" w:hanging="144"/>
              <w:rPr/>
            </w:pPr>
            <w:r>
              <w:rPr/>
              <w:t>Total lease cost</w:t>
            </w:r>
          </w:p>
        </w:tc>
        <w:tc>
          <w:tcPr>
            <w:tcW w:w="60" w:type="dxa"/>
            <w:tcBorders/>
            <w:shd w:fill="CCEEFF" w:val="clear"/>
            <w:vAlign w:val="bottom"/>
          </w:tcPr>
          <w:p>
            <w:pPr>
              <w:pStyle w:val="TableContents"/>
              <w:spacing w:before="0" w:after="283"/>
              <w:jc w:val="right"/>
              <w:rPr/>
            </w:pPr>
            <w:r>
              <w:rPr/>
              <w:t> </w:t>
            </w:r>
          </w:p>
        </w:tc>
        <w:tc>
          <w:tcPr>
            <w:tcW w:w="28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82" w:type="dxa"/>
            <w:tcBorders>
              <w:bottom w:val="double" w:sz="8" w:space="0" w:color="000000"/>
            </w:tcBorders>
            <w:shd w:fill="CCEEFF" w:val="clear"/>
            <w:tcMar>
              <w:bottom w:w="28" w:type="dxa"/>
            </w:tcMar>
            <w:vAlign w:val="bottom"/>
          </w:tcPr>
          <w:p>
            <w:pPr>
              <w:pStyle w:val="TableContents"/>
              <w:spacing w:before="0" w:after="0"/>
              <w:jc w:val="right"/>
              <w:rPr/>
            </w:pPr>
            <w:r>
              <w:rPr/>
              <w:t>594</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8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82" w:type="dxa"/>
            <w:tcBorders>
              <w:bottom w:val="double" w:sz="8" w:space="0" w:color="000000"/>
            </w:tcBorders>
            <w:shd w:fill="CCEEFF" w:val="clear"/>
            <w:tcMar>
              <w:bottom w:w="28" w:type="dxa"/>
            </w:tcMar>
            <w:vAlign w:val="bottom"/>
          </w:tcPr>
          <w:p>
            <w:pPr>
              <w:pStyle w:val="TableContents"/>
              <w:spacing w:before="0" w:after="0"/>
              <w:jc w:val="right"/>
              <w:rPr/>
            </w:pPr>
            <w:r>
              <w:rPr/>
              <w:t>587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above table does not include an immaterial cost of short-term leases for the three months ended March 31, 2023 and 2022.</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Other lease information is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9586" w:type="dxa"/>
        <w:jc w:val="left"/>
        <w:tblInd w:w="0" w:type="dxa"/>
        <w:tblCellMar>
          <w:top w:w="0" w:type="dxa"/>
          <w:left w:w="0" w:type="dxa"/>
          <w:bottom w:w="0" w:type="dxa"/>
          <w:right w:w="0" w:type="dxa"/>
        </w:tblCellMar>
      </w:tblPr>
      <w:tblGrid>
        <w:gridCol w:w="7085"/>
        <w:gridCol w:w="60"/>
        <w:gridCol w:w="287"/>
        <w:gridCol w:w="782"/>
        <w:gridCol w:w="114"/>
        <w:gridCol w:w="114"/>
        <w:gridCol w:w="287"/>
        <w:gridCol w:w="782"/>
        <w:gridCol w:w="75"/>
      </w:tblGrid>
      <w:tr>
        <w:trPr/>
        <w:tc>
          <w:tcPr>
            <w:tcW w:w="7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6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7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7085" w:type="dxa"/>
            <w:tcBorders/>
            <w:shd w:fill="auto" w:val="clear"/>
            <w:vAlign w:val="bottom"/>
          </w:tcPr>
          <w:p>
            <w:pPr>
              <w:pStyle w:val="TableContents"/>
              <w:spacing w:before="0" w:after="0"/>
              <w:ind w:left="144" w:right="0" w:hanging="144"/>
              <w:rPr>
                <w:b/>
              </w:rPr>
            </w:pPr>
            <w:r>
              <w:rPr>
                <w:b/>
              </w:rPr>
              <w:t>Cash paid for amounts included in the measurement of lease liabilities</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7085" w:type="dxa"/>
            <w:tcBorders/>
            <w:shd w:fill="CCEEFF" w:val="clear"/>
            <w:vAlign w:val="bottom"/>
          </w:tcPr>
          <w:p>
            <w:pPr>
              <w:pStyle w:val="TableContents"/>
              <w:spacing w:before="0" w:after="0"/>
              <w:ind w:left="324" w:right="0" w:hanging="144"/>
              <w:rPr/>
            </w:pPr>
            <w:r>
              <w:rPr/>
              <w:t>Operating cash flows from operating leases</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pPr>
            <w:r>
              <w:rPr/>
              <w:t>$</w:t>
            </w:r>
          </w:p>
        </w:tc>
        <w:tc>
          <w:tcPr>
            <w:tcW w:w="782" w:type="dxa"/>
            <w:tcBorders/>
            <w:shd w:fill="CCEEFF" w:val="clear"/>
            <w:vAlign w:val="bottom"/>
          </w:tcPr>
          <w:p>
            <w:pPr>
              <w:pStyle w:val="TableContents"/>
              <w:spacing w:before="0" w:after="0"/>
              <w:jc w:val="right"/>
              <w:rPr/>
            </w:pPr>
            <w:r>
              <w:rPr/>
              <w:t>567</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0"/>
              <w:jc w:val="left"/>
              <w:rPr/>
            </w:pPr>
            <w:r>
              <w:rPr/>
              <w:t>$</w:t>
            </w:r>
          </w:p>
        </w:tc>
        <w:tc>
          <w:tcPr>
            <w:tcW w:w="782" w:type="dxa"/>
            <w:tcBorders/>
            <w:shd w:fill="CCEEFF" w:val="clear"/>
            <w:vAlign w:val="bottom"/>
          </w:tcPr>
          <w:p>
            <w:pPr>
              <w:pStyle w:val="TableContents"/>
              <w:spacing w:before="0" w:after="0"/>
              <w:jc w:val="right"/>
              <w:rPr/>
            </w:pPr>
            <w:r>
              <w:rPr/>
              <w:t>569</w:t>
            </w:r>
          </w:p>
        </w:tc>
        <w:tc>
          <w:tcPr>
            <w:tcW w:w="75" w:type="dxa"/>
            <w:tcBorders/>
            <w:shd w:fill="CCEEFF" w:val="clear"/>
            <w:vAlign w:val="bottom"/>
          </w:tcPr>
          <w:p>
            <w:pPr>
              <w:pStyle w:val="TableContents"/>
              <w:spacing w:before="0" w:after="283"/>
              <w:jc w:val="left"/>
              <w:rPr/>
            </w:pPr>
            <w:r>
              <w:rPr/>
              <w:t> </w:t>
            </w:r>
          </w:p>
        </w:tc>
      </w:tr>
      <w:tr>
        <w:trPr/>
        <w:tc>
          <w:tcPr>
            <w:tcW w:w="7085" w:type="dxa"/>
            <w:tcBorders/>
            <w:shd w:fill="auto" w:val="clear"/>
            <w:vAlign w:val="bottom"/>
          </w:tcPr>
          <w:p>
            <w:pPr>
              <w:pStyle w:val="TableContents"/>
              <w:spacing w:before="0" w:after="0"/>
              <w:ind w:left="324" w:right="0" w:hanging="144"/>
              <w:rPr/>
            </w:pPr>
            <w:r>
              <w:rPr/>
              <w:t>Operating cash flows from finance leases</w:t>
            </w:r>
          </w:p>
        </w:tc>
        <w:tc>
          <w:tcPr>
            <w:tcW w:w="60"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782" w:type="dxa"/>
            <w:tcBorders/>
            <w:shd w:fill="auto" w:val="clear"/>
            <w:vAlign w:val="bottom"/>
          </w:tcPr>
          <w:p>
            <w:pPr>
              <w:pStyle w:val="TableContents"/>
              <w:spacing w:before="0" w:after="0"/>
              <w:jc w:val="right"/>
              <w:rPr/>
            </w:pPr>
            <w:r>
              <w:rPr/>
              <w:t>7</w:t>
            </w:r>
          </w:p>
        </w:tc>
        <w:tc>
          <w:tcPr>
            <w:tcW w:w="114"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right"/>
              <w:rPr/>
            </w:pPr>
            <w:r>
              <w:rPr/>
              <w:t> </w:t>
            </w:r>
          </w:p>
        </w:tc>
        <w:tc>
          <w:tcPr>
            <w:tcW w:w="287" w:type="dxa"/>
            <w:tcBorders/>
            <w:shd w:fill="auto" w:val="clear"/>
            <w:vAlign w:val="bottom"/>
          </w:tcPr>
          <w:p>
            <w:pPr>
              <w:pStyle w:val="TableContents"/>
              <w:spacing w:before="0" w:after="283"/>
              <w:jc w:val="left"/>
              <w:rPr/>
            </w:pPr>
            <w:r>
              <w:rPr/>
              <w:t> </w:t>
            </w:r>
          </w:p>
        </w:tc>
        <w:tc>
          <w:tcPr>
            <w:tcW w:w="782" w:type="dxa"/>
            <w:tcBorders/>
            <w:shd w:fill="auto" w:val="clear"/>
            <w:vAlign w:val="bottom"/>
          </w:tcPr>
          <w:p>
            <w:pPr>
              <w:pStyle w:val="TableContents"/>
              <w:spacing w:before="0" w:after="0"/>
              <w:jc w:val="right"/>
              <w:rPr/>
            </w:pPr>
            <w:r>
              <w:rPr/>
              <w:t>2</w:t>
            </w:r>
          </w:p>
        </w:tc>
        <w:tc>
          <w:tcPr>
            <w:tcW w:w="75" w:type="dxa"/>
            <w:tcBorders/>
            <w:shd w:fill="auto" w:val="clear"/>
            <w:vAlign w:val="bottom"/>
          </w:tcPr>
          <w:p>
            <w:pPr>
              <w:pStyle w:val="TableContents"/>
              <w:spacing w:before="0" w:after="283"/>
              <w:jc w:val="left"/>
              <w:rPr/>
            </w:pPr>
            <w:r>
              <w:rPr/>
              <w:t> </w:t>
            </w:r>
          </w:p>
        </w:tc>
      </w:tr>
      <w:tr>
        <w:trPr/>
        <w:tc>
          <w:tcPr>
            <w:tcW w:w="7085" w:type="dxa"/>
            <w:tcBorders/>
            <w:shd w:fill="CCEEFF" w:val="clear"/>
            <w:vAlign w:val="bottom"/>
          </w:tcPr>
          <w:p>
            <w:pPr>
              <w:pStyle w:val="TableContents"/>
              <w:spacing w:before="0" w:after="0"/>
              <w:ind w:left="324" w:right="0" w:hanging="144"/>
              <w:rPr/>
            </w:pPr>
            <w:r>
              <w:rPr/>
              <w:t>Financing cash flows from finance leases</w:t>
            </w:r>
          </w:p>
        </w:tc>
        <w:tc>
          <w:tcPr>
            <w:tcW w:w="60"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782" w:type="dxa"/>
            <w:tcBorders/>
            <w:shd w:fill="CCEEFF" w:val="clear"/>
            <w:vAlign w:val="bottom"/>
          </w:tcPr>
          <w:p>
            <w:pPr>
              <w:pStyle w:val="TableContents"/>
              <w:spacing w:before="0" w:after="0"/>
              <w:jc w:val="right"/>
              <w:rPr/>
            </w:pPr>
            <w:r>
              <w:rPr/>
              <w:t>24</w:t>
            </w:r>
          </w:p>
        </w:tc>
        <w:tc>
          <w:tcPr>
            <w:tcW w:w="114"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87" w:type="dxa"/>
            <w:tcBorders/>
            <w:shd w:fill="CCEEFF" w:val="clear"/>
            <w:vAlign w:val="bottom"/>
          </w:tcPr>
          <w:p>
            <w:pPr>
              <w:pStyle w:val="TableContents"/>
              <w:spacing w:before="0" w:after="283"/>
              <w:jc w:val="left"/>
              <w:rPr/>
            </w:pPr>
            <w:r>
              <w:rPr/>
              <w:t> </w:t>
            </w:r>
          </w:p>
        </w:tc>
        <w:tc>
          <w:tcPr>
            <w:tcW w:w="782" w:type="dxa"/>
            <w:tcBorders/>
            <w:shd w:fill="CCEEFF" w:val="clear"/>
            <w:vAlign w:val="bottom"/>
          </w:tcPr>
          <w:p>
            <w:pPr>
              <w:pStyle w:val="TableContents"/>
              <w:spacing w:before="0" w:after="0"/>
              <w:jc w:val="right"/>
              <w:rPr/>
            </w:pPr>
            <w:r>
              <w:rPr/>
              <w:t>16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aggregate future lease payments for operating and finance leases as of March 31, 2023 are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5335" w:type="dxa"/>
        <w:jc w:val="left"/>
        <w:tblInd w:w="0" w:type="dxa"/>
        <w:tblCellMar>
          <w:top w:w="0" w:type="dxa"/>
          <w:left w:w="0" w:type="dxa"/>
          <w:bottom w:w="0" w:type="dxa"/>
          <w:right w:w="0" w:type="dxa"/>
        </w:tblCellMar>
      </w:tblPr>
      <w:tblGrid>
        <w:gridCol w:w="3125"/>
        <w:gridCol w:w="60"/>
        <w:gridCol w:w="211"/>
        <w:gridCol w:w="844"/>
        <w:gridCol w:w="95"/>
        <w:gridCol w:w="60"/>
        <w:gridCol w:w="223"/>
        <w:gridCol w:w="607"/>
        <w:gridCol w:w="110"/>
      </w:tblGrid>
      <w:tr>
        <w:trPr/>
        <w:tc>
          <w:tcPr>
            <w:tcW w:w="3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Operating</w:t>
            </w:r>
          </w:p>
          <w:p>
            <w:pPr>
              <w:pStyle w:val="TableContents"/>
              <w:spacing w:before="0" w:after="0"/>
              <w:jc w:val="center"/>
              <w:rPr>
                <w:b/>
              </w:rPr>
            </w:pPr>
            <w:r>
              <w:rPr>
                <w:b/>
              </w:rPr>
              <w:t>Leases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Finance</w:t>
            </w:r>
          </w:p>
          <w:p>
            <w:pPr>
              <w:pStyle w:val="TableContents"/>
              <w:spacing w:before="0" w:after="0"/>
              <w:jc w:val="center"/>
              <w:rPr>
                <w:b/>
              </w:rPr>
            </w:pPr>
            <w:r>
              <w:rPr>
                <w:b/>
              </w:rPr>
              <w:t>Leases</w:t>
            </w:r>
          </w:p>
        </w:tc>
        <w:tc>
          <w:tcPr>
            <w:tcW w:w="110"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144" w:right="0" w:hanging="0"/>
              <w:rPr/>
            </w:pPr>
            <w:r>
              <w:rPr/>
              <w:t>Remainder of 2023</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0"/>
              <w:jc w:val="left"/>
              <w:rPr/>
            </w:pPr>
            <w:r>
              <w:rPr/>
              <w:t>$</w:t>
            </w:r>
          </w:p>
        </w:tc>
        <w:tc>
          <w:tcPr>
            <w:tcW w:w="844" w:type="dxa"/>
            <w:tcBorders/>
            <w:shd w:fill="CCEEFF" w:val="clear"/>
            <w:vAlign w:val="bottom"/>
          </w:tcPr>
          <w:p>
            <w:pPr>
              <w:pStyle w:val="TableContents"/>
              <w:spacing w:before="0" w:after="0"/>
              <w:jc w:val="right"/>
              <w:rPr/>
            </w:pPr>
            <w:r>
              <w:rPr/>
              <w:t>1,448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3" w:type="dxa"/>
            <w:tcBorders/>
            <w:shd w:fill="CCEEFF" w:val="clear"/>
            <w:vAlign w:val="bottom"/>
          </w:tcPr>
          <w:p>
            <w:pPr>
              <w:pStyle w:val="TableContents"/>
              <w:spacing w:before="0" w:after="0"/>
              <w:jc w:val="left"/>
              <w:rPr/>
            </w:pPr>
            <w:r>
              <w:rPr/>
              <w:t>$</w:t>
            </w:r>
          </w:p>
        </w:tc>
        <w:tc>
          <w:tcPr>
            <w:tcW w:w="607" w:type="dxa"/>
            <w:tcBorders/>
            <w:shd w:fill="CCEEFF" w:val="clear"/>
            <w:vAlign w:val="bottom"/>
          </w:tcPr>
          <w:p>
            <w:pPr>
              <w:pStyle w:val="TableContents"/>
              <w:spacing w:before="0" w:after="0"/>
              <w:jc w:val="right"/>
              <w:rPr/>
            </w:pPr>
            <w:r>
              <w:rPr/>
              <w:t>91</w:t>
            </w:r>
          </w:p>
        </w:tc>
        <w:tc>
          <w:tcPr>
            <w:tcW w:w="110"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144" w:right="0" w:hanging="0"/>
              <w:rPr/>
            </w:pPr>
            <w:r>
              <w:rPr/>
              <w:t>2024</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0"/>
              <w:jc w:val="right"/>
              <w:rPr/>
            </w:pPr>
            <w:r>
              <w:rPr/>
              <w:t>1,925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607" w:type="dxa"/>
            <w:tcBorders/>
            <w:shd w:fill="auto" w:val="clear"/>
            <w:vAlign w:val="bottom"/>
          </w:tcPr>
          <w:p>
            <w:pPr>
              <w:pStyle w:val="TableContents"/>
              <w:spacing w:before="0" w:after="0"/>
              <w:jc w:val="right"/>
              <w:rPr/>
            </w:pPr>
            <w:r>
              <w:rPr/>
              <w:t>122</w:t>
            </w:r>
          </w:p>
        </w:tc>
        <w:tc>
          <w:tcPr>
            <w:tcW w:w="110"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144" w:right="0" w:hanging="0"/>
              <w:rPr/>
            </w:pPr>
            <w:r>
              <w:rPr/>
              <w:t>2025</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0"/>
              <w:jc w:val="right"/>
              <w:rPr/>
            </w:pPr>
            <w:r>
              <w:rPr/>
              <w:t>1,419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3" w:type="dxa"/>
            <w:tcBorders/>
            <w:shd w:fill="CCEEFF" w:val="clear"/>
            <w:vAlign w:val="bottom"/>
          </w:tcPr>
          <w:p>
            <w:pPr>
              <w:pStyle w:val="TableContents"/>
              <w:spacing w:before="0" w:after="283"/>
              <w:jc w:val="left"/>
              <w:rPr/>
            </w:pPr>
            <w:r>
              <w:rPr/>
              <w:t> </w:t>
            </w:r>
          </w:p>
        </w:tc>
        <w:tc>
          <w:tcPr>
            <w:tcW w:w="607" w:type="dxa"/>
            <w:tcBorders/>
            <w:shd w:fill="CCEEFF" w:val="clear"/>
            <w:vAlign w:val="bottom"/>
          </w:tcPr>
          <w:p>
            <w:pPr>
              <w:pStyle w:val="TableContents"/>
              <w:spacing w:before="0" w:after="0"/>
              <w:jc w:val="right"/>
              <w:rPr/>
            </w:pPr>
            <w:r>
              <w:rPr/>
              <w:t>121</w:t>
            </w:r>
          </w:p>
        </w:tc>
        <w:tc>
          <w:tcPr>
            <w:tcW w:w="110"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144" w:right="0" w:hanging="0"/>
              <w:rPr/>
            </w:pPr>
            <w:r>
              <w:rPr/>
              <w:t>2026</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0"/>
              <w:jc w:val="right"/>
              <w:rPr/>
            </w:pPr>
            <w:r>
              <w:rPr/>
              <w:t>937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607" w:type="dxa"/>
            <w:tcBorders/>
            <w:shd w:fill="auto" w:val="clear"/>
            <w:vAlign w:val="bottom"/>
          </w:tcPr>
          <w:p>
            <w:pPr>
              <w:pStyle w:val="TableContents"/>
              <w:spacing w:before="0" w:after="0"/>
              <w:jc w:val="right"/>
              <w:rPr/>
            </w:pPr>
            <w:r>
              <w:rPr/>
              <w:t>108</w:t>
            </w:r>
          </w:p>
        </w:tc>
        <w:tc>
          <w:tcPr>
            <w:tcW w:w="110"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144" w:right="0" w:hanging="0"/>
              <w:rPr/>
            </w:pPr>
            <w:r>
              <w:rPr/>
              <w:t>2027</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644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7" w:type="dxa"/>
            <w:tcBorders>
              <w:bottom w:val="single" w:sz="12" w:space="0" w:color="000000"/>
            </w:tcBorders>
            <w:shd w:fill="CCEEFF" w:val="clear"/>
            <w:tcMar>
              <w:bottom w:w="28" w:type="dxa"/>
            </w:tcMar>
            <w:vAlign w:val="bottom"/>
          </w:tcPr>
          <w:p>
            <w:pPr>
              <w:pStyle w:val="TableContents"/>
              <w:spacing w:before="0" w:after="0"/>
              <w:jc w:val="right"/>
              <w:rPr/>
            </w:pPr>
            <w:r>
              <w:rPr/>
              <w:t>95</w:t>
            </w:r>
          </w:p>
        </w:tc>
        <w:tc>
          <w:tcPr>
            <w:tcW w:w="110"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324" w:right="0" w:hanging="144"/>
              <w:rPr/>
            </w:pPr>
            <w:r>
              <w:rPr/>
              <w:t>Total future lease payments</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0"/>
              <w:jc w:val="right"/>
              <w:rPr/>
            </w:pPr>
            <w:r>
              <w:rPr/>
              <w:t>6,373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607" w:type="dxa"/>
            <w:tcBorders/>
            <w:shd w:fill="auto" w:val="clear"/>
            <w:vAlign w:val="bottom"/>
          </w:tcPr>
          <w:p>
            <w:pPr>
              <w:pStyle w:val="TableContents"/>
              <w:spacing w:before="0" w:after="0"/>
              <w:jc w:val="right"/>
              <w:rPr/>
            </w:pPr>
            <w:r>
              <w:rPr/>
              <w:t>537</w:t>
            </w:r>
          </w:p>
        </w:tc>
        <w:tc>
          <w:tcPr>
            <w:tcW w:w="110"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144" w:right="0" w:hanging="144"/>
              <w:rPr/>
            </w:pPr>
            <w:r>
              <w:rPr/>
              <w:t>Less: Imputed interest</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(755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7" w:type="dxa"/>
            <w:tcBorders>
              <w:bottom w:val="single" w:sz="12" w:space="0" w:color="000000"/>
            </w:tcBorders>
            <w:shd w:fill="CCEEFF" w:val="clear"/>
            <w:tcMar>
              <w:bottom w:w="28" w:type="dxa"/>
            </w:tcMar>
            <w:vAlign w:val="bottom"/>
          </w:tcPr>
          <w:p>
            <w:pPr>
              <w:pStyle w:val="TableContents"/>
              <w:spacing w:before="0" w:after="0"/>
              <w:jc w:val="right"/>
              <w:rPr/>
            </w:pPr>
            <w:r>
              <w:rPr/>
              <w:t>(83</w:t>
            </w:r>
          </w:p>
        </w:tc>
        <w:tc>
          <w:tcPr>
            <w:tcW w:w="110" w:type="dxa"/>
            <w:tcBorders/>
            <w:shd w:fill="CCEEFF" w:val="clear"/>
            <w:vAlign w:val="bottom"/>
          </w:tcPr>
          <w:p>
            <w:pPr>
              <w:pStyle w:val="TableContents"/>
              <w:spacing w:before="0" w:after="0"/>
              <w:jc w:val="left"/>
              <w:rPr/>
            </w:pPr>
            <w:r>
              <w:rPr/>
              <w:t>)</w:t>
            </w:r>
          </w:p>
        </w:tc>
      </w:tr>
      <w:tr>
        <w:trPr/>
        <w:tc>
          <w:tcPr>
            <w:tcW w:w="3125" w:type="dxa"/>
            <w:tcBorders/>
            <w:shd w:fill="auto" w:val="clear"/>
            <w:vAlign w:val="bottom"/>
          </w:tcPr>
          <w:p>
            <w:pPr>
              <w:pStyle w:val="TableContents"/>
              <w:spacing w:before="0" w:after="0"/>
              <w:ind w:left="324" w:right="0" w:hanging="144"/>
              <w:rPr/>
            </w:pPr>
            <w:r>
              <w:rPr/>
              <w:t>Present value of future payments</w:t>
            </w:r>
          </w:p>
        </w:tc>
        <w:tc>
          <w:tcPr>
            <w:tcW w:w="60" w:type="dxa"/>
            <w:tcBorders/>
            <w:shd w:fill="auto" w:val="clear"/>
            <w:vAlign w:val="bottom"/>
          </w:tcPr>
          <w:p>
            <w:pPr>
              <w:pStyle w:val="TableContents"/>
              <w:spacing w:before="0" w:after="283"/>
              <w:jc w:val="right"/>
              <w:rPr/>
            </w:pPr>
            <w:r>
              <w:rPr/>
              <w:t> </w:t>
            </w:r>
          </w:p>
        </w:tc>
        <w:tc>
          <w:tcPr>
            <w:tcW w:w="21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44" w:type="dxa"/>
            <w:tcBorders>
              <w:bottom w:val="double" w:sz="8" w:space="0" w:color="000000"/>
            </w:tcBorders>
            <w:shd w:fill="auto" w:val="clear"/>
            <w:tcMar>
              <w:bottom w:w="28" w:type="dxa"/>
            </w:tcMar>
            <w:vAlign w:val="bottom"/>
          </w:tcPr>
          <w:p>
            <w:pPr>
              <w:pStyle w:val="TableContents"/>
              <w:spacing w:before="0" w:after="0"/>
              <w:jc w:val="right"/>
              <w:rPr/>
            </w:pPr>
            <w:r>
              <w:rPr/>
              <w:t>5,618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07" w:type="dxa"/>
            <w:tcBorders>
              <w:bottom w:val="double" w:sz="8" w:space="0" w:color="000000"/>
            </w:tcBorders>
            <w:shd w:fill="auto" w:val="clear"/>
            <w:tcMar>
              <w:bottom w:w="28" w:type="dxa"/>
            </w:tcMar>
            <w:vAlign w:val="bottom"/>
          </w:tcPr>
          <w:p>
            <w:pPr>
              <w:pStyle w:val="TableContents"/>
              <w:spacing w:before="0" w:after="0"/>
              <w:jc w:val="right"/>
              <w:rPr/>
            </w:pPr>
            <w:r>
              <w:rPr/>
              <w:t>454</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6. Accrued Expenses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Accrued expenses as of March 31, 2023 and December 31, 2022 are comprised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8774" w:type="dxa"/>
        <w:jc w:val="left"/>
        <w:tblInd w:w="0" w:type="dxa"/>
        <w:tblCellMar>
          <w:top w:w="0" w:type="dxa"/>
          <w:left w:w="0" w:type="dxa"/>
          <w:bottom w:w="0" w:type="dxa"/>
          <w:right w:w="0" w:type="dxa"/>
        </w:tblCellMar>
      </w:tblPr>
      <w:tblGrid>
        <w:gridCol w:w="6035"/>
        <w:gridCol w:w="60"/>
        <w:gridCol w:w="182"/>
        <w:gridCol w:w="887"/>
        <w:gridCol w:w="60"/>
        <w:gridCol w:w="60"/>
        <w:gridCol w:w="283"/>
        <w:gridCol w:w="1132"/>
        <w:gridCol w:w="75"/>
      </w:tblGrid>
      <w:tr>
        <w:trPr/>
        <w:tc>
          <w:tcPr>
            <w:tcW w:w="60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6035" w:type="dxa"/>
            <w:tcBorders/>
            <w:shd w:fill="CCEEFF" w:val="clear"/>
            <w:vAlign w:val="bottom"/>
          </w:tcPr>
          <w:p>
            <w:pPr>
              <w:pStyle w:val="TableContents"/>
              <w:spacing w:before="0" w:after="0"/>
              <w:ind w:left="144" w:right="0" w:hanging="144"/>
              <w:rPr/>
            </w:pPr>
            <w:r>
              <w:rPr/>
              <w:t>Payroll, benefits and related taxes, excluding severance benefits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887" w:type="dxa"/>
            <w:tcBorders/>
            <w:shd w:fill="CCEEFF" w:val="clear"/>
            <w:vAlign w:val="bottom"/>
          </w:tcPr>
          <w:p>
            <w:pPr>
              <w:pStyle w:val="TableContents"/>
              <w:spacing w:before="0" w:after="0"/>
              <w:jc w:val="right"/>
              <w:rPr/>
            </w:pPr>
            <w:r>
              <w:rPr/>
              <w:t>14,475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0"/>
              <w:jc w:val="left"/>
              <w:rPr/>
            </w:pPr>
            <w:r>
              <w:rPr/>
              <w:t>$</w:t>
            </w:r>
          </w:p>
        </w:tc>
        <w:tc>
          <w:tcPr>
            <w:tcW w:w="1132" w:type="dxa"/>
            <w:tcBorders/>
            <w:shd w:fill="CCEEFF" w:val="clear"/>
            <w:vAlign w:val="bottom"/>
          </w:tcPr>
          <w:p>
            <w:pPr>
              <w:pStyle w:val="TableContents"/>
              <w:spacing w:before="0" w:after="0"/>
              <w:jc w:val="right"/>
              <w:rPr/>
            </w:pPr>
            <w:r>
              <w:rPr/>
              <w:t>7,620</w:t>
            </w:r>
          </w:p>
        </w:tc>
        <w:tc>
          <w:tcPr>
            <w:tcW w:w="75" w:type="dxa"/>
            <w:tcBorders/>
            <w:shd w:fill="CCEEFF" w:val="clear"/>
            <w:vAlign w:val="bottom"/>
          </w:tcPr>
          <w:p>
            <w:pPr>
              <w:pStyle w:val="TableContents"/>
              <w:spacing w:before="0" w:after="283"/>
              <w:jc w:val="left"/>
              <w:rPr/>
            </w:pPr>
            <w:r>
              <w:rPr/>
              <w:t> </w:t>
            </w:r>
          </w:p>
        </w:tc>
      </w:tr>
      <w:tr>
        <w:trPr/>
        <w:tc>
          <w:tcPr>
            <w:tcW w:w="6035" w:type="dxa"/>
            <w:tcBorders/>
            <w:shd w:fill="auto" w:val="clear"/>
            <w:vAlign w:val="bottom"/>
          </w:tcPr>
          <w:p>
            <w:pPr>
              <w:pStyle w:val="TableContents"/>
              <w:spacing w:before="0" w:after="0"/>
              <w:ind w:left="144" w:right="0" w:hanging="144"/>
              <w:rPr/>
            </w:pPr>
            <w:r>
              <w:rPr/>
              <w:t>Withholding tax attributable to intercompany interest income</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0"/>
              <w:jc w:val="right"/>
              <w:rPr/>
            </w:pPr>
            <w:r>
              <w:rPr/>
              <w:t>473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83"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0"/>
              <w:jc w:val="right"/>
              <w:rPr/>
            </w:pPr>
            <w:r>
              <w:rPr/>
              <w:t>43</w:t>
            </w:r>
          </w:p>
        </w:tc>
        <w:tc>
          <w:tcPr>
            <w:tcW w:w="75" w:type="dxa"/>
            <w:tcBorders/>
            <w:shd w:fill="auto" w:val="clear"/>
            <w:vAlign w:val="bottom"/>
          </w:tcPr>
          <w:p>
            <w:pPr>
              <w:pStyle w:val="TableContents"/>
              <w:spacing w:before="0" w:after="283"/>
              <w:jc w:val="left"/>
              <w:rPr/>
            </w:pPr>
            <w:r>
              <w:rPr/>
              <w:t> </w:t>
            </w:r>
          </w:p>
        </w:tc>
      </w:tr>
      <w:tr>
        <w:trPr/>
        <w:tc>
          <w:tcPr>
            <w:tcW w:w="6035" w:type="dxa"/>
            <w:tcBorders/>
            <w:shd w:fill="CCEEFF" w:val="clear"/>
            <w:vAlign w:val="bottom"/>
          </w:tcPr>
          <w:p>
            <w:pPr>
              <w:pStyle w:val="TableContents"/>
              <w:spacing w:before="0" w:after="0"/>
              <w:ind w:left="144" w:right="0" w:hanging="144"/>
              <w:rPr/>
            </w:pPr>
            <w:r>
              <w:rPr/>
              <w:t>Outside service fees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0"/>
              <w:jc w:val="right"/>
              <w:rPr/>
            </w:pPr>
            <w:r>
              <w:rPr/>
              <w:t>1,625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0"/>
              <w:jc w:val="right"/>
              <w:rPr/>
            </w:pPr>
            <w:r>
              <w:rPr/>
              <w:t>1,642</w:t>
            </w:r>
          </w:p>
        </w:tc>
        <w:tc>
          <w:tcPr>
            <w:tcW w:w="75" w:type="dxa"/>
            <w:tcBorders/>
            <w:shd w:fill="CCEEFF" w:val="clear"/>
            <w:vAlign w:val="bottom"/>
          </w:tcPr>
          <w:p>
            <w:pPr>
              <w:pStyle w:val="TableContents"/>
              <w:spacing w:before="0" w:after="283"/>
              <w:jc w:val="left"/>
              <w:rPr/>
            </w:pPr>
            <w:r>
              <w:rPr/>
              <w:t> </w:t>
            </w:r>
          </w:p>
        </w:tc>
      </w:tr>
      <w:tr>
        <w:trPr/>
        <w:tc>
          <w:tcPr>
            <w:tcW w:w="6035" w:type="dxa"/>
            <w:tcBorders/>
            <w:shd w:fill="auto" w:val="clear"/>
            <w:vAlign w:val="bottom"/>
          </w:tcPr>
          <w:p>
            <w:pPr>
              <w:pStyle w:val="TableContents"/>
              <w:spacing w:before="0" w:after="0"/>
              <w:ind w:left="144" w:right="0" w:hanging="144"/>
              <w:rPr/>
            </w:pPr>
            <w:r>
              <w:rPr/>
              <w:t>Others</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pPr>
            <w:r>
              <w:rPr/>
              <w:t>552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8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auto" w:val="clear"/>
            <w:tcMar>
              <w:bottom w:w="28" w:type="dxa"/>
            </w:tcMar>
            <w:vAlign w:val="bottom"/>
          </w:tcPr>
          <w:p>
            <w:pPr>
              <w:pStyle w:val="TableContents"/>
              <w:spacing w:before="0" w:after="0"/>
              <w:jc w:val="right"/>
              <w:rPr/>
            </w:pPr>
            <w:r>
              <w:rPr/>
              <w:t>383</w:t>
            </w:r>
          </w:p>
        </w:tc>
        <w:tc>
          <w:tcPr>
            <w:tcW w:w="75" w:type="dxa"/>
            <w:tcBorders/>
            <w:shd w:fill="auto" w:val="clear"/>
            <w:vAlign w:val="bottom"/>
          </w:tcPr>
          <w:p>
            <w:pPr>
              <w:pStyle w:val="TableContents"/>
              <w:spacing w:before="0" w:after="283"/>
              <w:jc w:val="left"/>
              <w:rPr/>
            </w:pPr>
            <w:r>
              <w:rPr/>
              <w:t> </w:t>
            </w:r>
          </w:p>
        </w:tc>
      </w:tr>
      <w:tr>
        <w:trPr/>
        <w:tc>
          <w:tcPr>
            <w:tcW w:w="6035" w:type="dxa"/>
            <w:tcBorders/>
            <w:shd w:fill="CCEEFF" w:val="clear"/>
            <w:vAlign w:val="bottom"/>
          </w:tcPr>
          <w:p>
            <w:pPr>
              <w:pStyle w:val="TableContents"/>
              <w:spacing w:before="0" w:after="0"/>
              <w:ind w:left="144" w:right="0" w:hanging="144"/>
              <w:rPr/>
            </w:pPr>
            <w:r>
              <w:rPr/>
              <w:t>Accrued expenses</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pPr>
            <w:r>
              <w:rPr/>
              <w:t>17,125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32" w:type="dxa"/>
            <w:tcBorders>
              <w:bottom w:val="double" w:sz="8" w:space="0" w:color="000000"/>
            </w:tcBorders>
            <w:shd w:fill="CCEEFF" w:val="clear"/>
            <w:tcMar>
              <w:bottom w:w="28" w:type="dxa"/>
            </w:tcMar>
            <w:vAlign w:val="bottom"/>
          </w:tcPr>
          <w:p>
            <w:pPr>
              <w:pStyle w:val="TableContents"/>
              <w:spacing w:before="0" w:after="0"/>
              <w:jc w:val="right"/>
              <w:rPr/>
            </w:pPr>
            <w:r>
              <w:rPr/>
              <w:t>9,688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pPr>
      <w:r>
        <w:rPr/>
      </w:r>
    </w:p>
    <w:p>
      <w:pPr>
        <w:pStyle w:val="TextBody"/>
        <w:spacing w:before="0" w:after="0"/>
        <w:ind w:left="0" w:right="0" w:firstLine="49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Payroll, benefits and related taxes payable as of March 31, 2023 in the table above includes termination related charges under the voluntary resignation program (the “Program”) of $8,449 thousand, which are expected to be paid in the second quarter of 2023.</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49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See “Note 10. Early Termination Charges” for more information regarding the Program.</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7. Derivative Financial Instruments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Company’s Korean subsidiary from time to time has entered into zero cost collar contracts to hedge the risk of changes in the functional-currency-equivalent cash flows attributable to currency rate changes on U.S. dollar denominated revenues.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Details of the zero cost collar contracts as of March 31, 2023 are as follows (in thousands):</w:t>
      </w:r>
    </w:p>
    <w:p>
      <w:pPr>
        <w:pStyle w:val="TextBody"/>
        <w:spacing w:before="0" w:after="0"/>
        <w:jc w:val="left"/>
        <w:rPr>
          <w:color w:val="000000"/>
        </w:rPr>
      </w:pPr>
      <w:r>
        <w:rPr>
          <w:color w:val="000000"/>
        </w:rPr>
        <w:t> </w:t>
      </w:r>
    </w:p>
    <w:tbl>
      <w:tblPr>
        <w:tblW w:w="7259" w:type="dxa"/>
        <w:jc w:val="left"/>
        <w:tblInd w:w="0" w:type="dxa"/>
        <w:tblCellMar>
          <w:top w:w="0" w:type="dxa"/>
          <w:left w:w="0" w:type="dxa"/>
          <w:bottom w:w="0" w:type="dxa"/>
          <w:right w:w="0" w:type="dxa"/>
        </w:tblCellMar>
      </w:tblPr>
      <w:tblGrid>
        <w:gridCol w:w="1970"/>
        <w:gridCol w:w="60"/>
        <w:gridCol w:w="389"/>
        <w:gridCol w:w="1895"/>
        <w:gridCol w:w="60"/>
        <w:gridCol w:w="2885"/>
      </w:tblGrid>
      <w:tr>
        <w:trPr/>
        <w:tc>
          <w:tcPr>
            <w:tcW w:w="1970" w:type="dxa"/>
            <w:tcBorders/>
            <w:shd w:fill="auto" w:val="clear"/>
            <w:vAlign w:val="bottom"/>
          </w:tcPr>
          <w:p>
            <w:pPr>
              <w:pStyle w:val="TableContents"/>
              <w:spacing w:before="0" w:after="0"/>
              <w:ind w:left="144" w:right="0" w:hanging="144"/>
              <w:rPr>
                <w:b/>
                <w:u w:val="single"/>
              </w:rPr>
            </w:pPr>
            <w:r>
              <w:rPr>
                <w:b/>
                <w:u w:val="single"/>
              </w:rPr>
              <w:t>Date of transaction</w:t>
            </w:r>
          </w:p>
        </w:tc>
        <w:tc>
          <w:tcPr>
            <w:tcW w:w="60" w:type="dxa"/>
            <w:tcBorders/>
            <w:shd w:fill="auto" w:val="clear"/>
            <w:vAlign w:val="bottom"/>
          </w:tcPr>
          <w:p>
            <w:pPr>
              <w:pStyle w:val="TableContents"/>
              <w:spacing w:before="0" w:after="283"/>
              <w:rPr/>
            </w:pPr>
            <w:r>
              <w:rPr/>
              <w:t> </w:t>
            </w:r>
          </w:p>
        </w:tc>
        <w:tc>
          <w:tcPr>
            <w:tcW w:w="228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 notional amount</w:t>
            </w:r>
          </w:p>
        </w:tc>
        <w:tc>
          <w:tcPr>
            <w:tcW w:w="60" w:type="dxa"/>
            <w:tcBorders/>
            <w:shd w:fill="auto" w:val="clear"/>
            <w:vAlign w:val="bottom"/>
          </w:tcPr>
          <w:p>
            <w:pPr>
              <w:pStyle w:val="TableContents"/>
              <w:spacing w:before="0" w:after="283"/>
              <w:rPr/>
            </w:pPr>
            <w:r>
              <w:rPr/>
              <w:t> </w:t>
            </w:r>
          </w:p>
        </w:tc>
        <w:tc>
          <w:tcPr>
            <w:tcW w:w="2885" w:type="dxa"/>
            <w:tcBorders>
              <w:bottom w:val="single" w:sz="12" w:space="0" w:color="000000"/>
            </w:tcBorders>
            <w:shd w:fill="auto" w:val="clear"/>
            <w:tcMar>
              <w:bottom w:w="28" w:type="dxa"/>
            </w:tcMar>
            <w:vAlign w:val="bottom"/>
          </w:tcPr>
          <w:p>
            <w:pPr>
              <w:pStyle w:val="TableContents"/>
              <w:spacing w:before="0" w:after="0"/>
              <w:jc w:val="center"/>
              <w:rPr>
                <w:b/>
              </w:rPr>
            </w:pPr>
            <w:r>
              <w:rPr>
                <w:b/>
              </w:rPr>
              <w:t>Month of settlement</w:t>
            </w:r>
          </w:p>
        </w:tc>
      </w:tr>
      <w:tr>
        <w:trPr/>
        <w:tc>
          <w:tcPr>
            <w:tcW w:w="1970" w:type="dxa"/>
            <w:tcBorders/>
            <w:shd w:fill="CCEEFF" w:val="clear"/>
            <w:vAlign w:val="bottom"/>
          </w:tcPr>
          <w:p>
            <w:pPr>
              <w:pStyle w:val="TableContents"/>
              <w:spacing w:before="0" w:after="0"/>
              <w:ind w:left="144" w:right="0" w:hanging="0"/>
              <w:rPr/>
            </w:pPr>
            <w:r>
              <w:rPr/>
              <w:t xml:space="preserve">January 04, 2022 </w:t>
            </w:r>
          </w:p>
        </w:tc>
        <w:tc>
          <w:tcPr>
            <w:tcW w:w="60" w:type="dxa"/>
            <w:tcBorders/>
            <w:shd w:fill="CCEEFF" w:val="clear"/>
            <w:vAlign w:val="bottom"/>
          </w:tcPr>
          <w:p>
            <w:pPr>
              <w:pStyle w:val="TableContents"/>
              <w:spacing w:before="0" w:after="283"/>
              <w:jc w:val="right"/>
              <w:rPr/>
            </w:pPr>
            <w:r>
              <w:rPr/>
              <w:t> </w:t>
            </w:r>
          </w:p>
        </w:tc>
        <w:tc>
          <w:tcPr>
            <w:tcW w:w="389" w:type="dxa"/>
            <w:tcBorders/>
            <w:shd w:fill="CCEEFF" w:val="clear"/>
            <w:vAlign w:val="bottom"/>
          </w:tcPr>
          <w:p>
            <w:pPr>
              <w:pStyle w:val="TableContents"/>
              <w:spacing w:before="0" w:after="0"/>
              <w:rPr/>
            </w:pPr>
            <w:r>
              <w:rPr/>
              <w:t>$</w:t>
            </w:r>
          </w:p>
        </w:tc>
        <w:tc>
          <w:tcPr>
            <w:tcW w:w="1895" w:type="dxa"/>
            <w:tcBorders/>
            <w:shd w:fill="CCEEFF" w:val="clear"/>
            <w:vAlign w:val="bottom"/>
          </w:tcPr>
          <w:p>
            <w:pPr>
              <w:pStyle w:val="TableContents"/>
              <w:spacing w:before="0" w:after="0"/>
              <w:jc w:val="right"/>
              <w:rPr/>
            </w:pPr>
            <w:r>
              <w:rPr/>
              <w:t>15,000</w:t>
            </w:r>
          </w:p>
        </w:tc>
        <w:tc>
          <w:tcPr>
            <w:tcW w:w="60" w:type="dxa"/>
            <w:tcBorders/>
            <w:shd w:fill="CCEEFF" w:val="clear"/>
            <w:vAlign w:val="bottom"/>
          </w:tcPr>
          <w:p>
            <w:pPr>
              <w:pStyle w:val="TableContents"/>
              <w:spacing w:before="0" w:after="283"/>
              <w:rPr/>
            </w:pPr>
            <w:r>
              <w:rPr/>
              <w:t> </w:t>
            </w:r>
          </w:p>
        </w:tc>
        <w:tc>
          <w:tcPr>
            <w:tcW w:w="2885" w:type="dxa"/>
            <w:tcBorders/>
            <w:shd w:fill="CCEEFF" w:val="clear"/>
            <w:vAlign w:val="bottom"/>
          </w:tcPr>
          <w:p>
            <w:pPr>
              <w:pStyle w:val="TableContents"/>
              <w:spacing w:before="0" w:after="0"/>
              <w:rPr/>
            </w:pPr>
            <w:r>
              <w:rPr/>
              <w:t>April 2023 to June 2023</w:t>
            </w:r>
          </w:p>
        </w:tc>
      </w:tr>
      <w:tr>
        <w:trPr/>
        <w:tc>
          <w:tcPr>
            <w:tcW w:w="1970" w:type="dxa"/>
            <w:tcBorders/>
            <w:shd w:fill="auto" w:val="clear"/>
            <w:vAlign w:val="bottom"/>
          </w:tcPr>
          <w:p>
            <w:pPr>
              <w:pStyle w:val="TableContents"/>
              <w:spacing w:before="0" w:after="0"/>
              <w:ind w:left="144" w:right="0" w:hanging="0"/>
              <w:rPr/>
            </w:pPr>
            <w:r>
              <w:rPr/>
              <w:t>March 07, 2022</w:t>
            </w:r>
          </w:p>
        </w:tc>
        <w:tc>
          <w:tcPr>
            <w:tcW w:w="60" w:type="dxa"/>
            <w:tcBorders/>
            <w:shd w:fill="auto" w:val="clear"/>
            <w:vAlign w:val="bottom"/>
          </w:tcPr>
          <w:p>
            <w:pPr>
              <w:pStyle w:val="TableContents"/>
              <w:spacing w:before="0" w:after="283"/>
              <w:jc w:val="right"/>
              <w:rPr/>
            </w:pPr>
            <w:r>
              <w:rPr/>
              <w:t> </w:t>
            </w:r>
          </w:p>
        </w:tc>
        <w:tc>
          <w:tcPr>
            <w:tcW w:w="389" w:type="dxa"/>
            <w:tcBorders/>
            <w:shd w:fill="auto" w:val="clear"/>
            <w:vAlign w:val="bottom"/>
          </w:tcPr>
          <w:p>
            <w:pPr>
              <w:pStyle w:val="TableContents"/>
              <w:spacing w:before="0" w:after="0"/>
              <w:rPr/>
            </w:pPr>
            <w:r>
              <w:rPr/>
              <w:t>$</w:t>
            </w:r>
          </w:p>
        </w:tc>
        <w:tc>
          <w:tcPr>
            <w:tcW w:w="1895" w:type="dxa"/>
            <w:tcBorders/>
            <w:shd w:fill="auto" w:val="clear"/>
            <w:vAlign w:val="bottom"/>
          </w:tcPr>
          <w:p>
            <w:pPr>
              <w:pStyle w:val="TableContents"/>
              <w:spacing w:before="0" w:after="0"/>
              <w:jc w:val="right"/>
              <w:rPr/>
            </w:pPr>
            <w:r>
              <w:rPr/>
              <w:t>24,000</w:t>
            </w:r>
          </w:p>
        </w:tc>
        <w:tc>
          <w:tcPr>
            <w:tcW w:w="60" w:type="dxa"/>
            <w:tcBorders/>
            <w:shd w:fill="auto" w:val="clear"/>
            <w:vAlign w:val="bottom"/>
          </w:tcPr>
          <w:p>
            <w:pPr>
              <w:pStyle w:val="TableContents"/>
              <w:spacing w:before="0" w:after="283"/>
              <w:rPr/>
            </w:pPr>
            <w:r>
              <w:rPr/>
              <w:t> </w:t>
            </w:r>
          </w:p>
        </w:tc>
        <w:tc>
          <w:tcPr>
            <w:tcW w:w="2885" w:type="dxa"/>
            <w:tcBorders/>
            <w:shd w:fill="auto" w:val="clear"/>
            <w:vAlign w:val="bottom"/>
          </w:tcPr>
          <w:p>
            <w:pPr>
              <w:pStyle w:val="TableContents"/>
              <w:spacing w:before="0" w:after="0"/>
              <w:rPr/>
            </w:pPr>
            <w:r>
              <w:rPr/>
              <w:t>July 2023 to December 2023</w:t>
            </w:r>
          </w:p>
        </w:tc>
      </w:tr>
      <w:tr>
        <w:trPr/>
        <w:tc>
          <w:tcPr>
            <w:tcW w:w="1970" w:type="dxa"/>
            <w:tcBorders/>
            <w:shd w:fill="CCEEFF" w:val="clear"/>
            <w:vAlign w:val="bottom"/>
          </w:tcPr>
          <w:p>
            <w:pPr>
              <w:pStyle w:val="TableContents"/>
              <w:spacing w:before="0" w:after="0"/>
              <w:ind w:left="144" w:right="0" w:hanging="0"/>
              <w:rPr/>
            </w:pPr>
            <w:r>
              <w:rPr/>
              <w:t>April 27, 2022</w:t>
            </w:r>
          </w:p>
        </w:tc>
        <w:tc>
          <w:tcPr>
            <w:tcW w:w="60" w:type="dxa"/>
            <w:tcBorders/>
            <w:shd w:fill="CCEEFF" w:val="clear"/>
            <w:vAlign w:val="bottom"/>
          </w:tcPr>
          <w:p>
            <w:pPr>
              <w:pStyle w:val="TableContents"/>
              <w:spacing w:before="0" w:after="283"/>
              <w:jc w:val="right"/>
              <w:rPr/>
            </w:pPr>
            <w:r>
              <w:rPr/>
              <w:t> </w:t>
            </w:r>
          </w:p>
        </w:tc>
        <w:tc>
          <w:tcPr>
            <w:tcW w:w="389" w:type="dxa"/>
            <w:tcBorders/>
            <w:shd w:fill="CCEEFF" w:val="clear"/>
            <w:vAlign w:val="bottom"/>
          </w:tcPr>
          <w:p>
            <w:pPr>
              <w:pStyle w:val="TableContents"/>
              <w:spacing w:before="0" w:after="0"/>
              <w:rPr/>
            </w:pPr>
            <w:r>
              <w:rPr/>
              <w:t>$</w:t>
            </w:r>
          </w:p>
        </w:tc>
        <w:tc>
          <w:tcPr>
            <w:tcW w:w="1895" w:type="dxa"/>
            <w:tcBorders/>
            <w:shd w:fill="CCEEFF" w:val="clear"/>
            <w:vAlign w:val="bottom"/>
          </w:tcPr>
          <w:p>
            <w:pPr>
              <w:pStyle w:val="TableContents"/>
              <w:spacing w:before="0" w:after="0"/>
              <w:jc w:val="right"/>
              <w:rPr/>
            </w:pPr>
            <w:r>
              <w:rPr/>
              <w:t>33,000</w:t>
            </w:r>
          </w:p>
        </w:tc>
        <w:tc>
          <w:tcPr>
            <w:tcW w:w="60" w:type="dxa"/>
            <w:tcBorders/>
            <w:shd w:fill="CCEEFF" w:val="clear"/>
            <w:vAlign w:val="bottom"/>
          </w:tcPr>
          <w:p>
            <w:pPr>
              <w:pStyle w:val="TableContents"/>
              <w:spacing w:before="0" w:after="283"/>
              <w:rPr/>
            </w:pPr>
            <w:r>
              <w:rPr/>
              <w:t> </w:t>
            </w:r>
          </w:p>
        </w:tc>
        <w:tc>
          <w:tcPr>
            <w:tcW w:w="2885" w:type="dxa"/>
            <w:tcBorders/>
            <w:shd w:fill="CCEEFF" w:val="clear"/>
            <w:vAlign w:val="bottom"/>
          </w:tcPr>
          <w:p>
            <w:pPr>
              <w:pStyle w:val="TableContents"/>
              <w:spacing w:before="0" w:after="0"/>
              <w:rPr/>
            </w:pPr>
            <w:r>
              <w:rPr/>
              <w:t>April 2023 to December 2023</w:t>
            </w:r>
          </w:p>
        </w:tc>
      </w:tr>
      <w:tr>
        <w:trPr/>
        <w:tc>
          <w:tcPr>
            <w:tcW w:w="1970" w:type="dxa"/>
            <w:tcBorders/>
            <w:shd w:fill="auto" w:val="clear"/>
            <w:vAlign w:val="bottom"/>
          </w:tcPr>
          <w:p>
            <w:pPr>
              <w:pStyle w:val="TableContents"/>
              <w:spacing w:before="0" w:after="0"/>
              <w:ind w:left="144" w:right="0" w:hanging="0"/>
              <w:rPr/>
            </w:pPr>
            <w:r>
              <w:rPr/>
              <w:t xml:space="preserve">March 08, 2023 </w:t>
            </w:r>
          </w:p>
        </w:tc>
        <w:tc>
          <w:tcPr>
            <w:tcW w:w="60" w:type="dxa"/>
            <w:tcBorders/>
            <w:shd w:fill="auto" w:val="clear"/>
            <w:vAlign w:val="bottom"/>
          </w:tcPr>
          <w:p>
            <w:pPr>
              <w:pStyle w:val="TableContents"/>
              <w:spacing w:before="0" w:after="283"/>
              <w:jc w:val="right"/>
              <w:rPr/>
            </w:pPr>
            <w:r>
              <w:rPr/>
              <w:t> </w:t>
            </w:r>
          </w:p>
        </w:tc>
        <w:tc>
          <w:tcPr>
            <w:tcW w:w="389" w:type="dxa"/>
            <w:tcBorders/>
            <w:shd w:fill="auto" w:val="clear"/>
            <w:vAlign w:val="bottom"/>
          </w:tcPr>
          <w:p>
            <w:pPr>
              <w:pStyle w:val="TableContents"/>
              <w:spacing w:before="0" w:after="0"/>
              <w:rPr/>
            </w:pPr>
            <w:r>
              <w:rPr/>
              <w:t>$</w:t>
            </w:r>
          </w:p>
        </w:tc>
        <w:tc>
          <w:tcPr>
            <w:tcW w:w="1895" w:type="dxa"/>
            <w:tcBorders/>
            <w:shd w:fill="auto" w:val="clear"/>
            <w:vAlign w:val="bottom"/>
          </w:tcPr>
          <w:p>
            <w:pPr>
              <w:pStyle w:val="TableContents"/>
              <w:spacing w:before="0" w:after="0"/>
              <w:jc w:val="right"/>
              <w:rPr/>
            </w:pPr>
            <w:r>
              <w:rPr/>
              <w:t>18,000</w:t>
            </w:r>
          </w:p>
        </w:tc>
        <w:tc>
          <w:tcPr>
            <w:tcW w:w="60" w:type="dxa"/>
            <w:tcBorders/>
            <w:shd w:fill="auto" w:val="clear"/>
            <w:vAlign w:val="bottom"/>
          </w:tcPr>
          <w:p>
            <w:pPr>
              <w:pStyle w:val="TableContents"/>
              <w:spacing w:before="0" w:after="283"/>
              <w:rPr/>
            </w:pPr>
            <w:r>
              <w:rPr/>
              <w:t> </w:t>
            </w:r>
          </w:p>
        </w:tc>
        <w:tc>
          <w:tcPr>
            <w:tcW w:w="2885" w:type="dxa"/>
            <w:tcBorders/>
            <w:shd w:fill="auto" w:val="clear"/>
            <w:vAlign w:val="bottom"/>
          </w:tcPr>
          <w:p>
            <w:pPr>
              <w:pStyle w:val="TableContents"/>
              <w:spacing w:before="0" w:after="0"/>
              <w:rPr/>
            </w:pPr>
            <w:r>
              <w:rPr/>
              <w:t>July 2023 to December 2023</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Details of the zero cost collar contracts as of December 31, 2022 are as follows (in thousands):</w:t>
      </w:r>
    </w:p>
    <w:p>
      <w:pPr>
        <w:pStyle w:val="TextBody"/>
        <w:spacing w:before="0" w:after="0"/>
        <w:jc w:val="left"/>
        <w:rPr>
          <w:color w:val="000000"/>
        </w:rPr>
      </w:pPr>
      <w:r>
        <w:rPr>
          <w:color w:val="000000"/>
        </w:rPr>
        <w:t> </w:t>
      </w:r>
    </w:p>
    <w:tbl>
      <w:tblPr>
        <w:tblW w:w="7499" w:type="dxa"/>
        <w:jc w:val="left"/>
        <w:tblInd w:w="0" w:type="dxa"/>
        <w:tblCellMar>
          <w:top w:w="0" w:type="dxa"/>
          <w:left w:w="0" w:type="dxa"/>
          <w:bottom w:w="0" w:type="dxa"/>
          <w:right w:w="0" w:type="dxa"/>
        </w:tblCellMar>
      </w:tblPr>
      <w:tblGrid>
        <w:gridCol w:w="1970"/>
        <w:gridCol w:w="60"/>
        <w:gridCol w:w="519"/>
        <w:gridCol w:w="1765"/>
        <w:gridCol w:w="60"/>
        <w:gridCol w:w="3125"/>
      </w:tblGrid>
      <w:tr>
        <w:trPr/>
        <w:tc>
          <w:tcPr>
            <w:tcW w:w="1970" w:type="dxa"/>
            <w:tcBorders/>
            <w:shd w:fill="auto" w:val="clear"/>
            <w:vAlign w:val="bottom"/>
          </w:tcPr>
          <w:p>
            <w:pPr>
              <w:pStyle w:val="TableContents"/>
              <w:spacing w:before="0" w:after="0"/>
              <w:ind w:left="144" w:right="0" w:hanging="144"/>
              <w:rPr>
                <w:b/>
                <w:u w:val="single"/>
              </w:rPr>
            </w:pPr>
            <w:r>
              <w:rPr>
                <w:b/>
                <w:u w:val="single"/>
              </w:rPr>
              <w:t>Date of transaction</w:t>
            </w:r>
          </w:p>
        </w:tc>
        <w:tc>
          <w:tcPr>
            <w:tcW w:w="60" w:type="dxa"/>
            <w:tcBorders/>
            <w:shd w:fill="auto" w:val="clear"/>
            <w:vAlign w:val="bottom"/>
          </w:tcPr>
          <w:p>
            <w:pPr>
              <w:pStyle w:val="TableContents"/>
              <w:spacing w:before="0" w:after="283"/>
              <w:rPr/>
            </w:pPr>
            <w:r>
              <w:rPr/>
              <w:t> </w:t>
            </w:r>
          </w:p>
        </w:tc>
        <w:tc>
          <w:tcPr>
            <w:tcW w:w="228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 notional amount</w:t>
            </w:r>
          </w:p>
        </w:tc>
        <w:tc>
          <w:tcPr>
            <w:tcW w:w="60" w:type="dxa"/>
            <w:tcBorders/>
            <w:shd w:fill="auto" w:val="clear"/>
            <w:vAlign w:val="bottom"/>
          </w:tcPr>
          <w:p>
            <w:pPr>
              <w:pStyle w:val="TableContents"/>
              <w:spacing w:before="0" w:after="283"/>
              <w:rPr/>
            </w:pPr>
            <w:r>
              <w:rPr/>
              <w:t> </w:t>
            </w:r>
          </w:p>
        </w:tc>
        <w:tc>
          <w:tcPr>
            <w:tcW w:w="3125" w:type="dxa"/>
            <w:tcBorders>
              <w:bottom w:val="single" w:sz="12" w:space="0" w:color="000000"/>
            </w:tcBorders>
            <w:shd w:fill="auto" w:val="clear"/>
            <w:tcMar>
              <w:bottom w:w="28" w:type="dxa"/>
            </w:tcMar>
            <w:vAlign w:val="bottom"/>
          </w:tcPr>
          <w:p>
            <w:pPr>
              <w:pStyle w:val="TableContents"/>
              <w:spacing w:before="0" w:after="0"/>
              <w:jc w:val="center"/>
              <w:rPr>
                <w:b/>
              </w:rPr>
            </w:pPr>
            <w:r>
              <w:rPr>
                <w:b/>
              </w:rPr>
              <w:t>Month of settlement</w:t>
            </w:r>
          </w:p>
        </w:tc>
      </w:tr>
      <w:tr>
        <w:trPr/>
        <w:tc>
          <w:tcPr>
            <w:tcW w:w="1970" w:type="dxa"/>
            <w:tcBorders/>
            <w:shd w:fill="CCEEFF" w:val="clear"/>
            <w:vAlign w:val="bottom"/>
          </w:tcPr>
          <w:p>
            <w:pPr>
              <w:pStyle w:val="TableContents"/>
              <w:spacing w:before="0" w:after="0"/>
              <w:ind w:left="144" w:right="0" w:hanging="0"/>
              <w:rPr/>
            </w:pPr>
            <w:r>
              <w:rPr/>
              <w:t xml:space="preserve">January 04, 2022 </w:t>
            </w:r>
          </w:p>
        </w:tc>
        <w:tc>
          <w:tcPr>
            <w:tcW w:w="60"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0"/>
              <w:rPr/>
            </w:pPr>
            <w:r>
              <w:rPr/>
              <w:t>$</w:t>
            </w:r>
          </w:p>
        </w:tc>
        <w:tc>
          <w:tcPr>
            <w:tcW w:w="1765" w:type="dxa"/>
            <w:tcBorders/>
            <w:shd w:fill="CCEEFF" w:val="clear"/>
            <w:vAlign w:val="bottom"/>
          </w:tcPr>
          <w:p>
            <w:pPr>
              <w:pStyle w:val="TableContents"/>
              <w:spacing w:before="0" w:after="0"/>
              <w:jc w:val="right"/>
              <w:rPr/>
            </w:pPr>
            <w:r>
              <w:rPr/>
              <w:t>30,000</w:t>
            </w:r>
          </w:p>
        </w:tc>
        <w:tc>
          <w:tcPr>
            <w:tcW w:w="60" w:type="dxa"/>
            <w:tcBorders/>
            <w:shd w:fill="CCEEFF" w:val="clear"/>
            <w:vAlign w:val="bottom"/>
          </w:tcPr>
          <w:p>
            <w:pPr>
              <w:pStyle w:val="TableContents"/>
              <w:spacing w:before="0" w:after="283"/>
              <w:rPr/>
            </w:pPr>
            <w:r>
              <w:rPr/>
              <w:t> </w:t>
            </w:r>
          </w:p>
        </w:tc>
        <w:tc>
          <w:tcPr>
            <w:tcW w:w="3125" w:type="dxa"/>
            <w:tcBorders/>
            <w:shd w:fill="CCEEFF" w:val="clear"/>
            <w:vAlign w:val="bottom"/>
          </w:tcPr>
          <w:p>
            <w:pPr>
              <w:pStyle w:val="TableContents"/>
              <w:spacing w:before="0" w:after="0"/>
              <w:rPr/>
            </w:pPr>
            <w:r>
              <w:rPr/>
              <w:t>January 2023 to June 2023</w:t>
            </w:r>
          </w:p>
        </w:tc>
      </w:tr>
      <w:tr>
        <w:trPr/>
        <w:tc>
          <w:tcPr>
            <w:tcW w:w="1970" w:type="dxa"/>
            <w:tcBorders/>
            <w:shd w:fill="auto" w:val="clear"/>
            <w:vAlign w:val="bottom"/>
          </w:tcPr>
          <w:p>
            <w:pPr>
              <w:pStyle w:val="TableContents"/>
              <w:spacing w:before="0" w:after="0"/>
              <w:ind w:left="144" w:right="0" w:hanging="0"/>
              <w:rPr/>
            </w:pPr>
            <w:r>
              <w:rPr/>
              <w:t xml:space="preserve">March 07, 2022 </w:t>
            </w:r>
          </w:p>
        </w:tc>
        <w:tc>
          <w:tcPr>
            <w:tcW w:w="6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0"/>
              <w:rPr/>
            </w:pPr>
            <w:r>
              <w:rPr/>
              <w:t>$</w:t>
            </w:r>
          </w:p>
        </w:tc>
        <w:tc>
          <w:tcPr>
            <w:tcW w:w="1765" w:type="dxa"/>
            <w:tcBorders/>
            <w:shd w:fill="auto" w:val="clear"/>
            <w:vAlign w:val="bottom"/>
          </w:tcPr>
          <w:p>
            <w:pPr>
              <w:pStyle w:val="TableContents"/>
              <w:spacing w:before="0" w:after="0"/>
              <w:jc w:val="right"/>
              <w:rPr/>
            </w:pPr>
            <w:r>
              <w:rPr/>
              <w:t>24,000</w:t>
            </w:r>
          </w:p>
        </w:tc>
        <w:tc>
          <w:tcPr>
            <w:tcW w:w="60" w:type="dxa"/>
            <w:tcBorders/>
            <w:shd w:fill="auto" w:val="clear"/>
            <w:vAlign w:val="bottom"/>
          </w:tcPr>
          <w:p>
            <w:pPr>
              <w:pStyle w:val="TableContents"/>
              <w:spacing w:before="0" w:after="283"/>
              <w:rPr/>
            </w:pPr>
            <w:r>
              <w:rPr/>
              <w:t> </w:t>
            </w:r>
          </w:p>
        </w:tc>
        <w:tc>
          <w:tcPr>
            <w:tcW w:w="3125" w:type="dxa"/>
            <w:tcBorders/>
            <w:shd w:fill="auto" w:val="clear"/>
            <w:vAlign w:val="bottom"/>
          </w:tcPr>
          <w:p>
            <w:pPr>
              <w:pStyle w:val="TableContents"/>
              <w:spacing w:before="0" w:after="0"/>
              <w:rPr/>
            </w:pPr>
            <w:r>
              <w:rPr/>
              <w:t>July 2023 to December 2023</w:t>
            </w:r>
          </w:p>
        </w:tc>
      </w:tr>
      <w:tr>
        <w:trPr/>
        <w:tc>
          <w:tcPr>
            <w:tcW w:w="1970" w:type="dxa"/>
            <w:tcBorders/>
            <w:shd w:fill="CCEEFF" w:val="clear"/>
            <w:vAlign w:val="bottom"/>
          </w:tcPr>
          <w:p>
            <w:pPr>
              <w:pStyle w:val="TableContents"/>
              <w:spacing w:before="0" w:after="283"/>
              <w:rPr/>
            </w:pPr>
            <w:r>
              <w:rPr/>
              <w:t>April 27, 2022</w:t>
            </w:r>
          </w:p>
        </w:tc>
        <w:tc>
          <w:tcPr>
            <w:tcW w:w="60"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xml:space="preserve">$ </w:t>
            </w:r>
          </w:p>
        </w:tc>
        <w:tc>
          <w:tcPr>
            <w:tcW w:w="1765" w:type="dxa"/>
            <w:tcBorders/>
            <w:shd w:fill="CCEEFF" w:val="clear"/>
            <w:vAlign w:val="bottom"/>
          </w:tcPr>
          <w:p>
            <w:pPr>
              <w:pStyle w:val="TableContents"/>
              <w:spacing w:before="0" w:after="283"/>
              <w:jc w:val="right"/>
              <w:rPr/>
            </w:pPr>
            <w:r>
              <w:rPr/>
              <w:t>42,000</w:t>
            </w:r>
          </w:p>
        </w:tc>
        <w:tc>
          <w:tcPr>
            <w:tcW w:w="60" w:type="dxa"/>
            <w:tcBorders/>
            <w:shd w:fill="CCEEFF" w:val="clear"/>
            <w:vAlign w:val="bottom"/>
          </w:tcPr>
          <w:p>
            <w:pPr>
              <w:pStyle w:val="TableContents"/>
              <w:spacing w:before="0" w:after="283"/>
              <w:rPr/>
            </w:pPr>
            <w:r>
              <w:rPr/>
              <w:t> </w:t>
            </w:r>
          </w:p>
        </w:tc>
        <w:tc>
          <w:tcPr>
            <w:tcW w:w="3125" w:type="dxa"/>
            <w:tcBorders/>
            <w:shd w:fill="CCEEFF" w:val="clear"/>
            <w:vAlign w:val="bottom"/>
          </w:tcPr>
          <w:p>
            <w:pPr>
              <w:pStyle w:val="TableContents"/>
              <w:spacing w:before="0" w:after="283"/>
              <w:rPr/>
            </w:pPr>
            <w:r>
              <w:rPr/>
              <w:t>January 2023 to December 2023</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fair values of the Company’s outstanding zero cost collar contracts recorded as assets and liabilities as of March 31, 2023 and December 31, 2022 are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9889" w:type="dxa"/>
        <w:jc w:val="left"/>
        <w:tblInd w:w="0" w:type="dxa"/>
        <w:tblCellMar>
          <w:top w:w="0" w:type="dxa"/>
          <w:left w:w="0" w:type="dxa"/>
          <w:bottom w:w="0" w:type="dxa"/>
          <w:right w:w="0" w:type="dxa"/>
        </w:tblCellMar>
      </w:tblPr>
      <w:tblGrid>
        <w:gridCol w:w="4790"/>
        <w:gridCol w:w="2180"/>
        <w:gridCol w:w="60"/>
        <w:gridCol w:w="281"/>
        <w:gridCol w:w="788"/>
        <w:gridCol w:w="60"/>
        <w:gridCol w:w="60"/>
        <w:gridCol w:w="283"/>
        <w:gridCol w:w="1132"/>
        <w:gridCol w:w="255"/>
      </w:tblGrid>
      <w:tr>
        <w:trPr/>
        <w:tc>
          <w:tcPr>
            <w:tcW w:w="4790" w:type="dxa"/>
            <w:tcBorders/>
            <w:shd w:fill="auto" w:val="clear"/>
            <w:vAlign w:val="bottom"/>
          </w:tcPr>
          <w:p>
            <w:pPr>
              <w:pStyle w:val="TableContents"/>
              <w:spacing w:before="0" w:after="0"/>
              <w:ind w:left="144" w:right="0" w:hanging="144"/>
              <w:rPr>
                <w:b/>
                <w:u w:val="single"/>
              </w:rPr>
            </w:pPr>
            <w:r>
              <w:rPr>
                <w:b/>
                <w:u w:val="single"/>
              </w:rPr>
              <w:t>Derivatives designated as hedging instruments:</w:t>
            </w:r>
          </w:p>
        </w:tc>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255" w:type="dxa"/>
            <w:tcBorders/>
            <w:shd w:fill="auto" w:val="clear"/>
            <w:vAlign w:val="bottom"/>
          </w:tcPr>
          <w:p>
            <w:pPr>
              <w:pStyle w:val="TableContents"/>
              <w:spacing w:before="0" w:after="283"/>
              <w:jc w:val="left"/>
              <w:rPr/>
            </w:pPr>
            <w:r>
              <w:rPr/>
              <w:t> </w:t>
            </w:r>
          </w:p>
        </w:tc>
      </w:tr>
      <w:tr>
        <w:trPr/>
        <w:tc>
          <w:tcPr>
            <w:tcW w:w="4790" w:type="dxa"/>
            <w:tcBorders/>
            <w:shd w:fill="auto" w:val="clear"/>
            <w:vAlign w:val="bottom"/>
          </w:tcPr>
          <w:p>
            <w:pPr>
              <w:pStyle w:val="TableContents"/>
              <w:spacing w:before="0" w:after="283"/>
              <w:rPr/>
            </w:pPr>
            <w:r>
              <w:rPr/>
              <w:t>Asset Derivatives:</w:t>
            </w:r>
          </w:p>
        </w:tc>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ind w:left="0" w:right="0" w:firstLine="180"/>
              <w:jc w:val="left"/>
              <w:rPr/>
            </w:pPr>
            <w:r>
              <w:rPr/>
              <w:t> </w:t>
            </w:r>
          </w:p>
        </w:tc>
      </w:tr>
      <w:tr>
        <w:trPr/>
        <w:tc>
          <w:tcPr>
            <w:tcW w:w="4790" w:type="dxa"/>
            <w:tcBorders/>
            <w:shd w:fill="CCEEFF" w:val="clear"/>
            <w:vAlign w:val="bottom"/>
          </w:tcPr>
          <w:p>
            <w:pPr>
              <w:pStyle w:val="TableContents"/>
              <w:spacing w:before="0" w:after="0"/>
              <w:rPr/>
            </w:pPr>
            <w:r>
              <w:rPr/>
              <w:t>Zero cost collars</w:t>
            </w:r>
          </w:p>
        </w:tc>
        <w:tc>
          <w:tcPr>
            <w:tcW w:w="2180" w:type="dxa"/>
            <w:tcBorders/>
            <w:shd w:fill="CCEEFF" w:val="clear"/>
            <w:vAlign w:val="bottom"/>
          </w:tcPr>
          <w:p>
            <w:pPr>
              <w:pStyle w:val="TableContents"/>
              <w:spacing w:before="0" w:after="283"/>
              <w:rPr/>
            </w:pPr>
            <w:r>
              <w:rPr/>
              <w:t>Other current assets</w:t>
            </w:r>
          </w:p>
        </w:tc>
        <w:tc>
          <w:tcPr>
            <w:tcW w:w="60"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xml:space="preserve">$ </w:t>
            </w:r>
          </w:p>
        </w:tc>
        <w:tc>
          <w:tcPr>
            <w:tcW w:w="788"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jc w:val="left"/>
              <w:rPr/>
            </w:pPr>
            <w:r>
              <w:rPr/>
              <w:t xml:space="preserve">$ </w:t>
            </w:r>
          </w:p>
        </w:tc>
        <w:tc>
          <w:tcPr>
            <w:tcW w:w="1132" w:type="dxa"/>
            <w:tcBorders/>
            <w:shd w:fill="CCEEFF" w:val="clear"/>
            <w:vAlign w:val="bottom"/>
          </w:tcPr>
          <w:p>
            <w:pPr>
              <w:pStyle w:val="TableContents"/>
              <w:spacing w:before="0" w:after="283"/>
              <w:jc w:val="right"/>
              <w:rPr/>
            </w:pPr>
            <w:r>
              <w:rPr/>
              <w:t>—</w:t>
            </w:r>
          </w:p>
        </w:tc>
        <w:tc>
          <w:tcPr>
            <w:tcW w:w="255" w:type="dxa"/>
            <w:tcBorders/>
            <w:shd w:fill="CCEEFF" w:val="clear"/>
            <w:vAlign w:val="bottom"/>
          </w:tcPr>
          <w:p>
            <w:pPr>
              <w:pStyle w:val="TableContents"/>
              <w:spacing w:before="0" w:after="283"/>
              <w:jc w:val="left"/>
              <w:rPr/>
            </w:pPr>
            <w:r>
              <w:rPr/>
              <w:t> </w:t>
            </w:r>
          </w:p>
        </w:tc>
      </w:tr>
      <w:tr>
        <w:trPr/>
        <w:tc>
          <w:tcPr>
            <w:tcW w:w="4790" w:type="dxa"/>
            <w:tcBorders/>
            <w:shd w:fill="auto" w:val="clear"/>
            <w:vAlign w:val="bottom"/>
          </w:tcPr>
          <w:p>
            <w:pPr>
              <w:pStyle w:val="TableContents"/>
              <w:spacing w:before="0" w:after="0"/>
              <w:ind w:left="144" w:right="0" w:hanging="144"/>
              <w:rPr/>
            </w:pPr>
            <w:r>
              <w:rPr/>
              <w:t>Liability Derivatives:</w:t>
            </w:r>
          </w:p>
        </w:tc>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790" w:type="dxa"/>
            <w:tcBorders/>
            <w:shd w:fill="CCEEFF" w:val="clear"/>
            <w:vAlign w:val="bottom"/>
          </w:tcPr>
          <w:p>
            <w:pPr>
              <w:pStyle w:val="TableContents"/>
              <w:spacing w:before="0" w:after="0"/>
              <w:ind w:left="324" w:right="0" w:hanging="144"/>
              <w:rPr/>
            </w:pPr>
            <w:r>
              <w:rPr/>
              <w:t>Zero cost collars</w:t>
            </w:r>
          </w:p>
        </w:tc>
        <w:tc>
          <w:tcPr>
            <w:tcW w:w="2180" w:type="dxa"/>
            <w:tcBorders/>
            <w:shd w:fill="CCEEFF" w:val="clear"/>
            <w:vAlign w:val="bottom"/>
          </w:tcPr>
          <w:p>
            <w:pPr>
              <w:pStyle w:val="TableContents"/>
              <w:spacing w:before="0" w:after="0"/>
              <w:rPr/>
            </w:pPr>
            <w:r>
              <w:rPr/>
              <w:t>Other current liabilities</w:t>
            </w:r>
          </w:p>
        </w:tc>
        <w:tc>
          <w:tcPr>
            <w:tcW w:w="60"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0"/>
              <w:jc w:val="left"/>
              <w:rPr/>
            </w:pPr>
            <w:r>
              <w:rPr/>
              <w:t>$</w:t>
            </w:r>
          </w:p>
        </w:tc>
        <w:tc>
          <w:tcPr>
            <w:tcW w:w="788"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0"/>
              <w:jc w:val="left"/>
              <w:rPr/>
            </w:pPr>
            <w:r>
              <w:rPr/>
              <w:t>$</w:t>
            </w:r>
          </w:p>
        </w:tc>
        <w:tc>
          <w:tcPr>
            <w:tcW w:w="1132" w:type="dxa"/>
            <w:tcBorders/>
            <w:shd w:fill="CCEEFF" w:val="clear"/>
            <w:vAlign w:val="bottom"/>
          </w:tcPr>
          <w:p>
            <w:pPr>
              <w:pStyle w:val="TableContents"/>
              <w:spacing w:before="0" w:after="0"/>
              <w:jc w:val="right"/>
              <w:rPr/>
            </w:pPr>
            <w:r>
              <w:rPr/>
              <w:t>2,015</w:t>
            </w:r>
          </w:p>
        </w:tc>
        <w:tc>
          <w:tcPr>
            <w:tcW w:w="25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Offsetting of derivative assets and liabilities as of March 31, 2023 is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732"/>
        <w:gridCol w:w="60"/>
        <w:gridCol w:w="305"/>
        <w:gridCol w:w="1223"/>
        <w:gridCol w:w="60"/>
        <w:gridCol w:w="60"/>
        <w:gridCol w:w="449"/>
        <w:gridCol w:w="836"/>
        <w:gridCol w:w="60"/>
        <w:gridCol w:w="60"/>
        <w:gridCol w:w="279"/>
        <w:gridCol w:w="1117"/>
        <w:gridCol w:w="60"/>
        <w:gridCol w:w="60"/>
        <w:gridCol w:w="427"/>
        <w:gridCol w:w="793"/>
        <w:gridCol w:w="88"/>
        <w:gridCol w:w="88"/>
        <w:gridCol w:w="346"/>
        <w:gridCol w:w="962"/>
        <w:gridCol w:w="95"/>
        <w:gridCol w:w="60"/>
        <w:gridCol w:w="283"/>
        <w:gridCol w:w="773"/>
        <w:gridCol w:w="263"/>
      </w:tblGrid>
      <w:tr>
        <w:trPr/>
        <w:tc>
          <w:tcPr>
            <w:tcW w:w="173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8" w:type="dxa"/>
            <w:gridSpan w:val="2"/>
            <w:vMerge w:val="restart"/>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jc w:val="center"/>
              <w:rPr>
                <w:b/>
              </w:rPr>
            </w:pPr>
            <w:r>
              <w:rPr>
                <w:b/>
              </w:rPr>
              <w:t>Gross amounts of</w:t>
            </w:r>
          </w:p>
          <w:p>
            <w:pPr>
              <w:pStyle w:val="TableContents"/>
              <w:spacing w:before="0" w:after="0"/>
              <w:jc w:val="center"/>
              <w:rPr>
                <w:b/>
              </w:rPr>
            </w:pPr>
            <w:r>
              <w:rPr>
                <w:b/>
              </w:rPr>
              <w:t>recognized</w:t>
            </w:r>
          </w:p>
          <w:p>
            <w:pPr>
              <w:pStyle w:val="TableContents"/>
              <w:spacing w:before="0" w:after="0"/>
              <w:jc w:val="center"/>
              <w:rPr>
                <w:b/>
              </w:rPr>
            </w:pPr>
            <w:r>
              <w:rPr>
                <w:b/>
              </w:rPr>
              <w:t>Assets/liabilities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85" w:type="dxa"/>
            <w:gridSpan w:val="2"/>
            <w:vMerge w:val="restart"/>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jc w:val="center"/>
              <w:rPr>
                <w:b/>
              </w:rPr>
            </w:pPr>
            <w:r>
              <w:rPr>
                <w:b/>
              </w:rPr>
              <w:t>Gross amounts</w:t>
            </w:r>
          </w:p>
          <w:p>
            <w:pPr>
              <w:pStyle w:val="TableContents"/>
              <w:spacing w:before="0" w:after="0"/>
              <w:jc w:val="center"/>
              <w:rPr>
                <w:b/>
              </w:rPr>
            </w:pPr>
            <w:r>
              <w:rPr>
                <w:b/>
              </w:rPr>
              <w:t>offset in the</w:t>
            </w:r>
          </w:p>
          <w:p>
            <w:pPr>
              <w:pStyle w:val="TableContents"/>
              <w:spacing w:before="0" w:after="0"/>
              <w:jc w:val="center"/>
              <w:rPr>
                <w:b/>
              </w:rPr>
            </w:pPr>
            <w:r>
              <w:rPr>
                <w:b/>
              </w:rPr>
              <w:t>balance sheets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6"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Net amounts of</w:t>
            </w:r>
          </w:p>
          <w:p>
            <w:pPr>
              <w:pStyle w:val="TableContents"/>
              <w:spacing w:before="0" w:after="0"/>
              <w:jc w:val="center"/>
              <w:rPr>
                <w:b/>
              </w:rPr>
            </w:pPr>
            <w:r>
              <w:rPr>
                <w:b/>
              </w:rPr>
              <w:t>Assets/liabilities</w:t>
            </w:r>
          </w:p>
          <w:p>
            <w:pPr>
              <w:pStyle w:val="TableContents"/>
              <w:spacing w:before="0" w:after="0"/>
              <w:jc w:val="center"/>
              <w:rPr>
                <w:b/>
              </w:rPr>
            </w:pPr>
            <w:r>
              <w:rPr>
                <w:b/>
              </w:rPr>
              <w:t>presented in the</w:t>
            </w:r>
          </w:p>
          <w:p>
            <w:pPr>
              <w:pStyle w:val="TableContents"/>
              <w:spacing w:before="0" w:after="0"/>
              <w:jc w:val="center"/>
              <w:rPr>
                <w:b/>
              </w:rPr>
            </w:pPr>
            <w:r>
              <w:rPr>
                <w:b/>
              </w:rPr>
              <w:t>balance sheets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04"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Gross amounts not offset</w:t>
            </w:r>
          </w:p>
          <w:p>
            <w:pPr>
              <w:pStyle w:val="TableContents"/>
              <w:spacing w:before="0" w:after="0"/>
              <w:jc w:val="center"/>
              <w:rPr>
                <w:b/>
              </w:rPr>
            </w:pPr>
            <w:r>
              <w:rPr>
                <w:b/>
              </w:rPr>
              <w:t>in the balance sheets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6"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Net amount</w:t>
            </w:r>
          </w:p>
        </w:tc>
        <w:tc>
          <w:tcPr>
            <w:tcW w:w="263" w:type="dxa"/>
            <w:tcBorders/>
            <w:shd w:fill="auto" w:val="clear"/>
            <w:vAlign w:val="bottom"/>
          </w:tcPr>
          <w:p>
            <w:pPr>
              <w:pStyle w:val="TableContents"/>
              <w:spacing w:before="0" w:after="283"/>
              <w:jc w:val="left"/>
              <w:rPr/>
            </w:pPr>
            <w:r>
              <w:rPr/>
              <w:t> </w:t>
            </w:r>
          </w:p>
        </w:tc>
      </w:tr>
      <w:tr>
        <w:trPr/>
        <w:tc>
          <w:tcPr>
            <w:tcW w:w="1732" w:type="dxa"/>
            <w:tcBorders>
              <w:bottom w:val="single" w:sz="12" w:space="0" w:color="000000"/>
            </w:tcBorders>
            <w:shd w:fill="auto" w:val="clear"/>
            <w:tcMar>
              <w:bottom w:w="28" w:type="dxa"/>
            </w:tcMar>
            <w:vAlign w:val="bottom"/>
          </w:tcPr>
          <w:p>
            <w:pPr>
              <w:pStyle w:val="TableContents"/>
              <w:spacing w:before="0" w:after="0"/>
              <w:ind w:left="144" w:right="0" w:hanging="0"/>
              <w:rPr>
                <w:b/>
              </w:rPr>
            </w:pPr>
            <w:r>
              <w:rPr>
                <w:b/>
              </w:rPr>
              <w:t>As of March 31, 2023</w:t>
            </w:r>
          </w:p>
        </w:tc>
        <w:tc>
          <w:tcPr>
            <w:tcW w:w="60" w:type="dxa"/>
            <w:tcBorders/>
            <w:shd w:fill="auto" w:val="clear"/>
            <w:vAlign w:val="bottom"/>
          </w:tcPr>
          <w:p>
            <w:pPr>
              <w:pStyle w:val="TableContents"/>
              <w:spacing w:before="0" w:after="283"/>
              <w:rPr/>
            </w:pPr>
            <w:r>
              <w:rPr/>
              <w:t> </w:t>
            </w:r>
          </w:p>
        </w:tc>
        <w:tc>
          <w:tcPr>
            <w:tcW w:w="1528"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85"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6"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Financial</w:t>
            </w:r>
          </w:p>
          <w:p>
            <w:pPr>
              <w:pStyle w:val="TableContents"/>
              <w:spacing w:before="0" w:after="0"/>
              <w:jc w:val="center"/>
              <w:rPr>
                <w:b/>
              </w:rPr>
            </w:pPr>
            <w:r>
              <w:rPr>
                <w:b/>
              </w:rPr>
              <w:t>instruments</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30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Cash collateral</w:t>
            </w:r>
          </w:p>
          <w:p>
            <w:pPr>
              <w:pStyle w:val="TableContents"/>
              <w:spacing w:before="0" w:after="0"/>
              <w:jc w:val="center"/>
              <w:rPr>
                <w:b/>
              </w:rPr>
            </w:pPr>
            <w:r>
              <w:rPr>
                <w:b/>
              </w:rPr>
              <w:t>pledged</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6" w:type="dxa"/>
            <w:gridSpan w:val="2"/>
            <w:vMerge w:val="continue"/>
            <w:tcBorders>
              <w:bottom w:val="single" w:sz="12" w:space="0" w:color="000000"/>
            </w:tcBorders>
            <w:shd w:fill="auto" w:val="clear"/>
            <w:tcMar>
              <w:bottom w:w="28" w:type="dxa"/>
            </w:tcMar>
            <w:vAlign w:val="bottom"/>
          </w:tcPr>
          <w:p>
            <w:pPr>
              <w:pStyle w:val="Normal"/>
              <w:rPr/>
            </w:pPr>
            <w:r>
              <w:rPr/>
            </w:r>
          </w:p>
        </w:tc>
        <w:tc>
          <w:tcPr>
            <w:tcW w:w="263" w:type="dxa"/>
            <w:tcBorders/>
            <w:shd w:fill="auto" w:val="clear"/>
            <w:vAlign w:val="bottom"/>
          </w:tcPr>
          <w:p>
            <w:pPr>
              <w:pStyle w:val="TableContents"/>
              <w:spacing w:before="0" w:after="283"/>
              <w:jc w:val="left"/>
              <w:rPr/>
            </w:pPr>
            <w:r>
              <w:rPr/>
              <w:t> </w:t>
            </w:r>
          </w:p>
        </w:tc>
      </w:tr>
      <w:tr>
        <w:trPr/>
        <w:tc>
          <w:tcPr>
            <w:tcW w:w="1732" w:type="dxa"/>
            <w:tcBorders/>
            <w:shd w:fill="auto" w:val="clear"/>
            <w:vAlign w:val="bottom"/>
          </w:tcPr>
          <w:p>
            <w:pPr>
              <w:pStyle w:val="TableContents"/>
              <w:spacing w:before="0" w:after="0"/>
              <w:ind w:left="180" w:right="0" w:hanging="180"/>
              <w:rPr/>
            </w:pPr>
            <w:r>
              <w:rPr/>
              <w:t>Asset Derivatives:</w:t>
            </w:r>
          </w:p>
        </w:tc>
        <w:tc>
          <w:tcPr>
            <w:tcW w:w="60" w:type="dxa"/>
            <w:tcBorders/>
            <w:shd w:fill="auto" w:val="clear"/>
            <w:vAlign w:val="bottom"/>
          </w:tcPr>
          <w:p>
            <w:pPr>
              <w:pStyle w:val="TableContents"/>
              <w:spacing w:before="0" w:after="283"/>
              <w:rPr/>
            </w:pPr>
            <w:r>
              <w:rPr/>
              <w:t> </w:t>
            </w:r>
          </w:p>
        </w:tc>
        <w:tc>
          <w:tcPr>
            <w:tcW w:w="152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9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ind w:left="0" w:right="0" w:firstLine="180"/>
              <w:jc w:val="left"/>
              <w:rPr/>
            </w:pPr>
            <w:r>
              <w:rPr/>
              <w:t> </w:t>
            </w:r>
          </w:p>
        </w:tc>
      </w:tr>
      <w:tr>
        <w:trPr/>
        <w:tc>
          <w:tcPr>
            <w:tcW w:w="1732" w:type="dxa"/>
            <w:tcBorders/>
            <w:shd w:fill="CCEEFF" w:val="clear"/>
            <w:vAlign w:val="bottom"/>
          </w:tcPr>
          <w:p>
            <w:pPr>
              <w:pStyle w:val="TableContents"/>
              <w:spacing w:before="0" w:after="0"/>
              <w:rPr/>
            </w:pPr>
            <w:r>
              <w:rPr/>
              <w:t>Zero cost collars</w:t>
            </w:r>
          </w:p>
        </w:tc>
        <w:tc>
          <w:tcPr>
            <w:tcW w:w="60"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49"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9" w:type="dxa"/>
            <w:tcBorders/>
            <w:shd w:fill="CCEEFF" w:val="clear"/>
            <w:vAlign w:val="bottom"/>
          </w:tcPr>
          <w:p>
            <w:pPr>
              <w:pStyle w:val="TableContents"/>
              <w:spacing w:before="0" w:after="283"/>
              <w:jc w:val="left"/>
              <w:rPr/>
            </w:pPr>
            <w:r>
              <w:rPr/>
              <w:t xml:space="preserve">$ </w:t>
            </w:r>
          </w:p>
        </w:tc>
        <w:tc>
          <w:tcPr>
            <w:tcW w:w="1117"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27" w:type="dxa"/>
            <w:tcBorders/>
            <w:shd w:fill="CCEEFF" w:val="clear"/>
            <w:vAlign w:val="bottom"/>
          </w:tcPr>
          <w:p>
            <w:pPr>
              <w:pStyle w:val="TableContents"/>
              <w:spacing w:before="0" w:after="283"/>
              <w:jc w:val="left"/>
              <w:rPr/>
            </w:pPr>
            <w:r>
              <w:rPr/>
              <w:t xml:space="preserve">$ </w:t>
            </w:r>
          </w:p>
        </w:tc>
        <w:tc>
          <w:tcPr>
            <w:tcW w:w="793"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283"/>
              <w:jc w:val="left"/>
              <w:rPr/>
            </w:pPr>
            <w:r>
              <w:rPr/>
              <w:t xml:space="preserve">$ </w:t>
            </w:r>
          </w:p>
        </w:tc>
        <w:tc>
          <w:tcPr>
            <w:tcW w:w="96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283"/>
              <w:jc w:val="left"/>
              <w:rPr/>
            </w:pPr>
            <w:r>
              <w:rPr/>
              <w:t xml:space="preserve">$ </w:t>
            </w:r>
          </w:p>
        </w:tc>
        <w:tc>
          <w:tcPr>
            <w:tcW w:w="773" w:type="dxa"/>
            <w:tcBorders/>
            <w:shd w:fill="CCEEFF" w:val="clear"/>
            <w:vAlign w:val="bottom"/>
          </w:tcPr>
          <w:p>
            <w:pPr>
              <w:pStyle w:val="TableContents"/>
              <w:spacing w:before="0" w:after="283"/>
              <w:jc w:val="right"/>
              <w:rPr/>
            </w:pPr>
            <w:r>
              <w:rPr/>
              <w:t>2</w:t>
            </w:r>
          </w:p>
        </w:tc>
        <w:tc>
          <w:tcPr>
            <w:tcW w:w="263" w:type="dxa"/>
            <w:tcBorders/>
            <w:shd w:fill="CCEEFF" w:val="clear"/>
            <w:vAlign w:val="bottom"/>
          </w:tcPr>
          <w:p>
            <w:pPr>
              <w:pStyle w:val="TableContents"/>
              <w:spacing w:before="0" w:after="283"/>
              <w:jc w:val="left"/>
              <w:rPr/>
            </w:pPr>
            <w:r>
              <w:rPr/>
              <w:t> </w:t>
            </w:r>
          </w:p>
        </w:tc>
      </w:tr>
      <w:tr>
        <w:trPr/>
        <w:tc>
          <w:tcPr>
            <w:tcW w:w="1732" w:type="dxa"/>
            <w:tcBorders/>
            <w:shd w:fill="auto" w:val="clear"/>
            <w:vAlign w:val="bottom"/>
          </w:tcPr>
          <w:p>
            <w:pPr>
              <w:pStyle w:val="TableContents"/>
              <w:spacing w:before="0" w:after="0"/>
              <w:ind w:left="144" w:right="0" w:hanging="144"/>
              <w:rPr/>
            </w:pPr>
            <w:r>
              <w:rPr/>
              <w:t>Liability Derivatives:</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jc w:val="left"/>
              <w:rPr/>
            </w:pPr>
            <w:r>
              <w:rPr/>
              <w:t> </w:t>
            </w:r>
          </w:p>
        </w:tc>
        <w:tc>
          <w:tcPr>
            <w:tcW w:w="122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left"/>
              <w:rPr/>
            </w:pPr>
            <w:r>
              <w:rPr/>
              <w:t> </w:t>
            </w:r>
          </w:p>
        </w:tc>
        <w:tc>
          <w:tcPr>
            <w:tcW w:w="83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jc w:val="left"/>
              <w:rPr/>
            </w:pPr>
            <w:r>
              <w:rPr/>
              <w:t> </w:t>
            </w:r>
          </w:p>
        </w:tc>
        <w:tc>
          <w:tcPr>
            <w:tcW w:w="111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left"/>
              <w:rPr/>
            </w:pPr>
            <w:r>
              <w:rPr/>
              <w:t> </w:t>
            </w:r>
          </w:p>
        </w:tc>
        <w:tc>
          <w:tcPr>
            <w:tcW w:w="793"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jc w:val="left"/>
              <w:rPr/>
            </w:pPr>
            <w:r>
              <w:rPr/>
              <w:t> </w:t>
            </w:r>
          </w:p>
        </w:tc>
        <w:tc>
          <w:tcPr>
            <w:tcW w:w="962"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 </w:t>
            </w:r>
          </w:p>
        </w:tc>
        <w:tc>
          <w:tcPr>
            <w:tcW w:w="263" w:type="dxa"/>
            <w:tcBorders/>
            <w:shd w:fill="auto" w:val="clear"/>
            <w:vAlign w:val="bottom"/>
          </w:tcPr>
          <w:p>
            <w:pPr>
              <w:pStyle w:val="TableContents"/>
              <w:spacing w:before="0" w:after="283"/>
              <w:jc w:val="left"/>
              <w:rPr/>
            </w:pPr>
            <w:r>
              <w:rPr/>
              <w:t> </w:t>
            </w:r>
          </w:p>
        </w:tc>
      </w:tr>
      <w:tr>
        <w:trPr/>
        <w:tc>
          <w:tcPr>
            <w:tcW w:w="1732" w:type="dxa"/>
            <w:tcBorders/>
            <w:shd w:fill="CCEEFF" w:val="clear"/>
            <w:vAlign w:val="bottom"/>
          </w:tcPr>
          <w:p>
            <w:pPr>
              <w:pStyle w:val="TableContents"/>
              <w:spacing w:before="0" w:after="0"/>
              <w:ind w:left="324" w:right="0" w:hanging="144"/>
              <w:rPr/>
            </w:pPr>
            <w:r>
              <w:rPr/>
              <w:t>Zero cost collars</w:t>
            </w:r>
          </w:p>
        </w:tc>
        <w:tc>
          <w:tcPr>
            <w:tcW w:w="60" w:type="dxa"/>
            <w:tcBorders/>
            <w:shd w:fill="CCEEFF" w:val="clear"/>
            <w:vAlign w:val="bottom"/>
          </w:tcPr>
          <w:p>
            <w:pPr>
              <w:pStyle w:val="TableContents"/>
              <w:spacing w:before="0" w:after="283"/>
              <w:jc w:val="right"/>
              <w:rPr/>
            </w:pPr>
            <w:r>
              <w:rPr/>
              <w:t> </w:t>
            </w:r>
          </w:p>
        </w:tc>
        <w:tc>
          <w:tcPr>
            <w:tcW w:w="305" w:type="dxa"/>
            <w:tcBorders/>
            <w:shd w:fill="CCEEFF" w:val="clear"/>
            <w:vAlign w:val="bottom"/>
          </w:tcPr>
          <w:p>
            <w:pPr>
              <w:pStyle w:val="TableContents"/>
              <w:spacing w:before="0" w:after="0"/>
              <w:jc w:val="left"/>
              <w:rPr/>
            </w:pPr>
            <w:r>
              <w:rPr/>
              <w:t>$</w:t>
            </w:r>
          </w:p>
        </w:tc>
        <w:tc>
          <w:tcPr>
            <w:tcW w:w="1223"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49" w:type="dxa"/>
            <w:tcBorders/>
            <w:shd w:fill="CCEEFF" w:val="clear"/>
            <w:vAlign w:val="bottom"/>
          </w:tcPr>
          <w:p>
            <w:pPr>
              <w:pStyle w:val="TableContents"/>
              <w:spacing w:before="0" w:after="0"/>
              <w:jc w:val="left"/>
              <w:rPr/>
            </w:pPr>
            <w:r>
              <w:rPr/>
              <w:t>$</w:t>
            </w:r>
          </w:p>
        </w:tc>
        <w:tc>
          <w:tcPr>
            <w:tcW w:w="83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9" w:type="dxa"/>
            <w:tcBorders/>
            <w:shd w:fill="CCEEFF" w:val="clear"/>
            <w:vAlign w:val="bottom"/>
          </w:tcPr>
          <w:p>
            <w:pPr>
              <w:pStyle w:val="TableContents"/>
              <w:spacing w:before="0" w:after="0"/>
              <w:jc w:val="left"/>
              <w:rPr/>
            </w:pPr>
            <w:r>
              <w:rPr/>
              <w:t>$</w:t>
            </w:r>
          </w:p>
        </w:tc>
        <w:tc>
          <w:tcPr>
            <w:tcW w:w="1117"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27" w:type="dxa"/>
            <w:tcBorders/>
            <w:shd w:fill="CCEEFF" w:val="clear"/>
            <w:vAlign w:val="bottom"/>
          </w:tcPr>
          <w:p>
            <w:pPr>
              <w:pStyle w:val="TableContents"/>
              <w:spacing w:before="0" w:after="0"/>
              <w:jc w:val="left"/>
              <w:rPr/>
            </w:pPr>
            <w:r>
              <w:rPr/>
              <w:t>$</w:t>
            </w:r>
          </w:p>
        </w:tc>
        <w:tc>
          <w:tcPr>
            <w:tcW w:w="793" w:type="dxa"/>
            <w:tcBorders/>
            <w:shd w:fill="CCEEFF" w:val="clear"/>
            <w:vAlign w:val="bottom"/>
          </w:tcPr>
          <w:p>
            <w:pPr>
              <w:pStyle w:val="TableContents"/>
              <w:spacing w:before="0" w:after="0"/>
              <w:jc w:val="right"/>
              <w:rPr/>
            </w:pPr>
            <w:r>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0"/>
              <w:jc w:val="left"/>
              <w:rPr/>
            </w:pPr>
            <w:r>
              <w:rPr/>
              <w:t>$</w:t>
            </w:r>
          </w:p>
        </w:tc>
        <w:tc>
          <w:tcPr>
            <w:tcW w:w="962" w:type="dxa"/>
            <w:tcBorders/>
            <w:shd w:fill="CCEEFF" w:val="clear"/>
            <w:vAlign w:val="bottom"/>
          </w:tcPr>
          <w:p>
            <w:pPr>
              <w:pStyle w:val="TableContents"/>
              <w:spacing w:before="0" w:after="0"/>
              <w:jc w:val="right"/>
              <w:rPr/>
            </w:pPr>
            <w:r>
              <w:rPr/>
              <w:t>(1,820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83" w:type="dxa"/>
            <w:tcBorders/>
            <w:shd w:fill="CCEEFF" w:val="clear"/>
            <w:vAlign w:val="bottom"/>
          </w:tcPr>
          <w:p>
            <w:pPr>
              <w:pStyle w:val="TableContents"/>
              <w:spacing w:before="0" w:after="0"/>
              <w:jc w:val="left"/>
              <w:rPr/>
            </w:pPr>
            <w:r>
              <w:rPr/>
              <w:t>$</w:t>
            </w:r>
          </w:p>
        </w:tc>
        <w:tc>
          <w:tcPr>
            <w:tcW w:w="773" w:type="dxa"/>
            <w:tcBorders/>
            <w:shd w:fill="CCEEFF" w:val="clear"/>
            <w:vAlign w:val="bottom"/>
          </w:tcPr>
          <w:p>
            <w:pPr>
              <w:pStyle w:val="TableContents"/>
              <w:spacing w:before="0" w:after="0"/>
              <w:jc w:val="right"/>
              <w:rPr/>
            </w:pPr>
            <w:r>
              <w:rPr/>
              <w:t>821</w:t>
            </w:r>
          </w:p>
        </w:tc>
        <w:tc>
          <w:tcPr>
            <w:tcW w:w="263"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Offsetting of derivative liabilities as of December 31, 2022 is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1955"/>
        <w:gridCol w:w="60"/>
        <w:gridCol w:w="303"/>
        <w:gridCol w:w="1214"/>
        <w:gridCol w:w="60"/>
        <w:gridCol w:w="60"/>
        <w:gridCol w:w="445"/>
        <w:gridCol w:w="828"/>
        <w:gridCol w:w="60"/>
        <w:gridCol w:w="60"/>
        <w:gridCol w:w="277"/>
        <w:gridCol w:w="1108"/>
        <w:gridCol w:w="60"/>
        <w:gridCol w:w="60"/>
        <w:gridCol w:w="427"/>
        <w:gridCol w:w="793"/>
        <w:gridCol w:w="93"/>
        <w:gridCol w:w="93"/>
        <w:gridCol w:w="274"/>
        <w:gridCol w:w="1023"/>
        <w:gridCol w:w="95"/>
        <w:gridCol w:w="60"/>
        <w:gridCol w:w="367"/>
        <w:gridCol w:w="682"/>
        <w:gridCol w:w="82"/>
      </w:tblGrid>
      <w:tr>
        <w:trPr/>
        <w:tc>
          <w:tcPr>
            <w:tcW w:w="1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7" w:type="dxa"/>
            <w:gridSpan w:val="2"/>
            <w:vMerge w:val="restart"/>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jc w:val="center"/>
              <w:rPr>
                <w:b/>
              </w:rPr>
            </w:pPr>
            <w:r>
              <w:rPr>
                <w:b/>
              </w:rPr>
              <w:t>Gross amounts of</w:t>
            </w:r>
          </w:p>
          <w:p>
            <w:pPr>
              <w:pStyle w:val="TableContents"/>
              <w:spacing w:before="0" w:after="0"/>
              <w:jc w:val="center"/>
              <w:rPr>
                <w:b/>
              </w:rPr>
            </w:pPr>
            <w:r>
              <w:rPr>
                <w:b/>
              </w:rPr>
              <w:t>recognized</w:t>
            </w:r>
          </w:p>
          <w:p>
            <w:pPr>
              <w:pStyle w:val="TableContents"/>
              <w:spacing w:before="0" w:after="0"/>
              <w:jc w:val="center"/>
              <w:rPr>
                <w:b/>
              </w:rPr>
            </w:pPr>
            <w:r>
              <w:rPr>
                <w:b/>
              </w:rPr>
              <w:t>liabilities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3" w:type="dxa"/>
            <w:gridSpan w:val="2"/>
            <w:vMerge w:val="restart"/>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jc w:val="center"/>
              <w:rPr>
                <w:b/>
              </w:rPr>
            </w:pPr>
            <w:r>
              <w:rPr>
                <w:b/>
              </w:rPr>
              <w:t>Gross amounts</w:t>
            </w:r>
          </w:p>
          <w:p>
            <w:pPr>
              <w:pStyle w:val="TableContents"/>
              <w:spacing w:before="0" w:after="0"/>
              <w:jc w:val="center"/>
              <w:rPr>
                <w:b/>
              </w:rPr>
            </w:pPr>
            <w:r>
              <w:rPr>
                <w:b/>
              </w:rPr>
              <w:t>offset in the</w:t>
            </w:r>
          </w:p>
          <w:p>
            <w:pPr>
              <w:pStyle w:val="TableContents"/>
              <w:spacing w:before="0" w:after="0"/>
              <w:jc w:val="center"/>
              <w:rPr>
                <w:b/>
              </w:rPr>
            </w:pPr>
            <w:r>
              <w:rPr>
                <w:b/>
              </w:rPr>
              <w:t>balance sheets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5"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b/>
              </w:rPr>
            </w:pPr>
            <w:r>
              <w:rPr>
                <w:b/>
              </w:rPr>
              <w:t>Net amounts of</w:t>
            </w:r>
          </w:p>
          <w:p>
            <w:pPr>
              <w:pStyle w:val="TableContents"/>
              <w:spacing w:before="0" w:after="0"/>
              <w:jc w:val="center"/>
              <w:rPr>
                <w:b/>
              </w:rPr>
            </w:pPr>
            <w:r>
              <w:rPr>
                <w:b/>
              </w:rPr>
              <w:t>liabilities</w:t>
            </w:r>
          </w:p>
          <w:p>
            <w:pPr>
              <w:pStyle w:val="TableContents"/>
              <w:spacing w:before="0" w:after="0"/>
              <w:jc w:val="center"/>
              <w:rPr>
                <w:b/>
              </w:rPr>
            </w:pPr>
            <w:r>
              <w:rPr>
                <w:b/>
              </w:rPr>
              <w:t>presented in the</w:t>
            </w:r>
          </w:p>
          <w:p>
            <w:pPr>
              <w:pStyle w:val="TableContents"/>
              <w:spacing w:before="0" w:after="0"/>
              <w:jc w:val="center"/>
              <w:rPr>
                <w:b/>
              </w:rPr>
            </w:pPr>
            <w:r>
              <w:rPr>
                <w:b/>
              </w:rPr>
              <w:t>balance sheets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703"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Gross amounts not offset</w:t>
            </w:r>
          </w:p>
          <w:p>
            <w:pPr>
              <w:pStyle w:val="TableContents"/>
              <w:spacing w:before="0" w:after="0"/>
              <w:jc w:val="center"/>
              <w:rPr>
                <w:b/>
              </w:rPr>
            </w:pPr>
            <w:r>
              <w:rPr>
                <w:b/>
              </w:rPr>
              <w:t>in the balance sheets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9" w:type="dxa"/>
            <w:gridSpan w:val="2"/>
            <w:vMerge w:val="restart"/>
            <w:tcBorders>
              <w:bottom w:val="single" w:sz="12" w:space="0" w:color="000000"/>
            </w:tcBorders>
            <w:shd w:fill="auto" w:val="clear"/>
            <w:tcMar>
              <w:bottom w:w="28" w:type="dxa"/>
            </w:tcMar>
            <w:vAlign w:val="bottom"/>
          </w:tcPr>
          <w:p>
            <w:pPr>
              <w:pStyle w:val="TableContents"/>
              <w:spacing w:before="0" w:after="0"/>
              <w:rPr/>
            </w:pPr>
            <w:r>
              <w:rPr/>
            </w:r>
          </w:p>
          <w:p>
            <w:pPr>
              <w:pStyle w:val="TableContents"/>
              <w:spacing w:before="0" w:after="0"/>
              <w:jc w:val="center"/>
              <w:rPr>
                <w:b/>
              </w:rPr>
            </w:pPr>
            <w:r>
              <w:rPr>
                <w:b/>
              </w:rPr>
              <w:t>Net amount</w:t>
            </w:r>
          </w:p>
        </w:tc>
        <w:tc>
          <w:tcPr>
            <w:tcW w:w="82" w:type="dxa"/>
            <w:tcBorders/>
            <w:shd w:fill="auto" w:val="clear"/>
            <w:vAlign w:val="bottom"/>
          </w:tcPr>
          <w:p>
            <w:pPr>
              <w:pStyle w:val="TableContents"/>
              <w:spacing w:before="0" w:after="283"/>
              <w:jc w:val="left"/>
              <w:rPr/>
            </w:pPr>
            <w:r>
              <w:rPr/>
              <w:t> </w:t>
            </w:r>
          </w:p>
        </w:tc>
      </w:tr>
      <w:tr>
        <w:trPr/>
        <w:tc>
          <w:tcPr>
            <w:tcW w:w="1955" w:type="dxa"/>
            <w:tcBorders>
              <w:bottom w:val="single" w:sz="12" w:space="0" w:color="000000"/>
            </w:tcBorders>
            <w:shd w:fill="auto" w:val="clear"/>
            <w:tcMar>
              <w:bottom w:w="28" w:type="dxa"/>
            </w:tcMar>
            <w:vAlign w:val="bottom"/>
          </w:tcPr>
          <w:p>
            <w:pPr>
              <w:pStyle w:val="TableContents"/>
              <w:spacing w:before="0" w:after="0"/>
              <w:ind w:left="144" w:right="0" w:hanging="0"/>
              <w:rPr>
                <w:b/>
              </w:rPr>
            </w:pPr>
            <w:r>
              <w:rPr>
                <w:b/>
              </w:rPr>
              <w:t>As of December 31, 2022</w:t>
            </w:r>
          </w:p>
        </w:tc>
        <w:tc>
          <w:tcPr>
            <w:tcW w:w="60" w:type="dxa"/>
            <w:tcBorders/>
            <w:shd w:fill="auto" w:val="clear"/>
            <w:vAlign w:val="bottom"/>
          </w:tcPr>
          <w:p>
            <w:pPr>
              <w:pStyle w:val="TableContents"/>
              <w:spacing w:before="0" w:after="283"/>
              <w:rPr/>
            </w:pPr>
            <w:r>
              <w:rPr/>
              <w:t> </w:t>
            </w:r>
          </w:p>
        </w:tc>
        <w:tc>
          <w:tcPr>
            <w:tcW w:w="1517"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3"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5"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Financial</w:t>
            </w:r>
          </w:p>
          <w:p>
            <w:pPr>
              <w:pStyle w:val="TableContents"/>
              <w:spacing w:before="0" w:after="0"/>
              <w:jc w:val="center"/>
              <w:rPr>
                <w:b/>
              </w:rPr>
            </w:pPr>
            <w:r>
              <w:rPr>
                <w:b/>
              </w:rPr>
              <w:t>instruments</w:t>
            </w:r>
          </w:p>
        </w:tc>
        <w:tc>
          <w:tcPr>
            <w:tcW w:w="9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Cash collateral</w:t>
            </w:r>
          </w:p>
          <w:p>
            <w:pPr>
              <w:pStyle w:val="TableContents"/>
              <w:spacing w:before="0" w:after="0"/>
              <w:jc w:val="center"/>
              <w:rPr>
                <w:b/>
              </w:rPr>
            </w:pPr>
            <w:r>
              <w:rPr>
                <w:b/>
              </w:rPr>
              <w:t>pledged</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9" w:type="dxa"/>
            <w:gridSpan w:val="2"/>
            <w:vMerge w:val="continue"/>
            <w:tcBorders>
              <w:bottom w:val="single" w:sz="12" w:space="0" w:color="000000"/>
            </w:tcBorders>
            <w:shd w:fill="auto" w:val="clear"/>
            <w:tcMar>
              <w:bottom w:w="28" w:type="dxa"/>
            </w:tcMar>
            <w:vAlign w:val="bottom"/>
          </w:tcPr>
          <w:p>
            <w:pPr>
              <w:pStyle w:val="Normal"/>
              <w:rPr/>
            </w:pPr>
            <w:r>
              <w:rPr/>
            </w:r>
          </w:p>
        </w:tc>
        <w:tc>
          <w:tcPr>
            <w:tcW w:w="82" w:type="dxa"/>
            <w:tcBorders/>
            <w:shd w:fill="auto" w:val="clear"/>
            <w:vAlign w:val="bottom"/>
          </w:tcPr>
          <w:p>
            <w:pPr>
              <w:pStyle w:val="TableContents"/>
              <w:spacing w:before="0" w:after="283"/>
              <w:jc w:val="left"/>
              <w:rPr/>
            </w:pPr>
            <w:r>
              <w:rPr/>
              <w:t> </w:t>
            </w:r>
          </w:p>
        </w:tc>
      </w:tr>
      <w:tr>
        <w:trPr/>
        <w:tc>
          <w:tcPr>
            <w:tcW w:w="1955" w:type="dxa"/>
            <w:tcBorders/>
            <w:shd w:fill="auto" w:val="clear"/>
            <w:vAlign w:val="bottom"/>
          </w:tcPr>
          <w:p>
            <w:pPr>
              <w:pStyle w:val="TableContents"/>
              <w:spacing w:before="0" w:after="0"/>
              <w:ind w:left="144" w:right="0" w:hanging="144"/>
              <w:rPr/>
            </w:pPr>
            <w:r>
              <w:rPr/>
              <w:t>Liability Derivatives:</w:t>
            </w:r>
          </w:p>
        </w:tc>
        <w:tc>
          <w:tcPr>
            <w:tcW w:w="60" w:type="dxa"/>
            <w:tcBorders/>
            <w:shd w:fill="auto" w:val="clear"/>
            <w:vAlign w:val="bottom"/>
          </w:tcPr>
          <w:p>
            <w:pPr>
              <w:pStyle w:val="TableContents"/>
              <w:spacing w:before="0" w:after="283"/>
              <w:rPr/>
            </w:pPr>
            <w:r>
              <w:rPr/>
              <w:t> </w:t>
            </w:r>
          </w:p>
        </w:tc>
        <w:tc>
          <w:tcPr>
            <w:tcW w:w="151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29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9"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955" w:type="dxa"/>
            <w:tcBorders/>
            <w:shd w:fill="CCEEFF" w:val="clear"/>
            <w:vAlign w:val="bottom"/>
          </w:tcPr>
          <w:p>
            <w:pPr>
              <w:pStyle w:val="TableContents"/>
              <w:spacing w:before="0" w:after="0"/>
              <w:ind w:left="324" w:right="0" w:hanging="144"/>
              <w:rPr/>
            </w:pPr>
            <w:r>
              <w:rPr/>
              <w:t>Zero cost collars</w:t>
            </w:r>
          </w:p>
        </w:tc>
        <w:tc>
          <w:tcPr>
            <w:tcW w:w="60" w:type="dxa"/>
            <w:tcBorders/>
            <w:shd w:fill="CCEEFF" w:val="clear"/>
            <w:vAlign w:val="bottom"/>
          </w:tcPr>
          <w:p>
            <w:pPr>
              <w:pStyle w:val="TableContents"/>
              <w:spacing w:before="0" w:after="283"/>
              <w:jc w:val="right"/>
              <w:rPr/>
            </w:pPr>
            <w:r>
              <w:rPr/>
              <w:t> </w:t>
            </w:r>
          </w:p>
        </w:tc>
        <w:tc>
          <w:tcPr>
            <w:tcW w:w="303" w:type="dxa"/>
            <w:tcBorders/>
            <w:shd w:fill="CCEEFF" w:val="clear"/>
            <w:vAlign w:val="bottom"/>
          </w:tcPr>
          <w:p>
            <w:pPr>
              <w:pStyle w:val="TableContents"/>
              <w:spacing w:before="0" w:after="0"/>
              <w:jc w:val="left"/>
              <w:rPr/>
            </w:pPr>
            <w:r>
              <w:rPr/>
              <w:t>$</w:t>
            </w:r>
          </w:p>
        </w:tc>
        <w:tc>
          <w:tcPr>
            <w:tcW w:w="1214" w:type="dxa"/>
            <w:tcBorders/>
            <w:shd w:fill="CCEEFF" w:val="clear"/>
            <w:vAlign w:val="bottom"/>
          </w:tcPr>
          <w:p>
            <w:pPr>
              <w:pStyle w:val="TableContents"/>
              <w:spacing w:before="0" w:after="0"/>
              <w:jc w:val="right"/>
              <w:rPr/>
            </w:pPr>
            <w:r>
              <w:rPr/>
              <w:t>2,015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45" w:type="dxa"/>
            <w:tcBorders/>
            <w:shd w:fill="CCEEFF" w:val="clear"/>
            <w:vAlign w:val="bottom"/>
          </w:tcPr>
          <w:p>
            <w:pPr>
              <w:pStyle w:val="TableContents"/>
              <w:spacing w:before="0" w:after="0"/>
              <w:jc w:val="left"/>
              <w:rPr/>
            </w:pPr>
            <w:r>
              <w:rPr/>
              <w:t>$</w:t>
            </w:r>
          </w:p>
        </w:tc>
        <w:tc>
          <w:tcPr>
            <w:tcW w:w="82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7" w:type="dxa"/>
            <w:tcBorders/>
            <w:shd w:fill="CCEEFF" w:val="clear"/>
            <w:vAlign w:val="bottom"/>
          </w:tcPr>
          <w:p>
            <w:pPr>
              <w:pStyle w:val="TableContents"/>
              <w:spacing w:before="0" w:after="0"/>
              <w:jc w:val="left"/>
              <w:rPr/>
            </w:pPr>
            <w:r>
              <w:rPr/>
              <w:t>$</w:t>
            </w:r>
          </w:p>
        </w:tc>
        <w:tc>
          <w:tcPr>
            <w:tcW w:w="1108" w:type="dxa"/>
            <w:tcBorders/>
            <w:shd w:fill="CCEEFF" w:val="clear"/>
            <w:vAlign w:val="bottom"/>
          </w:tcPr>
          <w:p>
            <w:pPr>
              <w:pStyle w:val="TableContents"/>
              <w:spacing w:before="0" w:after="0"/>
              <w:jc w:val="right"/>
              <w:rPr/>
            </w:pPr>
            <w:r>
              <w:rPr/>
              <w:t>2,015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27" w:type="dxa"/>
            <w:tcBorders/>
            <w:shd w:fill="CCEEFF" w:val="clear"/>
            <w:vAlign w:val="bottom"/>
          </w:tcPr>
          <w:p>
            <w:pPr>
              <w:pStyle w:val="TableContents"/>
              <w:spacing w:before="0" w:after="0"/>
              <w:jc w:val="left"/>
              <w:rPr/>
            </w:pPr>
            <w:r>
              <w:rPr/>
              <w:t>$</w:t>
            </w:r>
          </w:p>
        </w:tc>
        <w:tc>
          <w:tcPr>
            <w:tcW w:w="793" w:type="dxa"/>
            <w:tcBorders/>
            <w:shd w:fill="CCEEFF" w:val="clear"/>
            <w:vAlign w:val="bottom"/>
          </w:tcPr>
          <w:p>
            <w:pPr>
              <w:pStyle w:val="TableContents"/>
              <w:spacing w:before="0" w:after="0"/>
              <w:jc w:val="right"/>
              <w:rPr/>
            </w:pPr>
            <w:r>
              <w:rPr/>
              <w:t>—</w:t>
            </w:r>
          </w:p>
        </w:tc>
        <w:tc>
          <w:tcPr>
            <w:tcW w:w="9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0"/>
              <w:jc w:val="left"/>
              <w:rPr/>
            </w:pPr>
            <w:r>
              <w:rPr/>
              <w:t>$</w:t>
            </w:r>
          </w:p>
        </w:tc>
        <w:tc>
          <w:tcPr>
            <w:tcW w:w="1023" w:type="dxa"/>
            <w:tcBorders/>
            <w:shd w:fill="CCEEFF" w:val="clear"/>
            <w:vAlign w:val="bottom"/>
          </w:tcPr>
          <w:p>
            <w:pPr>
              <w:pStyle w:val="TableContents"/>
              <w:spacing w:before="0" w:after="0"/>
              <w:jc w:val="right"/>
              <w:rPr/>
            </w:pPr>
            <w:r>
              <w:rPr/>
              <w:t>(1,940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367" w:type="dxa"/>
            <w:tcBorders/>
            <w:shd w:fill="CCEEFF" w:val="clear"/>
            <w:vAlign w:val="bottom"/>
          </w:tcPr>
          <w:p>
            <w:pPr>
              <w:pStyle w:val="TableContents"/>
              <w:spacing w:before="0" w:after="0"/>
              <w:jc w:val="left"/>
              <w:rPr/>
            </w:pPr>
            <w:r>
              <w:rPr/>
              <w:t>$</w:t>
            </w:r>
          </w:p>
        </w:tc>
        <w:tc>
          <w:tcPr>
            <w:tcW w:w="682" w:type="dxa"/>
            <w:tcBorders/>
            <w:shd w:fill="CCEEFF" w:val="clear"/>
            <w:vAlign w:val="bottom"/>
          </w:tcPr>
          <w:p>
            <w:pPr>
              <w:pStyle w:val="TableContents"/>
              <w:spacing w:before="0" w:after="0"/>
              <w:jc w:val="right"/>
              <w:rPr/>
            </w:pPr>
            <w:r>
              <w:rPr/>
              <w:t>75</w:t>
            </w:r>
          </w:p>
        </w:tc>
        <w:tc>
          <w:tcPr>
            <w:tcW w:w="82"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summarizes the impact of derivative instruments on the consolidated statements of operations for the three months ended March 31, 2023 and 2022 (in thousands):</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1948"/>
        <w:gridCol w:w="60"/>
        <w:gridCol w:w="163"/>
        <w:gridCol w:w="742"/>
        <w:gridCol w:w="111"/>
        <w:gridCol w:w="69"/>
        <w:gridCol w:w="163"/>
        <w:gridCol w:w="742"/>
        <w:gridCol w:w="95"/>
        <w:gridCol w:w="850"/>
        <w:gridCol w:w="69"/>
        <w:gridCol w:w="190"/>
        <w:gridCol w:w="622"/>
        <w:gridCol w:w="129"/>
        <w:gridCol w:w="81"/>
        <w:gridCol w:w="190"/>
        <w:gridCol w:w="622"/>
        <w:gridCol w:w="95"/>
        <w:gridCol w:w="1610"/>
        <w:gridCol w:w="70"/>
        <w:gridCol w:w="207"/>
        <w:gridCol w:w="472"/>
        <w:gridCol w:w="133"/>
        <w:gridCol w:w="84"/>
        <w:gridCol w:w="256"/>
        <w:gridCol w:w="642"/>
        <w:gridCol w:w="124"/>
      </w:tblGrid>
      <w:tr>
        <w:trPr/>
        <w:tc>
          <w:tcPr>
            <w:tcW w:w="1948" w:type="dxa"/>
            <w:tcBorders/>
            <w:shd w:fill="auto" w:val="clear"/>
            <w:vAlign w:val="bottom"/>
          </w:tcPr>
          <w:p>
            <w:pPr>
              <w:pStyle w:val="TableContents"/>
              <w:spacing w:before="0" w:after="0"/>
              <w:ind w:left="144" w:right="0" w:hanging="144"/>
              <w:rPr>
                <w:b/>
              </w:rPr>
            </w:pPr>
            <w:r>
              <w:rPr>
                <w:b/>
              </w:rPr>
              <w:t>Derivatives in ASC</w:t>
            </w:r>
          </w:p>
          <w:p>
            <w:pPr>
              <w:pStyle w:val="TableContents"/>
              <w:spacing w:before="0" w:after="0"/>
              <w:ind w:left="144" w:right="0" w:hanging="144"/>
              <w:rPr>
                <w:b/>
              </w:rPr>
            </w:pPr>
            <w:r>
              <w:rPr>
                <w:b/>
              </w:rPr>
              <w:t>815 Cash Flow Hedging</w:t>
            </w:r>
          </w:p>
          <w:p>
            <w:pPr>
              <w:pStyle w:val="TableContents"/>
              <w:spacing w:before="0" w:after="0"/>
              <w:ind w:left="144" w:right="0" w:hanging="144"/>
              <w:rPr>
                <w:b/>
                <w:u w:val="single"/>
              </w:rPr>
            </w:pPr>
            <w:r>
              <w:rPr>
                <w:b/>
                <w:u w:val="single"/>
              </w:rPr>
              <w:t>Relationships</w:t>
            </w:r>
          </w:p>
        </w:tc>
        <w:tc>
          <w:tcPr>
            <w:tcW w:w="60" w:type="dxa"/>
            <w:tcBorders/>
            <w:shd w:fill="auto" w:val="clear"/>
            <w:vAlign w:val="bottom"/>
          </w:tcPr>
          <w:p>
            <w:pPr>
              <w:pStyle w:val="TableContents"/>
              <w:spacing w:before="0" w:after="283"/>
              <w:rPr/>
            </w:pPr>
            <w:r>
              <w:rPr/>
              <w:t> </w:t>
            </w:r>
          </w:p>
        </w:tc>
        <w:tc>
          <w:tcPr>
            <w:tcW w:w="199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Amount of Loss</w:t>
            </w:r>
          </w:p>
          <w:p>
            <w:pPr>
              <w:pStyle w:val="TableContents"/>
              <w:spacing w:before="0" w:after="0"/>
              <w:jc w:val="center"/>
              <w:rPr>
                <w:b/>
              </w:rPr>
            </w:pPr>
            <w:r>
              <w:rPr>
                <w:b/>
              </w:rPr>
              <w:t>Recognized in</w:t>
            </w:r>
          </w:p>
          <w:p>
            <w:pPr>
              <w:pStyle w:val="TableContents"/>
              <w:spacing w:before="0" w:after="0"/>
              <w:jc w:val="center"/>
              <w:rPr>
                <w:b/>
              </w:rPr>
            </w:pPr>
            <w:r>
              <w:rPr>
                <w:b/>
              </w:rPr>
              <w:t>AOCI on</w:t>
            </w:r>
          </w:p>
          <w:p>
            <w:pPr>
              <w:pStyle w:val="TableContents"/>
              <w:spacing w:before="0" w:after="0"/>
              <w:jc w:val="center"/>
              <w:rPr>
                <w:b/>
              </w:rPr>
            </w:pPr>
            <w:r>
              <w:rPr>
                <w:b/>
              </w:rPr>
              <w:t>Derivatives</w:t>
            </w:r>
          </w:p>
        </w:tc>
        <w:tc>
          <w:tcPr>
            <w:tcW w:w="95" w:type="dxa"/>
            <w:tcBorders/>
            <w:shd w:fill="auto" w:val="clear"/>
            <w:vAlign w:val="bottom"/>
          </w:tcPr>
          <w:p>
            <w:pPr>
              <w:pStyle w:val="TableContents"/>
              <w:spacing w:before="0" w:after="283"/>
              <w:jc w:val="left"/>
              <w:rPr/>
            </w:pPr>
            <w:r>
              <w:rPr/>
              <w:t> </w:t>
            </w:r>
          </w:p>
        </w:tc>
        <w:tc>
          <w:tcPr>
            <w:tcW w:w="2753" w:type="dxa"/>
            <w:gridSpan w:val="8"/>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Location/Amount of </w:t>
            </w:r>
          </w:p>
          <w:p>
            <w:pPr>
              <w:pStyle w:val="TableContents"/>
              <w:spacing w:before="0" w:after="0"/>
              <w:jc w:val="center"/>
              <w:rPr>
                <w:b/>
              </w:rPr>
            </w:pPr>
            <w:r>
              <w:rPr>
                <w:b/>
              </w:rPr>
              <w:t>Loss</w:t>
            </w:r>
          </w:p>
          <w:p>
            <w:pPr>
              <w:pStyle w:val="TableContents"/>
              <w:spacing w:before="0" w:after="0"/>
              <w:jc w:val="center"/>
              <w:rPr>
                <w:b/>
              </w:rPr>
            </w:pPr>
            <w:r>
              <w:rPr>
                <w:b/>
              </w:rPr>
              <w:t>Reclassified from AOCI</w:t>
            </w:r>
          </w:p>
          <w:p>
            <w:pPr>
              <w:pStyle w:val="TableContents"/>
              <w:spacing w:before="0" w:after="0"/>
              <w:jc w:val="center"/>
              <w:rPr>
                <w:b/>
              </w:rPr>
            </w:pPr>
            <w:r>
              <w:rPr>
                <w:b/>
              </w:rPr>
              <w:t>Into Statement of Operations</w:t>
            </w:r>
          </w:p>
        </w:tc>
        <w:tc>
          <w:tcPr>
            <w:tcW w:w="95" w:type="dxa"/>
            <w:tcBorders/>
            <w:shd w:fill="auto" w:val="clear"/>
            <w:vAlign w:val="bottom"/>
          </w:tcPr>
          <w:p>
            <w:pPr>
              <w:pStyle w:val="TableContents"/>
              <w:spacing w:before="0" w:after="283"/>
              <w:jc w:val="left"/>
              <w:rPr/>
            </w:pPr>
            <w:r>
              <w:rPr/>
              <w:t> </w:t>
            </w:r>
          </w:p>
        </w:tc>
        <w:tc>
          <w:tcPr>
            <w:tcW w:w="3474" w:type="dxa"/>
            <w:gridSpan w:val="8"/>
            <w:tcBorders>
              <w:bottom w:val="single" w:sz="12" w:space="0" w:color="000000"/>
            </w:tcBorders>
            <w:shd w:fill="auto" w:val="clear"/>
            <w:tcMar>
              <w:bottom w:w="28" w:type="dxa"/>
            </w:tcMar>
            <w:vAlign w:val="bottom"/>
          </w:tcPr>
          <w:p>
            <w:pPr>
              <w:pStyle w:val="TableContents"/>
              <w:spacing w:before="0" w:after="0"/>
              <w:jc w:val="center"/>
              <w:rPr>
                <w:b/>
              </w:rPr>
            </w:pPr>
            <w:r>
              <w:rPr>
                <w:b/>
              </w:rPr>
              <w:t>Location/Amount of Loss</w:t>
            </w:r>
          </w:p>
          <w:p>
            <w:pPr>
              <w:pStyle w:val="TableContents"/>
              <w:spacing w:before="0" w:after="0"/>
              <w:jc w:val="center"/>
              <w:rPr>
                <w:b/>
              </w:rPr>
            </w:pPr>
            <w:r>
              <w:rPr>
                <w:b/>
              </w:rPr>
              <w:t>Recognized in</w:t>
            </w:r>
          </w:p>
          <w:p>
            <w:pPr>
              <w:pStyle w:val="TableContents"/>
              <w:spacing w:before="0" w:after="0"/>
              <w:jc w:val="center"/>
              <w:rPr>
                <w:b/>
              </w:rPr>
            </w:pPr>
            <w:r>
              <w:rPr>
                <w:b/>
              </w:rPr>
              <w:t>Statement of Operations on Derivatives</w:t>
            </w:r>
          </w:p>
        </w:tc>
        <w:tc>
          <w:tcPr>
            <w:tcW w:w="124" w:type="dxa"/>
            <w:tcBorders/>
            <w:shd w:fill="auto" w:val="clear"/>
            <w:vAlign w:val="bottom"/>
          </w:tcPr>
          <w:p>
            <w:pPr>
              <w:pStyle w:val="TableContents"/>
              <w:spacing w:before="0" w:after="283"/>
              <w:jc w:val="left"/>
              <w:rPr/>
            </w:pPr>
            <w:r>
              <w:rPr/>
              <w:t> </w:t>
            </w:r>
          </w:p>
        </w:tc>
      </w:tr>
      <w:tr>
        <w:trPr/>
        <w:tc>
          <w:tcPr>
            <w:tcW w:w="19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9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95"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834"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95" w:type="dxa"/>
            <w:tcBorders/>
            <w:shd w:fill="auto" w:val="clear"/>
            <w:vAlign w:val="bottom"/>
          </w:tcPr>
          <w:p>
            <w:pPr>
              <w:pStyle w:val="TableContents"/>
              <w:spacing w:before="0" w:after="283"/>
              <w:jc w:val="left"/>
              <w:rPr/>
            </w:pPr>
            <w:r>
              <w:rPr/>
              <w:t> </w:t>
            </w:r>
          </w:p>
        </w:tc>
        <w:tc>
          <w:tcPr>
            <w:tcW w:w="161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794"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124" w:type="dxa"/>
            <w:tcBorders/>
            <w:shd w:fill="auto" w:val="clear"/>
            <w:vAlign w:val="bottom"/>
          </w:tcPr>
          <w:p>
            <w:pPr>
              <w:pStyle w:val="TableContents"/>
              <w:spacing w:before="0" w:after="283"/>
              <w:jc w:val="left"/>
              <w:rPr/>
            </w:pPr>
            <w:r>
              <w:rPr/>
              <w:t> </w:t>
            </w:r>
          </w:p>
        </w:tc>
      </w:tr>
      <w:tr>
        <w:trPr/>
        <w:tc>
          <w:tcPr>
            <w:tcW w:w="19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111"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1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12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81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161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7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9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124" w:type="dxa"/>
            <w:tcBorders/>
            <w:shd w:fill="auto" w:val="clear"/>
            <w:vAlign w:val="bottom"/>
          </w:tcPr>
          <w:p>
            <w:pPr>
              <w:pStyle w:val="TableContents"/>
              <w:spacing w:before="0" w:after="283"/>
              <w:jc w:val="left"/>
              <w:rPr/>
            </w:pPr>
            <w:r>
              <w:rPr/>
              <w:t> </w:t>
            </w:r>
          </w:p>
        </w:tc>
      </w:tr>
      <w:tr>
        <w:trPr/>
        <w:tc>
          <w:tcPr>
            <w:tcW w:w="19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812" w:type="dxa"/>
            <w:gridSpan w:val="2"/>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c>
          <w:tcPr>
            <w:tcW w:w="81" w:type="dxa"/>
            <w:tcBorders/>
            <w:shd w:fill="auto" w:val="clear"/>
            <w:vAlign w:val="bottom"/>
          </w:tcPr>
          <w:p>
            <w:pPr>
              <w:pStyle w:val="TableContents"/>
              <w:spacing w:before="0" w:after="283"/>
              <w:rPr/>
            </w:pPr>
            <w:r>
              <w:rPr/>
              <w:t> </w:t>
            </w:r>
          </w:p>
        </w:tc>
        <w:tc>
          <w:tcPr>
            <w:tcW w:w="812"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161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679"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89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1948" w:type="dxa"/>
            <w:tcBorders/>
            <w:shd w:fill="CCEEFF" w:val="clear"/>
            <w:vAlign w:val="bottom"/>
          </w:tcPr>
          <w:p>
            <w:pPr>
              <w:pStyle w:val="TableContents"/>
              <w:spacing w:before="0" w:after="0"/>
              <w:ind w:left="144" w:right="0" w:hanging="144"/>
              <w:rPr/>
            </w:pPr>
            <w:r>
              <w:rPr/>
              <w:t>Zero cost collars</w:t>
            </w:r>
          </w:p>
        </w:tc>
        <w:tc>
          <w:tcPr>
            <w:tcW w:w="60" w:type="dxa"/>
            <w:tcBorders/>
            <w:shd w:fill="CCEEFF" w:val="clear"/>
            <w:vAlign w:val="bottom"/>
          </w:tcPr>
          <w:p>
            <w:pPr>
              <w:pStyle w:val="TableContents"/>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742" w:type="dxa"/>
            <w:tcBorders>
              <w:bottom w:val="single" w:sz="12" w:space="0" w:color="000000"/>
            </w:tcBorders>
            <w:shd w:fill="CCEEFF" w:val="clear"/>
            <w:tcMar>
              <w:bottom w:w="28" w:type="dxa"/>
            </w:tcMar>
            <w:vAlign w:val="bottom"/>
          </w:tcPr>
          <w:p>
            <w:pPr>
              <w:pStyle w:val="TableContents"/>
              <w:spacing w:before="0" w:after="0"/>
              <w:jc w:val="right"/>
              <w:rPr/>
            </w:pPr>
            <w:r>
              <w:rPr/>
              <w:t>(1,135</w:t>
            </w:r>
          </w:p>
        </w:tc>
        <w:tc>
          <w:tcPr>
            <w:tcW w:w="111" w:type="dxa"/>
            <w:tcBorders/>
            <w:shd w:fill="CCEEFF" w:val="clear"/>
            <w:vAlign w:val="bottom"/>
          </w:tcPr>
          <w:p>
            <w:pPr>
              <w:pStyle w:val="TableContents"/>
              <w:spacing w:before="0" w:after="0"/>
              <w:jc w:val="left"/>
              <w:rPr/>
            </w:pPr>
            <w:r>
              <w:rPr/>
              <w:t>)</w:t>
            </w:r>
          </w:p>
        </w:tc>
        <w:tc>
          <w:tcPr>
            <w:tcW w:w="69" w:type="dxa"/>
            <w:tcBorders/>
            <w:shd w:fill="CCEEFF" w:val="clear"/>
            <w:vAlign w:val="bottom"/>
          </w:tcPr>
          <w:p>
            <w:pPr>
              <w:pStyle w:val="TableContents"/>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742" w:type="dxa"/>
            <w:tcBorders>
              <w:bottom w:val="single" w:sz="12" w:space="0" w:color="000000"/>
            </w:tcBorders>
            <w:shd w:fill="CCEEFF" w:val="clear"/>
            <w:tcMar>
              <w:bottom w:w="28" w:type="dxa"/>
            </w:tcMar>
            <w:vAlign w:val="bottom"/>
          </w:tcPr>
          <w:p>
            <w:pPr>
              <w:pStyle w:val="TableContents"/>
              <w:spacing w:before="0" w:after="0"/>
              <w:jc w:val="right"/>
              <w:rPr/>
            </w:pPr>
            <w:r>
              <w:rPr/>
              <w:t>(1,264</w:t>
            </w:r>
          </w:p>
        </w:tc>
        <w:tc>
          <w:tcPr>
            <w:tcW w:w="95" w:type="dxa"/>
            <w:tcBorders/>
            <w:shd w:fill="CCEEFF" w:val="clear"/>
            <w:vAlign w:val="bottom"/>
          </w:tcPr>
          <w:p>
            <w:pPr>
              <w:pStyle w:val="TableContents"/>
              <w:spacing w:before="0" w:after="0"/>
              <w:jc w:val="left"/>
              <w:rPr/>
            </w:pPr>
            <w:r>
              <w:rPr/>
              <w:t>)</w:t>
            </w:r>
          </w:p>
        </w:tc>
        <w:tc>
          <w:tcPr>
            <w:tcW w:w="850" w:type="dxa"/>
            <w:tcBorders/>
            <w:shd w:fill="CCEEFF" w:val="clear"/>
            <w:vAlign w:val="bottom"/>
          </w:tcPr>
          <w:p>
            <w:pPr>
              <w:pStyle w:val="TableContents"/>
              <w:spacing w:before="0" w:after="0"/>
              <w:jc w:val="left"/>
              <w:rPr/>
            </w:pPr>
            <w:r>
              <w:rPr/>
              <w:t>Net sales</w:t>
            </w:r>
          </w:p>
        </w:tc>
        <w:tc>
          <w:tcPr>
            <w:tcW w:w="69" w:type="dxa"/>
            <w:tcBorders/>
            <w:shd w:fill="CCEEFF" w:val="clear"/>
            <w:vAlign w:val="bottom"/>
          </w:tcPr>
          <w:p>
            <w:pPr>
              <w:pStyle w:val="TableContents"/>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22" w:type="dxa"/>
            <w:tcBorders>
              <w:bottom w:val="single" w:sz="12" w:space="0" w:color="000000"/>
            </w:tcBorders>
            <w:shd w:fill="CCEEFF" w:val="clear"/>
            <w:tcMar>
              <w:bottom w:w="28" w:type="dxa"/>
            </w:tcMar>
            <w:vAlign w:val="bottom"/>
          </w:tcPr>
          <w:p>
            <w:pPr>
              <w:pStyle w:val="TableContents"/>
              <w:spacing w:before="0" w:after="0"/>
              <w:jc w:val="right"/>
              <w:rPr/>
            </w:pPr>
            <w:r>
              <w:rPr/>
              <w:t>(603</w:t>
            </w:r>
          </w:p>
        </w:tc>
        <w:tc>
          <w:tcPr>
            <w:tcW w:w="129" w:type="dxa"/>
            <w:tcBorders/>
            <w:shd w:fill="CCEEFF" w:val="clear"/>
            <w:vAlign w:val="bottom"/>
          </w:tcPr>
          <w:p>
            <w:pPr>
              <w:pStyle w:val="TableContents"/>
              <w:spacing w:before="0" w:after="0"/>
              <w:jc w:val="left"/>
              <w:rPr/>
            </w:pPr>
            <w:r>
              <w:rPr/>
              <w:t>)</w:t>
            </w:r>
          </w:p>
        </w:tc>
        <w:tc>
          <w:tcPr>
            <w:tcW w:w="81" w:type="dxa"/>
            <w:tcBorders/>
            <w:shd w:fill="CCEEFF" w:val="clear"/>
            <w:vAlign w:val="bottom"/>
          </w:tcPr>
          <w:p>
            <w:pPr>
              <w:pStyle w:val="TableContents"/>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22" w:type="dxa"/>
            <w:tcBorders>
              <w:bottom w:val="single" w:sz="12" w:space="0" w:color="000000"/>
            </w:tcBorders>
            <w:shd w:fill="CCEEFF" w:val="clear"/>
            <w:tcMar>
              <w:bottom w:w="28" w:type="dxa"/>
            </w:tcMar>
            <w:vAlign w:val="bottom"/>
          </w:tcPr>
          <w:p>
            <w:pPr>
              <w:pStyle w:val="TableContents"/>
              <w:spacing w:before="0" w:after="0"/>
              <w:jc w:val="right"/>
              <w:rPr/>
            </w:pPr>
            <w:r>
              <w:rPr/>
              <w:t>(762</w:t>
            </w:r>
          </w:p>
        </w:tc>
        <w:tc>
          <w:tcPr>
            <w:tcW w:w="95" w:type="dxa"/>
            <w:tcBorders/>
            <w:shd w:fill="CCEEFF" w:val="clear"/>
            <w:vAlign w:val="bottom"/>
          </w:tcPr>
          <w:p>
            <w:pPr>
              <w:pStyle w:val="TableContents"/>
              <w:spacing w:before="0" w:after="0"/>
              <w:jc w:val="left"/>
              <w:rPr/>
            </w:pPr>
            <w:r>
              <w:rPr/>
              <w:t>)</w:t>
            </w:r>
          </w:p>
        </w:tc>
        <w:tc>
          <w:tcPr>
            <w:tcW w:w="1610" w:type="dxa"/>
            <w:tcBorders/>
            <w:shd w:fill="CCEEFF" w:val="clear"/>
            <w:vAlign w:val="bottom"/>
          </w:tcPr>
          <w:p>
            <w:pPr>
              <w:pStyle w:val="TableContents"/>
              <w:spacing w:before="0" w:after="0"/>
              <w:jc w:val="left"/>
              <w:rPr/>
            </w:pPr>
            <w:r>
              <w:rPr/>
              <w:t>Other income, net</w:t>
            </w:r>
          </w:p>
        </w:tc>
        <w:tc>
          <w:tcPr>
            <w:tcW w:w="70" w:type="dxa"/>
            <w:tcBorders/>
            <w:shd w:fill="CCEEFF" w:val="clear"/>
            <w:vAlign w:val="bottom"/>
          </w:tcPr>
          <w:p>
            <w:pPr>
              <w:pStyle w:val="TableContents"/>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472" w:type="dxa"/>
            <w:tcBorders>
              <w:bottom w:val="single" w:sz="12" w:space="0" w:color="000000"/>
            </w:tcBorders>
            <w:shd w:fill="CCEEFF" w:val="clear"/>
            <w:tcMar>
              <w:bottom w:w="28" w:type="dxa"/>
            </w:tcMar>
            <w:vAlign w:val="bottom"/>
          </w:tcPr>
          <w:p>
            <w:pPr>
              <w:pStyle w:val="TableContents"/>
              <w:spacing w:before="0" w:after="0"/>
              <w:jc w:val="right"/>
              <w:rPr/>
            </w:pPr>
            <w:r>
              <w:rPr/>
              <w:t>(54</w:t>
            </w:r>
          </w:p>
        </w:tc>
        <w:tc>
          <w:tcPr>
            <w:tcW w:w="133" w:type="dxa"/>
            <w:tcBorders/>
            <w:shd w:fill="CCEEFF" w:val="clear"/>
            <w:vAlign w:val="bottom"/>
          </w:tcPr>
          <w:p>
            <w:pPr>
              <w:pStyle w:val="TableContents"/>
              <w:spacing w:before="0" w:after="0"/>
              <w:jc w:val="left"/>
              <w:rPr/>
            </w:pPr>
            <w:r>
              <w:rPr/>
              <w:t>)</w:t>
            </w:r>
          </w:p>
        </w:tc>
        <w:tc>
          <w:tcPr>
            <w:tcW w:w="84" w:type="dxa"/>
            <w:tcBorders/>
            <w:shd w:fill="CCEEFF" w:val="clear"/>
            <w:vAlign w:val="bottom"/>
          </w:tcPr>
          <w:p>
            <w:pPr>
              <w:pStyle w:val="TableContents"/>
              <w:spacing w:before="0" w:after="283"/>
              <w:jc w:val="right"/>
              <w:rPr/>
            </w:pPr>
            <w:r>
              <w:rPr/>
              <w:t> </w:t>
            </w:r>
          </w:p>
        </w:tc>
        <w:tc>
          <w:tcPr>
            <w:tcW w:w="256"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42" w:type="dxa"/>
            <w:tcBorders>
              <w:bottom w:val="single" w:sz="12" w:space="0" w:color="000000"/>
            </w:tcBorders>
            <w:shd w:fill="CCEEFF" w:val="clear"/>
            <w:tcMar>
              <w:bottom w:w="28" w:type="dxa"/>
            </w:tcMar>
            <w:vAlign w:val="bottom"/>
          </w:tcPr>
          <w:p>
            <w:pPr>
              <w:pStyle w:val="TableContents"/>
              <w:spacing w:before="0" w:after="0"/>
              <w:jc w:val="right"/>
              <w:rPr/>
            </w:pPr>
            <w:r>
              <w:rPr/>
              <w:t>(129</w:t>
            </w:r>
          </w:p>
        </w:tc>
        <w:tc>
          <w:tcPr>
            <w:tcW w:w="124" w:type="dxa"/>
            <w:tcBorders/>
            <w:shd w:fill="CCEEFF" w:val="clear"/>
            <w:vAlign w:val="bottom"/>
          </w:tcPr>
          <w:p>
            <w:pPr>
              <w:pStyle w:val="TableContents"/>
              <w:spacing w:before="0" w:after="0"/>
              <w:jc w:val="left"/>
              <w:rPr/>
            </w:pPr>
            <w:r>
              <w:rPr/>
              <w:t>)</w:t>
            </w:r>
          </w:p>
        </w:tc>
      </w:tr>
      <w:tr>
        <w:trPr/>
        <w:tc>
          <w:tcPr>
            <w:tcW w:w="19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3"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742" w:type="dxa"/>
            <w:tcBorders>
              <w:bottom w:val="double" w:sz="8" w:space="0" w:color="000000"/>
            </w:tcBorders>
            <w:shd w:fill="auto" w:val="clear"/>
            <w:tcMar>
              <w:bottom w:w="28" w:type="dxa"/>
            </w:tcMar>
            <w:vAlign w:val="bottom"/>
          </w:tcPr>
          <w:p>
            <w:pPr>
              <w:pStyle w:val="TableContents"/>
              <w:spacing w:before="0" w:after="283"/>
              <w:jc w:val="right"/>
              <w:rPr/>
            </w:pPr>
            <w:r>
              <w:rPr/>
              <w:t>(1,135</w:t>
            </w:r>
          </w:p>
        </w:tc>
        <w:tc>
          <w:tcPr>
            <w:tcW w:w="111" w:type="dxa"/>
            <w:tcBorders/>
            <w:shd w:fill="auto" w:val="clear"/>
            <w:vAlign w:val="bottom"/>
          </w:tcPr>
          <w:p>
            <w:pPr>
              <w:pStyle w:val="TableContents"/>
              <w:spacing w:before="0" w:after="283"/>
              <w:jc w:val="left"/>
              <w:rPr/>
            </w:pPr>
            <w:r>
              <w:rPr/>
              <w:t>)</w:t>
            </w:r>
          </w:p>
        </w:tc>
        <w:tc>
          <w:tcPr>
            <w:tcW w:w="69" w:type="dxa"/>
            <w:tcBorders/>
            <w:shd w:fill="auto" w:val="clear"/>
            <w:vAlign w:val="bottom"/>
          </w:tcPr>
          <w:p>
            <w:pPr>
              <w:pStyle w:val="TableContents"/>
              <w:spacing w:before="0" w:after="283"/>
              <w:jc w:val="right"/>
              <w:rPr/>
            </w:pPr>
            <w:r>
              <w:rPr/>
              <w:t> </w:t>
            </w:r>
          </w:p>
        </w:tc>
        <w:tc>
          <w:tcPr>
            <w:tcW w:w="163"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742" w:type="dxa"/>
            <w:tcBorders>
              <w:bottom w:val="double" w:sz="8" w:space="0" w:color="000000"/>
            </w:tcBorders>
            <w:shd w:fill="auto" w:val="clear"/>
            <w:tcMar>
              <w:bottom w:w="28" w:type="dxa"/>
            </w:tcMar>
            <w:vAlign w:val="bottom"/>
          </w:tcPr>
          <w:p>
            <w:pPr>
              <w:pStyle w:val="TableContents"/>
              <w:spacing w:before="0" w:after="283"/>
              <w:jc w:val="right"/>
              <w:rPr/>
            </w:pPr>
            <w:r>
              <w:rPr/>
              <w:t>(1,264</w:t>
            </w:r>
          </w:p>
        </w:tc>
        <w:tc>
          <w:tcPr>
            <w:tcW w:w="9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jc w:val="right"/>
              <w:rPr/>
            </w:pPr>
            <w:r>
              <w:rPr/>
              <w:t> </w:t>
            </w:r>
          </w:p>
        </w:tc>
        <w:tc>
          <w:tcPr>
            <w:tcW w:w="19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22" w:type="dxa"/>
            <w:tcBorders>
              <w:bottom w:val="double" w:sz="8" w:space="0" w:color="000000"/>
            </w:tcBorders>
            <w:shd w:fill="auto" w:val="clear"/>
            <w:tcMar>
              <w:bottom w:w="28" w:type="dxa"/>
            </w:tcMar>
            <w:vAlign w:val="bottom"/>
          </w:tcPr>
          <w:p>
            <w:pPr>
              <w:pStyle w:val="TableContents"/>
              <w:spacing w:before="0" w:after="283"/>
              <w:jc w:val="right"/>
              <w:rPr/>
            </w:pPr>
            <w:r>
              <w:rPr/>
              <w:t>(603</w:t>
            </w:r>
          </w:p>
        </w:tc>
        <w:tc>
          <w:tcPr>
            <w:tcW w:w="129" w:type="dxa"/>
            <w:tcBorders/>
            <w:shd w:fill="auto" w:val="clear"/>
            <w:vAlign w:val="bottom"/>
          </w:tcPr>
          <w:p>
            <w:pPr>
              <w:pStyle w:val="TableContents"/>
              <w:spacing w:before="0" w:after="283"/>
              <w:jc w:val="left"/>
              <w:rPr/>
            </w:pPr>
            <w:r>
              <w:rPr/>
              <w:t>)</w:t>
            </w:r>
          </w:p>
        </w:tc>
        <w:tc>
          <w:tcPr>
            <w:tcW w:w="81" w:type="dxa"/>
            <w:tcBorders/>
            <w:shd w:fill="auto" w:val="clear"/>
            <w:vAlign w:val="bottom"/>
          </w:tcPr>
          <w:p>
            <w:pPr>
              <w:pStyle w:val="TableContents"/>
              <w:spacing w:before="0" w:after="283"/>
              <w:jc w:val="right"/>
              <w:rPr/>
            </w:pPr>
            <w:r>
              <w:rPr/>
              <w:t> </w:t>
            </w:r>
          </w:p>
        </w:tc>
        <w:tc>
          <w:tcPr>
            <w:tcW w:w="19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22" w:type="dxa"/>
            <w:tcBorders>
              <w:bottom w:val="double" w:sz="8" w:space="0" w:color="000000"/>
            </w:tcBorders>
            <w:shd w:fill="auto" w:val="clear"/>
            <w:tcMar>
              <w:bottom w:w="28" w:type="dxa"/>
            </w:tcMar>
            <w:vAlign w:val="bottom"/>
          </w:tcPr>
          <w:p>
            <w:pPr>
              <w:pStyle w:val="TableContents"/>
              <w:spacing w:before="0" w:after="283"/>
              <w:jc w:val="right"/>
              <w:rPr/>
            </w:pPr>
            <w:r>
              <w:rPr/>
              <w:t>(762</w:t>
            </w:r>
          </w:p>
        </w:tc>
        <w:tc>
          <w:tcPr>
            <w:tcW w:w="95" w:type="dxa"/>
            <w:tcBorders/>
            <w:shd w:fill="auto" w:val="clear"/>
            <w:vAlign w:val="bottom"/>
          </w:tcPr>
          <w:p>
            <w:pPr>
              <w:pStyle w:val="TableContents"/>
              <w:spacing w:before="0" w:after="283"/>
              <w:jc w:val="left"/>
              <w:rPr/>
            </w:pPr>
            <w:r>
              <w:rPr/>
              <w:t>)</w:t>
            </w:r>
          </w:p>
        </w:tc>
        <w:tc>
          <w:tcPr>
            <w:tcW w:w="1610" w:type="dxa"/>
            <w:tcBorders/>
            <w:shd w:fill="auto" w:val="clear"/>
            <w:vAlign w:val="bottom"/>
          </w:tcPr>
          <w:p>
            <w:pPr>
              <w:pStyle w:val="TableContents"/>
              <w:spacing w:before="0" w:after="283"/>
              <w:jc w:val="left"/>
              <w:rPr/>
            </w:pPr>
            <w:r>
              <w:rPr/>
              <w:t> </w:t>
            </w:r>
          </w:p>
        </w:tc>
        <w:tc>
          <w:tcPr>
            <w:tcW w:w="70" w:type="dxa"/>
            <w:tcBorders/>
            <w:shd w:fill="auto" w:val="clear"/>
            <w:vAlign w:val="bottom"/>
          </w:tcPr>
          <w:p>
            <w:pPr>
              <w:pStyle w:val="TableContents"/>
              <w:spacing w:before="0" w:after="283"/>
              <w:jc w:val="right"/>
              <w:rPr/>
            </w:pPr>
            <w:r>
              <w:rPr/>
              <w:t> </w:t>
            </w:r>
          </w:p>
        </w:tc>
        <w:tc>
          <w:tcPr>
            <w:tcW w:w="207"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472" w:type="dxa"/>
            <w:tcBorders>
              <w:bottom w:val="double" w:sz="8" w:space="0" w:color="000000"/>
            </w:tcBorders>
            <w:shd w:fill="auto" w:val="clear"/>
            <w:tcMar>
              <w:bottom w:w="28" w:type="dxa"/>
            </w:tcMar>
            <w:vAlign w:val="bottom"/>
          </w:tcPr>
          <w:p>
            <w:pPr>
              <w:pStyle w:val="TableContents"/>
              <w:spacing w:before="0" w:after="283"/>
              <w:jc w:val="right"/>
              <w:rPr/>
            </w:pPr>
            <w:r>
              <w:rPr/>
              <w:t>(54</w:t>
            </w:r>
          </w:p>
        </w:tc>
        <w:tc>
          <w:tcPr>
            <w:tcW w:w="133" w:type="dxa"/>
            <w:tcBorders/>
            <w:shd w:fill="auto" w:val="clear"/>
            <w:vAlign w:val="bottom"/>
          </w:tcPr>
          <w:p>
            <w:pPr>
              <w:pStyle w:val="TableContents"/>
              <w:spacing w:before="0" w:after="283"/>
              <w:jc w:val="left"/>
              <w:rPr/>
            </w:pPr>
            <w:r>
              <w:rPr/>
              <w:t>)</w:t>
            </w:r>
          </w:p>
        </w:tc>
        <w:tc>
          <w:tcPr>
            <w:tcW w:w="84" w:type="dxa"/>
            <w:tcBorders/>
            <w:shd w:fill="auto" w:val="clear"/>
            <w:vAlign w:val="bottom"/>
          </w:tcPr>
          <w:p>
            <w:pPr>
              <w:pStyle w:val="TableContents"/>
              <w:spacing w:before="0" w:after="283"/>
              <w:jc w:val="right"/>
              <w:rPr/>
            </w:pPr>
            <w:r>
              <w:rPr/>
              <w:t> </w:t>
            </w:r>
          </w:p>
        </w:tc>
        <w:tc>
          <w:tcPr>
            <w:tcW w:w="256" w:type="dxa"/>
            <w:tcBorders>
              <w:bottom w:val="double" w:sz="8" w:space="0" w:color="000000"/>
            </w:tcBorders>
            <w:shd w:fill="auto" w:val="clear"/>
            <w:tcMar>
              <w:bottom w:w="28" w:type="dxa"/>
            </w:tcMar>
            <w:vAlign w:val="bottom"/>
          </w:tcPr>
          <w:p>
            <w:pPr>
              <w:pStyle w:val="TableContents"/>
              <w:spacing w:before="0" w:after="283"/>
              <w:jc w:val="left"/>
              <w:rPr/>
            </w:pPr>
            <w:r>
              <w:rPr/>
              <w:t xml:space="preserve">$ </w:t>
            </w:r>
          </w:p>
        </w:tc>
        <w:tc>
          <w:tcPr>
            <w:tcW w:w="642" w:type="dxa"/>
            <w:tcBorders>
              <w:bottom w:val="double" w:sz="8" w:space="0" w:color="000000"/>
            </w:tcBorders>
            <w:shd w:fill="auto" w:val="clear"/>
            <w:tcMar>
              <w:bottom w:w="28" w:type="dxa"/>
            </w:tcMar>
            <w:vAlign w:val="bottom"/>
          </w:tcPr>
          <w:p>
            <w:pPr>
              <w:pStyle w:val="TableContents"/>
              <w:spacing w:before="0" w:after="283"/>
              <w:jc w:val="right"/>
              <w:rPr/>
            </w:pPr>
            <w:r>
              <w:rPr/>
              <w:t>(129</w:t>
            </w:r>
          </w:p>
        </w:tc>
        <w:tc>
          <w:tcPr>
            <w:tcW w:w="124" w:type="dxa"/>
            <w:tcBorders/>
            <w:shd w:fill="auto" w:val="clear"/>
            <w:vAlign w:val="bottom"/>
          </w:tcPr>
          <w:p>
            <w:pPr>
              <w:pStyle w:val="TableContents"/>
              <w:spacing w:before="0" w:after="283"/>
              <w:jc w:val="left"/>
              <w:rPr/>
            </w:pPr>
            <w:r>
              <w:rPr/>
              <w:t>)</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March 31, 2023, the amount expected to be reclassified from accumulated other comprehensive loss into loss within the next 12 months is $1,757 thousand.</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set aside cash deposit to the counterparty, Standard Chartered Bank Korea Limited (“SC”), as required for the zero cost collar contracts. This cash deposit is recorded as hedge collateral on the consolidated balance sheets. Cash deposits as of March 31, 2023 and December 31, 2022 are as follows (in thousands):</w:t>
      </w:r>
    </w:p>
    <w:p>
      <w:pPr>
        <w:pStyle w:val="TextBody"/>
        <w:spacing w:before="0" w:after="0"/>
        <w:jc w:val="left"/>
        <w:rPr>
          <w:color w:val="000000"/>
        </w:rPr>
      </w:pPr>
      <w:r>
        <w:rPr>
          <w:color w:val="000000"/>
        </w:rPr>
        <w:t> </w:t>
      </w:r>
    </w:p>
    <w:tbl>
      <w:tblPr>
        <w:tblW w:w="4184" w:type="dxa"/>
        <w:jc w:val="left"/>
        <w:tblInd w:w="0" w:type="dxa"/>
        <w:tblCellMar>
          <w:top w:w="0" w:type="dxa"/>
          <w:left w:w="0" w:type="dxa"/>
          <w:bottom w:w="0" w:type="dxa"/>
          <w:right w:w="0" w:type="dxa"/>
        </w:tblCellMar>
      </w:tblPr>
      <w:tblGrid>
        <w:gridCol w:w="1445"/>
        <w:gridCol w:w="60"/>
        <w:gridCol w:w="281"/>
        <w:gridCol w:w="788"/>
        <w:gridCol w:w="60"/>
        <w:gridCol w:w="60"/>
        <w:gridCol w:w="283"/>
        <w:gridCol w:w="1132"/>
        <w:gridCol w:w="75"/>
      </w:tblGrid>
      <w:tr>
        <w:trPr/>
        <w:tc>
          <w:tcPr>
            <w:tcW w:w="1445" w:type="dxa"/>
            <w:tcBorders/>
            <w:shd w:fill="auto" w:val="clear"/>
            <w:vAlign w:val="bottom"/>
          </w:tcPr>
          <w:p>
            <w:pPr>
              <w:pStyle w:val="TableContents"/>
              <w:spacing w:before="0" w:after="0"/>
              <w:rPr>
                <w:b/>
                <w:u w:val="single"/>
              </w:rPr>
            </w:pPr>
            <w:r>
              <w:rPr>
                <w:b/>
                <w:u w:val="single"/>
              </w:rPr>
              <w:t>Counterparty</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rPr/>
            </w:pPr>
            <w:r>
              <w:rPr/>
              <w:t> </w:t>
            </w:r>
          </w:p>
        </w:tc>
      </w:tr>
      <w:tr>
        <w:trPr/>
        <w:tc>
          <w:tcPr>
            <w:tcW w:w="1445" w:type="dxa"/>
            <w:tcBorders/>
            <w:shd w:fill="CCEEFF" w:val="clear"/>
            <w:vAlign w:val="bottom"/>
          </w:tcPr>
          <w:p>
            <w:pPr>
              <w:pStyle w:val="TableContents"/>
              <w:spacing w:before="0" w:after="0"/>
              <w:rPr/>
            </w:pPr>
            <w:r>
              <w:rPr/>
              <w:t>SC</w:t>
            </w:r>
          </w:p>
        </w:tc>
        <w:tc>
          <w:tcPr>
            <w:tcW w:w="60" w:type="dxa"/>
            <w:tcBorders/>
            <w:shd w:fill="CCEEFF" w:val="clear"/>
            <w:vAlign w:val="bottom"/>
          </w:tcPr>
          <w:p>
            <w:pPr>
              <w:pStyle w:val="TableContents"/>
              <w:spacing w:before="0" w:after="283"/>
              <w:jc w:val="right"/>
              <w:rPr/>
            </w:pPr>
            <w:r>
              <w:rPr/>
              <w:t> </w:t>
            </w:r>
          </w:p>
        </w:tc>
        <w:tc>
          <w:tcPr>
            <w:tcW w:w="281" w:type="dxa"/>
            <w:tcBorders>
              <w:bottom w:val="single" w:sz="12" w:space="0" w:color="000000"/>
            </w:tcBorders>
            <w:shd w:fill="CCEEFF" w:val="clear"/>
            <w:tcMar>
              <w:bottom w:w="28" w:type="dxa"/>
            </w:tcMar>
            <w:vAlign w:val="bottom"/>
          </w:tcPr>
          <w:p>
            <w:pPr>
              <w:pStyle w:val="TableContents"/>
              <w:spacing w:before="0" w:after="0"/>
              <w:rPr/>
            </w:pPr>
            <w:r>
              <w:rPr/>
              <w:t>$</w:t>
            </w:r>
          </w:p>
        </w:tc>
        <w:tc>
          <w:tcPr>
            <w:tcW w:w="788" w:type="dxa"/>
            <w:tcBorders>
              <w:bottom w:val="single" w:sz="12" w:space="0" w:color="000000"/>
            </w:tcBorders>
            <w:shd w:fill="CCEEFF" w:val="clear"/>
            <w:tcMar>
              <w:bottom w:w="28" w:type="dxa"/>
            </w:tcMar>
            <w:vAlign w:val="bottom"/>
          </w:tcPr>
          <w:p>
            <w:pPr>
              <w:pStyle w:val="TableContents"/>
              <w:spacing w:before="0" w:after="0"/>
              <w:jc w:val="right"/>
              <w:rPr/>
            </w:pPr>
            <w:r>
              <w:rPr/>
              <w:t>1,000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83" w:type="dxa"/>
            <w:tcBorders>
              <w:bottom w:val="single" w:sz="12" w:space="0" w:color="000000"/>
            </w:tcBorders>
            <w:shd w:fill="CCEEFF" w:val="clear"/>
            <w:tcMar>
              <w:bottom w:w="28" w:type="dxa"/>
            </w:tcMar>
            <w:vAlign w:val="bottom"/>
          </w:tcPr>
          <w:p>
            <w:pPr>
              <w:pStyle w:val="TableContents"/>
              <w:spacing w:before="0" w:after="0"/>
              <w:rPr/>
            </w:pPr>
            <w:r>
              <w:rPr/>
              <w:t>$</w:t>
            </w:r>
          </w:p>
        </w:tc>
        <w:tc>
          <w:tcPr>
            <w:tcW w:w="1132" w:type="dxa"/>
            <w:tcBorders>
              <w:bottom w:val="single" w:sz="12" w:space="0" w:color="000000"/>
            </w:tcBorders>
            <w:shd w:fill="CCEEFF" w:val="clear"/>
            <w:tcMar>
              <w:bottom w:w="28" w:type="dxa"/>
            </w:tcMar>
            <w:vAlign w:val="bottom"/>
          </w:tcPr>
          <w:p>
            <w:pPr>
              <w:pStyle w:val="TableContents"/>
              <w:spacing w:before="0" w:after="0"/>
              <w:jc w:val="right"/>
              <w:rPr/>
            </w:pPr>
            <w:r>
              <w:rPr/>
              <w:t>1,000</w:t>
            </w:r>
          </w:p>
        </w:tc>
        <w:tc>
          <w:tcPr>
            <w:tcW w:w="75" w:type="dxa"/>
            <w:tcBorders/>
            <w:shd w:fill="CCEEFF" w:val="clear"/>
            <w:vAlign w:val="bottom"/>
          </w:tcPr>
          <w:p>
            <w:pPr>
              <w:pStyle w:val="TableContents"/>
              <w:spacing w:before="0" w:after="283"/>
              <w:rPr/>
            </w:pPr>
            <w:r>
              <w:rPr/>
              <w:t> </w:t>
            </w:r>
          </w:p>
        </w:tc>
      </w:tr>
      <w:tr>
        <w:trPr/>
        <w:tc>
          <w:tcPr>
            <w:tcW w:w="1445" w:type="dxa"/>
            <w:tcBorders/>
            <w:shd w:fill="auto" w:val="clear"/>
            <w:vAlign w:val="bottom"/>
          </w:tcPr>
          <w:p>
            <w:pPr>
              <w:pStyle w:val="TableContents"/>
              <w:spacing w:before="0" w:after="0"/>
              <w:ind w:left="180" w:right="0" w:hanging="180"/>
              <w:rPr/>
            </w:pPr>
            <w:r>
              <w:rPr/>
              <w:t>Total</w:t>
            </w:r>
          </w:p>
        </w:tc>
        <w:tc>
          <w:tcPr>
            <w:tcW w:w="60" w:type="dxa"/>
            <w:tcBorders/>
            <w:shd w:fill="auto" w:val="clear"/>
            <w:vAlign w:val="bottom"/>
          </w:tcPr>
          <w:p>
            <w:pPr>
              <w:pStyle w:val="TableContents"/>
              <w:spacing w:before="0" w:after="283"/>
              <w:jc w:val="right"/>
              <w:rPr/>
            </w:pPr>
            <w:r>
              <w:rPr/>
              <w:t> </w:t>
            </w:r>
          </w:p>
        </w:tc>
        <w:tc>
          <w:tcPr>
            <w:tcW w:w="281"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788" w:type="dxa"/>
            <w:tcBorders>
              <w:bottom w:val="double" w:sz="8" w:space="0" w:color="000000"/>
            </w:tcBorders>
            <w:shd w:fill="auto" w:val="clear"/>
            <w:tcMar>
              <w:bottom w:w="28" w:type="dxa"/>
            </w:tcMar>
            <w:vAlign w:val="bottom"/>
          </w:tcPr>
          <w:p>
            <w:pPr>
              <w:pStyle w:val="TableContents"/>
              <w:spacing w:before="0" w:after="283"/>
              <w:jc w:val="right"/>
              <w:rPr/>
            </w:pPr>
            <w:r>
              <w:rPr/>
              <w:t>1,000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83" w:type="dxa"/>
            <w:tcBorders>
              <w:bottom w:val="double" w:sz="8" w:space="0" w:color="000000"/>
            </w:tcBorders>
            <w:shd w:fill="auto" w:val="clear"/>
            <w:tcMar>
              <w:bottom w:w="28" w:type="dxa"/>
            </w:tcMar>
            <w:vAlign w:val="bottom"/>
          </w:tcPr>
          <w:p>
            <w:pPr>
              <w:pStyle w:val="TableContents"/>
              <w:spacing w:before="0" w:after="283"/>
              <w:rPr/>
            </w:pPr>
            <w:r>
              <w:rPr/>
              <w:t xml:space="preserve">$ </w:t>
            </w:r>
          </w:p>
        </w:tc>
        <w:tc>
          <w:tcPr>
            <w:tcW w:w="1132" w:type="dxa"/>
            <w:tcBorders>
              <w:bottom w:val="double" w:sz="8" w:space="0" w:color="000000"/>
            </w:tcBorders>
            <w:shd w:fill="auto" w:val="clear"/>
            <w:tcMar>
              <w:bottom w:w="28" w:type="dxa"/>
            </w:tcMar>
            <w:vAlign w:val="bottom"/>
          </w:tcPr>
          <w:p>
            <w:pPr>
              <w:pStyle w:val="TableContents"/>
              <w:spacing w:before="0" w:after="283"/>
              <w:jc w:val="right"/>
              <w:rPr/>
            </w:pPr>
            <w:r>
              <w:rPr/>
              <w:t>1,000</w:t>
            </w:r>
          </w:p>
        </w:tc>
        <w:tc>
          <w:tcPr>
            <w:tcW w:w="7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is required to deposit additional cash collateral with Nomura Financial Investment (Korea) Co., Ltd. (“NFIK”) and SC for any exposure in excess of $500 thousand. As of March 31, 2023, $1,820 thousand of additional cash collateral was required by NFIK, and recorded as hedge collateral on the consolidated balance sheet. As of December 31, 2022, $1,840 thousand and $100 thousand of additional cash collateral were required by NFIK and SC, respectively, and recorded as hedge collateral on the consolidated balance sheet.</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These zero cost collar contracts may be terminated by the counterparties if the Company’s total cash and cash equivalents is less than $30,000 thousand at the end of a fiscal quarter, unless a waiver is obtained.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8. Fair Value Measurements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i/>
          <w:color w:val="000000"/>
          <w:sz w:val="20"/>
        </w:rPr>
      </w:pPr>
      <w:r>
        <w:rPr>
          <w:rFonts w:ascii="Times New Roman" w:hAnsi="Times New Roman"/>
          <w:i/>
          <w:color w:val="000000"/>
          <w:sz w:val="20"/>
        </w:rPr>
        <w:t>Fair Value of Financial Instruments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March 31, 2023, the following table represents the Company’s assets and liabilities measured at fair value on a recurring basis and the basis for that measurement (in thousands):</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2858"/>
        <w:gridCol w:w="60"/>
        <w:gridCol w:w="272"/>
        <w:gridCol w:w="1063"/>
        <w:gridCol w:w="60"/>
        <w:gridCol w:w="60"/>
        <w:gridCol w:w="304"/>
        <w:gridCol w:w="1219"/>
        <w:gridCol w:w="60"/>
        <w:gridCol w:w="60"/>
        <w:gridCol w:w="264"/>
        <w:gridCol w:w="1154"/>
        <w:gridCol w:w="60"/>
        <w:gridCol w:w="60"/>
        <w:gridCol w:w="235"/>
        <w:gridCol w:w="940"/>
        <w:gridCol w:w="60"/>
        <w:gridCol w:w="60"/>
        <w:gridCol w:w="268"/>
        <w:gridCol w:w="1162"/>
        <w:gridCol w:w="260"/>
      </w:tblGrid>
      <w:tr>
        <w:trPr/>
        <w:tc>
          <w:tcPr>
            <w:tcW w:w="2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Carrying Value</w:t>
            </w:r>
          </w:p>
          <w:p>
            <w:pPr>
              <w:pStyle w:val="TableContents"/>
              <w:spacing w:before="0" w:after="0"/>
              <w:jc w:val="center"/>
              <w:rPr>
                <w:b/>
              </w:rPr>
            </w:pPr>
            <w:r>
              <w:rPr>
                <w:b/>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3"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Fair Value</w:t>
            </w:r>
          </w:p>
          <w:p>
            <w:pPr>
              <w:pStyle w:val="TableContents"/>
              <w:spacing w:before="0" w:after="0"/>
              <w:jc w:val="center"/>
              <w:rPr>
                <w:b/>
              </w:rPr>
            </w:pPr>
            <w:r>
              <w:rPr>
                <w:b/>
              </w:rPr>
              <w:t>Measurement</w:t>
            </w:r>
          </w:p>
          <w:p>
            <w:pPr>
              <w:pStyle w:val="TableContents"/>
              <w:spacing w:before="0" w:after="0"/>
              <w:jc w:val="center"/>
              <w:rPr>
                <w:b/>
              </w:rPr>
            </w:pPr>
            <w:r>
              <w:rPr>
                <w:b/>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Quoted Prices in</w:t>
            </w:r>
          </w:p>
          <w:p>
            <w:pPr>
              <w:pStyle w:val="TableContents"/>
              <w:spacing w:before="0" w:after="0"/>
              <w:jc w:val="center"/>
              <w:rPr>
                <w:b/>
              </w:rPr>
            </w:pPr>
            <w:r>
              <w:rPr>
                <w:b/>
              </w:rPr>
              <w:t>Active Markets</w:t>
            </w:r>
          </w:p>
          <w:p>
            <w:pPr>
              <w:pStyle w:val="TableContents"/>
              <w:spacing w:before="0" w:after="0"/>
              <w:jc w:val="center"/>
              <w:rPr>
                <w:b/>
              </w:rPr>
            </w:pPr>
            <w:r>
              <w:rPr>
                <w:b/>
              </w:rPr>
              <w:t>for Identical</w:t>
            </w:r>
          </w:p>
          <w:p>
            <w:pPr>
              <w:pStyle w:val="TableContents"/>
              <w:spacing w:before="0" w:after="0"/>
              <w:jc w:val="center"/>
              <w:rPr>
                <w:b/>
              </w:rPr>
            </w:pPr>
            <w:r>
              <w:rPr>
                <w:b/>
              </w:rPr>
              <w:t>Liability (Level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Significant</w:t>
            </w:r>
          </w:p>
          <w:p>
            <w:pPr>
              <w:pStyle w:val="TableContents"/>
              <w:spacing w:before="0" w:after="0"/>
              <w:jc w:val="center"/>
              <w:rPr>
                <w:b/>
              </w:rPr>
            </w:pPr>
            <w:r>
              <w:rPr>
                <w:b/>
              </w:rPr>
              <w:t>Other</w:t>
            </w:r>
          </w:p>
          <w:p>
            <w:pPr>
              <w:pStyle w:val="TableContents"/>
              <w:spacing w:before="0" w:after="0"/>
              <w:jc w:val="center"/>
              <w:rPr>
                <w:b/>
              </w:rPr>
            </w:pPr>
            <w:r>
              <w:rPr>
                <w:b/>
              </w:rPr>
              <w:t>Observable</w:t>
            </w:r>
          </w:p>
          <w:p>
            <w:pPr>
              <w:pStyle w:val="TableContents"/>
              <w:spacing w:before="0" w:after="0"/>
              <w:jc w:val="center"/>
              <w:rPr>
                <w:b/>
              </w:rPr>
            </w:pPr>
            <w:r>
              <w:rPr>
                <w:b/>
              </w:rPr>
              <w:t>Inputs</w:t>
            </w:r>
          </w:p>
          <w:p>
            <w:pPr>
              <w:pStyle w:val="TableContents"/>
              <w:spacing w:before="0" w:after="0"/>
              <w:jc w:val="center"/>
              <w:rPr>
                <w:b/>
              </w:rPr>
            </w:pPr>
            <w:r>
              <w:rPr>
                <w:b/>
              </w:rPr>
              <w:t>(Level 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Significant</w:t>
            </w:r>
          </w:p>
          <w:p>
            <w:pPr>
              <w:pStyle w:val="TableContents"/>
              <w:spacing w:before="0" w:after="0"/>
              <w:jc w:val="center"/>
              <w:rPr>
                <w:b/>
              </w:rPr>
            </w:pPr>
            <w:r>
              <w:rPr>
                <w:b/>
              </w:rPr>
              <w:t>Unobservable</w:t>
            </w:r>
          </w:p>
          <w:p>
            <w:pPr>
              <w:pStyle w:val="TableContents"/>
              <w:spacing w:before="0" w:after="0"/>
              <w:jc w:val="center"/>
              <w:rPr>
                <w:b/>
              </w:rPr>
            </w:pPr>
            <w:r>
              <w:rPr>
                <w:b/>
              </w:rPr>
              <w:t>Inputs</w:t>
            </w:r>
          </w:p>
          <w:p>
            <w:pPr>
              <w:pStyle w:val="TableContents"/>
              <w:spacing w:before="0" w:after="0"/>
              <w:jc w:val="center"/>
              <w:rPr>
                <w:b/>
              </w:rPr>
            </w:pPr>
            <w:r>
              <w:rPr>
                <w:b/>
              </w:rPr>
              <w:t>(Level 3)</w:t>
            </w:r>
          </w:p>
        </w:tc>
        <w:tc>
          <w:tcPr>
            <w:tcW w:w="260" w:type="dxa"/>
            <w:tcBorders/>
            <w:shd w:fill="auto" w:val="clear"/>
            <w:vAlign w:val="bottom"/>
          </w:tcPr>
          <w:p>
            <w:pPr>
              <w:pStyle w:val="TableContents"/>
              <w:spacing w:before="0" w:after="283"/>
              <w:jc w:val="left"/>
              <w:rPr/>
            </w:pPr>
            <w:r>
              <w:rPr/>
              <w:t> </w:t>
            </w:r>
          </w:p>
        </w:tc>
      </w:tr>
      <w:tr>
        <w:trPr/>
        <w:tc>
          <w:tcPr>
            <w:tcW w:w="2858" w:type="dxa"/>
            <w:tcBorders/>
            <w:shd w:fill="auto" w:val="clear"/>
            <w:vAlign w:val="bottom"/>
          </w:tcPr>
          <w:p>
            <w:pPr>
              <w:pStyle w:val="TableContents"/>
              <w:spacing w:before="0" w:after="283"/>
              <w:rPr/>
            </w:pPr>
            <w:r>
              <w:rPr/>
              <w:t>Assets:</w:t>
            </w:r>
          </w:p>
        </w:tc>
        <w:tc>
          <w:tcPr>
            <w:tcW w:w="60" w:type="dxa"/>
            <w:tcBorders/>
            <w:shd w:fill="auto" w:val="clear"/>
            <w:vAlign w:val="bottom"/>
          </w:tcPr>
          <w:p>
            <w:pPr>
              <w:pStyle w:val="TableContents"/>
              <w:spacing w:before="0" w:after="283"/>
              <w:rPr/>
            </w:pPr>
            <w:r>
              <w:rPr/>
              <w:t> </w:t>
            </w:r>
          </w:p>
        </w:tc>
        <w:tc>
          <w:tcPr>
            <w:tcW w:w="13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ind w:left="0" w:right="0" w:firstLine="180"/>
              <w:jc w:val="left"/>
              <w:rPr/>
            </w:pPr>
            <w:r>
              <w:rPr/>
              <w:t> </w:t>
            </w:r>
          </w:p>
        </w:tc>
      </w:tr>
      <w:tr>
        <w:trPr/>
        <w:tc>
          <w:tcPr>
            <w:tcW w:w="2858" w:type="dxa"/>
            <w:tcBorders/>
            <w:shd w:fill="CCEEFF" w:val="clear"/>
            <w:vAlign w:val="bottom"/>
          </w:tcPr>
          <w:p>
            <w:pPr>
              <w:pStyle w:val="TableContents"/>
              <w:spacing w:before="0" w:after="0"/>
              <w:rPr/>
            </w:pPr>
            <w:r>
              <w:rPr/>
              <w:t> </w:t>
            </w:r>
            <w:r>
              <w:rPr/>
              <w:t xml:space="preserve">Derivative assets (other current assets) </w:t>
            </w:r>
          </w:p>
        </w:tc>
        <w:tc>
          <w:tcPr>
            <w:tcW w:w="6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jc w:val="left"/>
              <w:rPr/>
            </w:pPr>
            <w:r>
              <w:rPr/>
              <w:t xml:space="preserve">$ </w:t>
            </w:r>
          </w:p>
        </w:tc>
        <w:tc>
          <w:tcPr>
            <w:tcW w:w="1063"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jc w:val="left"/>
              <w:rPr/>
            </w:pPr>
            <w:r>
              <w:rPr/>
              <w:t xml:space="preserve">$ </w:t>
            </w:r>
          </w:p>
        </w:tc>
        <w:tc>
          <w:tcPr>
            <w:tcW w:w="1219"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jc w:val="left"/>
              <w:rPr/>
            </w:pPr>
            <w:r>
              <w:rPr/>
              <w:t> </w:t>
            </w:r>
          </w:p>
        </w:tc>
        <w:tc>
          <w:tcPr>
            <w:tcW w:w="115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 xml:space="preserve">$ </w:t>
            </w:r>
          </w:p>
        </w:tc>
        <w:tc>
          <w:tcPr>
            <w:tcW w:w="940"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r>
          </w:p>
        </w:tc>
        <w:tc>
          <w:tcPr>
            <w:tcW w:w="1162" w:type="dxa"/>
            <w:tcBorders/>
            <w:shd w:fill="CCEEFF" w:val="clear"/>
            <w:vAlign w:val="bottom"/>
          </w:tcPr>
          <w:p>
            <w:pPr>
              <w:pStyle w:val="TableContents"/>
              <w:spacing w:before="0" w:after="283"/>
              <w:jc w:val="right"/>
              <w:rPr/>
            </w:pPr>
            <w:r>
              <w:rPr/>
              <w:t>—</w:t>
            </w:r>
          </w:p>
        </w:tc>
        <w:tc>
          <w:tcPr>
            <w:tcW w:w="260" w:type="dxa"/>
            <w:tcBorders/>
            <w:shd w:fill="CCEEFF" w:val="clear"/>
            <w:vAlign w:val="bottom"/>
          </w:tcPr>
          <w:p>
            <w:pPr>
              <w:pStyle w:val="TableContents"/>
              <w:spacing w:before="0" w:after="283"/>
              <w:jc w:val="left"/>
              <w:rPr/>
            </w:pPr>
            <w:r>
              <w:rPr/>
              <w:t> </w:t>
            </w:r>
          </w:p>
        </w:tc>
      </w:tr>
      <w:tr>
        <w:trPr/>
        <w:tc>
          <w:tcPr>
            <w:tcW w:w="2858" w:type="dxa"/>
            <w:tcBorders/>
            <w:shd w:fill="auto" w:val="clear"/>
            <w:vAlign w:val="bottom"/>
          </w:tcPr>
          <w:p>
            <w:pPr>
              <w:pStyle w:val="TableContents"/>
              <w:spacing w:before="0" w:after="0"/>
              <w:ind w:left="144" w:right="0" w:hanging="144"/>
              <w:rPr/>
            </w:pPr>
            <w:r>
              <w:rPr/>
              <w:t>Liabilities:</w:t>
            </w:r>
          </w:p>
        </w:tc>
        <w:tc>
          <w:tcPr>
            <w:tcW w:w="6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jc w:val="left"/>
              <w:rPr/>
            </w:pPr>
            <w:r>
              <w:rPr/>
              <w:t> </w:t>
            </w:r>
          </w:p>
        </w:tc>
        <w:tc>
          <w:tcPr>
            <w:tcW w:w="10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jc w:val="left"/>
              <w:rPr/>
            </w:pPr>
            <w:r>
              <w:rPr/>
              <w:t> </w:t>
            </w:r>
          </w:p>
        </w:tc>
        <w:tc>
          <w:tcPr>
            <w:tcW w:w="121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left"/>
              <w:rPr/>
            </w:pPr>
            <w:r>
              <w:rPr/>
              <w:t> </w:t>
            </w:r>
          </w:p>
        </w:tc>
        <w:tc>
          <w:tcPr>
            <w:tcW w:w="11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left"/>
              <w:rPr/>
            </w:pPr>
            <w:r>
              <w:rPr/>
              <w:t> </w:t>
            </w:r>
          </w:p>
        </w:tc>
        <w:tc>
          <w:tcPr>
            <w:tcW w:w="9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162" w:type="dxa"/>
            <w:tcBorders/>
            <w:shd w:fill="auto" w:val="clear"/>
            <w:vAlign w:val="bottom"/>
          </w:tcPr>
          <w:p>
            <w:pPr>
              <w:pStyle w:val="TableContents"/>
              <w:spacing w:before="0" w:after="283"/>
              <w:jc w:val="right"/>
              <w:rPr/>
            </w:pPr>
            <w:r>
              <w:rPr/>
              <w:t> </w:t>
            </w:r>
          </w:p>
        </w:tc>
        <w:tc>
          <w:tcPr>
            <w:tcW w:w="260" w:type="dxa"/>
            <w:tcBorders/>
            <w:shd w:fill="auto" w:val="clear"/>
            <w:vAlign w:val="bottom"/>
          </w:tcPr>
          <w:p>
            <w:pPr>
              <w:pStyle w:val="TableContents"/>
              <w:spacing w:before="0" w:after="283"/>
              <w:jc w:val="left"/>
              <w:rPr/>
            </w:pPr>
            <w:r>
              <w:rPr/>
              <w:t> </w:t>
            </w:r>
          </w:p>
        </w:tc>
      </w:tr>
      <w:tr>
        <w:trPr/>
        <w:tc>
          <w:tcPr>
            <w:tcW w:w="2858" w:type="dxa"/>
            <w:tcBorders/>
            <w:shd w:fill="CCEEFF" w:val="clear"/>
            <w:vAlign w:val="bottom"/>
          </w:tcPr>
          <w:p>
            <w:pPr>
              <w:pStyle w:val="TableContents"/>
              <w:spacing w:before="0" w:after="0"/>
              <w:ind w:left="324" w:right="0" w:hanging="144"/>
              <w:rPr/>
            </w:pPr>
            <w:r>
              <w:rPr/>
              <w:t>Derivative liabilities (other current liabilities)</w:t>
            </w:r>
          </w:p>
        </w:tc>
        <w:tc>
          <w:tcPr>
            <w:tcW w:w="60" w:type="dxa"/>
            <w:tcBorders/>
            <w:shd w:fill="CCEEFF" w:val="clear"/>
            <w:vAlign w:val="bottom"/>
          </w:tcPr>
          <w:p>
            <w:pPr>
              <w:pStyle w:val="TableContents"/>
              <w:spacing w:before="0" w:after="283"/>
              <w:jc w:val="right"/>
              <w:rPr/>
            </w:pPr>
            <w:r>
              <w:rPr/>
              <w:t> </w:t>
            </w:r>
          </w:p>
        </w:tc>
        <w:tc>
          <w:tcPr>
            <w:tcW w:w="272" w:type="dxa"/>
            <w:tcBorders/>
            <w:shd w:fill="CCEEFF" w:val="clear"/>
            <w:vAlign w:val="bottom"/>
          </w:tcPr>
          <w:p>
            <w:pPr>
              <w:pStyle w:val="TableContents"/>
              <w:spacing w:before="0" w:after="0"/>
              <w:jc w:val="left"/>
              <w:rPr/>
            </w:pPr>
            <w:r>
              <w:rPr/>
              <w:t>$</w:t>
            </w:r>
          </w:p>
        </w:tc>
        <w:tc>
          <w:tcPr>
            <w:tcW w:w="1063"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4" w:type="dxa"/>
            <w:tcBorders/>
            <w:shd w:fill="CCEEFF" w:val="clear"/>
            <w:vAlign w:val="bottom"/>
          </w:tcPr>
          <w:p>
            <w:pPr>
              <w:pStyle w:val="TableContents"/>
              <w:spacing w:before="0" w:after="0"/>
              <w:jc w:val="left"/>
              <w:rPr/>
            </w:pPr>
            <w:r>
              <w:rPr/>
              <w:t>$</w:t>
            </w:r>
          </w:p>
        </w:tc>
        <w:tc>
          <w:tcPr>
            <w:tcW w:w="1219"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jc w:val="left"/>
              <w:rPr/>
            </w:pPr>
            <w:r>
              <w:rPr/>
              <w:t> </w:t>
            </w:r>
          </w:p>
        </w:tc>
        <w:tc>
          <w:tcPr>
            <w:tcW w:w="115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0"/>
              <w:jc w:val="left"/>
              <w:rPr/>
            </w:pPr>
            <w:r>
              <w:rPr/>
              <w:t>$</w:t>
            </w:r>
          </w:p>
        </w:tc>
        <w:tc>
          <w:tcPr>
            <w:tcW w:w="940" w:type="dxa"/>
            <w:tcBorders/>
            <w:shd w:fill="CCEEFF" w:val="clear"/>
            <w:vAlign w:val="bottom"/>
          </w:tcPr>
          <w:p>
            <w:pPr>
              <w:pStyle w:val="TableContents"/>
              <w:spacing w:before="0" w:after="0"/>
              <w:jc w:val="right"/>
              <w:rPr/>
            </w:pPr>
            <w:r>
              <w:rPr/>
              <w:t>2,641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8"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0"/>
              <w:jc w:val="right"/>
              <w:rPr/>
            </w:pPr>
            <w:r>
              <w:rPr/>
              <w:t>—</w:t>
            </w:r>
          </w:p>
        </w:tc>
        <w:tc>
          <w:tcPr>
            <w:tcW w:w="26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December 31, 2022, the following table represents the Company’s liabilities measured at fair value on a recurring basis and the basis for that measurement (in thousands):</w:t>
      </w:r>
    </w:p>
    <w:p>
      <w:pPr>
        <w:pStyle w:val="TextBody"/>
        <w:spacing w:before="0" w:after="0"/>
        <w:jc w:val="left"/>
        <w:rPr>
          <w:rFonts w:ascii="Times New Roman" w:hAnsi="Times New Roman"/>
          <w:sz w:val="20"/>
        </w:rPr>
      </w:pPr>
      <w:r>
        <w:rPr>
          <w:rFonts w:ascii="Times New Roman" w:hAnsi="Times New Roman"/>
          <w:sz w:val="20"/>
        </w:rPr>
      </w:r>
    </w:p>
    <w:tbl>
      <w:tblPr>
        <w:tblW w:w="10539" w:type="dxa"/>
        <w:jc w:val="left"/>
        <w:tblInd w:w="0" w:type="dxa"/>
        <w:tblCellMar>
          <w:top w:w="0" w:type="dxa"/>
          <w:left w:w="0" w:type="dxa"/>
          <w:bottom w:w="0" w:type="dxa"/>
          <w:right w:w="0" w:type="dxa"/>
        </w:tblCellMar>
      </w:tblPr>
      <w:tblGrid>
        <w:gridCol w:w="2680"/>
        <w:gridCol w:w="60"/>
        <w:gridCol w:w="307"/>
        <w:gridCol w:w="1230"/>
        <w:gridCol w:w="60"/>
        <w:gridCol w:w="60"/>
        <w:gridCol w:w="340"/>
        <w:gridCol w:w="1363"/>
        <w:gridCol w:w="60"/>
        <w:gridCol w:w="60"/>
        <w:gridCol w:w="260"/>
        <w:gridCol w:w="1135"/>
        <w:gridCol w:w="60"/>
        <w:gridCol w:w="60"/>
        <w:gridCol w:w="235"/>
        <w:gridCol w:w="940"/>
        <w:gridCol w:w="60"/>
        <w:gridCol w:w="60"/>
        <w:gridCol w:w="268"/>
        <w:gridCol w:w="1162"/>
        <w:gridCol w:w="79"/>
      </w:tblGrid>
      <w:tr>
        <w:trPr/>
        <w:tc>
          <w:tcPr>
            <w:tcW w:w="2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Carrying Value</w:t>
            </w:r>
          </w:p>
          <w:p>
            <w:pPr>
              <w:pStyle w:val="TableContents"/>
              <w:spacing w:before="0" w:after="0"/>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3"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Fair Value</w:t>
            </w:r>
          </w:p>
          <w:p>
            <w:pPr>
              <w:pStyle w:val="TableContents"/>
              <w:spacing w:before="0" w:after="0"/>
              <w:jc w:val="center"/>
              <w:rPr>
                <w:b/>
              </w:rPr>
            </w:pPr>
            <w:r>
              <w:rPr>
                <w:b/>
              </w:rPr>
              <w:t>Measurement</w:t>
            </w:r>
          </w:p>
          <w:p>
            <w:pPr>
              <w:pStyle w:val="TableContents"/>
              <w:spacing w:before="0" w:after="0"/>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Quoted Prices in</w:t>
            </w:r>
          </w:p>
          <w:p>
            <w:pPr>
              <w:pStyle w:val="TableContents"/>
              <w:spacing w:before="0" w:after="0"/>
              <w:jc w:val="center"/>
              <w:rPr>
                <w:b/>
              </w:rPr>
            </w:pPr>
            <w:r>
              <w:rPr>
                <w:b/>
              </w:rPr>
              <w:t>Active Markets</w:t>
            </w:r>
          </w:p>
          <w:p>
            <w:pPr>
              <w:pStyle w:val="TableContents"/>
              <w:spacing w:before="0" w:after="0"/>
              <w:jc w:val="center"/>
              <w:rPr>
                <w:b/>
              </w:rPr>
            </w:pPr>
            <w:r>
              <w:rPr>
                <w:b/>
              </w:rPr>
              <w:t>for Identical</w:t>
            </w:r>
          </w:p>
          <w:p>
            <w:pPr>
              <w:pStyle w:val="TableContents"/>
              <w:spacing w:before="0" w:after="0"/>
              <w:jc w:val="center"/>
              <w:rPr>
                <w:b/>
              </w:rPr>
            </w:pPr>
            <w:r>
              <w:rPr>
                <w:b/>
              </w:rPr>
              <w:t>Liability (Level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Significant</w:t>
            </w:r>
          </w:p>
          <w:p>
            <w:pPr>
              <w:pStyle w:val="TableContents"/>
              <w:spacing w:before="0" w:after="0"/>
              <w:jc w:val="center"/>
              <w:rPr>
                <w:b/>
              </w:rPr>
            </w:pPr>
            <w:r>
              <w:rPr>
                <w:b/>
              </w:rPr>
              <w:t>Other</w:t>
            </w:r>
          </w:p>
          <w:p>
            <w:pPr>
              <w:pStyle w:val="TableContents"/>
              <w:spacing w:before="0" w:after="0"/>
              <w:jc w:val="center"/>
              <w:rPr>
                <w:b/>
              </w:rPr>
            </w:pPr>
            <w:r>
              <w:rPr>
                <w:b/>
              </w:rPr>
              <w:t>Observable</w:t>
            </w:r>
          </w:p>
          <w:p>
            <w:pPr>
              <w:pStyle w:val="TableContents"/>
              <w:spacing w:before="0" w:after="0"/>
              <w:jc w:val="center"/>
              <w:rPr>
                <w:b/>
              </w:rPr>
            </w:pPr>
            <w:r>
              <w:rPr>
                <w:b/>
              </w:rPr>
              <w:t>Inputs</w:t>
            </w:r>
          </w:p>
          <w:p>
            <w:pPr>
              <w:pStyle w:val="TableContents"/>
              <w:spacing w:before="0" w:after="0"/>
              <w:jc w:val="center"/>
              <w:rPr>
                <w:b/>
              </w:rPr>
            </w:pPr>
            <w:r>
              <w:rPr>
                <w:b/>
              </w:rPr>
              <w:t>(Level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Significant</w:t>
            </w:r>
          </w:p>
          <w:p>
            <w:pPr>
              <w:pStyle w:val="TableContents"/>
              <w:spacing w:before="0" w:after="0"/>
              <w:jc w:val="center"/>
              <w:rPr>
                <w:b/>
              </w:rPr>
            </w:pPr>
            <w:r>
              <w:rPr>
                <w:b/>
              </w:rPr>
              <w:t>Unobservable</w:t>
            </w:r>
          </w:p>
          <w:p>
            <w:pPr>
              <w:pStyle w:val="TableContents"/>
              <w:spacing w:before="0" w:after="0"/>
              <w:jc w:val="center"/>
              <w:rPr>
                <w:b/>
              </w:rPr>
            </w:pPr>
            <w:r>
              <w:rPr>
                <w:b/>
              </w:rPr>
              <w:t>Inputs</w:t>
            </w:r>
          </w:p>
          <w:p>
            <w:pPr>
              <w:pStyle w:val="TableContents"/>
              <w:spacing w:before="0" w:after="0"/>
              <w:jc w:val="center"/>
              <w:rPr>
                <w:b/>
              </w:rPr>
            </w:pPr>
            <w:r>
              <w:rPr>
                <w:b/>
              </w:rPr>
              <w:t>(Level 3)</w:t>
            </w:r>
          </w:p>
        </w:tc>
        <w:tc>
          <w:tcPr>
            <w:tcW w:w="79" w:type="dxa"/>
            <w:tcBorders/>
            <w:shd w:fill="auto" w:val="clear"/>
            <w:vAlign w:val="bottom"/>
          </w:tcPr>
          <w:p>
            <w:pPr>
              <w:pStyle w:val="TableContents"/>
              <w:spacing w:before="0" w:after="283"/>
              <w:rPr/>
            </w:pPr>
            <w:r>
              <w:rPr/>
              <w:t> </w:t>
            </w:r>
          </w:p>
        </w:tc>
      </w:tr>
      <w:tr>
        <w:trPr/>
        <w:tc>
          <w:tcPr>
            <w:tcW w:w="2680" w:type="dxa"/>
            <w:tcBorders/>
            <w:shd w:fill="auto" w:val="clear"/>
            <w:vAlign w:val="bottom"/>
          </w:tcPr>
          <w:p>
            <w:pPr>
              <w:pStyle w:val="TableContents"/>
              <w:spacing w:before="0" w:after="0"/>
              <w:ind w:left="144" w:right="0" w:hanging="144"/>
              <w:rPr/>
            </w:pPr>
            <w:r>
              <w:rPr/>
              <w:t>Liabilities:</w:t>
            </w:r>
          </w:p>
        </w:tc>
        <w:tc>
          <w:tcPr>
            <w:tcW w:w="60" w:type="dxa"/>
            <w:tcBorders/>
            <w:shd w:fill="auto" w:val="clear"/>
            <w:vAlign w:val="bottom"/>
          </w:tcPr>
          <w:p>
            <w:pPr>
              <w:pStyle w:val="TableContents"/>
              <w:spacing w:before="0" w:after="283"/>
              <w:rPr/>
            </w:pPr>
            <w:r>
              <w:rPr/>
              <w:t> </w:t>
            </w:r>
          </w:p>
        </w:tc>
        <w:tc>
          <w:tcPr>
            <w:tcW w:w="153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3"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r>
      <w:tr>
        <w:trPr/>
        <w:tc>
          <w:tcPr>
            <w:tcW w:w="2680" w:type="dxa"/>
            <w:tcBorders/>
            <w:shd w:fill="CCEEFF" w:val="clear"/>
            <w:vAlign w:val="bottom"/>
          </w:tcPr>
          <w:p>
            <w:pPr>
              <w:pStyle w:val="TableContents"/>
              <w:spacing w:before="0" w:after="0"/>
              <w:ind w:left="324" w:right="0" w:hanging="144"/>
              <w:rPr/>
            </w:pPr>
            <w:r>
              <w:rPr/>
              <w:t>Derivative liabilities (other current liabilities)</w:t>
            </w:r>
          </w:p>
        </w:tc>
        <w:tc>
          <w:tcPr>
            <w:tcW w:w="60" w:type="dxa"/>
            <w:tcBorders/>
            <w:shd w:fill="CCEEFF" w:val="clear"/>
            <w:vAlign w:val="bottom"/>
          </w:tcPr>
          <w:p>
            <w:pPr>
              <w:pStyle w:val="TableContents"/>
              <w:spacing w:before="0" w:after="283"/>
              <w:jc w:val="right"/>
              <w:rPr/>
            </w:pPr>
            <w:r>
              <w:rPr/>
              <w:t> </w:t>
            </w:r>
          </w:p>
        </w:tc>
        <w:tc>
          <w:tcPr>
            <w:tcW w:w="307" w:type="dxa"/>
            <w:tcBorders/>
            <w:shd w:fill="CCEEFF" w:val="clear"/>
            <w:vAlign w:val="bottom"/>
          </w:tcPr>
          <w:p>
            <w:pPr>
              <w:pStyle w:val="TableContents"/>
              <w:spacing w:before="0" w:after="0"/>
              <w:rPr/>
            </w:pPr>
            <w:r>
              <w:rPr/>
              <w:t>$</w:t>
            </w:r>
          </w:p>
        </w:tc>
        <w:tc>
          <w:tcPr>
            <w:tcW w:w="1230" w:type="dxa"/>
            <w:tcBorders/>
            <w:shd w:fill="CCEEFF" w:val="clear"/>
            <w:vAlign w:val="bottom"/>
          </w:tcPr>
          <w:p>
            <w:pPr>
              <w:pStyle w:val="TableContents"/>
              <w:spacing w:before="0" w:after="0"/>
              <w:jc w:val="right"/>
              <w:rPr/>
            </w:pPr>
            <w:r>
              <w:rPr/>
              <w:t>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40" w:type="dxa"/>
            <w:tcBorders/>
            <w:shd w:fill="CCEEFF" w:val="clear"/>
            <w:vAlign w:val="bottom"/>
          </w:tcPr>
          <w:p>
            <w:pPr>
              <w:pStyle w:val="TableContents"/>
              <w:spacing w:before="0" w:after="0"/>
              <w:rPr/>
            </w:pPr>
            <w:r>
              <w:rPr/>
              <w:t>$</w:t>
            </w:r>
          </w:p>
        </w:tc>
        <w:tc>
          <w:tcPr>
            <w:tcW w:w="1363" w:type="dxa"/>
            <w:tcBorders/>
            <w:shd w:fill="CCEEFF" w:val="clear"/>
            <w:vAlign w:val="bottom"/>
          </w:tcPr>
          <w:p>
            <w:pPr>
              <w:pStyle w:val="TableContents"/>
              <w:spacing w:before="0" w:after="0"/>
              <w:jc w:val="right"/>
              <w:rPr/>
            </w:pPr>
            <w:r>
              <w:rPr/>
              <w:t>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60"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6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0"/>
              <w:jc w:val="right"/>
              <w:rPr/>
            </w:pPr>
            <w:r>
              <w:rPr/>
              <w:t>—</w:t>
            </w:r>
          </w:p>
        </w:tc>
        <w:tc>
          <w:tcPr>
            <w:tcW w:w="79"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9. Accrued Severance Benefits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2023, 97% of all employees of the Company were eligible for severance benefits.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Changes in accrued severance benefits are as follows (in thousands):</w:t>
      </w:r>
    </w:p>
    <w:p>
      <w:pPr>
        <w:pStyle w:val="TextBody"/>
        <w:spacing w:before="0" w:after="0"/>
        <w:jc w:val="left"/>
        <w:rPr>
          <w:color w:val="000000"/>
        </w:rPr>
      </w:pPr>
      <w:r>
        <w:rPr>
          <w:color w:val="000000"/>
        </w:rPr>
        <w:t> </w:t>
      </w:r>
    </w:p>
    <w:tbl>
      <w:tblPr>
        <w:tblW w:w="9388" w:type="dxa"/>
        <w:jc w:val="left"/>
        <w:tblInd w:w="0" w:type="dxa"/>
        <w:tblCellMar>
          <w:top w:w="0" w:type="dxa"/>
          <w:left w:w="0" w:type="dxa"/>
          <w:bottom w:w="0" w:type="dxa"/>
          <w:right w:w="0" w:type="dxa"/>
        </w:tblCellMar>
      </w:tblPr>
      <w:tblGrid>
        <w:gridCol w:w="6785"/>
        <w:gridCol w:w="60"/>
        <w:gridCol w:w="176"/>
        <w:gridCol w:w="953"/>
        <w:gridCol w:w="107"/>
        <w:gridCol w:w="68"/>
        <w:gridCol w:w="176"/>
        <w:gridCol w:w="953"/>
        <w:gridCol w:w="110"/>
      </w:tblGrid>
      <w:tr>
        <w:trPr/>
        <w:tc>
          <w:tcPr>
            <w:tcW w:w="67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2433" w:type="dxa"/>
            <w:gridSpan w:val="6"/>
            <w:tcBorders>
              <w:bottom w:val="single" w:sz="12"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110" w:type="dxa"/>
            <w:tcBorders/>
            <w:shd w:fill="auto" w:val="clear"/>
            <w:vAlign w:val="bottom"/>
          </w:tcPr>
          <w:p>
            <w:pPr>
              <w:pStyle w:val="TableContents"/>
              <w:spacing w:before="0" w:after="283"/>
              <w:jc w:val="left"/>
              <w:rPr/>
            </w:pPr>
            <w:r>
              <w:rPr/>
              <w:t> </w:t>
            </w:r>
          </w:p>
        </w:tc>
      </w:tr>
      <w:tr>
        <w:trPr/>
        <w:tc>
          <w:tcPr>
            <w:tcW w:w="67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March 31, </w:t>
            </w:r>
          </w:p>
          <w:p>
            <w:pPr>
              <w:pStyle w:val="TableContents"/>
              <w:spacing w:before="0" w:after="0"/>
              <w:jc w:val="center"/>
              <w:rPr>
                <w:b/>
              </w:rPr>
            </w:pPr>
            <w:r>
              <w:rPr>
                <w:b/>
              </w:rPr>
              <w:t xml:space="preserve">2023 </w:t>
            </w:r>
          </w:p>
        </w:tc>
        <w:tc>
          <w:tcPr>
            <w:tcW w:w="107"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March 31, </w:t>
            </w:r>
          </w:p>
          <w:p>
            <w:pPr>
              <w:pStyle w:val="TableContents"/>
              <w:spacing w:before="0" w:after="0"/>
              <w:jc w:val="center"/>
              <w:rPr>
                <w:b/>
              </w:rPr>
            </w:pPr>
            <w:r>
              <w:rPr>
                <w:b/>
              </w:rPr>
              <w:t xml:space="preserve">2022 </w:t>
            </w:r>
          </w:p>
        </w:tc>
        <w:tc>
          <w:tcPr>
            <w:tcW w:w="110" w:type="dxa"/>
            <w:tcBorders/>
            <w:shd w:fill="auto" w:val="clear"/>
            <w:vAlign w:val="bottom"/>
          </w:tcPr>
          <w:p>
            <w:pPr>
              <w:pStyle w:val="TableContents"/>
              <w:spacing w:before="0" w:after="283"/>
              <w:jc w:val="left"/>
              <w:rPr/>
            </w:pPr>
            <w:r>
              <w:rPr/>
              <w:t> </w:t>
            </w:r>
          </w:p>
        </w:tc>
      </w:tr>
      <w:tr>
        <w:trPr/>
        <w:tc>
          <w:tcPr>
            <w:tcW w:w="6785" w:type="dxa"/>
            <w:tcBorders/>
            <w:shd w:fill="CCEEFF" w:val="clear"/>
            <w:vAlign w:val="bottom"/>
          </w:tcPr>
          <w:p>
            <w:pPr>
              <w:pStyle w:val="TableContents"/>
              <w:spacing w:before="0" w:after="0"/>
              <w:ind w:left="144" w:right="0" w:hanging="144"/>
              <w:rPr/>
            </w:pPr>
            <w:r>
              <w:rPr/>
              <w:t>Beginning balance</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48,496</w:t>
            </w:r>
          </w:p>
        </w:tc>
        <w:tc>
          <w:tcPr>
            <w:tcW w:w="107"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w:t>
            </w:r>
          </w:p>
        </w:tc>
        <w:tc>
          <w:tcPr>
            <w:tcW w:w="953" w:type="dxa"/>
            <w:tcBorders/>
            <w:shd w:fill="CCEEFF" w:val="clear"/>
            <w:vAlign w:val="bottom"/>
          </w:tcPr>
          <w:p>
            <w:pPr>
              <w:pStyle w:val="TableContents"/>
              <w:spacing w:before="0" w:after="283"/>
              <w:jc w:val="right"/>
              <w:rPr/>
            </w:pPr>
            <w:r>
              <w:rPr/>
              <w:t>51,567</w:t>
            </w:r>
          </w:p>
        </w:tc>
        <w:tc>
          <w:tcPr>
            <w:tcW w:w="110" w:type="dxa"/>
            <w:tcBorders/>
            <w:shd w:fill="CCEEFF" w:val="clear"/>
            <w:vAlign w:val="bottom"/>
          </w:tcPr>
          <w:p>
            <w:pPr>
              <w:pStyle w:val="TableContents"/>
              <w:spacing w:before="0" w:after="283"/>
              <w:jc w:val="left"/>
              <w:rPr/>
            </w:pPr>
            <w:r>
              <w:rPr/>
              <w:t> </w:t>
            </w:r>
          </w:p>
        </w:tc>
      </w:tr>
      <w:tr>
        <w:trPr/>
        <w:tc>
          <w:tcPr>
            <w:tcW w:w="6785" w:type="dxa"/>
            <w:tcBorders/>
            <w:shd w:fill="auto" w:val="clear"/>
            <w:vAlign w:val="bottom"/>
          </w:tcPr>
          <w:p>
            <w:pPr>
              <w:pStyle w:val="TableContents"/>
              <w:spacing w:before="0" w:after="0"/>
              <w:ind w:left="144" w:right="0" w:hanging="144"/>
              <w:rPr/>
            </w:pPr>
            <w:r>
              <w:rPr/>
              <w:t>Provisions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953" w:type="dxa"/>
            <w:tcBorders/>
            <w:shd w:fill="auto" w:val="clear"/>
            <w:vAlign w:val="bottom"/>
          </w:tcPr>
          <w:p>
            <w:pPr>
              <w:pStyle w:val="TableContents"/>
              <w:spacing w:before="0" w:after="283"/>
              <w:jc w:val="right"/>
              <w:rPr/>
            </w:pPr>
            <w:r>
              <w:rPr/>
              <w:t>2,330</w:t>
            </w:r>
          </w:p>
        </w:tc>
        <w:tc>
          <w:tcPr>
            <w:tcW w:w="107"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953" w:type="dxa"/>
            <w:tcBorders/>
            <w:shd w:fill="auto" w:val="clear"/>
            <w:vAlign w:val="bottom"/>
          </w:tcPr>
          <w:p>
            <w:pPr>
              <w:pStyle w:val="TableContents"/>
              <w:spacing w:before="0" w:after="283"/>
              <w:jc w:val="right"/>
              <w:rPr/>
            </w:pPr>
            <w:r>
              <w:rPr/>
              <w:t>1,670</w:t>
            </w:r>
          </w:p>
        </w:tc>
        <w:tc>
          <w:tcPr>
            <w:tcW w:w="110" w:type="dxa"/>
            <w:tcBorders/>
            <w:shd w:fill="auto" w:val="clear"/>
            <w:vAlign w:val="bottom"/>
          </w:tcPr>
          <w:p>
            <w:pPr>
              <w:pStyle w:val="TableContents"/>
              <w:spacing w:before="0" w:after="283"/>
              <w:jc w:val="left"/>
              <w:rPr/>
            </w:pPr>
            <w:r>
              <w:rPr/>
              <w:t> </w:t>
            </w:r>
          </w:p>
        </w:tc>
      </w:tr>
      <w:tr>
        <w:trPr/>
        <w:tc>
          <w:tcPr>
            <w:tcW w:w="6785" w:type="dxa"/>
            <w:tcBorders/>
            <w:shd w:fill="CCEEFF" w:val="clear"/>
            <w:vAlign w:val="bottom"/>
          </w:tcPr>
          <w:p>
            <w:pPr>
              <w:pStyle w:val="TableContents"/>
              <w:spacing w:before="0" w:after="0"/>
              <w:ind w:left="144" w:right="0" w:hanging="144"/>
              <w:rPr/>
            </w:pPr>
            <w:r>
              <w:rPr/>
              <w:t>Severance payments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(871</w:t>
            </w:r>
          </w:p>
        </w:tc>
        <w:tc>
          <w:tcPr>
            <w:tcW w:w="107" w:type="dxa"/>
            <w:tcBorders/>
            <w:shd w:fill="CCEEFF" w:val="clear"/>
            <w:vAlign w:val="bottom"/>
          </w:tcPr>
          <w:p>
            <w:pPr>
              <w:pStyle w:val="TableContents"/>
              <w:spacing w:before="0" w:after="283"/>
              <w:jc w:val="left"/>
              <w:rPr/>
            </w:pPr>
            <w:r>
              <w:rPr/>
              <w:t>)</w:t>
            </w:r>
          </w:p>
        </w:tc>
        <w:tc>
          <w:tcPr>
            <w:tcW w:w="68"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(1,389</w:t>
            </w:r>
          </w:p>
        </w:tc>
        <w:tc>
          <w:tcPr>
            <w:tcW w:w="110" w:type="dxa"/>
            <w:tcBorders/>
            <w:shd w:fill="CCEEFF" w:val="clear"/>
            <w:vAlign w:val="bottom"/>
          </w:tcPr>
          <w:p>
            <w:pPr>
              <w:pStyle w:val="TableContents"/>
              <w:spacing w:before="0" w:after="283"/>
              <w:jc w:val="left"/>
              <w:rPr/>
            </w:pPr>
            <w:r>
              <w:rPr/>
              <w:t>)</w:t>
            </w:r>
          </w:p>
        </w:tc>
      </w:tr>
      <w:tr>
        <w:trPr/>
        <w:tc>
          <w:tcPr>
            <w:tcW w:w="6785" w:type="dxa"/>
            <w:tcBorders/>
            <w:shd w:fill="auto" w:val="clear"/>
            <w:vAlign w:val="bottom"/>
          </w:tcPr>
          <w:p>
            <w:pPr>
              <w:pStyle w:val="TableContents"/>
              <w:spacing w:before="0" w:after="0"/>
              <w:ind w:left="144" w:right="0" w:hanging="144"/>
              <w:rPr/>
            </w:pPr>
            <w:r>
              <w:rPr/>
              <w:t>Translation adjustments</w:t>
            </w:r>
          </w:p>
        </w:tc>
        <w:tc>
          <w:tcPr>
            <w:tcW w:w="60"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bottom w:w="28" w:type="dxa"/>
            </w:tcMar>
            <w:vAlign w:val="bottom"/>
          </w:tcPr>
          <w:p>
            <w:pPr>
              <w:pStyle w:val="TableContents"/>
              <w:spacing w:before="0" w:after="283"/>
              <w:jc w:val="right"/>
              <w:rPr/>
            </w:pPr>
            <w:r>
              <w:rPr/>
              <w:t>(1,381</w:t>
            </w:r>
          </w:p>
        </w:tc>
        <w:tc>
          <w:tcPr>
            <w:tcW w:w="107" w:type="dxa"/>
            <w:tcBorders/>
            <w:shd w:fill="auto" w:val="clear"/>
            <w:vAlign w:val="bottom"/>
          </w:tcPr>
          <w:p>
            <w:pPr>
              <w:pStyle w:val="TableContents"/>
              <w:spacing w:before="0" w:after="283"/>
              <w:jc w:val="left"/>
              <w:rPr/>
            </w:pPr>
            <w:r>
              <w:rPr/>
              <w:t>)</w:t>
            </w:r>
          </w:p>
        </w:tc>
        <w:tc>
          <w:tcPr>
            <w:tcW w:w="68"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bottom w:w="28" w:type="dxa"/>
            </w:tcMar>
            <w:vAlign w:val="bottom"/>
          </w:tcPr>
          <w:p>
            <w:pPr>
              <w:pStyle w:val="TableContents"/>
              <w:spacing w:before="0" w:after="283"/>
              <w:jc w:val="right"/>
              <w:rPr/>
            </w:pPr>
            <w:r>
              <w:rPr/>
              <w:t>(1,077</w:t>
            </w:r>
          </w:p>
        </w:tc>
        <w:tc>
          <w:tcPr>
            <w:tcW w:w="110" w:type="dxa"/>
            <w:tcBorders/>
            <w:shd w:fill="auto" w:val="clear"/>
            <w:vAlign w:val="bottom"/>
          </w:tcPr>
          <w:p>
            <w:pPr>
              <w:pStyle w:val="TableContents"/>
              <w:spacing w:before="0" w:after="283"/>
              <w:jc w:val="left"/>
              <w:rPr/>
            </w:pPr>
            <w:r>
              <w:rPr/>
              <w:t>)</w:t>
            </w:r>
          </w:p>
        </w:tc>
      </w:tr>
      <w:tr>
        <w:trPr/>
        <w:tc>
          <w:tcPr>
            <w:tcW w:w="67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48,574</w:t>
            </w:r>
          </w:p>
        </w:tc>
        <w:tc>
          <w:tcPr>
            <w:tcW w:w="107"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50,771</w:t>
            </w:r>
          </w:p>
        </w:tc>
        <w:tc>
          <w:tcPr>
            <w:tcW w:w="110" w:type="dxa"/>
            <w:tcBorders/>
            <w:shd w:fill="CCEEFF" w:val="clear"/>
            <w:vAlign w:val="bottom"/>
          </w:tcPr>
          <w:p>
            <w:pPr>
              <w:pStyle w:val="TableContents"/>
              <w:spacing w:before="0" w:after="283"/>
              <w:jc w:val="left"/>
              <w:rPr/>
            </w:pPr>
            <w:r>
              <w:rPr/>
              <w:t> </w:t>
            </w:r>
          </w:p>
        </w:tc>
      </w:tr>
      <w:tr>
        <w:trPr/>
        <w:tc>
          <w:tcPr>
            <w:tcW w:w="6785" w:type="dxa"/>
            <w:tcBorders/>
            <w:shd w:fill="auto" w:val="clear"/>
            <w:vAlign w:val="bottom"/>
          </w:tcPr>
          <w:p>
            <w:pPr>
              <w:pStyle w:val="TableContents"/>
              <w:spacing w:before="0" w:after="0"/>
              <w:ind w:left="144" w:right="0" w:hanging="144"/>
              <w:rPr/>
            </w:pPr>
            <w:r>
              <w:rPr/>
              <w:t>Less: Cumulative contributions to severance insurance deposit accounts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953" w:type="dxa"/>
            <w:tcBorders/>
            <w:shd w:fill="auto" w:val="clear"/>
            <w:vAlign w:val="bottom"/>
          </w:tcPr>
          <w:p>
            <w:pPr>
              <w:pStyle w:val="TableContents"/>
              <w:spacing w:before="0" w:after="283"/>
              <w:jc w:val="right"/>
              <w:rPr/>
            </w:pPr>
            <w:r>
              <w:rPr/>
              <w:t>(24,747</w:t>
            </w:r>
          </w:p>
        </w:tc>
        <w:tc>
          <w:tcPr>
            <w:tcW w:w="107" w:type="dxa"/>
            <w:tcBorders/>
            <w:shd w:fill="auto" w:val="clear"/>
            <w:vAlign w:val="bottom"/>
          </w:tcPr>
          <w:p>
            <w:pPr>
              <w:pStyle w:val="TableContents"/>
              <w:spacing w:before="0" w:after="283"/>
              <w:jc w:val="left"/>
              <w:rPr/>
            </w:pPr>
            <w:r>
              <w:rPr/>
              <w:t>)</w:t>
            </w:r>
          </w:p>
        </w:tc>
        <w:tc>
          <w:tcPr>
            <w:tcW w:w="68"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953" w:type="dxa"/>
            <w:tcBorders/>
            <w:shd w:fill="auto" w:val="clear"/>
            <w:vAlign w:val="bottom"/>
          </w:tcPr>
          <w:p>
            <w:pPr>
              <w:pStyle w:val="TableContents"/>
              <w:spacing w:before="0" w:after="283"/>
              <w:jc w:val="right"/>
              <w:rPr/>
            </w:pPr>
            <w:r>
              <w:rPr/>
              <w:t>(17,954</w:t>
            </w:r>
          </w:p>
        </w:tc>
        <w:tc>
          <w:tcPr>
            <w:tcW w:w="110" w:type="dxa"/>
            <w:tcBorders/>
            <w:shd w:fill="auto" w:val="clear"/>
            <w:vAlign w:val="bottom"/>
          </w:tcPr>
          <w:p>
            <w:pPr>
              <w:pStyle w:val="TableContents"/>
              <w:spacing w:before="0" w:after="283"/>
              <w:jc w:val="left"/>
              <w:rPr/>
            </w:pPr>
            <w:r>
              <w:rPr/>
              <w:t>)</w:t>
            </w:r>
          </w:p>
        </w:tc>
      </w:tr>
      <w:tr>
        <w:trPr/>
        <w:tc>
          <w:tcPr>
            <w:tcW w:w="6785" w:type="dxa"/>
            <w:tcBorders/>
            <w:shd w:fill="CCEEFF" w:val="clear"/>
            <w:vAlign w:val="bottom"/>
          </w:tcPr>
          <w:p>
            <w:pPr>
              <w:pStyle w:val="TableContents"/>
              <w:spacing w:before="0" w:after="0"/>
              <w:ind w:left="324" w:right="0" w:hanging="144"/>
              <w:rPr/>
            </w:pPr>
            <w:r>
              <w:rPr/>
              <w:t>The National Pension Fund</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(40</w:t>
            </w:r>
          </w:p>
        </w:tc>
        <w:tc>
          <w:tcPr>
            <w:tcW w:w="107" w:type="dxa"/>
            <w:tcBorders/>
            <w:shd w:fill="CCEEFF" w:val="clear"/>
            <w:vAlign w:val="bottom"/>
          </w:tcPr>
          <w:p>
            <w:pPr>
              <w:pStyle w:val="TableContents"/>
              <w:spacing w:before="0" w:after="283"/>
              <w:jc w:val="left"/>
              <w:rPr/>
            </w:pPr>
            <w:r>
              <w:rPr/>
              <w:t>)</w:t>
            </w:r>
          </w:p>
        </w:tc>
        <w:tc>
          <w:tcPr>
            <w:tcW w:w="68"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pPr>
            <w:r>
              <w:rPr/>
              <w:t>(50</w:t>
            </w:r>
          </w:p>
        </w:tc>
        <w:tc>
          <w:tcPr>
            <w:tcW w:w="110" w:type="dxa"/>
            <w:tcBorders/>
            <w:shd w:fill="CCEEFF" w:val="clear"/>
            <w:vAlign w:val="bottom"/>
          </w:tcPr>
          <w:p>
            <w:pPr>
              <w:pStyle w:val="TableContents"/>
              <w:spacing w:before="0" w:after="283"/>
              <w:jc w:val="left"/>
              <w:rPr/>
            </w:pPr>
            <w:r>
              <w:rPr/>
              <w:t>)</w:t>
            </w:r>
          </w:p>
        </w:tc>
      </w:tr>
      <w:tr>
        <w:trPr/>
        <w:tc>
          <w:tcPr>
            <w:tcW w:w="6785" w:type="dxa"/>
            <w:tcBorders/>
            <w:shd w:fill="auto" w:val="clear"/>
            <w:vAlign w:val="bottom"/>
          </w:tcPr>
          <w:p>
            <w:pPr>
              <w:pStyle w:val="TableContents"/>
              <w:spacing w:before="0" w:after="0"/>
              <w:ind w:left="324" w:right="0" w:hanging="144"/>
              <w:rPr/>
            </w:pPr>
            <w:r>
              <w:rPr/>
              <w:t>Group severance insurance plan</w:t>
            </w:r>
          </w:p>
        </w:tc>
        <w:tc>
          <w:tcPr>
            <w:tcW w:w="60"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bottom w:w="28" w:type="dxa"/>
            </w:tcMar>
            <w:vAlign w:val="bottom"/>
          </w:tcPr>
          <w:p>
            <w:pPr>
              <w:pStyle w:val="TableContents"/>
              <w:spacing w:before="0" w:after="283"/>
              <w:jc w:val="right"/>
              <w:rPr/>
            </w:pPr>
            <w:r>
              <w:rPr/>
              <w:t>(179</w:t>
            </w:r>
          </w:p>
        </w:tc>
        <w:tc>
          <w:tcPr>
            <w:tcW w:w="107" w:type="dxa"/>
            <w:tcBorders/>
            <w:shd w:fill="auto" w:val="clear"/>
            <w:vAlign w:val="bottom"/>
          </w:tcPr>
          <w:p>
            <w:pPr>
              <w:pStyle w:val="TableContents"/>
              <w:spacing w:before="0" w:after="283"/>
              <w:jc w:val="left"/>
              <w:rPr/>
            </w:pPr>
            <w:r>
              <w:rPr/>
              <w:t>)</w:t>
            </w:r>
          </w:p>
        </w:tc>
        <w:tc>
          <w:tcPr>
            <w:tcW w:w="68"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3" w:type="dxa"/>
            <w:tcBorders>
              <w:bottom w:val="single" w:sz="12" w:space="0" w:color="000000"/>
            </w:tcBorders>
            <w:shd w:fill="auto" w:val="clear"/>
            <w:tcMar>
              <w:bottom w:w="28" w:type="dxa"/>
            </w:tcMar>
            <w:vAlign w:val="bottom"/>
          </w:tcPr>
          <w:p>
            <w:pPr>
              <w:pStyle w:val="TableContents"/>
              <w:spacing w:before="0" w:after="283"/>
              <w:jc w:val="right"/>
              <w:rPr/>
            </w:pPr>
            <w:r>
              <w:rPr/>
              <w:t>(195</w:t>
            </w:r>
          </w:p>
        </w:tc>
        <w:tc>
          <w:tcPr>
            <w:tcW w:w="110" w:type="dxa"/>
            <w:tcBorders/>
            <w:shd w:fill="auto" w:val="clear"/>
            <w:vAlign w:val="bottom"/>
          </w:tcPr>
          <w:p>
            <w:pPr>
              <w:pStyle w:val="TableContents"/>
              <w:spacing w:before="0" w:after="283"/>
              <w:jc w:val="left"/>
              <w:rPr/>
            </w:pPr>
            <w:r>
              <w:rPr/>
              <w:t>)</w:t>
            </w:r>
          </w:p>
        </w:tc>
      </w:tr>
      <w:tr>
        <w:trPr/>
        <w:tc>
          <w:tcPr>
            <w:tcW w:w="6785" w:type="dxa"/>
            <w:tcBorders/>
            <w:shd w:fill="CCEEFF" w:val="clear"/>
            <w:vAlign w:val="bottom"/>
          </w:tcPr>
          <w:p>
            <w:pPr>
              <w:pStyle w:val="TableContents"/>
              <w:spacing w:before="0" w:after="0"/>
              <w:rPr/>
            </w:pPr>
            <w:r>
              <w:rPr/>
              <w:t>Accrued severance benefits, net</w:t>
            </w:r>
          </w:p>
        </w:tc>
        <w:tc>
          <w:tcPr>
            <w:tcW w:w="60" w:type="dxa"/>
            <w:tcBorders/>
            <w:shd w:fill="CCEEFF" w:val="clear"/>
            <w:vAlign w:val="bottom"/>
          </w:tcPr>
          <w:p>
            <w:pPr>
              <w:pStyle w:val="TableContents"/>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953" w:type="dxa"/>
            <w:tcBorders>
              <w:bottom w:val="double" w:sz="8" w:space="0" w:color="000000"/>
            </w:tcBorders>
            <w:shd w:fill="CCEEFF" w:val="clear"/>
            <w:tcMar>
              <w:bottom w:w="28" w:type="dxa"/>
            </w:tcMar>
            <w:vAlign w:val="bottom"/>
          </w:tcPr>
          <w:p>
            <w:pPr>
              <w:pStyle w:val="TableContents"/>
              <w:spacing w:before="0" w:after="283"/>
              <w:jc w:val="right"/>
              <w:rPr/>
            </w:pPr>
            <w:r>
              <w:rPr/>
              <w:t>23,608</w:t>
            </w:r>
          </w:p>
        </w:tc>
        <w:tc>
          <w:tcPr>
            <w:tcW w:w="107"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953" w:type="dxa"/>
            <w:tcBorders>
              <w:bottom w:val="double" w:sz="8" w:space="0" w:color="000000"/>
            </w:tcBorders>
            <w:shd w:fill="CCEEFF" w:val="clear"/>
            <w:tcMar>
              <w:bottom w:w="28" w:type="dxa"/>
            </w:tcMar>
            <w:vAlign w:val="bottom"/>
          </w:tcPr>
          <w:p>
            <w:pPr>
              <w:pStyle w:val="TableContents"/>
              <w:spacing w:before="0" w:after="283"/>
              <w:jc w:val="right"/>
              <w:rPr/>
            </w:pPr>
            <w:r>
              <w:rPr/>
              <w:t>32,572</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is liable to pay the following future benefits to its non-executive employees upon their normal retirement age (in thousands):</w:t>
      </w:r>
    </w:p>
    <w:p>
      <w:pPr>
        <w:pStyle w:val="TextBody"/>
        <w:spacing w:before="0" w:after="0"/>
        <w:jc w:val="left"/>
        <w:rPr>
          <w:color w:val="000000"/>
        </w:rPr>
      </w:pPr>
      <w:r>
        <w:rPr>
          <w:color w:val="000000"/>
        </w:rPr>
        <w:t> </w:t>
      </w:r>
    </w:p>
    <w:tbl>
      <w:tblPr>
        <w:tblW w:w="3804" w:type="dxa"/>
        <w:jc w:val="left"/>
        <w:tblInd w:w="0" w:type="dxa"/>
        <w:tblCellMar>
          <w:top w:w="0" w:type="dxa"/>
          <w:left w:w="0" w:type="dxa"/>
          <w:bottom w:w="0" w:type="dxa"/>
          <w:right w:w="0" w:type="dxa"/>
        </w:tblCellMar>
      </w:tblPr>
      <w:tblGrid>
        <w:gridCol w:w="1865"/>
        <w:gridCol w:w="60"/>
        <w:gridCol w:w="307"/>
        <w:gridCol w:w="1497"/>
        <w:gridCol w:w="75"/>
      </w:tblGrid>
      <w:tr>
        <w:trPr/>
        <w:tc>
          <w:tcPr>
            <w:tcW w:w="18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Severance benefit</w:t>
            </w:r>
          </w:p>
        </w:tc>
        <w:tc>
          <w:tcPr>
            <w:tcW w:w="75" w:type="dxa"/>
            <w:tcBorders/>
            <w:shd w:fill="auto" w:val="clear"/>
            <w:vAlign w:val="bottom"/>
          </w:tcPr>
          <w:p>
            <w:pPr>
              <w:pStyle w:val="TableContents"/>
              <w:spacing w:before="0" w:after="283"/>
              <w:rPr/>
            </w:pPr>
            <w:r>
              <w:rPr/>
              <w:t> </w:t>
            </w:r>
          </w:p>
        </w:tc>
      </w:tr>
      <w:tr>
        <w:trPr/>
        <w:tc>
          <w:tcPr>
            <w:tcW w:w="1865" w:type="dxa"/>
            <w:tcBorders/>
            <w:shd w:fill="CCEEFF" w:val="clear"/>
            <w:vAlign w:val="bottom"/>
          </w:tcPr>
          <w:p>
            <w:pPr>
              <w:pStyle w:val="TableContents"/>
              <w:spacing w:before="0" w:after="0"/>
              <w:ind w:left="144" w:right="0" w:hanging="0"/>
              <w:rPr/>
            </w:pPr>
            <w:r>
              <w:rPr/>
              <w:t>Remainder of 2023</w:t>
            </w:r>
          </w:p>
        </w:tc>
        <w:tc>
          <w:tcPr>
            <w:tcW w:w="60" w:type="dxa"/>
            <w:tcBorders/>
            <w:shd w:fill="CCEEFF" w:val="clear"/>
            <w:vAlign w:val="bottom"/>
          </w:tcPr>
          <w:p>
            <w:pPr>
              <w:pStyle w:val="TableContents"/>
              <w:spacing w:before="0" w:after="283"/>
              <w:jc w:val="right"/>
              <w:rPr/>
            </w:pPr>
            <w:r>
              <w:rPr/>
              <w:t> </w:t>
            </w:r>
          </w:p>
        </w:tc>
        <w:tc>
          <w:tcPr>
            <w:tcW w:w="307" w:type="dxa"/>
            <w:tcBorders/>
            <w:shd w:fill="CCEEFF" w:val="clear"/>
            <w:vAlign w:val="bottom"/>
          </w:tcPr>
          <w:p>
            <w:pPr>
              <w:pStyle w:val="TableContents"/>
              <w:spacing w:before="0" w:after="0"/>
              <w:rPr/>
            </w:pPr>
            <w:r>
              <w:rPr/>
              <w:t>$</w:t>
            </w:r>
          </w:p>
        </w:tc>
        <w:tc>
          <w:tcPr>
            <w:tcW w:w="1497" w:type="dxa"/>
            <w:tcBorders/>
            <w:shd w:fill="CCEEFF" w:val="clear"/>
            <w:vAlign w:val="bottom"/>
          </w:tcPr>
          <w:p>
            <w:pPr>
              <w:pStyle w:val="TableContents"/>
              <w:spacing w:before="0" w:after="0"/>
              <w:jc w:val="right"/>
              <w:rPr/>
            </w:pPr>
            <w:r>
              <w:rPr/>
              <w:t>634</w:t>
            </w:r>
          </w:p>
        </w:tc>
        <w:tc>
          <w:tcPr>
            <w:tcW w:w="75" w:type="dxa"/>
            <w:tcBorders/>
            <w:shd w:fill="CCEEFF" w:val="clear"/>
            <w:vAlign w:val="bottom"/>
          </w:tcPr>
          <w:p>
            <w:pPr>
              <w:pStyle w:val="TableContents"/>
              <w:spacing w:before="0" w:after="283"/>
              <w:rPr/>
            </w:pPr>
            <w:r>
              <w:rPr/>
              <w:t> </w:t>
            </w:r>
          </w:p>
        </w:tc>
      </w:tr>
      <w:tr>
        <w:trPr/>
        <w:tc>
          <w:tcPr>
            <w:tcW w:w="1865" w:type="dxa"/>
            <w:tcBorders/>
            <w:shd w:fill="auto" w:val="clear"/>
            <w:vAlign w:val="bottom"/>
          </w:tcPr>
          <w:p>
            <w:pPr>
              <w:pStyle w:val="TableContents"/>
              <w:spacing w:before="0" w:after="0"/>
              <w:ind w:left="144" w:right="0" w:hanging="0"/>
              <w:rPr/>
            </w:pPr>
            <w:r>
              <w:rPr/>
              <w:t>2024</w:t>
            </w:r>
          </w:p>
        </w:tc>
        <w:tc>
          <w:tcPr>
            <w:tcW w:w="60" w:type="dxa"/>
            <w:tcBorders/>
            <w:shd w:fill="auto" w:val="clear"/>
            <w:vAlign w:val="bottom"/>
          </w:tcPr>
          <w:p>
            <w:pPr>
              <w:pStyle w:val="TableContents"/>
              <w:spacing w:before="0" w:after="283"/>
              <w:jc w:val="right"/>
              <w:rPr/>
            </w:pPr>
            <w:r>
              <w:rPr/>
              <w:t> </w:t>
            </w:r>
          </w:p>
        </w:tc>
        <w:tc>
          <w:tcPr>
            <w:tcW w:w="307" w:type="dxa"/>
            <w:tcBorders/>
            <w:shd w:fill="auto" w:val="clear"/>
            <w:vAlign w:val="bottom"/>
          </w:tcPr>
          <w:p>
            <w:pPr>
              <w:pStyle w:val="TableContents"/>
              <w:spacing w:before="0" w:after="283"/>
              <w:rPr/>
            </w:pPr>
            <w:r>
              <w:rPr/>
              <w:t> </w:t>
            </w:r>
          </w:p>
        </w:tc>
        <w:tc>
          <w:tcPr>
            <w:tcW w:w="1497" w:type="dxa"/>
            <w:tcBorders/>
            <w:shd w:fill="auto" w:val="clear"/>
            <w:vAlign w:val="bottom"/>
          </w:tcPr>
          <w:p>
            <w:pPr>
              <w:pStyle w:val="TableContents"/>
              <w:spacing w:before="0" w:after="0"/>
              <w:jc w:val="right"/>
              <w:rPr/>
            </w:pPr>
            <w:r>
              <w:rPr/>
              <w:t>906</w:t>
            </w:r>
          </w:p>
        </w:tc>
        <w:tc>
          <w:tcPr>
            <w:tcW w:w="75" w:type="dxa"/>
            <w:tcBorders/>
            <w:shd w:fill="auto" w:val="clear"/>
            <w:vAlign w:val="bottom"/>
          </w:tcPr>
          <w:p>
            <w:pPr>
              <w:pStyle w:val="TableContents"/>
              <w:spacing w:before="0" w:after="283"/>
              <w:rPr/>
            </w:pPr>
            <w:r>
              <w:rPr/>
              <w:t> </w:t>
            </w:r>
          </w:p>
        </w:tc>
      </w:tr>
      <w:tr>
        <w:trPr/>
        <w:tc>
          <w:tcPr>
            <w:tcW w:w="1865" w:type="dxa"/>
            <w:tcBorders/>
            <w:shd w:fill="CCEEFF" w:val="clear"/>
            <w:vAlign w:val="bottom"/>
          </w:tcPr>
          <w:p>
            <w:pPr>
              <w:pStyle w:val="TableContents"/>
              <w:spacing w:before="0" w:after="0"/>
              <w:ind w:left="144" w:right="0" w:hanging="0"/>
              <w:rPr/>
            </w:pPr>
            <w:r>
              <w:rPr/>
              <w:t>2025</w:t>
            </w:r>
          </w:p>
        </w:tc>
        <w:tc>
          <w:tcPr>
            <w:tcW w:w="60" w:type="dxa"/>
            <w:tcBorders/>
            <w:shd w:fill="CCEEFF" w:val="clear"/>
            <w:vAlign w:val="bottom"/>
          </w:tcPr>
          <w:p>
            <w:pPr>
              <w:pStyle w:val="TableContents"/>
              <w:spacing w:before="0" w:after="283"/>
              <w:jc w:val="right"/>
              <w:rPr/>
            </w:pPr>
            <w:r>
              <w:rPr/>
              <w:t> </w:t>
            </w:r>
          </w:p>
        </w:tc>
        <w:tc>
          <w:tcPr>
            <w:tcW w:w="307" w:type="dxa"/>
            <w:tcBorders/>
            <w:shd w:fill="CCEEFF" w:val="clear"/>
            <w:vAlign w:val="bottom"/>
          </w:tcPr>
          <w:p>
            <w:pPr>
              <w:pStyle w:val="TableContents"/>
              <w:spacing w:before="0" w:after="283"/>
              <w:rPr/>
            </w:pPr>
            <w:r>
              <w:rPr/>
              <w:t> </w:t>
            </w:r>
          </w:p>
        </w:tc>
        <w:tc>
          <w:tcPr>
            <w:tcW w:w="1497" w:type="dxa"/>
            <w:tcBorders/>
            <w:shd w:fill="CCEEFF" w:val="clear"/>
            <w:vAlign w:val="bottom"/>
          </w:tcPr>
          <w:p>
            <w:pPr>
              <w:pStyle w:val="TableContents"/>
              <w:spacing w:before="0" w:after="0"/>
              <w:jc w:val="right"/>
              <w:rPr/>
            </w:pPr>
            <w:r>
              <w:rPr/>
              <w:t>1,502</w:t>
            </w:r>
          </w:p>
        </w:tc>
        <w:tc>
          <w:tcPr>
            <w:tcW w:w="75" w:type="dxa"/>
            <w:tcBorders/>
            <w:shd w:fill="CCEEFF" w:val="clear"/>
            <w:vAlign w:val="bottom"/>
          </w:tcPr>
          <w:p>
            <w:pPr>
              <w:pStyle w:val="TableContents"/>
              <w:spacing w:before="0" w:after="283"/>
              <w:rPr/>
            </w:pPr>
            <w:r>
              <w:rPr/>
              <w:t> </w:t>
            </w:r>
          </w:p>
        </w:tc>
      </w:tr>
      <w:tr>
        <w:trPr/>
        <w:tc>
          <w:tcPr>
            <w:tcW w:w="1865" w:type="dxa"/>
            <w:tcBorders/>
            <w:shd w:fill="auto" w:val="clear"/>
            <w:vAlign w:val="bottom"/>
          </w:tcPr>
          <w:p>
            <w:pPr>
              <w:pStyle w:val="TableContents"/>
              <w:spacing w:before="0" w:after="0"/>
              <w:ind w:left="144" w:right="0" w:hanging="0"/>
              <w:rPr/>
            </w:pPr>
            <w:r>
              <w:rPr/>
              <w:t>2026</w:t>
            </w:r>
          </w:p>
        </w:tc>
        <w:tc>
          <w:tcPr>
            <w:tcW w:w="60" w:type="dxa"/>
            <w:tcBorders/>
            <w:shd w:fill="auto" w:val="clear"/>
            <w:vAlign w:val="bottom"/>
          </w:tcPr>
          <w:p>
            <w:pPr>
              <w:pStyle w:val="TableContents"/>
              <w:spacing w:before="0" w:after="283"/>
              <w:jc w:val="right"/>
              <w:rPr/>
            </w:pPr>
            <w:r>
              <w:rPr/>
              <w:t> </w:t>
            </w:r>
          </w:p>
        </w:tc>
        <w:tc>
          <w:tcPr>
            <w:tcW w:w="307" w:type="dxa"/>
            <w:tcBorders/>
            <w:shd w:fill="auto" w:val="clear"/>
            <w:vAlign w:val="bottom"/>
          </w:tcPr>
          <w:p>
            <w:pPr>
              <w:pStyle w:val="TableContents"/>
              <w:spacing w:before="0" w:after="283"/>
              <w:rPr/>
            </w:pPr>
            <w:r>
              <w:rPr/>
              <w:t> </w:t>
            </w:r>
          </w:p>
        </w:tc>
        <w:tc>
          <w:tcPr>
            <w:tcW w:w="1497" w:type="dxa"/>
            <w:tcBorders/>
            <w:shd w:fill="auto" w:val="clear"/>
            <w:vAlign w:val="bottom"/>
          </w:tcPr>
          <w:p>
            <w:pPr>
              <w:pStyle w:val="TableContents"/>
              <w:spacing w:before="0" w:after="0"/>
              <w:jc w:val="right"/>
              <w:rPr/>
            </w:pPr>
            <w:r>
              <w:rPr/>
              <w:t>1,829</w:t>
            </w:r>
          </w:p>
        </w:tc>
        <w:tc>
          <w:tcPr>
            <w:tcW w:w="75" w:type="dxa"/>
            <w:tcBorders/>
            <w:shd w:fill="auto" w:val="clear"/>
            <w:vAlign w:val="bottom"/>
          </w:tcPr>
          <w:p>
            <w:pPr>
              <w:pStyle w:val="TableContents"/>
              <w:spacing w:before="0" w:after="283"/>
              <w:rPr/>
            </w:pPr>
            <w:r>
              <w:rPr/>
              <w:t> </w:t>
            </w:r>
          </w:p>
        </w:tc>
      </w:tr>
      <w:tr>
        <w:trPr/>
        <w:tc>
          <w:tcPr>
            <w:tcW w:w="1865" w:type="dxa"/>
            <w:tcBorders/>
            <w:shd w:fill="CCEEFF" w:val="clear"/>
            <w:vAlign w:val="bottom"/>
          </w:tcPr>
          <w:p>
            <w:pPr>
              <w:pStyle w:val="TableContents"/>
              <w:spacing w:before="0" w:after="0"/>
              <w:ind w:left="144" w:right="0" w:hanging="0"/>
              <w:rPr/>
            </w:pPr>
            <w:r>
              <w:rPr/>
              <w:t>2027</w:t>
            </w:r>
          </w:p>
        </w:tc>
        <w:tc>
          <w:tcPr>
            <w:tcW w:w="60" w:type="dxa"/>
            <w:tcBorders/>
            <w:shd w:fill="CCEEFF" w:val="clear"/>
            <w:vAlign w:val="bottom"/>
          </w:tcPr>
          <w:p>
            <w:pPr>
              <w:pStyle w:val="TableContents"/>
              <w:spacing w:before="0" w:after="283"/>
              <w:jc w:val="right"/>
              <w:rPr/>
            </w:pPr>
            <w:r>
              <w:rPr/>
              <w:t> </w:t>
            </w:r>
          </w:p>
        </w:tc>
        <w:tc>
          <w:tcPr>
            <w:tcW w:w="307" w:type="dxa"/>
            <w:tcBorders/>
            <w:shd w:fill="CCEEFF" w:val="clear"/>
            <w:vAlign w:val="bottom"/>
          </w:tcPr>
          <w:p>
            <w:pPr>
              <w:pStyle w:val="TableContents"/>
              <w:spacing w:before="0" w:after="283"/>
              <w:rPr/>
            </w:pPr>
            <w:r>
              <w:rPr/>
              <w:t> </w:t>
            </w:r>
          </w:p>
        </w:tc>
        <w:tc>
          <w:tcPr>
            <w:tcW w:w="1497" w:type="dxa"/>
            <w:tcBorders/>
            <w:shd w:fill="CCEEFF" w:val="clear"/>
            <w:vAlign w:val="bottom"/>
          </w:tcPr>
          <w:p>
            <w:pPr>
              <w:pStyle w:val="TableContents"/>
              <w:spacing w:before="0" w:after="0"/>
              <w:jc w:val="right"/>
              <w:rPr/>
            </w:pPr>
            <w:r>
              <w:rPr/>
              <w:t>1,718</w:t>
            </w:r>
          </w:p>
        </w:tc>
        <w:tc>
          <w:tcPr>
            <w:tcW w:w="75" w:type="dxa"/>
            <w:tcBorders/>
            <w:shd w:fill="CCEEFF" w:val="clear"/>
            <w:vAlign w:val="bottom"/>
          </w:tcPr>
          <w:p>
            <w:pPr>
              <w:pStyle w:val="TableContents"/>
              <w:spacing w:before="0" w:after="283"/>
              <w:rPr/>
            </w:pPr>
            <w:r>
              <w:rPr/>
              <w:t> </w:t>
            </w:r>
          </w:p>
        </w:tc>
      </w:tr>
      <w:tr>
        <w:trPr/>
        <w:tc>
          <w:tcPr>
            <w:tcW w:w="1865" w:type="dxa"/>
            <w:tcBorders/>
            <w:shd w:fill="auto" w:val="clear"/>
            <w:vAlign w:val="bottom"/>
          </w:tcPr>
          <w:p>
            <w:pPr>
              <w:pStyle w:val="TableContents"/>
              <w:spacing w:before="0" w:after="0"/>
              <w:ind w:left="144" w:right="0" w:hanging="0"/>
              <w:rPr/>
            </w:pPr>
            <w:r>
              <w:rPr/>
              <w:t>2028</w:t>
            </w:r>
          </w:p>
        </w:tc>
        <w:tc>
          <w:tcPr>
            <w:tcW w:w="60" w:type="dxa"/>
            <w:tcBorders/>
            <w:shd w:fill="auto" w:val="clear"/>
            <w:vAlign w:val="bottom"/>
          </w:tcPr>
          <w:p>
            <w:pPr>
              <w:pStyle w:val="TableContents"/>
              <w:spacing w:before="0" w:after="283"/>
              <w:jc w:val="right"/>
              <w:rPr/>
            </w:pPr>
            <w:r>
              <w:rPr/>
              <w:t> </w:t>
            </w:r>
          </w:p>
        </w:tc>
        <w:tc>
          <w:tcPr>
            <w:tcW w:w="307" w:type="dxa"/>
            <w:tcBorders/>
            <w:shd w:fill="auto" w:val="clear"/>
            <w:vAlign w:val="bottom"/>
          </w:tcPr>
          <w:p>
            <w:pPr>
              <w:pStyle w:val="TableContents"/>
              <w:spacing w:before="0" w:after="283"/>
              <w:rPr/>
            </w:pPr>
            <w:r>
              <w:rPr/>
              <w:t> </w:t>
            </w:r>
          </w:p>
        </w:tc>
        <w:tc>
          <w:tcPr>
            <w:tcW w:w="1497" w:type="dxa"/>
            <w:tcBorders/>
            <w:shd w:fill="auto" w:val="clear"/>
            <w:vAlign w:val="bottom"/>
          </w:tcPr>
          <w:p>
            <w:pPr>
              <w:pStyle w:val="TableContents"/>
              <w:spacing w:before="0" w:after="0"/>
              <w:jc w:val="right"/>
              <w:rPr/>
            </w:pPr>
            <w:r>
              <w:rPr/>
              <w:t>3,699</w:t>
            </w:r>
          </w:p>
        </w:tc>
        <w:tc>
          <w:tcPr>
            <w:tcW w:w="75" w:type="dxa"/>
            <w:tcBorders/>
            <w:shd w:fill="auto" w:val="clear"/>
            <w:vAlign w:val="bottom"/>
          </w:tcPr>
          <w:p>
            <w:pPr>
              <w:pStyle w:val="TableContents"/>
              <w:spacing w:before="0" w:after="283"/>
              <w:rPr/>
            </w:pPr>
            <w:r>
              <w:rPr/>
              <w:t> </w:t>
            </w:r>
          </w:p>
        </w:tc>
      </w:tr>
      <w:tr>
        <w:trPr/>
        <w:tc>
          <w:tcPr>
            <w:tcW w:w="1865" w:type="dxa"/>
            <w:tcBorders/>
            <w:shd w:fill="CCEEFF" w:val="clear"/>
            <w:vAlign w:val="bottom"/>
          </w:tcPr>
          <w:p>
            <w:pPr>
              <w:pStyle w:val="TableContents"/>
              <w:spacing w:before="0" w:after="0"/>
              <w:ind w:left="144" w:right="0" w:hanging="144"/>
              <w:rPr/>
            </w:pPr>
            <w:r>
              <w:rPr/>
              <w:t>2029 – 2033</w:t>
            </w:r>
          </w:p>
        </w:tc>
        <w:tc>
          <w:tcPr>
            <w:tcW w:w="60" w:type="dxa"/>
            <w:tcBorders/>
            <w:shd w:fill="CCEEFF" w:val="clear"/>
            <w:vAlign w:val="bottom"/>
          </w:tcPr>
          <w:p>
            <w:pPr>
              <w:pStyle w:val="TableContents"/>
              <w:spacing w:before="0" w:after="283"/>
              <w:jc w:val="right"/>
              <w:rPr/>
            </w:pPr>
            <w:r>
              <w:rPr/>
              <w:t> </w:t>
            </w:r>
          </w:p>
        </w:tc>
        <w:tc>
          <w:tcPr>
            <w:tcW w:w="307" w:type="dxa"/>
            <w:tcBorders/>
            <w:shd w:fill="CCEEFF" w:val="clear"/>
            <w:vAlign w:val="bottom"/>
          </w:tcPr>
          <w:p>
            <w:pPr>
              <w:pStyle w:val="TableContents"/>
              <w:spacing w:before="0" w:after="283"/>
              <w:rPr/>
            </w:pPr>
            <w:r>
              <w:rPr/>
              <w:t> </w:t>
            </w:r>
          </w:p>
        </w:tc>
        <w:tc>
          <w:tcPr>
            <w:tcW w:w="1497" w:type="dxa"/>
            <w:tcBorders/>
            <w:shd w:fill="CCEEFF" w:val="clear"/>
            <w:vAlign w:val="bottom"/>
          </w:tcPr>
          <w:p>
            <w:pPr>
              <w:pStyle w:val="TableContents"/>
              <w:spacing w:before="0" w:after="0"/>
              <w:jc w:val="right"/>
              <w:rPr/>
            </w:pPr>
            <w:r>
              <w:rPr/>
              <w:t>21,043</w:t>
            </w:r>
          </w:p>
        </w:tc>
        <w:tc>
          <w:tcPr>
            <w:tcW w:w="75"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Korea’s mandatory retirement age is 60 years of age or older under the Employment Promotion for the Aged Act. The Company sets the retirement age of employees at 60.</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10. Early Termination Charges</w:t>
      </w:r>
    </w:p>
    <w:p>
      <w:pPr>
        <w:pStyle w:val="TextBody"/>
        <w:spacing w:before="0" w:after="0"/>
        <w:jc w:val="left"/>
        <w:rPr/>
      </w:pPr>
      <w:r>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During the first quarter of 2023, the Company commenced the Program, which was available for the employees with more than 20 years of service. For the three months ended March 31, 2023, the Company recorded in its consolidated statement of operations $8,449 thousand of termination related charges as “early termination charges”, which are expected to be paid during the second quarter of 2023.</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11. Foreign Currency Loss, Net</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March 31, 2023 and December 31, 2022, the outstanding intercompany loan balances including accrued interest between the Korean subsidiary and the Dutch subsidiary were $301,860 thousand and $310,988 thousand, respectively. The Korean won to U.S. dollar exchange rates were 1,303.8:1 and 1,267.3:1 using the first base rate as of March 31, 2023 and December 31, 2022, respectively, as quoted by the KEB Hana Bank.</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12. Income Taxes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and its subsidiaries file income tax returns in Korea, Japan, Taiwan, the U.S. and in various other jurisdictions. The Company is subject to income or non-income tax examinations by tax authorities of these jurisdictions for all open tax years.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the three months ended March 31, 2023, the Company recorded an income tax benefit of $1,227 thousand, primarily related to its primary operating entity in Korea based on the estimated taxable loss for the respective period.</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the three months ended March 31, 2022, the Company recorded an income tax expense of $3,483 thousand, primarily related to its primary operating entity in Korea based on the estimated taxable income for the respective period.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jc w:val="left"/>
        <w:rPr>
          <w:rFonts w:ascii="Times New Roman" w:hAnsi="Times New Roman"/>
          <w:b/>
          <w:color w:val="000000"/>
          <w:sz w:val="20"/>
        </w:rPr>
      </w:pPr>
      <w:r>
        <w:rPr>
          <w:rFonts w:ascii="Times New Roman" w:hAnsi="Times New Roman"/>
          <w:b/>
          <w:color w:val="000000"/>
          <w:sz w:val="20"/>
        </w:rPr>
        <w:t>13. Geographic and Other Information</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sets forth information relating to the single operating segment (in thousands):</w:t>
      </w:r>
    </w:p>
    <w:p>
      <w:pPr>
        <w:pStyle w:val="TextBody"/>
        <w:spacing w:before="0" w:after="0"/>
        <w:jc w:val="left"/>
        <w:rPr>
          <w:rFonts w:ascii="Times New Roman" w:hAnsi="Times New Roman"/>
          <w:sz w:val="20"/>
        </w:rPr>
      </w:pPr>
      <w:r>
        <w:rPr>
          <w:rFonts w:ascii="Times New Roman" w:hAnsi="Times New Roman"/>
          <w:sz w:val="20"/>
        </w:rPr>
      </w:r>
    </w:p>
    <w:tbl>
      <w:tblPr>
        <w:tblW w:w="5821" w:type="dxa"/>
        <w:jc w:val="left"/>
        <w:tblInd w:w="0" w:type="dxa"/>
        <w:tblCellMar>
          <w:top w:w="0" w:type="dxa"/>
          <w:left w:w="0" w:type="dxa"/>
          <w:bottom w:w="0" w:type="dxa"/>
          <w:right w:w="0" w:type="dxa"/>
        </w:tblCellMar>
      </w:tblPr>
      <w:tblGrid>
        <w:gridCol w:w="3380"/>
        <w:gridCol w:w="60"/>
        <w:gridCol w:w="243"/>
        <w:gridCol w:w="826"/>
        <w:gridCol w:w="66"/>
        <w:gridCol w:w="66"/>
        <w:gridCol w:w="221"/>
        <w:gridCol w:w="884"/>
        <w:gridCol w:w="75"/>
      </w:tblGrid>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44" w:right="0" w:hanging="144"/>
              <w:rPr>
                <w:b/>
              </w:rPr>
            </w:pPr>
            <w:r>
              <w:rPr>
                <w:b/>
              </w:rPr>
              <w:t>Revenues</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24" w:right="0" w:hanging="144"/>
              <w:rPr/>
            </w:pPr>
            <w:r>
              <w:rPr/>
              <w:t>Standard products business</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504" w:right="0" w:hanging="144"/>
              <w:rPr/>
            </w:pPr>
            <w:r>
              <w:rPr/>
              <w:t>Display Solutions</w:t>
            </w:r>
          </w:p>
        </w:tc>
        <w:tc>
          <w:tcPr>
            <w:tcW w:w="60" w:type="dxa"/>
            <w:tcBorders/>
            <w:shd w:fill="CCEEFF" w:val="clear"/>
            <w:vAlign w:val="bottom"/>
          </w:tcPr>
          <w:p>
            <w:pPr>
              <w:pStyle w:val="TableContents"/>
              <w:spacing w:before="0" w:after="283"/>
              <w:jc w:val="right"/>
              <w:rPr/>
            </w:pPr>
            <w:r>
              <w:rPr/>
              <w:t> </w:t>
            </w:r>
          </w:p>
        </w:tc>
        <w:tc>
          <w:tcPr>
            <w:tcW w:w="243" w:type="dxa"/>
            <w:tcBorders/>
            <w:shd w:fill="CCEEFF" w:val="clear"/>
            <w:vAlign w:val="bottom"/>
          </w:tcPr>
          <w:p>
            <w:pPr>
              <w:pStyle w:val="TableContents"/>
              <w:spacing w:before="0" w:after="0"/>
              <w:jc w:val="left"/>
              <w:rPr/>
            </w:pPr>
            <w:r>
              <w:rPr/>
              <w:t>$</w:t>
            </w:r>
          </w:p>
        </w:tc>
        <w:tc>
          <w:tcPr>
            <w:tcW w:w="826" w:type="dxa"/>
            <w:tcBorders/>
            <w:shd w:fill="CCEEFF" w:val="clear"/>
            <w:vAlign w:val="bottom"/>
          </w:tcPr>
          <w:p>
            <w:pPr>
              <w:pStyle w:val="TableContents"/>
              <w:spacing w:before="0" w:after="0"/>
              <w:jc w:val="right"/>
              <w:rPr/>
            </w:pPr>
            <w:r>
              <w:rPr/>
              <w:t>10,841</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0"/>
              <w:jc w:val="left"/>
              <w:rPr/>
            </w:pPr>
            <w:r>
              <w:rPr/>
              <w:t>$</w:t>
            </w:r>
          </w:p>
        </w:tc>
        <w:tc>
          <w:tcPr>
            <w:tcW w:w="884" w:type="dxa"/>
            <w:tcBorders/>
            <w:shd w:fill="CCEEFF" w:val="clear"/>
            <w:vAlign w:val="bottom"/>
          </w:tcPr>
          <w:p>
            <w:pPr>
              <w:pStyle w:val="TableContents"/>
              <w:spacing w:before="0" w:after="0"/>
              <w:jc w:val="right"/>
              <w:rPr/>
            </w:pPr>
            <w:r>
              <w:rPr/>
              <w:t>29,185</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504" w:right="0" w:hanging="144"/>
              <w:rPr/>
            </w:pPr>
            <w:r>
              <w:rPr/>
              <w:t>Power Solutions</w:t>
            </w:r>
          </w:p>
        </w:tc>
        <w:tc>
          <w:tcPr>
            <w:tcW w:w="60" w:type="dxa"/>
            <w:tcBorders/>
            <w:shd w:fill="auto" w:val="clear"/>
            <w:vAlign w:val="bottom"/>
          </w:tcPr>
          <w:p>
            <w:pPr>
              <w:pStyle w:val="TableContents"/>
              <w:spacing w:before="0" w:after="283"/>
              <w:jc w:val="right"/>
              <w:rPr/>
            </w:pPr>
            <w:r>
              <w:rPr/>
              <w:t> </w:t>
            </w:r>
          </w:p>
        </w:tc>
        <w:tc>
          <w:tcPr>
            <w:tcW w:w="2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auto" w:val="clear"/>
            <w:tcMar>
              <w:bottom w:w="28" w:type="dxa"/>
            </w:tcMar>
            <w:vAlign w:val="bottom"/>
          </w:tcPr>
          <w:p>
            <w:pPr>
              <w:pStyle w:val="TableContents"/>
              <w:spacing w:before="0" w:after="0"/>
              <w:jc w:val="right"/>
              <w:rPr/>
            </w:pPr>
            <w:r>
              <w:rPr/>
              <w:t>40,673</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jc w:val="right"/>
              <w:rPr/>
            </w:pPr>
            <w:r>
              <w:rPr/>
              <w:t> </w:t>
            </w:r>
          </w:p>
        </w:tc>
        <w:tc>
          <w:tcPr>
            <w:tcW w:w="2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4" w:type="dxa"/>
            <w:tcBorders>
              <w:bottom w:val="single" w:sz="12" w:space="0" w:color="000000"/>
            </w:tcBorders>
            <w:shd w:fill="auto" w:val="clear"/>
            <w:tcMar>
              <w:bottom w:w="28" w:type="dxa"/>
            </w:tcMar>
            <w:vAlign w:val="bottom"/>
          </w:tcPr>
          <w:p>
            <w:pPr>
              <w:pStyle w:val="TableContents"/>
              <w:spacing w:before="0" w:after="0"/>
              <w:jc w:val="right"/>
              <w:rPr/>
            </w:pPr>
            <w:r>
              <w:rPr/>
              <w:t>64,825</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324" w:right="0" w:hanging="144"/>
              <w:rPr/>
            </w:pPr>
            <w:r>
              <w:rPr/>
              <w:t>Total standard products business</w:t>
            </w:r>
          </w:p>
        </w:tc>
        <w:tc>
          <w:tcPr>
            <w:tcW w:w="60" w:type="dxa"/>
            <w:tcBorders/>
            <w:shd w:fill="CCEEFF" w:val="clear"/>
            <w:vAlign w:val="bottom"/>
          </w:tcPr>
          <w:p>
            <w:pPr>
              <w:pStyle w:val="TableContents"/>
              <w:spacing w:before="0" w:after="283"/>
              <w:jc w:val="right"/>
              <w:rPr/>
            </w:pPr>
            <w:r>
              <w:rPr/>
              <w:t> </w:t>
            </w:r>
          </w:p>
        </w:tc>
        <w:tc>
          <w:tcPr>
            <w:tcW w:w="243" w:type="dxa"/>
            <w:tcBorders/>
            <w:shd w:fill="CCEEFF" w:val="clear"/>
            <w:vAlign w:val="bottom"/>
          </w:tcPr>
          <w:p>
            <w:pPr>
              <w:pStyle w:val="TableContents"/>
              <w:spacing w:before="0" w:after="283"/>
              <w:jc w:val="left"/>
              <w:rPr/>
            </w:pPr>
            <w:r>
              <w:rPr/>
              <w:t xml:space="preserve">$ </w:t>
            </w:r>
          </w:p>
        </w:tc>
        <w:tc>
          <w:tcPr>
            <w:tcW w:w="826" w:type="dxa"/>
            <w:tcBorders/>
            <w:shd w:fill="CCEEFF" w:val="clear"/>
            <w:vAlign w:val="bottom"/>
          </w:tcPr>
          <w:p>
            <w:pPr>
              <w:pStyle w:val="TableContents"/>
              <w:spacing w:before="0" w:after="0"/>
              <w:jc w:val="right"/>
              <w:rPr/>
            </w:pPr>
            <w:r>
              <w:rPr/>
              <w:t>51,514</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283"/>
              <w:jc w:val="left"/>
              <w:rPr/>
            </w:pPr>
            <w:r>
              <w:rPr/>
              <w:t xml:space="preserve">$ </w:t>
            </w:r>
          </w:p>
        </w:tc>
        <w:tc>
          <w:tcPr>
            <w:tcW w:w="884" w:type="dxa"/>
            <w:tcBorders/>
            <w:shd w:fill="CCEEFF" w:val="clear"/>
            <w:vAlign w:val="bottom"/>
          </w:tcPr>
          <w:p>
            <w:pPr>
              <w:pStyle w:val="TableContents"/>
              <w:spacing w:before="0" w:after="0"/>
              <w:jc w:val="right"/>
              <w:rPr/>
            </w:pPr>
            <w:r>
              <w:rPr/>
              <w:t>94,010</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24" w:right="0" w:hanging="144"/>
              <w:rPr/>
            </w:pPr>
            <w:r>
              <w:rPr/>
              <w:t>Transitional Fab 3 foundry services</w:t>
            </w:r>
          </w:p>
        </w:tc>
        <w:tc>
          <w:tcPr>
            <w:tcW w:w="60" w:type="dxa"/>
            <w:tcBorders/>
            <w:shd w:fill="auto" w:val="clear"/>
            <w:vAlign w:val="bottom"/>
          </w:tcPr>
          <w:p>
            <w:pPr>
              <w:pStyle w:val="TableContents"/>
              <w:spacing w:before="0" w:after="283"/>
              <w:jc w:val="right"/>
              <w:rPr/>
            </w:pPr>
            <w:r>
              <w:rPr/>
              <w:t> </w:t>
            </w:r>
          </w:p>
        </w:tc>
        <w:tc>
          <w:tcPr>
            <w:tcW w:w="24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auto" w:val="clear"/>
            <w:tcMar>
              <w:bottom w:w="28" w:type="dxa"/>
            </w:tcMar>
            <w:vAlign w:val="bottom"/>
          </w:tcPr>
          <w:p>
            <w:pPr>
              <w:pStyle w:val="TableContents"/>
              <w:spacing w:before="0" w:after="0"/>
              <w:jc w:val="right"/>
              <w:rPr/>
            </w:pPr>
            <w:r>
              <w:rPr/>
              <w:t>5,491</w:t>
            </w:r>
          </w:p>
        </w:tc>
        <w:tc>
          <w:tcPr>
            <w:tcW w:w="66" w:type="dxa"/>
            <w:tcBorders/>
            <w:shd w:fill="auto" w:val="clear"/>
            <w:vAlign w:val="bottom"/>
          </w:tcPr>
          <w:p>
            <w:pPr>
              <w:pStyle w:val="TableContents"/>
              <w:spacing w:before="0" w:after="283"/>
              <w:jc w:val="left"/>
              <w:rPr/>
            </w:pPr>
            <w:r>
              <w:rPr/>
              <w:t> </w:t>
            </w:r>
          </w:p>
        </w:tc>
        <w:tc>
          <w:tcPr>
            <w:tcW w:w="66" w:type="dxa"/>
            <w:tcBorders/>
            <w:shd w:fill="auto" w:val="clear"/>
            <w:vAlign w:val="bottom"/>
          </w:tcPr>
          <w:p>
            <w:pPr>
              <w:pStyle w:val="TableContents"/>
              <w:spacing w:before="0" w:after="283"/>
              <w:jc w:val="right"/>
              <w:rPr/>
            </w:pPr>
            <w:r>
              <w:rPr/>
              <w:t> </w:t>
            </w:r>
          </w:p>
        </w:tc>
        <w:tc>
          <w:tcPr>
            <w:tcW w:w="2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4" w:type="dxa"/>
            <w:tcBorders>
              <w:bottom w:val="single" w:sz="12" w:space="0" w:color="000000"/>
            </w:tcBorders>
            <w:shd w:fill="auto" w:val="clear"/>
            <w:tcMar>
              <w:bottom w:w="28" w:type="dxa"/>
            </w:tcMar>
            <w:vAlign w:val="bottom"/>
          </w:tcPr>
          <w:p>
            <w:pPr>
              <w:pStyle w:val="TableContents"/>
              <w:spacing w:before="0" w:after="0"/>
              <w:jc w:val="right"/>
              <w:rPr/>
            </w:pPr>
            <w:r>
              <w:rPr/>
              <w:t>10,083</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504" w:right="0" w:hanging="144"/>
              <w:rPr/>
            </w:pPr>
            <w:r>
              <w:rPr/>
              <w:t>Total revenues</w:t>
            </w:r>
          </w:p>
        </w:tc>
        <w:tc>
          <w:tcPr>
            <w:tcW w:w="60" w:type="dxa"/>
            <w:tcBorders/>
            <w:shd w:fill="CCEEFF" w:val="clear"/>
            <w:vAlign w:val="bottom"/>
          </w:tcPr>
          <w:p>
            <w:pPr>
              <w:pStyle w:val="TableContents"/>
              <w:spacing w:before="0" w:after="283"/>
              <w:jc w:val="right"/>
              <w:rPr/>
            </w:pPr>
            <w:r>
              <w:rPr/>
              <w:t> </w:t>
            </w:r>
          </w:p>
        </w:tc>
        <w:tc>
          <w:tcPr>
            <w:tcW w:w="243"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26" w:type="dxa"/>
            <w:tcBorders>
              <w:bottom w:val="double" w:sz="8" w:space="0" w:color="000000"/>
            </w:tcBorders>
            <w:shd w:fill="CCEEFF" w:val="clear"/>
            <w:tcMar>
              <w:bottom w:w="28" w:type="dxa"/>
            </w:tcMar>
            <w:vAlign w:val="bottom"/>
          </w:tcPr>
          <w:p>
            <w:pPr>
              <w:pStyle w:val="TableContents"/>
              <w:spacing w:before="0" w:after="0"/>
              <w:jc w:val="right"/>
              <w:rPr/>
            </w:pPr>
            <w:r>
              <w:rPr/>
              <w:t>57,005</w:t>
            </w:r>
          </w:p>
        </w:tc>
        <w:tc>
          <w:tcPr>
            <w:tcW w:w="66" w:type="dxa"/>
            <w:tcBorders/>
            <w:shd w:fill="CCEEFF" w:val="clear"/>
            <w:vAlign w:val="bottom"/>
          </w:tcPr>
          <w:p>
            <w:pPr>
              <w:pStyle w:val="TableContents"/>
              <w:spacing w:before="0" w:after="283"/>
              <w:jc w:val="left"/>
              <w:rPr/>
            </w:pPr>
            <w:r>
              <w:rPr/>
              <w:t> </w:t>
            </w:r>
          </w:p>
        </w:tc>
        <w:tc>
          <w:tcPr>
            <w:tcW w:w="66" w:type="dxa"/>
            <w:tcBorders/>
            <w:shd w:fill="CCEEFF" w:val="clear"/>
            <w:vAlign w:val="bottom"/>
          </w:tcPr>
          <w:p>
            <w:pPr>
              <w:pStyle w:val="TableContents"/>
              <w:spacing w:before="0" w:after="283"/>
              <w:jc w:val="right"/>
              <w:rPr/>
            </w:pPr>
            <w:r>
              <w:rPr/>
              <w:t> </w:t>
            </w:r>
          </w:p>
        </w:tc>
        <w:tc>
          <w:tcPr>
            <w:tcW w:w="221"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4" w:type="dxa"/>
            <w:tcBorders>
              <w:bottom w:val="double" w:sz="8" w:space="0" w:color="000000"/>
            </w:tcBorders>
            <w:shd w:fill="CCEEFF" w:val="clear"/>
            <w:tcMar>
              <w:bottom w:w="28" w:type="dxa"/>
            </w:tcMar>
            <w:vAlign w:val="bottom"/>
          </w:tcPr>
          <w:p>
            <w:pPr>
              <w:pStyle w:val="TableContents"/>
              <w:spacing w:before="0" w:after="0"/>
              <w:jc w:val="right"/>
              <w:rPr/>
            </w:pPr>
            <w:r>
              <w:rPr/>
              <w:t>104,093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tbl>
      <w:tblPr>
        <w:tblW w:w="5842" w:type="dxa"/>
        <w:jc w:val="left"/>
        <w:tblInd w:w="0" w:type="dxa"/>
        <w:tblCellMar>
          <w:top w:w="0" w:type="dxa"/>
          <w:left w:w="0" w:type="dxa"/>
          <w:bottom w:w="0" w:type="dxa"/>
          <w:right w:w="0" w:type="dxa"/>
        </w:tblCellMar>
      </w:tblPr>
      <w:tblGrid>
        <w:gridCol w:w="3380"/>
        <w:gridCol w:w="60"/>
        <w:gridCol w:w="182"/>
        <w:gridCol w:w="887"/>
        <w:gridCol w:w="116"/>
        <w:gridCol w:w="73"/>
        <w:gridCol w:w="182"/>
        <w:gridCol w:w="887"/>
        <w:gridCol w:w="75"/>
      </w:tblGrid>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7"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16"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144" w:right="0" w:hanging="144"/>
              <w:rPr>
                <w:b/>
              </w:rPr>
            </w:pPr>
            <w:r>
              <w:rPr>
                <w:b/>
              </w:rPr>
              <w:t>Gross Profit</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73"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324" w:right="0" w:hanging="144"/>
              <w:rPr/>
            </w:pPr>
            <w:r>
              <w:rPr/>
              <w:t>Standard products business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887" w:type="dxa"/>
            <w:tcBorders/>
            <w:shd w:fill="CCEEFF" w:val="clear"/>
            <w:vAlign w:val="bottom"/>
          </w:tcPr>
          <w:p>
            <w:pPr>
              <w:pStyle w:val="TableContents"/>
              <w:spacing w:before="0" w:after="0"/>
              <w:jc w:val="right"/>
              <w:rPr/>
            </w:pPr>
            <w:r>
              <w:rPr/>
              <w:t>14,202</w:t>
            </w:r>
          </w:p>
        </w:tc>
        <w:tc>
          <w:tcPr>
            <w:tcW w:w="116"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887" w:type="dxa"/>
            <w:tcBorders/>
            <w:shd w:fill="CCEEFF" w:val="clear"/>
            <w:vAlign w:val="bottom"/>
          </w:tcPr>
          <w:p>
            <w:pPr>
              <w:pStyle w:val="TableContents"/>
              <w:spacing w:before="0" w:after="0"/>
              <w:jc w:val="right"/>
              <w:rPr/>
            </w:pPr>
            <w:r>
              <w:rPr/>
              <w:t>37,930</w:t>
            </w:r>
          </w:p>
        </w:tc>
        <w:tc>
          <w:tcPr>
            <w:tcW w:w="75" w:type="dxa"/>
            <w:tcBorders/>
            <w:shd w:fill="CCEEFF" w:val="clear"/>
            <w:vAlign w:val="bottom"/>
          </w:tcPr>
          <w:p>
            <w:pPr>
              <w:pStyle w:val="TableContents"/>
              <w:spacing w:before="0" w:after="283"/>
              <w:jc w:val="left"/>
              <w:rPr/>
            </w:pPr>
            <w:r>
              <w:rPr/>
              <w:t> </w:t>
            </w:r>
          </w:p>
        </w:tc>
      </w:tr>
      <w:tr>
        <w:trPr/>
        <w:tc>
          <w:tcPr>
            <w:tcW w:w="3380" w:type="dxa"/>
            <w:tcBorders/>
            <w:shd w:fill="auto" w:val="clear"/>
            <w:vAlign w:val="bottom"/>
          </w:tcPr>
          <w:p>
            <w:pPr>
              <w:pStyle w:val="TableContents"/>
              <w:spacing w:before="0" w:after="0"/>
              <w:ind w:left="324" w:right="0" w:hanging="144"/>
              <w:rPr/>
            </w:pPr>
            <w:r>
              <w:rPr/>
              <w:t>Transitional Fab 3 foundry services</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pPr>
            <w:r>
              <w:rPr/>
              <w:t>(2,108</w:t>
            </w:r>
          </w:p>
        </w:tc>
        <w:tc>
          <w:tcPr>
            <w:tcW w:w="116" w:type="dxa"/>
            <w:tcBorders/>
            <w:shd w:fill="auto" w:val="clear"/>
            <w:vAlign w:val="bottom"/>
          </w:tcPr>
          <w:p>
            <w:pPr>
              <w:pStyle w:val="TableContents"/>
              <w:spacing w:before="0" w:after="0"/>
              <w:jc w:val="left"/>
              <w:rPr/>
            </w:pPr>
            <w:r>
              <w:rPr/>
              <w:t>)</w:t>
            </w:r>
          </w:p>
        </w:tc>
        <w:tc>
          <w:tcPr>
            <w:tcW w:w="73"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pPr>
            <w:r>
              <w:rPr/>
              <w:t>1,066</w:t>
            </w:r>
          </w:p>
        </w:tc>
        <w:tc>
          <w:tcPr>
            <w:tcW w:w="75" w:type="dxa"/>
            <w:tcBorders/>
            <w:shd w:fill="auto" w:val="clear"/>
            <w:vAlign w:val="bottom"/>
          </w:tcPr>
          <w:p>
            <w:pPr>
              <w:pStyle w:val="TableContents"/>
              <w:spacing w:before="0" w:after="283"/>
              <w:jc w:val="left"/>
              <w:rPr/>
            </w:pPr>
            <w:r>
              <w:rPr/>
              <w:t> </w:t>
            </w:r>
          </w:p>
        </w:tc>
      </w:tr>
      <w:tr>
        <w:trPr/>
        <w:tc>
          <w:tcPr>
            <w:tcW w:w="3380" w:type="dxa"/>
            <w:tcBorders/>
            <w:shd w:fill="CCEEFF" w:val="clear"/>
            <w:vAlign w:val="bottom"/>
          </w:tcPr>
          <w:p>
            <w:pPr>
              <w:pStyle w:val="TableContents"/>
              <w:spacing w:before="0" w:after="0"/>
              <w:ind w:left="504" w:right="0" w:hanging="144"/>
              <w:rPr/>
            </w:pPr>
            <w:r>
              <w:rPr/>
              <w:t>Total gross profit</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pPr>
            <w:r>
              <w:rPr/>
              <w:t>12,094</w:t>
            </w:r>
          </w:p>
        </w:tc>
        <w:tc>
          <w:tcPr>
            <w:tcW w:w="116" w:type="dxa"/>
            <w:tcBorders/>
            <w:shd w:fill="CCEEFF" w:val="clear"/>
            <w:vAlign w:val="bottom"/>
          </w:tcPr>
          <w:p>
            <w:pPr>
              <w:pStyle w:val="TableContents"/>
              <w:spacing w:before="0" w:after="283"/>
              <w:jc w:val="left"/>
              <w:rPr/>
            </w:pPr>
            <w:r>
              <w:rPr/>
              <w:t> </w:t>
            </w:r>
          </w:p>
        </w:tc>
        <w:tc>
          <w:tcPr>
            <w:tcW w:w="73"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pPr>
            <w:r>
              <w:rPr/>
              <w:t>38,996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is a summary of net sales—standard products business (which does not include the Transitional Fab 3 Foundry Services) by geographic region, based on the location to which the products are billed (in thousands):</w:t>
      </w:r>
    </w:p>
    <w:p>
      <w:pPr>
        <w:pStyle w:val="TextBody"/>
        <w:spacing w:before="0" w:after="0"/>
        <w:jc w:val="left"/>
        <w:rPr>
          <w:rFonts w:ascii="Times New Roman" w:hAnsi="Times New Roman"/>
          <w:sz w:val="20"/>
        </w:rPr>
      </w:pPr>
      <w:r>
        <w:rPr>
          <w:rFonts w:ascii="Times New Roman" w:hAnsi="Times New Roman"/>
          <w:sz w:val="20"/>
        </w:rPr>
      </w:r>
    </w:p>
    <w:tbl>
      <w:tblPr>
        <w:tblW w:w="5398" w:type="dxa"/>
        <w:jc w:val="left"/>
        <w:tblInd w:w="0" w:type="dxa"/>
        <w:tblCellMar>
          <w:top w:w="0" w:type="dxa"/>
          <w:left w:w="0" w:type="dxa"/>
          <w:bottom w:w="0" w:type="dxa"/>
          <w:right w:w="0" w:type="dxa"/>
        </w:tblCellMar>
      </w:tblPr>
      <w:tblGrid>
        <w:gridCol w:w="2975"/>
        <w:gridCol w:w="60"/>
        <w:gridCol w:w="182"/>
        <w:gridCol w:w="887"/>
        <w:gridCol w:w="75"/>
        <w:gridCol w:w="75"/>
        <w:gridCol w:w="182"/>
        <w:gridCol w:w="887"/>
        <w:gridCol w:w="75"/>
      </w:tblGrid>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2975" w:type="dxa"/>
            <w:tcBorders/>
            <w:shd w:fill="CCEEFF" w:val="clear"/>
            <w:vAlign w:val="bottom"/>
          </w:tcPr>
          <w:p>
            <w:pPr>
              <w:pStyle w:val="TableContents"/>
              <w:spacing w:before="0" w:after="0"/>
              <w:ind w:left="144" w:right="0" w:hanging="144"/>
              <w:rPr/>
            </w:pPr>
            <w:r>
              <w:rPr/>
              <w:t>Korea</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887" w:type="dxa"/>
            <w:tcBorders/>
            <w:shd w:fill="CCEEFF" w:val="clear"/>
            <w:vAlign w:val="bottom"/>
          </w:tcPr>
          <w:p>
            <w:pPr>
              <w:pStyle w:val="TableContents"/>
              <w:spacing w:before="0" w:after="0"/>
              <w:jc w:val="right"/>
              <w:rPr/>
            </w:pPr>
            <w:r>
              <w:rPr/>
              <w:t>16,496</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887" w:type="dxa"/>
            <w:tcBorders/>
            <w:shd w:fill="CCEEFF" w:val="clear"/>
            <w:vAlign w:val="bottom"/>
          </w:tcPr>
          <w:p>
            <w:pPr>
              <w:pStyle w:val="TableContents"/>
              <w:spacing w:before="0" w:after="0"/>
              <w:jc w:val="right"/>
              <w:rPr/>
            </w:pPr>
            <w:r>
              <w:rPr/>
              <w:t>31,030</w:t>
            </w:r>
          </w:p>
        </w:tc>
        <w:tc>
          <w:tcPr>
            <w:tcW w:w="75" w:type="dxa"/>
            <w:tcBorders/>
            <w:shd w:fill="CCEEFF"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0"/>
              <w:ind w:left="144" w:right="0" w:hanging="144"/>
              <w:rPr/>
            </w:pPr>
            <w:r>
              <w:rPr/>
              <w:t>Asia Pacific (other than Korea)</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0"/>
              <w:jc w:val="right"/>
              <w:rPr/>
            </w:pPr>
            <w:r>
              <w:rPr/>
              <w:t>31,901</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0"/>
              <w:jc w:val="right"/>
              <w:rPr/>
            </w:pPr>
            <w:r>
              <w:rPr/>
              <w:t>58,260</w:t>
            </w:r>
          </w:p>
        </w:tc>
        <w:tc>
          <w:tcPr>
            <w:tcW w:w="75" w:type="dxa"/>
            <w:tcBorders/>
            <w:shd w:fill="auto" w:val="clear"/>
            <w:vAlign w:val="bottom"/>
          </w:tcPr>
          <w:p>
            <w:pPr>
              <w:pStyle w:val="TableContents"/>
              <w:spacing w:before="0" w:after="283"/>
              <w:jc w:val="left"/>
              <w:rPr/>
            </w:pPr>
            <w:r>
              <w:rPr/>
              <w:t> </w:t>
            </w:r>
          </w:p>
        </w:tc>
      </w:tr>
      <w:tr>
        <w:trPr/>
        <w:tc>
          <w:tcPr>
            <w:tcW w:w="2975" w:type="dxa"/>
            <w:tcBorders/>
            <w:shd w:fill="CCEEFF" w:val="clear"/>
            <w:vAlign w:val="bottom"/>
          </w:tcPr>
          <w:p>
            <w:pPr>
              <w:pStyle w:val="TableContents"/>
              <w:spacing w:before="0" w:after="0"/>
              <w:ind w:left="144" w:right="0" w:hanging="144"/>
              <w:rPr/>
            </w:pPr>
            <w:r>
              <w:rPr/>
              <w:t>United States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0"/>
              <w:jc w:val="right"/>
              <w:rPr/>
            </w:pPr>
            <w:r>
              <w:rPr/>
              <w:t>1,045</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0"/>
              <w:jc w:val="right"/>
              <w:rPr/>
            </w:pPr>
            <w:r>
              <w:rPr/>
              <w:t>2,864</w:t>
            </w:r>
          </w:p>
        </w:tc>
        <w:tc>
          <w:tcPr>
            <w:tcW w:w="75" w:type="dxa"/>
            <w:tcBorders/>
            <w:shd w:fill="CCEEFF" w:val="clear"/>
            <w:vAlign w:val="bottom"/>
          </w:tcPr>
          <w:p>
            <w:pPr>
              <w:pStyle w:val="TableContents"/>
              <w:spacing w:before="0" w:after="283"/>
              <w:jc w:val="left"/>
              <w:rPr/>
            </w:pPr>
            <w:r>
              <w:rPr/>
              <w:t> </w:t>
            </w:r>
          </w:p>
        </w:tc>
      </w:tr>
      <w:tr>
        <w:trPr/>
        <w:tc>
          <w:tcPr>
            <w:tcW w:w="2975" w:type="dxa"/>
            <w:tcBorders/>
            <w:shd w:fill="auto" w:val="clear"/>
            <w:vAlign w:val="bottom"/>
          </w:tcPr>
          <w:p>
            <w:pPr>
              <w:pStyle w:val="TableContents"/>
              <w:spacing w:before="0" w:after="0"/>
              <w:ind w:left="144" w:right="0" w:hanging="144"/>
              <w:rPr/>
            </w:pPr>
            <w:r>
              <w:rPr/>
              <w:t>Europe</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pPr>
            <w:r>
              <w:rPr/>
              <w:t>2,072</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87" w:type="dxa"/>
            <w:tcBorders>
              <w:bottom w:val="single" w:sz="12" w:space="0" w:color="000000"/>
            </w:tcBorders>
            <w:shd w:fill="auto" w:val="clear"/>
            <w:tcMar>
              <w:bottom w:w="28" w:type="dxa"/>
            </w:tcMar>
            <w:vAlign w:val="bottom"/>
          </w:tcPr>
          <w:p>
            <w:pPr>
              <w:pStyle w:val="TableContents"/>
              <w:spacing w:before="0" w:after="0"/>
              <w:jc w:val="right"/>
              <w:rPr/>
            </w:pPr>
            <w:r>
              <w:rPr/>
              <w:t>1,856</w:t>
            </w:r>
          </w:p>
        </w:tc>
        <w:tc>
          <w:tcPr>
            <w:tcW w:w="75" w:type="dxa"/>
            <w:tcBorders/>
            <w:shd w:fill="auto" w:val="clear"/>
            <w:vAlign w:val="bottom"/>
          </w:tcPr>
          <w:p>
            <w:pPr>
              <w:pStyle w:val="TableContents"/>
              <w:spacing w:before="0" w:after="283"/>
              <w:jc w:val="left"/>
              <w:rPr/>
            </w:pPr>
            <w:r>
              <w:rPr/>
              <w:t> </w:t>
            </w:r>
          </w:p>
        </w:tc>
      </w:tr>
      <w:tr>
        <w:trPr/>
        <w:tc>
          <w:tcPr>
            <w:tcW w:w="2975" w:type="dxa"/>
            <w:tcBorders/>
            <w:shd w:fill="CCEEFF" w:val="clear"/>
            <w:vAlign w:val="bottom"/>
          </w:tcPr>
          <w:p>
            <w:pPr>
              <w:pStyle w:val="TableContents"/>
              <w:spacing w:before="0" w:after="0"/>
              <w:ind w:left="144" w:right="0" w:hanging="144"/>
              <w:rPr/>
            </w:pPr>
            <w:r>
              <w:rPr/>
              <w:t>Total</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pPr>
            <w:r>
              <w:rPr/>
              <w:t>51,514</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87" w:type="dxa"/>
            <w:tcBorders>
              <w:bottom w:val="double" w:sz="8" w:space="0" w:color="000000"/>
            </w:tcBorders>
            <w:shd w:fill="CCEEFF" w:val="clear"/>
            <w:tcMar>
              <w:bottom w:w="28" w:type="dxa"/>
            </w:tcMar>
            <w:vAlign w:val="bottom"/>
          </w:tcPr>
          <w:p>
            <w:pPr>
              <w:pStyle w:val="TableContents"/>
              <w:spacing w:before="0" w:after="0"/>
              <w:jc w:val="right"/>
              <w:rPr/>
            </w:pPr>
            <w:r>
              <w:rPr/>
              <w:t>94,010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the three months ended March 31, 2023 and 2022, of the Company’s net sales – standard products business in Asia Pacific (other than Korea), net sales – standard products business in China and Hong Kong together represented 57.9% and 71.1%, respectively, and net sales—standard products business in Vietnam represented 17.8% and 14.4%, respectively.</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Net sales from the Company’s top ten largest customers in the standard products business (which does not include the Transitional Fab 3 Foundry Services) accounted for 71% and 72% for the three months ended March 31, 2023 and 2022, respectively.</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the three months ended March 31, 2023, the Company had two customers that represented 16.4% and 13.7% of its net sales—standard products business, respectively. For the three months ended March 31, 2022, the Company had two customers that represented 25.5% and 12.9% of its net sales—standard products business, respectively.</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March 31, 2023, two customers of the Company’s standard products business accounted for 22.3% and 14.3% of its accounts receivable – standard products business (which does not include the Transitional Fab 3 Foundry Services), respectively. As of December 31, 2022, two customers of the Company’s standard products business accounted for 25.1% and 15.2% of its accounts receivable – standard products business (which does not include the Transitional Fab 3 Foundry Services), respectively.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14. Accumulated Other Comprehensive Loss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Accumulated other comprehensive loss consists of the following as of March 31, 2023 and December 31, 2022, respectively (in thousands):</w:t>
      </w:r>
    </w:p>
    <w:p>
      <w:pPr>
        <w:pStyle w:val="TextBody"/>
        <w:spacing w:before="0" w:after="0"/>
        <w:jc w:val="left"/>
        <w:rPr>
          <w:rFonts w:ascii="Times New Roman" w:hAnsi="Times New Roman"/>
          <w:sz w:val="20"/>
        </w:rPr>
      </w:pPr>
      <w:r>
        <w:rPr>
          <w:rFonts w:ascii="Times New Roman" w:hAnsi="Times New Roman"/>
          <w:sz w:val="20"/>
        </w:rPr>
      </w:r>
    </w:p>
    <w:tbl>
      <w:tblPr>
        <w:tblW w:w="6668" w:type="dxa"/>
        <w:jc w:val="left"/>
        <w:tblInd w:w="0" w:type="dxa"/>
        <w:tblCellMar>
          <w:top w:w="0" w:type="dxa"/>
          <w:left w:w="0" w:type="dxa"/>
          <w:bottom w:w="0" w:type="dxa"/>
          <w:right w:w="0" w:type="dxa"/>
        </w:tblCellMar>
      </w:tblPr>
      <w:tblGrid>
        <w:gridCol w:w="3860"/>
        <w:gridCol w:w="60"/>
        <w:gridCol w:w="167"/>
        <w:gridCol w:w="902"/>
        <w:gridCol w:w="95"/>
        <w:gridCol w:w="60"/>
        <w:gridCol w:w="221"/>
        <w:gridCol w:w="1193"/>
        <w:gridCol w:w="110"/>
      </w:tblGrid>
      <w:tr>
        <w:trPr/>
        <w:tc>
          <w:tcPr>
            <w:tcW w:w="38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jc w:val="left"/>
              <w:rPr/>
            </w:pPr>
            <w:r>
              <w:rPr/>
              <w:t> </w:t>
            </w:r>
          </w:p>
        </w:tc>
      </w:tr>
      <w:tr>
        <w:trPr/>
        <w:tc>
          <w:tcPr>
            <w:tcW w:w="3860" w:type="dxa"/>
            <w:tcBorders/>
            <w:shd w:fill="CCEEFF" w:val="clear"/>
            <w:vAlign w:val="bottom"/>
          </w:tcPr>
          <w:p>
            <w:pPr>
              <w:pStyle w:val="TableContents"/>
              <w:spacing w:before="0" w:after="0"/>
              <w:ind w:left="144" w:right="0" w:hanging="144"/>
              <w:rPr/>
            </w:pPr>
            <w:r>
              <w:rPr/>
              <w:t>Foreign currency translation adjustments</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0"/>
              <w:jc w:val="left"/>
              <w:rPr/>
            </w:pPr>
            <w:r>
              <w:rPr/>
              <w:t>$</w:t>
            </w:r>
          </w:p>
        </w:tc>
        <w:tc>
          <w:tcPr>
            <w:tcW w:w="902" w:type="dxa"/>
            <w:tcBorders/>
            <w:shd w:fill="CCEEFF" w:val="clear"/>
            <w:vAlign w:val="bottom"/>
          </w:tcPr>
          <w:p>
            <w:pPr>
              <w:pStyle w:val="TableContents"/>
              <w:spacing w:before="0" w:after="0"/>
              <w:jc w:val="right"/>
              <w:rPr/>
            </w:pPr>
            <w:r>
              <w:rPr/>
              <w:t>(13,236</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1" w:type="dxa"/>
            <w:tcBorders/>
            <w:shd w:fill="CCEEFF" w:val="clear"/>
            <w:vAlign w:val="bottom"/>
          </w:tcPr>
          <w:p>
            <w:pPr>
              <w:pStyle w:val="TableContents"/>
              <w:spacing w:before="0" w:after="0"/>
              <w:jc w:val="left"/>
              <w:rPr/>
            </w:pPr>
            <w:r>
              <w:rPr/>
              <w:t>$</w:t>
            </w:r>
          </w:p>
        </w:tc>
        <w:tc>
          <w:tcPr>
            <w:tcW w:w="1193" w:type="dxa"/>
            <w:tcBorders/>
            <w:shd w:fill="CCEEFF" w:val="clear"/>
            <w:vAlign w:val="bottom"/>
          </w:tcPr>
          <w:p>
            <w:pPr>
              <w:pStyle w:val="TableContents"/>
              <w:spacing w:before="0" w:after="0"/>
              <w:jc w:val="right"/>
              <w:rPr/>
            </w:pPr>
            <w:r>
              <w:rPr/>
              <w:t>(11,328</w:t>
            </w:r>
          </w:p>
        </w:tc>
        <w:tc>
          <w:tcPr>
            <w:tcW w:w="110" w:type="dxa"/>
            <w:tcBorders/>
            <w:shd w:fill="CCEEFF" w:val="clear"/>
            <w:vAlign w:val="bottom"/>
          </w:tcPr>
          <w:p>
            <w:pPr>
              <w:pStyle w:val="TableContents"/>
              <w:spacing w:before="0" w:after="0"/>
              <w:jc w:val="left"/>
              <w:rPr/>
            </w:pPr>
            <w:r>
              <w:rPr/>
              <w:t>)</w:t>
            </w:r>
          </w:p>
        </w:tc>
      </w:tr>
      <w:tr>
        <w:trPr/>
        <w:tc>
          <w:tcPr>
            <w:tcW w:w="3860" w:type="dxa"/>
            <w:tcBorders/>
            <w:shd w:fill="auto" w:val="clear"/>
            <w:vAlign w:val="bottom"/>
          </w:tcPr>
          <w:p>
            <w:pPr>
              <w:pStyle w:val="TableContents"/>
              <w:spacing w:before="0" w:after="0"/>
              <w:ind w:left="144" w:right="0" w:hanging="144"/>
              <w:rPr/>
            </w:pPr>
            <w:r>
              <w:rPr/>
              <w:t>Derivative adjustments</w:t>
            </w:r>
          </w:p>
        </w:tc>
        <w:tc>
          <w:tcPr>
            <w:tcW w:w="60" w:type="dxa"/>
            <w:tcBorders/>
            <w:shd w:fill="auto" w:val="clear"/>
            <w:vAlign w:val="bottom"/>
          </w:tcPr>
          <w:p>
            <w:pPr>
              <w:pStyle w:val="TableContents"/>
              <w:spacing w:before="0" w:after="283"/>
              <w:jc w:val="right"/>
              <w:rPr/>
            </w:pPr>
            <w:r>
              <w:rPr/>
              <w:t> </w:t>
            </w:r>
          </w:p>
        </w:tc>
        <w:tc>
          <w:tcPr>
            <w:tcW w:w="16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2" w:type="dxa"/>
            <w:tcBorders>
              <w:bottom w:val="single" w:sz="12" w:space="0" w:color="000000"/>
            </w:tcBorders>
            <w:shd w:fill="auto" w:val="clear"/>
            <w:tcMar>
              <w:bottom w:w="28" w:type="dxa"/>
            </w:tcMar>
            <w:vAlign w:val="bottom"/>
          </w:tcPr>
          <w:p>
            <w:pPr>
              <w:pStyle w:val="TableContents"/>
              <w:spacing w:before="0" w:after="0"/>
              <w:jc w:val="right"/>
              <w:rPr/>
            </w:pPr>
            <w:r>
              <w:rPr/>
              <w:t>(1,757</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93" w:type="dxa"/>
            <w:tcBorders>
              <w:bottom w:val="single" w:sz="12" w:space="0" w:color="000000"/>
            </w:tcBorders>
            <w:shd w:fill="auto" w:val="clear"/>
            <w:tcMar>
              <w:bottom w:w="28" w:type="dxa"/>
            </w:tcMar>
            <w:vAlign w:val="bottom"/>
          </w:tcPr>
          <w:p>
            <w:pPr>
              <w:pStyle w:val="TableContents"/>
              <w:spacing w:before="0" w:after="0"/>
              <w:jc w:val="right"/>
              <w:rPr/>
            </w:pPr>
            <w:r>
              <w:rPr/>
              <w:t>(1,225</w:t>
            </w:r>
          </w:p>
        </w:tc>
        <w:tc>
          <w:tcPr>
            <w:tcW w:w="110" w:type="dxa"/>
            <w:tcBorders/>
            <w:shd w:fill="auto" w:val="clear"/>
            <w:vAlign w:val="bottom"/>
          </w:tcPr>
          <w:p>
            <w:pPr>
              <w:pStyle w:val="TableContents"/>
              <w:spacing w:before="0" w:after="0"/>
              <w:jc w:val="left"/>
              <w:rPr/>
            </w:pPr>
            <w:r>
              <w:rPr/>
              <w:t>)</w:t>
            </w:r>
          </w:p>
        </w:tc>
      </w:tr>
      <w:tr>
        <w:trPr/>
        <w:tc>
          <w:tcPr>
            <w:tcW w:w="3860" w:type="dxa"/>
            <w:tcBorders/>
            <w:shd w:fill="CCEEFF" w:val="clear"/>
            <w:vAlign w:val="bottom"/>
          </w:tcPr>
          <w:p>
            <w:pPr>
              <w:pStyle w:val="TableContents"/>
              <w:spacing w:before="0" w:after="0"/>
              <w:ind w:left="144" w:right="0" w:hanging="144"/>
              <w:rPr/>
            </w:pPr>
            <w:r>
              <w:rPr/>
              <w:t>Total</w:t>
            </w:r>
          </w:p>
        </w:tc>
        <w:tc>
          <w:tcPr>
            <w:tcW w:w="60" w:type="dxa"/>
            <w:tcBorders/>
            <w:shd w:fill="CCEEFF" w:val="clear"/>
            <w:vAlign w:val="bottom"/>
          </w:tcPr>
          <w:p>
            <w:pPr>
              <w:pStyle w:val="TableContents"/>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902" w:type="dxa"/>
            <w:tcBorders>
              <w:bottom w:val="double" w:sz="8" w:space="0" w:color="000000"/>
            </w:tcBorders>
            <w:shd w:fill="CCEEFF" w:val="clear"/>
            <w:tcMar>
              <w:bottom w:w="28" w:type="dxa"/>
            </w:tcMar>
            <w:vAlign w:val="bottom"/>
          </w:tcPr>
          <w:p>
            <w:pPr>
              <w:pStyle w:val="TableContents"/>
              <w:spacing w:before="0" w:after="0"/>
              <w:jc w:val="right"/>
              <w:rPr/>
            </w:pPr>
            <w:r>
              <w:rPr/>
              <w:t>(14,993</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1"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93" w:type="dxa"/>
            <w:tcBorders>
              <w:bottom w:val="double" w:sz="8" w:space="0" w:color="000000"/>
            </w:tcBorders>
            <w:shd w:fill="CCEEFF" w:val="clear"/>
            <w:tcMar>
              <w:bottom w:w="28" w:type="dxa"/>
            </w:tcMar>
            <w:vAlign w:val="bottom"/>
          </w:tcPr>
          <w:p>
            <w:pPr>
              <w:pStyle w:val="TableContents"/>
              <w:spacing w:before="0" w:after="0"/>
              <w:jc w:val="right"/>
              <w:rPr/>
            </w:pPr>
            <w:r>
              <w:rPr/>
              <w:t>(12,553</w:t>
            </w:r>
          </w:p>
        </w:tc>
        <w:tc>
          <w:tcPr>
            <w:tcW w:w="110" w:type="dxa"/>
            <w:tcBorders/>
            <w:shd w:fill="CCEEFF" w:val="clear"/>
            <w:vAlign w:val="bottom"/>
          </w:tcPr>
          <w:p>
            <w:pPr>
              <w:pStyle w:val="TableContents"/>
              <w:spacing w:before="0" w:after="0"/>
              <w:jc w:val="left"/>
              <w:rPr/>
            </w:pPr>
            <w:r>
              <w:rPr/>
              <w:t>)</w:t>
            </w:r>
          </w:p>
        </w:tc>
      </w:tr>
    </w:tbl>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Changes in accumulated other comprehensive loss for the three months ended March 31, 2023 and 2022 are as follows (in thousands):</w:t>
      </w:r>
    </w:p>
    <w:p>
      <w:pPr>
        <w:pStyle w:val="TextBody"/>
        <w:spacing w:before="0" w:after="0"/>
        <w:jc w:val="left"/>
        <w:rPr>
          <w:color w:val="000000"/>
        </w:rPr>
      </w:pPr>
      <w:r>
        <w:rPr>
          <w:color w:val="000000"/>
        </w:rPr>
        <w:t> </w:t>
      </w:r>
    </w:p>
    <w:tbl>
      <w:tblPr>
        <w:tblW w:w="10090" w:type="dxa"/>
        <w:jc w:val="left"/>
        <w:tblInd w:w="0" w:type="dxa"/>
        <w:tblCellMar>
          <w:top w:w="0" w:type="dxa"/>
          <w:left w:w="0" w:type="dxa"/>
          <w:bottom w:w="0" w:type="dxa"/>
          <w:right w:w="0" w:type="dxa"/>
        </w:tblCellMar>
      </w:tblPr>
      <w:tblGrid>
        <w:gridCol w:w="6215"/>
        <w:gridCol w:w="60"/>
        <w:gridCol w:w="195"/>
        <w:gridCol w:w="1055"/>
        <w:gridCol w:w="95"/>
        <w:gridCol w:w="60"/>
        <w:gridCol w:w="225"/>
        <w:gridCol w:w="1025"/>
        <w:gridCol w:w="95"/>
        <w:gridCol w:w="60"/>
        <w:gridCol w:w="140"/>
        <w:gridCol w:w="755"/>
        <w:gridCol w:w="110"/>
      </w:tblGrid>
      <w:tr>
        <w:trPr/>
        <w:tc>
          <w:tcPr>
            <w:tcW w:w="6215" w:type="dxa"/>
            <w:tcBorders/>
            <w:shd w:fill="auto" w:val="clear"/>
            <w:vAlign w:val="bottom"/>
          </w:tcPr>
          <w:p>
            <w:pPr>
              <w:pStyle w:val="TableContents"/>
              <w:spacing w:before="0" w:after="0"/>
              <w:ind w:left="144" w:right="0" w:hanging="0"/>
              <w:rPr>
                <w:b/>
                <w:u w:val="single"/>
              </w:rPr>
            </w:pPr>
            <w:r>
              <w:rPr>
                <w:b/>
                <w:u w:val="single"/>
              </w:rPr>
              <w:t>Three Months Ended March 31, 2023</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Foreign</w:t>
            </w:r>
          </w:p>
          <w:p>
            <w:pPr>
              <w:pStyle w:val="TableContents"/>
              <w:spacing w:before="0" w:after="0"/>
              <w:jc w:val="center"/>
              <w:rPr>
                <w:b/>
              </w:rPr>
            </w:pPr>
            <w:r>
              <w:rPr>
                <w:b/>
              </w:rPr>
              <w:t>currency</w:t>
            </w:r>
          </w:p>
          <w:p>
            <w:pPr>
              <w:pStyle w:val="TableContents"/>
              <w:spacing w:before="0" w:after="0"/>
              <w:jc w:val="center"/>
              <w:rPr>
                <w:b/>
              </w:rPr>
            </w:pPr>
            <w:r>
              <w:rPr>
                <w:b/>
              </w:rPr>
              <w:t>translation</w:t>
            </w:r>
          </w:p>
          <w:p>
            <w:pPr>
              <w:pStyle w:val="TableContents"/>
              <w:spacing w:before="0" w:after="0"/>
              <w:jc w:val="center"/>
              <w:rPr>
                <w:b/>
              </w:rPr>
            </w:pPr>
            <w:r>
              <w:rPr>
                <w:b/>
              </w:rPr>
              <w:t>adjustments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Derivative</w:t>
            </w:r>
          </w:p>
          <w:p>
            <w:pPr>
              <w:pStyle w:val="TableContents"/>
              <w:spacing w:before="0" w:after="0"/>
              <w:jc w:val="center"/>
              <w:rPr>
                <w:b/>
              </w:rPr>
            </w:pPr>
            <w:r>
              <w:rPr>
                <w:b/>
              </w:rPr>
              <w:t>adjustments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110" w:type="dxa"/>
            <w:tcBorders/>
            <w:shd w:fill="auto" w:val="clear"/>
            <w:vAlign w:val="bottom"/>
          </w:tcPr>
          <w:p>
            <w:pPr>
              <w:pStyle w:val="TableContents"/>
              <w:spacing w:before="0" w:after="283"/>
              <w:jc w:val="left"/>
              <w:rPr/>
            </w:pPr>
            <w:r>
              <w:rPr/>
              <w:t> </w:t>
            </w:r>
          </w:p>
        </w:tc>
      </w:tr>
      <w:tr>
        <w:trPr/>
        <w:tc>
          <w:tcPr>
            <w:tcW w:w="6215" w:type="dxa"/>
            <w:tcBorders/>
            <w:shd w:fill="CCEEFF" w:val="clear"/>
            <w:vAlign w:val="bottom"/>
          </w:tcPr>
          <w:p>
            <w:pPr>
              <w:pStyle w:val="TableContents"/>
              <w:spacing w:before="0" w:after="0"/>
              <w:ind w:left="144" w:right="0" w:hanging="144"/>
              <w:rPr/>
            </w:pPr>
            <w:r>
              <w:rPr/>
              <w:t>Beginning balance</w:t>
            </w:r>
          </w:p>
        </w:tc>
        <w:tc>
          <w:tcPr>
            <w:tcW w:w="60" w:type="dxa"/>
            <w:tcBorders/>
            <w:shd w:fill="CCEEFF" w:val="clear"/>
            <w:vAlign w:val="bottom"/>
          </w:tcPr>
          <w:p>
            <w:pPr>
              <w:pStyle w:val="TableContents"/>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pPr>
            <w:r>
              <w:rPr/>
              <w:t>(11,328</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(1,225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(12,553</w:t>
            </w:r>
          </w:p>
        </w:tc>
        <w:tc>
          <w:tcPr>
            <w:tcW w:w="110" w:type="dxa"/>
            <w:tcBorders/>
            <w:shd w:fill="CCEEFF" w:val="clear"/>
            <w:vAlign w:val="bottom"/>
          </w:tcPr>
          <w:p>
            <w:pPr>
              <w:pStyle w:val="TableContents"/>
              <w:spacing w:before="0" w:after="0"/>
              <w:jc w:val="left"/>
              <w:rPr/>
            </w:pPr>
            <w:r>
              <w:rPr/>
              <w:t>)</w:t>
            </w:r>
          </w:p>
        </w:tc>
      </w:tr>
      <w:tr>
        <w:trPr/>
        <w:tc>
          <w:tcPr>
            <w:tcW w:w="6215" w:type="dxa"/>
            <w:tcBorders/>
            <w:shd w:fill="auto" w:val="clear"/>
            <w:vAlign w:val="bottom"/>
          </w:tcPr>
          <w:p>
            <w:pPr>
              <w:pStyle w:val="TableContents"/>
              <w:spacing w:before="0" w:after="0"/>
              <w:ind w:left="324" w:right="0" w:hanging="144"/>
              <w:rPr/>
            </w:pPr>
            <w:r>
              <w:rPr/>
              <w:t>Other comprehensive loss before reclassifications</w:t>
            </w:r>
          </w:p>
        </w:tc>
        <w:tc>
          <w:tcPr>
            <w:tcW w:w="60" w:type="dxa"/>
            <w:tcBorders/>
            <w:shd w:fill="auto" w:val="clear"/>
            <w:vAlign w:val="bottom"/>
          </w:tcPr>
          <w:p>
            <w:pPr>
              <w:pStyle w:val="TableContents"/>
              <w:spacing w:before="0" w:after="283"/>
              <w:jc w:val="right"/>
              <w:rPr/>
            </w:pPr>
            <w:r>
              <w:rPr/>
              <w:t> </w:t>
            </w:r>
          </w:p>
        </w:tc>
        <w:tc>
          <w:tcPr>
            <w:tcW w:w="195" w:type="dxa"/>
            <w:tcBorders/>
            <w:shd w:fill="auto" w:val="clear"/>
            <w:vAlign w:val="bottom"/>
          </w:tcPr>
          <w:p>
            <w:pPr>
              <w:pStyle w:val="TableContents"/>
              <w:spacing w:before="0" w:after="283"/>
              <w:jc w:val="left"/>
              <w:rPr/>
            </w:pPr>
            <w:r>
              <w:rPr/>
              <w:t> </w:t>
            </w:r>
          </w:p>
        </w:tc>
        <w:tc>
          <w:tcPr>
            <w:tcW w:w="1055" w:type="dxa"/>
            <w:tcBorders/>
            <w:shd w:fill="auto" w:val="clear"/>
            <w:vAlign w:val="bottom"/>
          </w:tcPr>
          <w:p>
            <w:pPr>
              <w:pStyle w:val="TableContents"/>
              <w:spacing w:before="0" w:after="0"/>
              <w:jc w:val="right"/>
              <w:rPr/>
            </w:pPr>
            <w:r>
              <w:rPr/>
              <w:t>(1,908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025" w:type="dxa"/>
            <w:tcBorders/>
            <w:shd w:fill="auto" w:val="clear"/>
            <w:vAlign w:val="bottom"/>
          </w:tcPr>
          <w:p>
            <w:pPr>
              <w:pStyle w:val="TableContents"/>
              <w:spacing w:before="0" w:after="0"/>
              <w:jc w:val="right"/>
              <w:rPr/>
            </w:pPr>
            <w:r>
              <w:rPr/>
              <w:t>(1,135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(3,043</w:t>
            </w:r>
          </w:p>
        </w:tc>
        <w:tc>
          <w:tcPr>
            <w:tcW w:w="110" w:type="dxa"/>
            <w:tcBorders/>
            <w:shd w:fill="auto" w:val="clear"/>
            <w:vAlign w:val="bottom"/>
          </w:tcPr>
          <w:p>
            <w:pPr>
              <w:pStyle w:val="TableContents"/>
              <w:spacing w:before="0" w:after="0"/>
              <w:jc w:val="left"/>
              <w:rPr/>
            </w:pPr>
            <w:r>
              <w:rPr/>
              <w:t>)</w:t>
            </w:r>
          </w:p>
        </w:tc>
      </w:tr>
      <w:tr>
        <w:trPr/>
        <w:tc>
          <w:tcPr>
            <w:tcW w:w="6215" w:type="dxa"/>
            <w:tcBorders/>
            <w:shd w:fill="CCEEFF" w:val="clear"/>
            <w:vAlign w:val="bottom"/>
          </w:tcPr>
          <w:p>
            <w:pPr>
              <w:pStyle w:val="TableContents"/>
              <w:spacing w:before="0" w:after="0"/>
              <w:ind w:left="324" w:right="0" w:hanging="144"/>
              <w:rPr/>
            </w:pPr>
            <w:r>
              <w:rPr/>
              <w:t>Amounts reclassified from accumulated other comprehensive loss</w:t>
            </w:r>
          </w:p>
        </w:tc>
        <w:tc>
          <w:tcPr>
            <w:tcW w:w="60" w:type="dxa"/>
            <w:tcBorders/>
            <w:shd w:fill="CCEEFF" w:val="clear"/>
            <w:vAlign w:val="bottom"/>
          </w:tcPr>
          <w:p>
            <w:pPr>
              <w:pStyle w:val="TableContents"/>
              <w:spacing w:before="0" w:after="283"/>
              <w:jc w:val="right"/>
              <w:rPr/>
            </w:pPr>
            <w:r>
              <w:rPr/>
              <w:t> </w:t>
            </w:r>
          </w:p>
        </w:tc>
        <w:tc>
          <w:tcPr>
            <w:tcW w:w="19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603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603</w:t>
            </w:r>
          </w:p>
        </w:tc>
        <w:tc>
          <w:tcPr>
            <w:tcW w:w="110" w:type="dxa"/>
            <w:tcBorders/>
            <w:shd w:fill="CCEEFF" w:val="clear"/>
            <w:vAlign w:val="bottom"/>
          </w:tcPr>
          <w:p>
            <w:pPr>
              <w:pStyle w:val="TableContents"/>
              <w:spacing w:before="0" w:after="283"/>
              <w:jc w:val="left"/>
              <w:rPr/>
            </w:pPr>
            <w:r>
              <w:rPr/>
              <w:t> </w:t>
            </w:r>
          </w:p>
        </w:tc>
      </w:tr>
      <w:tr>
        <w:trPr/>
        <w:tc>
          <w:tcPr>
            <w:tcW w:w="6215" w:type="dxa"/>
            <w:tcBorders/>
            <w:shd w:fill="auto" w:val="clear"/>
            <w:vAlign w:val="bottom"/>
          </w:tcPr>
          <w:p>
            <w:pPr>
              <w:pStyle w:val="TableContents"/>
              <w:spacing w:before="0" w:after="0"/>
              <w:ind w:left="144" w:right="0" w:hanging="144"/>
              <w:rPr/>
            </w:pPr>
            <w:r>
              <w:rPr/>
              <w:t>Net current-period other comprehensive loss</w:t>
            </w:r>
          </w:p>
        </w:tc>
        <w:tc>
          <w:tcPr>
            <w:tcW w:w="60" w:type="dxa"/>
            <w:tcBorders/>
            <w:shd w:fill="auto" w:val="clear"/>
            <w:vAlign w:val="bottom"/>
          </w:tcPr>
          <w:p>
            <w:pPr>
              <w:pStyle w:val="TableContents"/>
              <w:spacing w:before="0" w:after="283"/>
              <w:jc w:val="right"/>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right"/>
              <w:rPr/>
            </w:pPr>
            <w:r>
              <w:rPr/>
              <w:t>(1,908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bottom w:w="28" w:type="dxa"/>
            </w:tcMar>
            <w:vAlign w:val="bottom"/>
          </w:tcPr>
          <w:p>
            <w:pPr>
              <w:pStyle w:val="TableContents"/>
              <w:spacing w:before="0" w:after="0"/>
              <w:jc w:val="right"/>
              <w:rPr/>
            </w:pPr>
            <w:r>
              <w:rPr/>
              <w:t>(532</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(2,440</w:t>
            </w:r>
          </w:p>
        </w:tc>
        <w:tc>
          <w:tcPr>
            <w:tcW w:w="110" w:type="dxa"/>
            <w:tcBorders/>
            <w:shd w:fill="auto" w:val="clear"/>
            <w:vAlign w:val="bottom"/>
          </w:tcPr>
          <w:p>
            <w:pPr>
              <w:pStyle w:val="TableContents"/>
              <w:spacing w:before="0" w:after="0"/>
              <w:jc w:val="left"/>
              <w:rPr/>
            </w:pPr>
            <w:r>
              <w:rPr/>
              <w:t>)</w:t>
            </w:r>
          </w:p>
        </w:tc>
      </w:tr>
      <w:tr>
        <w:trPr/>
        <w:tc>
          <w:tcPr>
            <w:tcW w:w="6215" w:type="dxa"/>
            <w:tcBorders/>
            <w:shd w:fill="CCEEFF" w:val="clear"/>
            <w:vAlign w:val="bottom"/>
          </w:tcPr>
          <w:p>
            <w:pPr>
              <w:pStyle w:val="TableContents"/>
              <w:spacing w:before="0" w:after="0"/>
              <w:ind w:left="144" w:right="0" w:hanging="144"/>
              <w:rPr/>
            </w:pPr>
            <w:r>
              <w:rPr/>
              <w:t>Ending balance</w:t>
            </w:r>
          </w:p>
        </w:tc>
        <w:tc>
          <w:tcPr>
            <w:tcW w:w="60" w:type="dxa"/>
            <w:tcBorders/>
            <w:shd w:fill="CCEEFF" w:val="clear"/>
            <w:vAlign w:val="bottom"/>
          </w:tcPr>
          <w:p>
            <w:pPr>
              <w:pStyle w:val="TableContents"/>
              <w:spacing w:before="0" w:after="283"/>
              <w:jc w:val="right"/>
              <w:rPr/>
            </w:pPr>
            <w:r>
              <w:rPr/>
              <w:t> </w:t>
            </w:r>
          </w:p>
        </w:tc>
        <w:tc>
          <w:tcPr>
            <w:tcW w:w="195"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055" w:type="dxa"/>
            <w:tcBorders>
              <w:bottom w:val="double" w:sz="8" w:space="0" w:color="000000"/>
            </w:tcBorders>
            <w:shd w:fill="CCEEFF" w:val="clear"/>
            <w:tcMar>
              <w:bottom w:w="28" w:type="dxa"/>
            </w:tcMar>
            <w:vAlign w:val="bottom"/>
          </w:tcPr>
          <w:p>
            <w:pPr>
              <w:pStyle w:val="TableContents"/>
              <w:spacing w:before="0" w:after="0"/>
              <w:jc w:val="right"/>
              <w:rPr/>
            </w:pPr>
            <w:r>
              <w:rPr/>
              <w:t>(13,236</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5"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double" w:sz="8" w:space="0" w:color="000000"/>
            </w:tcBorders>
            <w:shd w:fill="CCEEFF" w:val="clear"/>
            <w:tcMar>
              <w:bottom w:w="28" w:type="dxa"/>
            </w:tcMar>
            <w:vAlign w:val="bottom"/>
          </w:tcPr>
          <w:p>
            <w:pPr>
              <w:pStyle w:val="TableContents"/>
              <w:spacing w:before="0" w:after="0"/>
              <w:jc w:val="right"/>
              <w:rPr/>
            </w:pPr>
            <w:r>
              <w:rPr/>
              <w:t>(1,757</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(14,993</w:t>
            </w:r>
          </w:p>
        </w:tc>
        <w:tc>
          <w:tcPr>
            <w:tcW w:w="110" w:type="dxa"/>
            <w:tcBorders/>
            <w:shd w:fill="CCEEFF" w:val="clear"/>
            <w:vAlign w:val="bottom"/>
          </w:tcPr>
          <w:p>
            <w:pPr>
              <w:pStyle w:val="TableContents"/>
              <w:spacing w:before="0" w:after="0"/>
              <w:jc w:val="left"/>
              <w:rPr/>
            </w:pPr>
            <w:r>
              <w:rPr/>
              <w:t>)</w:t>
            </w:r>
          </w:p>
        </w:tc>
      </w:tr>
    </w:tbl>
    <w:p>
      <w:pPr>
        <w:pStyle w:val="TextBody"/>
        <w:spacing w:before="0" w:after="0"/>
        <w:jc w:val="left"/>
        <w:rPr>
          <w:color w:val="000000"/>
        </w:rPr>
      </w:pPr>
      <w:r>
        <w:rPr>
          <w:color w:val="000000"/>
        </w:rPr>
        <w:t> </w:t>
      </w:r>
    </w:p>
    <w:tbl>
      <w:tblPr>
        <w:tblW w:w="9970" w:type="dxa"/>
        <w:jc w:val="left"/>
        <w:tblInd w:w="0" w:type="dxa"/>
        <w:tblCellMar>
          <w:top w:w="0" w:type="dxa"/>
          <w:left w:w="0" w:type="dxa"/>
          <w:bottom w:w="0" w:type="dxa"/>
          <w:right w:w="0" w:type="dxa"/>
        </w:tblCellMar>
      </w:tblPr>
      <w:tblGrid>
        <w:gridCol w:w="6215"/>
        <w:gridCol w:w="60"/>
        <w:gridCol w:w="225"/>
        <w:gridCol w:w="1025"/>
        <w:gridCol w:w="95"/>
        <w:gridCol w:w="60"/>
        <w:gridCol w:w="225"/>
        <w:gridCol w:w="1025"/>
        <w:gridCol w:w="95"/>
        <w:gridCol w:w="60"/>
        <w:gridCol w:w="140"/>
        <w:gridCol w:w="635"/>
        <w:gridCol w:w="110"/>
      </w:tblGrid>
      <w:tr>
        <w:trPr/>
        <w:tc>
          <w:tcPr>
            <w:tcW w:w="6215" w:type="dxa"/>
            <w:tcBorders/>
            <w:shd w:fill="auto" w:val="clear"/>
            <w:vAlign w:val="bottom"/>
          </w:tcPr>
          <w:p>
            <w:pPr>
              <w:pStyle w:val="TableContents"/>
              <w:spacing w:before="0" w:after="0"/>
              <w:ind w:left="144" w:right="0" w:hanging="0"/>
              <w:rPr>
                <w:b/>
                <w:u w:val="single"/>
              </w:rPr>
            </w:pPr>
            <w:r>
              <w:rPr>
                <w:b/>
                <w:u w:val="single"/>
              </w:rPr>
              <w:t>Three Months Ended March 31, 2022</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Foreign</w:t>
            </w:r>
          </w:p>
          <w:p>
            <w:pPr>
              <w:pStyle w:val="TableContents"/>
              <w:spacing w:before="0" w:after="0"/>
              <w:jc w:val="center"/>
              <w:rPr>
                <w:b/>
              </w:rPr>
            </w:pPr>
            <w:r>
              <w:rPr>
                <w:b/>
              </w:rPr>
              <w:t>currency</w:t>
            </w:r>
          </w:p>
          <w:p>
            <w:pPr>
              <w:pStyle w:val="TableContents"/>
              <w:spacing w:before="0" w:after="0"/>
              <w:jc w:val="center"/>
              <w:rPr>
                <w:b/>
              </w:rPr>
            </w:pPr>
            <w:r>
              <w:rPr>
                <w:b/>
              </w:rPr>
              <w:t>translation</w:t>
            </w:r>
          </w:p>
          <w:p>
            <w:pPr>
              <w:pStyle w:val="TableContents"/>
              <w:spacing w:before="0" w:after="0"/>
              <w:jc w:val="center"/>
              <w:rPr>
                <w:b/>
              </w:rPr>
            </w:pPr>
            <w:r>
              <w:rPr>
                <w:b/>
              </w:rPr>
              <w:t>adjustments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Derivative</w:t>
            </w:r>
          </w:p>
          <w:p>
            <w:pPr>
              <w:pStyle w:val="TableContents"/>
              <w:spacing w:before="0" w:after="0"/>
              <w:jc w:val="center"/>
              <w:rPr>
                <w:b/>
              </w:rPr>
            </w:pPr>
            <w:r>
              <w:rPr>
                <w:b/>
              </w:rPr>
              <w:t>adjustments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110" w:type="dxa"/>
            <w:tcBorders/>
            <w:shd w:fill="auto" w:val="clear"/>
            <w:vAlign w:val="bottom"/>
          </w:tcPr>
          <w:p>
            <w:pPr>
              <w:pStyle w:val="TableContents"/>
              <w:spacing w:before="0" w:after="283"/>
              <w:jc w:val="left"/>
              <w:rPr/>
            </w:pPr>
            <w:r>
              <w:rPr/>
              <w:t> </w:t>
            </w:r>
          </w:p>
        </w:tc>
      </w:tr>
      <w:tr>
        <w:trPr/>
        <w:tc>
          <w:tcPr>
            <w:tcW w:w="6215" w:type="dxa"/>
            <w:tcBorders/>
            <w:shd w:fill="CCEEFF" w:val="clear"/>
            <w:vAlign w:val="bottom"/>
          </w:tcPr>
          <w:p>
            <w:pPr>
              <w:pStyle w:val="TableContents"/>
              <w:spacing w:before="0" w:after="0"/>
              <w:ind w:left="144" w:right="0" w:hanging="144"/>
              <w:rPr/>
            </w:pPr>
            <w:r>
              <w:rPr/>
              <w:t>Beginning balance</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(770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(1,460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(2,230</w:t>
            </w:r>
          </w:p>
        </w:tc>
        <w:tc>
          <w:tcPr>
            <w:tcW w:w="110" w:type="dxa"/>
            <w:tcBorders/>
            <w:shd w:fill="CCEEFF" w:val="clear"/>
            <w:vAlign w:val="bottom"/>
          </w:tcPr>
          <w:p>
            <w:pPr>
              <w:pStyle w:val="TableContents"/>
              <w:spacing w:before="0" w:after="0"/>
              <w:jc w:val="left"/>
              <w:rPr/>
            </w:pPr>
            <w:r>
              <w:rPr/>
              <w:t>)</w:t>
            </w:r>
          </w:p>
        </w:tc>
      </w:tr>
      <w:tr>
        <w:trPr/>
        <w:tc>
          <w:tcPr>
            <w:tcW w:w="6215" w:type="dxa"/>
            <w:tcBorders/>
            <w:shd w:fill="auto" w:val="clear"/>
            <w:vAlign w:val="bottom"/>
          </w:tcPr>
          <w:p>
            <w:pPr>
              <w:pStyle w:val="TableContents"/>
              <w:spacing w:before="0" w:after="0"/>
              <w:ind w:left="324" w:right="0" w:hanging="144"/>
              <w:rPr/>
            </w:pPr>
            <w:r>
              <w:rPr/>
              <w:t>Other comprehensive loss before reclassifications</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025" w:type="dxa"/>
            <w:tcBorders/>
            <w:shd w:fill="auto" w:val="clear"/>
            <w:vAlign w:val="bottom"/>
          </w:tcPr>
          <w:p>
            <w:pPr>
              <w:pStyle w:val="TableContents"/>
              <w:spacing w:before="0" w:after="0"/>
              <w:jc w:val="right"/>
              <w:rPr/>
            </w:pPr>
            <w:r>
              <w:rPr/>
              <w:t>(3,045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jc w:val="left"/>
              <w:rPr/>
            </w:pPr>
            <w:r>
              <w:rPr/>
              <w:t> </w:t>
            </w:r>
          </w:p>
        </w:tc>
        <w:tc>
          <w:tcPr>
            <w:tcW w:w="1025" w:type="dxa"/>
            <w:tcBorders/>
            <w:shd w:fill="auto" w:val="clear"/>
            <w:vAlign w:val="bottom"/>
          </w:tcPr>
          <w:p>
            <w:pPr>
              <w:pStyle w:val="TableContents"/>
              <w:spacing w:before="0" w:after="0"/>
              <w:jc w:val="right"/>
              <w:rPr/>
            </w:pPr>
            <w:r>
              <w:rPr/>
              <w:t>(1,264</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(4,309</w:t>
            </w:r>
          </w:p>
        </w:tc>
        <w:tc>
          <w:tcPr>
            <w:tcW w:w="110" w:type="dxa"/>
            <w:tcBorders/>
            <w:shd w:fill="auto" w:val="clear"/>
            <w:vAlign w:val="bottom"/>
          </w:tcPr>
          <w:p>
            <w:pPr>
              <w:pStyle w:val="TableContents"/>
              <w:spacing w:before="0" w:after="0"/>
              <w:jc w:val="left"/>
              <w:rPr/>
            </w:pPr>
            <w:r>
              <w:rPr/>
              <w:t>)</w:t>
            </w:r>
          </w:p>
        </w:tc>
      </w:tr>
      <w:tr>
        <w:trPr/>
        <w:tc>
          <w:tcPr>
            <w:tcW w:w="6215" w:type="dxa"/>
            <w:tcBorders/>
            <w:shd w:fill="CCEEFF" w:val="clear"/>
            <w:vAlign w:val="bottom"/>
          </w:tcPr>
          <w:p>
            <w:pPr>
              <w:pStyle w:val="TableContents"/>
              <w:spacing w:before="0" w:after="0"/>
              <w:ind w:left="324" w:right="0" w:hanging="144"/>
              <w:rPr/>
            </w:pPr>
            <w:r>
              <w:rPr/>
              <w:t>Amounts reclassified from accumulated other comprehensive loss</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spacing w:before="0" w:after="0"/>
              <w:jc w:val="right"/>
              <w:rPr/>
            </w:pPr>
            <w:r>
              <w:rPr/>
              <w:t>762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762</w:t>
            </w:r>
          </w:p>
        </w:tc>
        <w:tc>
          <w:tcPr>
            <w:tcW w:w="110" w:type="dxa"/>
            <w:tcBorders/>
            <w:shd w:fill="CCEEFF" w:val="clear"/>
            <w:vAlign w:val="bottom"/>
          </w:tcPr>
          <w:p>
            <w:pPr>
              <w:pStyle w:val="TableContents"/>
              <w:spacing w:before="0" w:after="283"/>
              <w:jc w:val="left"/>
              <w:rPr/>
            </w:pPr>
            <w:r>
              <w:rPr/>
              <w:t> </w:t>
            </w:r>
          </w:p>
        </w:tc>
      </w:tr>
      <w:tr>
        <w:trPr/>
        <w:tc>
          <w:tcPr>
            <w:tcW w:w="6215" w:type="dxa"/>
            <w:tcBorders/>
            <w:shd w:fill="auto" w:val="clear"/>
            <w:vAlign w:val="bottom"/>
          </w:tcPr>
          <w:p>
            <w:pPr>
              <w:pStyle w:val="TableContents"/>
              <w:spacing w:before="0" w:after="0"/>
              <w:ind w:left="144" w:right="0" w:hanging="144"/>
              <w:rPr/>
            </w:pPr>
            <w:r>
              <w:rPr/>
              <w:t>Net current-period other comprehensive loss</w:t>
            </w:r>
          </w:p>
        </w:tc>
        <w:tc>
          <w:tcPr>
            <w:tcW w:w="60" w:type="dxa"/>
            <w:tcBorders/>
            <w:shd w:fill="auto" w:val="clear"/>
            <w:vAlign w:val="bottom"/>
          </w:tcPr>
          <w:p>
            <w:pPr>
              <w:pStyle w:val="TableContents"/>
              <w:spacing w:before="0" w:after="283"/>
              <w:jc w:val="right"/>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bottom w:w="28" w:type="dxa"/>
            </w:tcMar>
            <w:vAlign w:val="bottom"/>
          </w:tcPr>
          <w:p>
            <w:pPr>
              <w:pStyle w:val="TableContents"/>
              <w:spacing w:before="0" w:after="0"/>
              <w:jc w:val="right"/>
              <w:rPr/>
            </w:pPr>
            <w:r>
              <w:rPr/>
              <w:t>(3,045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2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auto" w:val="clear"/>
            <w:tcMar>
              <w:bottom w:w="28" w:type="dxa"/>
            </w:tcMar>
            <w:vAlign w:val="bottom"/>
          </w:tcPr>
          <w:p>
            <w:pPr>
              <w:pStyle w:val="TableContents"/>
              <w:spacing w:before="0" w:after="0"/>
              <w:jc w:val="right"/>
              <w:rPr/>
            </w:pPr>
            <w:r>
              <w:rPr/>
              <w:t>(502</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(3,547</w:t>
            </w:r>
          </w:p>
        </w:tc>
        <w:tc>
          <w:tcPr>
            <w:tcW w:w="110" w:type="dxa"/>
            <w:tcBorders/>
            <w:shd w:fill="auto" w:val="clear"/>
            <w:vAlign w:val="bottom"/>
          </w:tcPr>
          <w:p>
            <w:pPr>
              <w:pStyle w:val="TableContents"/>
              <w:spacing w:before="0" w:after="0"/>
              <w:jc w:val="left"/>
              <w:rPr/>
            </w:pPr>
            <w:r>
              <w:rPr/>
              <w:t>)</w:t>
            </w:r>
          </w:p>
        </w:tc>
      </w:tr>
      <w:tr>
        <w:trPr/>
        <w:tc>
          <w:tcPr>
            <w:tcW w:w="6215" w:type="dxa"/>
            <w:tcBorders/>
            <w:shd w:fill="CCEEFF" w:val="clear"/>
            <w:vAlign w:val="bottom"/>
          </w:tcPr>
          <w:p>
            <w:pPr>
              <w:pStyle w:val="TableContents"/>
              <w:spacing w:before="0" w:after="0"/>
              <w:ind w:left="144" w:right="0" w:hanging="144"/>
              <w:rPr/>
            </w:pPr>
            <w:r>
              <w:rPr/>
              <w:t>Ending balance</w:t>
            </w:r>
          </w:p>
        </w:tc>
        <w:tc>
          <w:tcPr>
            <w:tcW w:w="60" w:type="dxa"/>
            <w:tcBorders/>
            <w:shd w:fill="CCEEFF" w:val="clear"/>
            <w:vAlign w:val="bottom"/>
          </w:tcPr>
          <w:p>
            <w:pPr>
              <w:pStyle w:val="TableContents"/>
              <w:spacing w:before="0" w:after="283"/>
              <w:jc w:val="right"/>
              <w:rPr/>
            </w:pPr>
            <w:r>
              <w:rPr/>
              <w:t> </w:t>
            </w:r>
          </w:p>
        </w:tc>
        <w:tc>
          <w:tcPr>
            <w:tcW w:w="225"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double" w:sz="8" w:space="0" w:color="000000"/>
            </w:tcBorders>
            <w:shd w:fill="CCEEFF" w:val="clear"/>
            <w:tcMar>
              <w:bottom w:w="28" w:type="dxa"/>
            </w:tcMar>
            <w:vAlign w:val="bottom"/>
          </w:tcPr>
          <w:p>
            <w:pPr>
              <w:pStyle w:val="TableContents"/>
              <w:spacing w:before="0" w:after="0"/>
              <w:jc w:val="right"/>
              <w:rPr/>
            </w:pPr>
            <w:r>
              <w:rPr/>
              <w:t>(3,815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25"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025" w:type="dxa"/>
            <w:tcBorders>
              <w:bottom w:val="double" w:sz="8" w:space="0" w:color="000000"/>
            </w:tcBorders>
            <w:shd w:fill="CCEEFF" w:val="clear"/>
            <w:tcMar>
              <w:bottom w:w="28" w:type="dxa"/>
            </w:tcMar>
            <w:vAlign w:val="bottom"/>
          </w:tcPr>
          <w:p>
            <w:pPr>
              <w:pStyle w:val="TableContents"/>
              <w:spacing w:before="0" w:after="0"/>
              <w:jc w:val="right"/>
              <w:rPr/>
            </w:pPr>
            <w:r>
              <w:rPr/>
              <w:t>(1,962</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35" w:type="dxa"/>
            <w:tcBorders>
              <w:bottom w:val="double" w:sz="8" w:space="0" w:color="000000"/>
            </w:tcBorders>
            <w:shd w:fill="CCEEFF" w:val="clear"/>
            <w:tcMar>
              <w:bottom w:w="28" w:type="dxa"/>
            </w:tcMar>
            <w:vAlign w:val="bottom"/>
          </w:tcPr>
          <w:p>
            <w:pPr>
              <w:pStyle w:val="TableContents"/>
              <w:spacing w:before="0" w:after="0"/>
              <w:jc w:val="right"/>
              <w:rPr/>
            </w:pPr>
            <w:r>
              <w:rPr/>
              <w:t>(5,777</w:t>
            </w:r>
          </w:p>
        </w:tc>
        <w:tc>
          <w:tcPr>
            <w:tcW w:w="110" w:type="dxa"/>
            <w:tcBorders/>
            <w:shd w:fill="CCEEFF" w:val="clear"/>
            <w:vAlign w:val="bottom"/>
          </w:tcPr>
          <w:p>
            <w:pPr>
              <w:pStyle w:val="TableContents"/>
              <w:spacing w:before="0" w:after="0"/>
              <w:jc w:val="left"/>
              <w:rPr/>
            </w:pPr>
            <w:r>
              <w:rPr/>
              <w:t>)</w:t>
            </w:r>
          </w:p>
        </w:tc>
      </w:tr>
    </w:tbl>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15. Stock Repurchases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Accelerated Stock Repurchase Program</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On December 21, 2021, the Board of Directors authorized the Company to repurchase up to $75,000 thousand of its outstanding common stock and the Company entered into an accelerated stock repurchase agreement (the “ASR Agreement”) with JPMorgan Chase Bank, National Association (“JPM”) to repurchase an aggregate of $37,500 thousand of its common stock.</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Pursuant to the terms of the ASR Agreement dated December 21, 2021, the Company paid to JPM $37,500 thousand in cash and received an initial delivery of 994,695 shares of its common stock in the open market for an aggregate purchase price of $20,073 thousand and a price per share of $20.18 on December 22, 2021.</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December 31, 2021, the Company accounted for the remaining portion of the ASR Agreement as a forward contract indexed to its own common stock and recorded $17,427 thousand in additional paid-in capital in stockholders’ equity in its consolidated balance sheets.</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March 2022, the previously announced repurchase of $37,500 thousand of the Company’s common stock was completed pursuant to the ASR Agreement, and as a result, the Company additionally received 1,031,576 shares of its common stock for an aggregate purchase price of $17,217 thousand at a price per share of $16.69, which was reclassified as treasury stock from additional paid-in capital in stockholder’s equity in its consolidated balance sheets.</w:t>
      </w:r>
    </w:p>
    <w:p>
      <w:pPr>
        <w:pStyle w:val="TextBody"/>
        <w:spacing w:before="0" w:after="0"/>
        <w:jc w:val="left"/>
        <w:rPr/>
      </w:pPr>
      <w:r>
        <w:rPr/>
      </w:r>
    </w:p>
    <w:p>
      <w:pPr>
        <w:pStyle w:val="TextBody"/>
        <w:spacing w:before="0" w:after="0"/>
        <w:ind w:left="180" w:right="0" w:hanging="180"/>
        <w:jc w:val="left"/>
        <w:rPr>
          <w:rFonts w:ascii="Times New Roman" w:hAnsi="Times New Roman"/>
          <w:b/>
          <w:i/>
          <w:color w:val="000000"/>
          <w:sz w:val="20"/>
        </w:rPr>
      </w:pPr>
      <w:r>
        <w:rPr>
          <w:rFonts w:ascii="Times New Roman" w:hAnsi="Times New Roman"/>
          <w:b/>
          <w:i/>
          <w:color w:val="000000"/>
          <w:sz w:val="20"/>
        </w:rPr>
      </w:r>
    </w:p>
    <w:p>
      <w:pPr>
        <w:pStyle w:val="TextBody"/>
        <w:spacing w:before="0" w:after="0"/>
        <w:jc w:val="left"/>
        <w:rPr/>
      </w:pPr>
      <w:r>
        <w:rPr/>
      </w:r>
    </w:p>
    <w:p>
      <w:pPr>
        <w:pStyle w:val="TextBody"/>
        <w:spacing w:before="0" w:after="0"/>
        <w:ind w:left="180" w:right="0" w:hanging="180"/>
        <w:jc w:val="left"/>
        <w:rPr>
          <w:rFonts w:ascii="Times New Roman" w:hAnsi="Times New Roman"/>
          <w:b/>
          <w:i/>
          <w:color w:val="000000"/>
          <w:sz w:val="20"/>
        </w:rPr>
      </w:pPr>
      <w:r>
        <w:rPr>
          <w:rFonts w:ascii="Times New Roman" w:hAnsi="Times New Roman"/>
          <w:b/>
          <w:i/>
          <w:color w:val="000000"/>
          <w:sz w:val="20"/>
        </w:rPr>
        <w:t>Expanded Stock Repurchase Program</w:t>
      </w:r>
    </w:p>
    <w:p>
      <w:pPr>
        <w:pStyle w:val="TextBody"/>
        <w:spacing w:before="0" w:after="0"/>
        <w:ind w:left="0" w:right="0" w:firstLine="490"/>
        <w:jc w:val="left"/>
        <w:rPr/>
      </w:pPr>
      <w:r>
        <w:rPr/>
      </w:r>
    </w:p>
    <w:p>
      <w:pPr>
        <w:pStyle w:val="TextBody"/>
        <w:widowControl/>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On August 31, 2022, the Board of Directors has authorized an expansion of the Company’s previously announced stock repurchase program from $75,000 thousand to $87,500 thousand of its common stock. The remaining $50,000 thousand of the expanded $87,500 thousand program was planned to be repurchased in the open market or through privately negotiated transactions. In connection with the repurchase program, the Company established a stock trading plan with Oppenheimer &amp; Co. Inc. in accordance with Rule 10b5-1 under the Securities Exchange Act of 1934, as amended.</w:t>
      </w:r>
    </w:p>
    <w:p>
      <w:pPr>
        <w:pStyle w:val="TextBody"/>
        <w:spacing w:before="0" w:after="0"/>
        <w:jc w:val="left"/>
        <w:rPr/>
      </w:pPr>
      <w:r>
        <w:rPr/>
      </w:r>
    </w:p>
    <w:p>
      <w:pPr>
        <w:pStyle w:val="TextBody"/>
        <w:widowControl/>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From September 2022 to December 2022, the Company repurchased 1,235,650 shares of its common stock in the open market for an aggregate purchase price of $12,511 thousand and a price per share of $10.13 under the stock repurchase program.</w:t>
      </w:r>
    </w:p>
    <w:p>
      <w:pPr>
        <w:pStyle w:val="TextBody"/>
        <w:spacing w:before="0" w:after="0"/>
        <w:jc w:val="left"/>
        <w:rPr/>
      </w:pPr>
      <w:r>
        <w:rPr/>
      </w:r>
    </w:p>
    <w:p>
      <w:pPr>
        <w:pStyle w:val="TextBody"/>
        <w:widowControl/>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During the first quarter of 2023, the Company repurchased 1,238,472 shares of its common stock in the open market for an aggregate purchase price of $11,887 thousand and a price per share of $9.60 under the stock repurchase program.</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16. Earnings (Loss) Per Share</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illustrates the computation of basic and diluted earnings (loss) per common share for the three months ended March 31, 2023 and 2022:</w:t>
      </w:r>
    </w:p>
    <w:p>
      <w:pPr>
        <w:pStyle w:val="TextBody"/>
        <w:spacing w:before="0" w:after="0"/>
        <w:jc w:val="left"/>
        <w:rPr>
          <w:color w:val="000000"/>
        </w:rPr>
      </w:pPr>
      <w:r>
        <w:rPr>
          <w:color w:val="000000"/>
        </w:rPr>
        <w:t> </w:t>
      </w:r>
    </w:p>
    <w:tbl>
      <w:tblPr>
        <w:tblW w:w="10073" w:type="dxa"/>
        <w:jc w:val="left"/>
        <w:tblInd w:w="0" w:type="dxa"/>
        <w:tblCellMar>
          <w:top w:w="0" w:type="dxa"/>
          <w:left w:w="0" w:type="dxa"/>
          <w:bottom w:w="0" w:type="dxa"/>
          <w:right w:w="0" w:type="dxa"/>
        </w:tblCellMar>
      </w:tblPr>
      <w:tblGrid>
        <w:gridCol w:w="5060"/>
        <w:gridCol w:w="60"/>
        <w:gridCol w:w="259"/>
        <w:gridCol w:w="2037"/>
        <w:gridCol w:w="175"/>
        <w:gridCol w:w="111"/>
        <w:gridCol w:w="259"/>
        <w:gridCol w:w="2037"/>
        <w:gridCol w:w="75"/>
      </w:tblGrid>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229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6" w:type="dxa"/>
            <w:gridSpan w:val="2"/>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229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8" w:type="dxa"/>
            <w:gridSpan w:val="6"/>
            <w:tcBorders/>
            <w:shd w:fill="auto" w:val="clear"/>
            <w:vAlign w:val="bottom"/>
          </w:tcPr>
          <w:p>
            <w:pPr>
              <w:pStyle w:val="TableContents"/>
              <w:spacing w:before="0" w:after="0"/>
              <w:jc w:val="center"/>
              <w:rPr>
                <w:b/>
              </w:rPr>
            </w:pPr>
            <w:r>
              <w:rPr>
                <w:b/>
              </w:rPr>
              <w:t>(In thousands of U.S. dollars, except share data)</w:t>
            </w:r>
          </w:p>
        </w:tc>
        <w:tc>
          <w:tcPr>
            <w:tcW w:w="75" w:type="dxa"/>
            <w:tcBorders/>
            <w:shd w:fill="auto"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0"/>
              <w:ind w:left="144" w:right="0" w:hanging="144"/>
              <w:rPr>
                <w:b/>
              </w:rPr>
            </w:pPr>
            <w:r>
              <w:rPr>
                <w:b/>
              </w:rPr>
              <w:t>Basic Earnings (Loss) per Share</w:t>
            </w:r>
          </w:p>
        </w:tc>
        <w:tc>
          <w:tcPr>
            <w:tcW w:w="60" w:type="dxa"/>
            <w:tcBorders/>
            <w:shd w:fill="auto" w:val="clear"/>
            <w:vAlign w:val="bottom"/>
          </w:tcPr>
          <w:p>
            <w:pPr>
              <w:pStyle w:val="TableContents"/>
              <w:spacing w:before="0" w:after="283"/>
              <w:rPr/>
            </w:pPr>
            <w:r>
              <w:rPr/>
              <w:t> </w:t>
            </w:r>
          </w:p>
        </w:tc>
        <w:tc>
          <w:tcPr>
            <w:tcW w:w="2296" w:type="dxa"/>
            <w:gridSpan w:val="2"/>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229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5060"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(21,470</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9,528</w:t>
            </w:r>
          </w:p>
        </w:tc>
        <w:tc>
          <w:tcPr>
            <w:tcW w:w="75" w:type="dxa"/>
            <w:tcBorders/>
            <w:shd w:fill="CCEEFF"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0"/>
              <w:ind w:left="144" w:right="0" w:hanging="144"/>
              <w:rPr/>
            </w:pPr>
            <w:r>
              <w:rPr/>
              <w:t>Basic weighted average common stock outstanding</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43,390,832</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45,603,208</w:t>
            </w:r>
          </w:p>
        </w:tc>
        <w:tc>
          <w:tcPr>
            <w:tcW w:w="75" w:type="dxa"/>
            <w:tcBorders/>
            <w:shd w:fill="auto" w:val="clear"/>
            <w:vAlign w:val="bottom"/>
          </w:tcPr>
          <w:p>
            <w:pPr>
              <w:pStyle w:val="TableContents"/>
              <w:spacing w:before="0" w:after="283"/>
              <w:jc w:val="left"/>
              <w:rPr/>
            </w:pPr>
            <w:r>
              <w:rPr/>
              <w:t> </w:t>
            </w:r>
          </w:p>
        </w:tc>
      </w:tr>
      <w:tr>
        <w:trPr/>
        <w:tc>
          <w:tcPr>
            <w:tcW w:w="5060" w:type="dxa"/>
            <w:tcBorders/>
            <w:shd w:fill="CCEEFF" w:val="clear"/>
            <w:vAlign w:val="bottom"/>
          </w:tcPr>
          <w:p>
            <w:pPr>
              <w:pStyle w:val="TableContents"/>
              <w:spacing w:before="0" w:after="0"/>
              <w:ind w:left="144" w:right="0" w:hanging="144"/>
              <w:rPr/>
            </w:pPr>
            <w:r>
              <w:rPr/>
              <w:t>Basic earnings (loss) per share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(0.49</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0.21</w:t>
            </w:r>
          </w:p>
        </w:tc>
        <w:tc>
          <w:tcPr>
            <w:tcW w:w="75" w:type="dxa"/>
            <w:tcBorders/>
            <w:shd w:fill="CCEEFF"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0"/>
              <w:ind w:left="144" w:right="0" w:hanging="144"/>
              <w:rPr>
                <w:b/>
              </w:rPr>
            </w:pPr>
            <w:r>
              <w:rPr>
                <w:b/>
              </w:rPr>
              <w:t>Diluted Earnings (Loss) per Share</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5060"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(21,470</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037" w:type="dxa"/>
            <w:tcBorders>
              <w:bottom w:val="double" w:sz="8" w:space="0" w:color="000000"/>
            </w:tcBorders>
            <w:shd w:fill="CCEEFF" w:val="clear"/>
            <w:tcMar>
              <w:bottom w:w="28" w:type="dxa"/>
            </w:tcMar>
            <w:vAlign w:val="bottom"/>
          </w:tcPr>
          <w:p>
            <w:pPr>
              <w:pStyle w:val="TableContents"/>
              <w:spacing w:before="0" w:after="0"/>
              <w:jc w:val="right"/>
              <w:rPr/>
            </w:pPr>
            <w:r>
              <w:rPr/>
              <w:t>9,528</w:t>
            </w:r>
          </w:p>
        </w:tc>
        <w:tc>
          <w:tcPr>
            <w:tcW w:w="75" w:type="dxa"/>
            <w:tcBorders/>
            <w:shd w:fill="CCEEFF"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0"/>
              <w:ind w:left="144" w:right="0" w:hanging="144"/>
              <w:rPr/>
            </w:pPr>
            <w:r>
              <w:rPr/>
              <w:t>Basic weighted average common stock outstanding</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43,390,832</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45,603,208</w:t>
            </w:r>
          </w:p>
        </w:tc>
        <w:tc>
          <w:tcPr>
            <w:tcW w:w="75" w:type="dxa"/>
            <w:tcBorders/>
            <w:shd w:fill="auto" w:val="clear"/>
            <w:vAlign w:val="bottom"/>
          </w:tcPr>
          <w:p>
            <w:pPr>
              <w:pStyle w:val="TableContents"/>
              <w:spacing w:before="0" w:after="283"/>
              <w:jc w:val="left"/>
              <w:rPr/>
            </w:pPr>
            <w:r>
              <w:rPr/>
              <w:t> </w:t>
            </w:r>
          </w:p>
        </w:tc>
      </w:tr>
      <w:tr>
        <w:trPr/>
        <w:tc>
          <w:tcPr>
            <w:tcW w:w="5060" w:type="dxa"/>
            <w:tcBorders/>
            <w:shd w:fill="CCEEFF" w:val="clear"/>
            <w:vAlign w:val="bottom"/>
          </w:tcPr>
          <w:p>
            <w:pPr>
              <w:pStyle w:val="TableContents"/>
              <w:spacing w:before="0" w:after="0"/>
              <w:ind w:left="144" w:right="0" w:hanging="144"/>
              <w:rPr/>
            </w:pPr>
            <w:r>
              <w:rPr/>
              <w:t>Net effect of dilutive equity awards</w:t>
            </w:r>
          </w:p>
        </w:tc>
        <w:tc>
          <w:tcPr>
            <w:tcW w:w="60"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75"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037" w:type="dxa"/>
            <w:tcBorders>
              <w:bottom w:val="single" w:sz="12" w:space="0" w:color="000000"/>
            </w:tcBorders>
            <w:shd w:fill="CCEEFF" w:val="clear"/>
            <w:tcMar>
              <w:bottom w:w="28" w:type="dxa"/>
            </w:tcMar>
            <w:vAlign w:val="bottom"/>
          </w:tcPr>
          <w:p>
            <w:pPr>
              <w:pStyle w:val="TableContents"/>
              <w:spacing w:before="0" w:after="0"/>
              <w:jc w:val="right"/>
              <w:rPr/>
            </w:pPr>
            <w:r>
              <w:rPr/>
              <w:t>1,090,086</w:t>
            </w:r>
          </w:p>
        </w:tc>
        <w:tc>
          <w:tcPr>
            <w:tcW w:w="75" w:type="dxa"/>
            <w:tcBorders/>
            <w:shd w:fill="CCEEFF" w:val="clear"/>
            <w:vAlign w:val="bottom"/>
          </w:tcPr>
          <w:p>
            <w:pPr>
              <w:pStyle w:val="TableContents"/>
              <w:spacing w:before="0" w:after="283"/>
              <w:jc w:val="left"/>
              <w:rPr/>
            </w:pPr>
            <w:r>
              <w:rPr/>
              <w:t> </w:t>
            </w:r>
          </w:p>
        </w:tc>
      </w:tr>
      <w:tr>
        <w:trPr/>
        <w:tc>
          <w:tcPr>
            <w:tcW w:w="5060" w:type="dxa"/>
            <w:tcBorders/>
            <w:shd w:fill="auto" w:val="clear"/>
            <w:vAlign w:val="bottom"/>
          </w:tcPr>
          <w:p>
            <w:pPr>
              <w:pStyle w:val="TableContents"/>
              <w:spacing w:before="0" w:after="0"/>
              <w:ind w:left="144" w:right="0" w:hanging="144"/>
              <w:rPr/>
            </w:pPr>
            <w:r>
              <w:rPr/>
              <w:t>Diluted weighted average common stock outstanding</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43,390,832</w:t>
            </w:r>
          </w:p>
        </w:tc>
        <w:tc>
          <w:tcPr>
            <w:tcW w:w="175"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2037" w:type="dxa"/>
            <w:tcBorders/>
            <w:shd w:fill="auto" w:val="clear"/>
            <w:vAlign w:val="bottom"/>
          </w:tcPr>
          <w:p>
            <w:pPr>
              <w:pStyle w:val="TableContents"/>
              <w:spacing w:before="0" w:after="0"/>
              <w:jc w:val="right"/>
              <w:rPr/>
            </w:pPr>
            <w:r>
              <w:rPr/>
              <w:t>46,693,294</w:t>
            </w:r>
          </w:p>
        </w:tc>
        <w:tc>
          <w:tcPr>
            <w:tcW w:w="75" w:type="dxa"/>
            <w:tcBorders/>
            <w:shd w:fill="auto" w:val="clear"/>
            <w:vAlign w:val="bottom"/>
          </w:tcPr>
          <w:p>
            <w:pPr>
              <w:pStyle w:val="TableContents"/>
              <w:spacing w:before="0" w:after="283"/>
              <w:jc w:val="left"/>
              <w:rPr/>
            </w:pPr>
            <w:r>
              <w:rPr/>
              <w:t> </w:t>
            </w:r>
          </w:p>
        </w:tc>
      </w:tr>
      <w:tr>
        <w:trPr/>
        <w:tc>
          <w:tcPr>
            <w:tcW w:w="5060" w:type="dxa"/>
            <w:tcBorders/>
            <w:shd w:fill="CCEEFF" w:val="clear"/>
            <w:vAlign w:val="bottom"/>
          </w:tcPr>
          <w:p>
            <w:pPr>
              <w:pStyle w:val="TableContents"/>
              <w:spacing w:before="0" w:after="0"/>
              <w:ind w:left="144" w:right="0" w:hanging="144"/>
              <w:rPr/>
            </w:pPr>
            <w:r>
              <w:rPr/>
              <w:t>Diluted earnings (loss) per share</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(0.49</w:t>
            </w:r>
          </w:p>
        </w:tc>
        <w:tc>
          <w:tcPr>
            <w:tcW w:w="175" w:type="dxa"/>
            <w:tcBorders/>
            <w:shd w:fill="CCEEFF" w:val="clear"/>
            <w:vAlign w:val="bottom"/>
          </w:tcPr>
          <w:p>
            <w:pPr>
              <w:pStyle w:val="TableContents"/>
              <w:spacing w:before="0" w:after="0"/>
              <w:jc w:val="left"/>
              <w:rPr/>
            </w:pPr>
            <w:r>
              <w:rPr/>
              <w:t>)</w:t>
            </w:r>
          </w:p>
        </w:tc>
        <w:tc>
          <w:tcPr>
            <w:tcW w:w="111"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pPr>
            <w:r>
              <w:rPr/>
              <w:t>$</w:t>
            </w:r>
          </w:p>
        </w:tc>
        <w:tc>
          <w:tcPr>
            <w:tcW w:w="2037" w:type="dxa"/>
            <w:tcBorders/>
            <w:shd w:fill="CCEEFF" w:val="clear"/>
            <w:vAlign w:val="bottom"/>
          </w:tcPr>
          <w:p>
            <w:pPr>
              <w:pStyle w:val="TableContents"/>
              <w:spacing w:before="0" w:after="0"/>
              <w:jc w:val="right"/>
              <w:rPr/>
            </w:pPr>
            <w:r>
              <w:rPr/>
              <w:t>0.20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ind w:left="0" w:right="0" w:firstLine="49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Diluted earnings (loss) per share adjusts basic earnings (loss) per share for the potentially dilutive impact of stock options. As the Company has reported loss for the three months ended March 31, 2023, all potentially dilutive securities, including stock options, are antidilutive and accordingly not considered, therefore basic net loss per share equals diluted net loss per share.</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outstanding instruments were excluded from the computation of diluted earnings (loss) per share, as they have an anti-dilutive effect on the calculation:</w:t>
      </w:r>
    </w:p>
    <w:p>
      <w:pPr>
        <w:pStyle w:val="TextBody"/>
        <w:spacing w:before="0" w:after="0"/>
        <w:jc w:val="left"/>
        <w:rPr>
          <w:rFonts w:ascii="Times New Roman" w:hAnsi="Times New Roman"/>
          <w:sz w:val="20"/>
        </w:rPr>
      </w:pPr>
      <w:r>
        <w:rPr>
          <w:rFonts w:ascii="Times New Roman" w:hAnsi="Times New Roman"/>
          <w:sz w:val="20"/>
        </w:rPr>
      </w:r>
    </w:p>
    <w:tbl>
      <w:tblPr>
        <w:tblW w:w="4621" w:type="dxa"/>
        <w:jc w:val="left"/>
        <w:tblInd w:w="0" w:type="dxa"/>
        <w:tblCellMar>
          <w:top w:w="0" w:type="dxa"/>
          <w:left w:w="0" w:type="dxa"/>
          <w:bottom w:w="0" w:type="dxa"/>
          <w:right w:w="0" w:type="dxa"/>
        </w:tblCellMar>
      </w:tblPr>
      <w:tblGrid>
        <w:gridCol w:w="2150"/>
        <w:gridCol w:w="60"/>
        <w:gridCol w:w="65"/>
        <w:gridCol w:w="1072"/>
        <w:gridCol w:w="65"/>
        <w:gridCol w:w="65"/>
        <w:gridCol w:w="73"/>
        <w:gridCol w:w="996"/>
        <w:gridCol w:w="75"/>
      </w:tblGrid>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3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tc>
        <w:tc>
          <w:tcPr>
            <w:tcW w:w="75" w:type="dxa"/>
            <w:tcBorders/>
            <w:shd w:fill="auto" w:val="clear"/>
            <w:vAlign w:val="bottom"/>
          </w:tcPr>
          <w:p>
            <w:pPr>
              <w:pStyle w:val="TableContents"/>
              <w:spacing w:before="0" w:after="283"/>
              <w:jc w:val="left"/>
              <w:rPr/>
            </w:pPr>
            <w:r>
              <w:rPr/>
              <w:t> </w:t>
            </w:r>
          </w:p>
        </w:tc>
      </w:tr>
      <w:tr>
        <w:trPr/>
        <w:tc>
          <w:tcPr>
            <w:tcW w:w="21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2023</w:t>
            </w:r>
          </w:p>
        </w:tc>
        <w:tc>
          <w:tcPr>
            <w:tcW w:w="6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2150" w:type="dxa"/>
            <w:tcBorders/>
            <w:shd w:fill="CCEEFF" w:val="clear"/>
            <w:vAlign w:val="bottom"/>
          </w:tcPr>
          <w:p>
            <w:pPr>
              <w:pStyle w:val="TableContents"/>
              <w:spacing w:before="0" w:after="0"/>
              <w:ind w:left="144" w:right="0" w:hanging="144"/>
              <w:rPr/>
            </w:pPr>
            <w:r>
              <w:rPr/>
              <w:t>Options</w:t>
            </w:r>
          </w:p>
        </w:tc>
        <w:tc>
          <w:tcPr>
            <w:tcW w:w="60"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jc w:val="left"/>
              <w:rPr/>
            </w:pPr>
            <w:r>
              <w:rPr/>
              <w:t> </w:t>
            </w:r>
          </w:p>
        </w:tc>
        <w:tc>
          <w:tcPr>
            <w:tcW w:w="1072" w:type="dxa"/>
            <w:tcBorders/>
            <w:shd w:fill="CCEEFF" w:val="clear"/>
            <w:vAlign w:val="bottom"/>
          </w:tcPr>
          <w:p>
            <w:pPr>
              <w:pStyle w:val="TableContents"/>
              <w:spacing w:before="0" w:after="0"/>
              <w:jc w:val="right"/>
              <w:rPr/>
            </w:pPr>
            <w:r>
              <w:rPr/>
              <w:t>1,116,158</w:t>
            </w:r>
          </w:p>
        </w:tc>
        <w:tc>
          <w:tcPr>
            <w:tcW w:w="65"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jc w:val="right"/>
              <w:rPr/>
            </w:pPr>
            <w:r>
              <w:rPr/>
              <w:t> </w:t>
            </w:r>
          </w:p>
        </w:tc>
        <w:tc>
          <w:tcPr>
            <w:tcW w:w="73"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pPr>
            <w:r>
              <w:rPr/>
              <w:t>130,000</w:t>
            </w:r>
          </w:p>
        </w:tc>
        <w:tc>
          <w:tcPr>
            <w:tcW w:w="75" w:type="dxa"/>
            <w:tcBorders/>
            <w:shd w:fill="CCEEFF" w:val="clear"/>
            <w:vAlign w:val="bottom"/>
          </w:tcPr>
          <w:p>
            <w:pPr>
              <w:pStyle w:val="TableContents"/>
              <w:spacing w:before="0" w:after="283"/>
              <w:jc w:val="left"/>
              <w:rPr/>
            </w:pPr>
            <w:r>
              <w:rPr/>
              <w:t> </w:t>
            </w:r>
          </w:p>
        </w:tc>
      </w:tr>
      <w:tr>
        <w:trPr/>
        <w:tc>
          <w:tcPr>
            <w:tcW w:w="2150" w:type="dxa"/>
            <w:tcBorders/>
            <w:shd w:fill="auto" w:val="clear"/>
            <w:vAlign w:val="bottom"/>
          </w:tcPr>
          <w:p>
            <w:pPr>
              <w:pStyle w:val="TableContents"/>
              <w:spacing w:before="0" w:after="0"/>
              <w:ind w:left="144" w:right="0" w:hanging="144"/>
              <w:rPr/>
            </w:pPr>
            <w:r>
              <w:rPr/>
              <w:t>Restricted Stock Units</w:t>
            </w:r>
          </w:p>
        </w:tc>
        <w:tc>
          <w:tcPr>
            <w:tcW w:w="6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jc w:val="left"/>
              <w:rPr/>
            </w:pPr>
            <w:r>
              <w:rPr/>
              <w:t> </w:t>
            </w:r>
          </w:p>
        </w:tc>
        <w:tc>
          <w:tcPr>
            <w:tcW w:w="1072" w:type="dxa"/>
            <w:tcBorders/>
            <w:shd w:fill="auto" w:val="clear"/>
            <w:vAlign w:val="bottom"/>
          </w:tcPr>
          <w:p>
            <w:pPr>
              <w:pStyle w:val="TableContents"/>
              <w:spacing w:before="0" w:after="0"/>
              <w:jc w:val="right"/>
              <w:rPr/>
            </w:pPr>
            <w:r>
              <w:rPr/>
              <w:t>1,434,827</w:t>
            </w:r>
          </w:p>
        </w:tc>
        <w:tc>
          <w:tcPr>
            <w:tcW w:w="65"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right"/>
              <w:rPr/>
            </w:pPr>
            <w:r>
              <w:rPr/>
              <w:t> </w:t>
            </w:r>
          </w:p>
        </w:tc>
        <w:tc>
          <w:tcPr>
            <w:tcW w:w="73"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bl>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17. Merger Agreement</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On March 25, 2021, the Company, South Dearborn Limited, an exempted company incorporated in the Cayman Islands with limited liability (“Holdco”), formed by an affiliate of Wise Road Capital LTD (“Wise Road”), and Michigan Merger Sub, Inc., a Delaware corporation and a wholly owned subsidiary of Holdco (“Merger Sub”), entered into an Agreement and Plan of Merger (as amended, the “Merger Agreement”), providing for, among other things and subject to the terms and conditions thereof, the merger of Merger Sub with and into the Company (the “Merger”), with the Company surviving the Merger as a wholly owned subsidiary of Holdco.</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closing of the Merger was subject to certain conditions, including clearance by the Committee on Foreign Investment in the United States (“CFIUS”) under the Defense Production Act of 1950, as amended. The Company and Holdco were advised that CFIUS clearance of the Merger would not be forthcoming and received permission from CFIUS to withdraw their joint filing. In connection therewith, the Company and Holdco entered into a Termination and Settlement Agreement, dated December 13, 2021 (the “Termination Agreement”), pursuant to which Holdco agreed to pay $70,200 thousand (the “Termination Fee”) to the Company on the terms specified in the Termination Agreement in satisfaction of Holdco’s obligation to pay a termination fee in connection with the termination of the Merger Agreement. On December 20, 2021, the Merger Agreement was terminated pursuant to the Termination Agreement after the Company’s receipt of a fee of $51,000 thousand from Holdco and a standby letter of credit, which secures a deferred fee of $19,200 thousand from Holdco due on or before March 31, 2022. As of December 31, 2021, of the Termination Fee, $19,200 thousand deferred fee was recorded as other receivables. In connection therewith, the Company, Holdco and Wise Road entered into a First Amendment to the Termination Agreement, dated April 4, 2022, pursuant to which Holdco paid $14,400 thousand on April 4, 2022, with $4,800 thousand remaining outstanding. The Company, Holdco and Wise Road entered into a Second Amendment to the Termination Agreement, dated August 5, 2022 pursuant to which Holdco paid $3,000 thousand on August 5, 2022, of the deferred fee and payment of the remaining $1,800 thousand was due on or before October 31, 2022. The Company, Holdco and Wise Road entered into a series of letter agreements pursuant to which the parties ultimately agreed to defer the remaining $1,800 thousand due on or before March 31, 2023. As of March 31, 2023, the remaining fee of $1,800 thousand was recorded as other receivables. On April 6, 2023, Holdco paid the remaining $1,800 thousand.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18. Commitments and Contingencies</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Advances to Suppliers</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from time to time, may make advances in form of prepayments or deposits to suppliers, including external foundries, to meet its planned production. The Company recorded advances of $4,372 thousand and $6,605 thousand as other current assets as of March 31, 2023 and December 31, 2022, respectively.</w:t>
      </w:r>
    </w:p>
    <w:p>
      <w:pPr>
        <w:pStyle w:val="TextBody"/>
        <w:spacing w:before="0" w:after="0"/>
        <w:jc w:val="left"/>
        <w:rPr/>
      </w:pPr>
      <w:r>
        <w:rPr/>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COVID-19 Pandemic</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r>
    </w:p>
    <w:p>
      <w:pPr>
        <w:pStyle w:val="TextBody"/>
        <w:spacing w:before="0" w:after="0"/>
        <w:jc w:val="left"/>
        <w:rPr/>
      </w:pPr>
      <w:r>
        <w:rPr/>
      </w:r>
    </w:p>
    <w:p>
      <w:pPr>
        <w:pStyle w:val="TextBody"/>
        <w:spacing w:before="0" w:after="0"/>
        <w:ind w:left="0" w:right="0" w:firstLine="480"/>
        <w:jc w:val="left"/>
        <w:rPr>
          <w:rFonts w:ascii="Times New Roman" w:hAnsi="Times New Roman"/>
          <w:color w:val="000000"/>
          <w:sz w:val="20"/>
        </w:rPr>
      </w:pPr>
      <w:r>
        <w:rPr>
          <w:rFonts w:ascii="Times New Roman" w:hAnsi="Times New Roman"/>
          <w:b w:val="false"/>
          <w:i w:val="false"/>
          <w:caps w:val="false"/>
          <w:smallCaps w:val="false"/>
          <w:color w:val="000000"/>
          <w:spacing w:val="0"/>
          <w:sz w:val="20"/>
          <w:highlight w:val="white"/>
        </w:rPr>
        <w:t>In March 2020, the World Health Organization declared the COVID-19 outbreak a pandemic, and governmental authorities throughout the world implemented numerous restrictions and containment measures that resulted in rapidly changing market and economic conditions. Many of these restrictions and containment measures have since been lifted or scaled back.</w:t>
      </w:r>
      <w:r>
        <w:rPr>
          <w:rFonts w:ascii="Times New Roman" w:hAnsi="Times New Roman"/>
          <w:caps w:val="false"/>
          <w:smallCaps w:val="false"/>
          <w:color w:val="000000"/>
          <w:spacing w:val="0"/>
          <w:sz w:val="20"/>
          <w:highlight w:val="white"/>
        </w:rPr>
        <w:t> </w:t>
      </w:r>
      <w:r>
        <w:rPr>
          <w:rFonts w:ascii="Times New Roman" w:hAnsi="Times New Roman"/>
          <w:b w:val="false"/>
          <w:i w:val="false"/>
          <w:caps w:val="false"/>
          <w:smallCaps w:val="false"/>
          <w:color w:val="000000"/>
          <w:spacing w:val="0"/>
          <w:sz w:val="20"/>
          <w:highlight w:val="white"/>
        </w:rPr>
        <w:t>The Company will continue to monitor and evaluate the nature and scope of the impact of the COVID-19 pandemic to its business, consolidated results of operations, and financial condition, and may take actions it deems necessary or appropriate to respond in the event of a reemergence of the pandemic.</w:t>
      </w:r>
      <w:r>
        <w:rPr>
          <w:rFonts w:ascii="Times New Roman" w:hAnsi="Times New Roman"/>
          <w:color w:val="000000"/>
          <w:sz w:val="20"/>
        </w:rPr>
        <w:t xml:space="preserve">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19. Subsequent Events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Derivative contracts</w:t>
      </w:r>
    </w:p>
    <w:p>
      <w:pPr>
        <w:pStyle w:val="TextBody"/>
        <w:spacing w:before="0" w:after="0"/>
        <w:jc w:val="left"/>
        <w:rPr/>
      </w:pPr>
      <w:r>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rPr>
      </w:pPr>
      <w:r>
        <w:rPr>
          <w:rFonts w:ascii="Times New Roman" w:hAnsi="Times New Roman"/>
          <w:color w:val="000000"/>
          <w:sz w:val="20"/>
        </w:rPr>
        <w:t>In April 2023, the Company and SC entered into derivative contract of zero cost collar for December 2023. The total notional amounts are $5,000 thousand.</w:t>
      </w:r>
    </w:p>
    <w:p>
      <w:pPr>
        <w:pStyle w:val="TextBody"/>
        <w:spacing w:before="0" w:after="0"/>
        <w:jc w:val="left"/>
        <w:rPr/>
      </w:pPr>
      <w:r>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rPr>
      </w:pPr>
      <w:r>
        <w:rPr>
          <w:rFonts w:ascii="Times New Roman" w:hAnsi="Times New Roman"/>
          <w:color w:val="000000"/>
          <w:sz w:val="20"/>
        </w:rPr>
        <w:t>In April 2023, the Company and NFIK entered into derivative contracts of zero cost collars for the period from January 2024 to June 2024. The total notional amounts are $18,000 thousand.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Times;serif" w:hAnsi="Times New Roman;Times;serif"/>
            <w:i/>
            <w:color w:val="000000"/>
            <w:sz w:val="16"/>
          </w:rPr>
          <w:t>Table of Contents</w:t>
        </w:r>
      </w:hyperlink>
    </w:p>
    <w:p>
      <w:pPr>
        <w:pStyle w:val="TextBody"/>
        <w:spacing w:before="0" w:after="0"/>
        <w:jc w:val="center"/>
        <w:rPr>
          <w:rFonts w:ascii="Times New Roman" w:hAnsi="Times New Roman"/>
          <w:color w:val="000000"/>
          <w:sz w:val="20"/>
        </w:rPr>
      </w:pPr>
      <w:r>
        <w:rPr>
          <w:rFonts w:ascii="Times New Roman" w:hAnsi="Times New Roman"/>
          <w:color w:val="000000"/>
          <w:sz w:val="20"/>
        </w:rPr>
        <w:t>FORWARD LOOKING STATEMENTS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2022 filed on February 22, 2023 (“2022 Form 10-K”).</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10" w:name="ManagementsDiscussionandA"/>
      <w:bookmarkStart w:id="11" w:name="ManagementsDiscussionandA"/>
      <w:bookmarkEnd w:id="11"/>
    </w:p>
    <w:tbl>
      <w:tblPr>
        <w:tblW w:w="9790" w:type="dxa"/>
        <w:jc w:val="left"/>
        <w:tblInd w:w="0" w:type="dxa"/>
        <w:tblCellMar>
          <w:top w:w="0" w:type="dxa"/>
          <w:left w:w="0" w:type="dxa"/>
          <w:bottom w:w="0" w:type="dxa"/>
          <w:right w:w="0" w:type="dxa"/>
        </w:tblCellMar>
      </w:tblPr>
      <w:tblGrid>
        <w:gridCol w:w="740"/>
        <w:gridCol w:w="9050"/>
      </w:tblGrid>
      <w:tr>
        <w:trPr/>
        <w:tc>
          <w:tcPr>
            <w:tcW w:w="740" w:type="dxa"/>
            <w:tcBorders/>
            <w:shd w:fill="auto" w:val="clear"/>
            <w:vAlign w:val="center"/>
          </w:tcPr>
          <w:p>
            <w:pPr>
              <w:pStyle w:val="TableContents"/>
              <w:spacing w:before="0" w:after="283"/>
              <w:rPr>
                <w:b/>
              </w:rPr>
            </w:pPr>
            <w:r>
              <w:rPr>
                <w:b/>
              </w:rPr>
              <w:t>Item 2.</w:t>
            </w:r>
          </w:p>
        </w:tc>
        <w:tc>
          <w:tcPr>
            <w:tcW w:w="9050" w:type="dxa"/>
            <w:tcBorders/>
            <w:shd w:fill="auto" w:val="clear"/>
            <w:vAlign w:val="center"/>
          </w:tcPr>
          <w:p>
            <w:pPr>
              <w:pStyle w:val="TableContents"/>
              <w:spacing w:before="0" w:after="0"/>
              <w:rPr>
                <w:b/>
              </w:rPr>
            </w:pPr>
            <w:r>
              <w:rPr>
                <w:b/>
              </w:rPr>
              <w:t>Management’s Discussion and Analysis of Financial Condition and Results of Operations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consolidated financial statements and the related notes included elsewhere in this Report.</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standard products business includes our Display Solutions and Power Solutions business lines.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in the case of facing with a worldwide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Recent Developments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Voluntary Resignation Program</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During the first quarter of 2023, we commenced a voluntary resignation program (the “Program”), which was available for the employees with more than 20 years of service. For the three months ended March 31, 2023, we recorded in our consolidated statement of operations $8.4 million of termination related charges as “early termination charges”, which are expected to be paid during the second quarter of 2023.</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Expanded Stock Repurchase Program</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On August 31, 2022, our Board of Directors authorized an expansion of the previously announced stock repurchase program from $75.0 million to $87.5 million of our common stock. We have already repurchased shares worth $37.5 million under the program through an accelerated stock repurchase agreement on December 21, 2021 with JPMorgan Chase Bank, National Association. The remaining $50.0 million of the expanded $87.5 million program has been and will be repurchased in the open market or through privately negotiated transactions. In connection with the repurchase program, we established a stock trading plan with Oppenheimer &amp; Co. Inc. in accordance with Rule 10b5-1 under the Securities Exchange Act of 1934, as amended.</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From September 2022 to December 2022, we repurchased 1,235,650 shares of our common stock in the open market for an aggregate purchase price of $12.5 million and a price per share of $10.13 under the stock repurchase program.</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During the first quarter of 2023, we repurchased 1,238,472 shares of our common stock in the open market for an aggregate purchase price of $11.9 million and a price per share of $9.60 under the stock repurchase program.</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Global Semiconductor Industry Trends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Increases in demand for semiconductor products resulted in a global shortage of manufacturing capacity over the prior two years.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shortage of manufacturing capacity may lead to an increase in our manufacturing costs. Our principal pricing strategy is to pass on the increased manufacturing costs to our customers; however, we may not be fully able to do this in all cases.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an effort to minimize the potential adverse impact of the supply shortage, we continue to work strategically with certain external foundries to help ensure long-term wafer capacity. If these efforts are unsuccessful, however, such shortage could limit our ability to meet demand for our products in the future, which would adversely affect our reputation and competitive position, resulting in a negative impact on results of operations.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are not able to foresee when the shortage of manufacturing capacity will subside, but we are beginning to see some indicators of improvement of such supply shortage situation. However, the global shortage for semiconductor products over the prior two years has led to overbooking backordered demand and oversupply. Additionally, the current global macroeconomic conditions, including remaining effects from the COVID-19 pandemic, inflation and higher interest rates, uncertainty caused by geopolitical conflict between the Russian and Ukraine and escalated trade tensions between the U.S. and China have led to weaker end-market demand and an oversupply of inventory. We continue to monitor these trends and uncertainties, and any decline in end-market demand and increase in inventory levels could negatively impact our financial condition and results of operations.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COVID-19 Pandemic</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March 2020, the World Health Organization declared the COVID-19 outbreak a pandemic, and governmental authorities throughout the world implemented numerous restrictions and containment measures that resulted in rapidly changing market and economic conditions. Many of these restrictions and containment measures have since been lifted or scaled back. We will continue to monitor and evaluate the nature and scope of the impact of the COVID-19 pandemic to its business, consolidated results of operations, and financial condition, and may take actions it deems necessary or appropriate to respond in the event of a reemergence of the pandemic.</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Developments in Export Control Regulations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Based on our understanding of the current U.S. Export Regulations and related rules, we do not anticipate that they will have a material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Explanation and Reconciliation of Non-U.S. GAAP Measures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Adjusted EBITDA, Adjusted Operating Income and Adjusted Net Income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net, (iii) derivative valuation loss, net and (iv) early termination charges. EBITDA for the periods indicated is defined as net income (loss) before interest income, interest expense, income tax expense (benefit), and depreciation and amortization.</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See the footnotes to the table below for further information regarding these items. We present Adjusted EBITDA as a supplemental measure of our performance because:</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5"/>
        <w:gridCol w:w="110"/>
        <w:gridCol w:w="10354"/>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354" w:type="dxa"/>
            <w:tcBorders/>
            <w:shd w:fill="auto" w:val="clear"/>
            <w:vAlign w:val="center"/>
          </w:tcPr>
          <w:p>
            <w:pPr>
              <w:pStyle w:val="TableContents"/>
              <w:spacing w:before="0" w:after="0"/>
              <w:rPr/>
            </w:pPr>
            <w:r>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5"/>
        <w:gridCol w:w="110"/>
        <w:gridCol w:w="10354"/>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354" w:type="dxa"/>
            <w:tcBorders/>
            <w:shd w:fill="auto" w:val="clear"/>
            <w:vAlign w:val="center"/>
          </w:tcPr>
          <w:p>
            <w:pPr>
              <w:pStyle w:val="TableContents"/>
              <w:spacing w:before="0" w:after="0"/>
              <w:rPr/>
            </w:pPr>
            <w:r>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5"/>
        <w:gridCol w:w="110"/>
        <w:gridCol w:w="10354"/>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354" w:type="dxa"/>
            <w:tcBorders/>
            <w:shd w:fill="auto" w:val="clear"/>
            <w:vAlign w:val="center"/>
          </w:tcPr>
          <w:p>
            <w:pPr>
              <w:pStyle w:val="TableContents"/>
              <w:spacing w:before="0" w:after="0"/>
              <w:rPr/>
            </w:pPr>
            <w:r>
              <w:rPr/>
              <w:t>we believe that Adjusted EBITDA is useful for investors, among other reasons, to assess a company’s period-to-period core operating performance and to understand and assess the manner in which management analyzes operating performance.</w:t>
            </w:r>
          </w:p>
        </w:tc>
      </w:tr>
    </w:tbl>
    <w:p>
      <w:pPr>
        <w:pStyle w:val="TextBody"/>
        <w:spacing w:before="0" w:after="0"/>
        <w:jc w:val="left"/>
        <w:rPr>
          <w:color w:val="000000"/>
        </w:rPr>
      </w:pPr>
      <w:r>
        <w:rPr>
          <w:color w:val="000000"/>
        </w:rPr>
        <w:t> </w:t>
      </w:r>
    </w:p>
    <w:p>
      <w:pPr>
        <w:pStyle w:val="TextBody"/>
        <w:spacing w:before="0" w:after="0"/>
        <w:ind w:left="1440" w:right="0" w:hanging="720"/>
        <w:jc w:val="left"/>
        <w:rPr>
          <w:rFonts w:ascii="Times New Roman" w:hAnsi="Times New Roman"/>
          <w:color w:val="000000"/>
          <w:sz w:val="20"/>
        </w:rPr>
      </w:pPr>
      <w:r>
        <w:rPr>
          <w:rFonts w:ascii="Times New Roman" w:hAnsi="Times New Roman"/>
          <w:color w:val="000000"/>
          <w:sz w:val="20"/>
        </w:rPr>
        <w:t>We use Adjusted EBITDA in a number of ways, including:</w:t>
      </w:r>
    </w:p>
    <w:p>
      <w:pPr>
        <w:pStyle w:val="TextBody"/>
        <w:spacing w:before="0" w:after="0"/>
        <w:jc w:val="left"/>
        <w:rPr>
          <w:color w:val="000000"/>
        </w:rPr>
      </w:pPr>
      <w:r>
        <w:rPr>
          <w:color w:val="000000"/>
        </w:rPr>
        <w:t> </w:t>
      </w:r>
    </w:p>
    <w:tbl>
      <w:tblPr>
        <w:tblW w:w="7780" w:type="dxa"/>
        <w:jc w:val="left"/>
        <w:tblInd w:w="0" w:type="dxa"/>
        <w:tblCellMar>
          <w:top w:w="0" w:type="dxa"/>
          <w:left w:w="0" w:type="dxa"/>
          <w:bottom w:w="0" w:type="dxa"/>
          <w:right w:w="0" w:type="dxa"/>
        </w:tblCellMar>
      </w:tblPr>
      <w:tblGrid>
        <w:gridCol w:w="75"/>
        <w:gridCol w:w="11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7595" w:type="dxa"/>
            <w:tcBorders/>
            <w:shd w:fill="auto" w:val="clear"/>
            <w:vAlign w:val="center"/>
          </w:tcPr>
          <w:p>
            <w:pPr>
              <w:pStyle w:val="TableContents"/>
              <w:spacing w:before="0" w:after="0"/>
              <w:rPr/>
            </w:pPr>
            <w:r>
              <w:rPr/>
              <w:t>for planning purposes, including the preparation of our annual operating budget;</w:t>
            </w:r>
          </w:p>
        </w:tc>
      </w:tr>
    </w:tbl>
    <w:p>
      <w:pPr>
        <w:pStyle w:val="TextBody"/>
        <w:spacing w:before="0" w:after="0"/>
        <w:jc w:val="left"/>
        <w:rPr>
          <w:color w:val="000000"/>
        </w:rPr>
      </w:pPr>
      <w:r>
        <w:rPr>
          <w:color w:val="000000"/>
        </w:rPr>
        <w:t> </w:t>
      </w:r>
    </w:p>
    <w:tbl>
      <w:tblPr>
        <w:tblW w:w="6820" w:type="dxa"/>
        <w:jc w:val="left"/>
        <w:tblInd w:w="0" w:type="dxa"/>
        <w:tblCellMar>
          <w:top w:w="0" w:type="dxa"/>
          <w:left w:w="0" w:type="dxa"/>
          <w:bottom w:w="0" w:type="dxa"/>
          <w:right w:w="0" w:type="dxa"/>
        </w:tblCellMar>
      </w:tblPr>
      <w:tblGrid>
        <w:gridCol w:w="75"/>
        <w:gridCol w:w="110"/>
        <w:gridCol w:w="6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635" w:type="dxa"/>
            <w:tcBorders/>
            <w:shd w:fill="auto" w:val="clear"/>
            <w:vAlign w:val="center"/>
          </w:tcPr>
          <w:p>
            <w:pPr>
              <w:pStyle w:val="TableContents"/>
              <w:spacing w:before="0" w:after="0"/>
              <w:rPr/>
            </w:pPr>
            <w:r>
              <w:rPr/>
              <w:t>to evaluate the effectiveness of our enterprise level business strategies;</w:t>
            </w:r>
          </w:p>
        </w:tc>
      </w:tr>
    </w:tbl>
    <w:p>
      <w:pPr>
        <w:pStyle w:val="TextBody"/>
        <w:spacing w:before="0" w:after="0"/>
        <w:jc w:val="left"/>
        <w:rPr>
          <w:color w:val="000000"/>
        </w:rPr>
      </w:pPr>
      <w:r>
        <w:rPr>
          <w:color w:val="000000"/>
        </w:rPr>
        <w:t> </w:t>
      </w:r>
    </w:p>
    <w:tbl>
      <w:tblPr>
        <w:tblW w:w="10000" w:type="dxa"/>
        <w:jc w:val="left"/>
        <w:tblInd w:w="0" w:type="dxa"/>
        <w:tblCellMar>
          <w:top w:w="0" w:type="dxa"/>
          <w:left w:w="0" w:type="dxa"/>
          <w:bottom w:w="0" w:type="dxa"/>
          <w:right w:w="0" w:type="dxa"/>
        </w:tblCellMar>
      </w:tblPr>
      <w:tblGrid>
        <w:gridCol w:w="75"/>
        <w:gridCol w:w="110"/>
        <w:gridCol w:w="9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9815" w:type="dxa"/>
            <w:tcBorders/>
            <w:shd w:fill="auto" w:val="clear"/>
            <w:vAlign w:val="center"/>
          </w:tcPr>
          <w:p>
            <w:pPr>
              <w:pStyle w:val="TableContents"/>
              <w:spacing w:before="0" w:after="0"/>
              <w:rPr/>
            </w:pPr>
            <w:r>
              <w:rPr/>
              <w:t>in communications with our Board of Directors concerning our consolidated financial performance;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75"/>
        <w:gridCol w:w="110"/>
        <w:gridCol w:w="10354"/>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354" w:type="dxa"/>
            <w:tcBorders/>
            <w:shd w:fill="auto" w:val="clear"/>
            <w:vAlign w:val="center"/>
          </w:tcPr>
          <w:p>
            <w:pPr>
              <w:pStyle w:val="TableContents"/>
              <w:spacing w:before="0" w:after="0"/>
              <w:rPr/>
            </w:pPr>
            <w:r>
              <w:rPr/>
              <w:t>in certain of our compensation plans as a performance measure for determining incentive compensation payments.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or any other performance measure derived in accordance with U.S GAAP, or as an alternative to cash flows from operating activities as a measure of liquidity. A reconciliation of net income (loss) to Adjusted EBITDA is as follows:</w:t>
      </w:r>
    </w:p>
    <w:p>
      <w:pPr>
        <w:pStyle w:val="TextBody"/>
        <w:spacing w:before="0" w:after="0"/>
        <w:jc w:val="left"/>
        <w:rPr/>
      </w:pPr>
      <w:r>
        <w:rPr/>
      </w:r>
    </w:p>
    <w:tbl>
      <w:tblPr>
        <w:tblW w:w="6998" w:type="dxa"/>
        <w:jc w:val="left"/>
        <w:tblInd w:w="0" w:type="dxa"/>
        <w:tblCellMar>
          <w:top w:w="0" w:type="dxa"/>
          <w:left w:w="0" w:type="dxa"/>
          <w:bottom w:w="0" w:type="dxa"/>
          <w:right w:w="0" w:type="dxa"/>
        </w:tblCellMar>
      </w:tblPr>
      <w:tblGrid>
        <w:gridCol w:w="3725"/>
        <w:gridCol w:w="60"/>
        <w:gridCol w:w="313"/>
        <w:gridCol w:w="1161"/>
        <w:gridCol w:w="95"/>
        <w:gridCol w:w="60"/>
        <w:gridCol w:w="355"/>
        <w:gridCol w:w="1119"/>
        <w:gridCol w:w="110"/>
      </w:tblGrid>
      <w:tr>
        <w:trPr/>
        <w:tc>
          <w:tcPr>
            <w:tcW w:w="37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2022</w:t>
            </w:r>
          </w:p>
        </w:tc>
        <w:tc>
          <w:tcPr>
            <w:tcW w:w="110" w:type="dxa"/>
            <w:tcBorders/>
            <w:shd w:fill="auto"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3" w:type="dxa"/>
            <w:gridSpan w:val="6"/>
            <w:tcBorders/>
            <w:shd w:fill="auto" w:val="clear"/>
            <w:vAlign w:val="bottom"/>
          </w:tcPr>
          <w:p>
            <w:pPr>
              <w:pStyle w:val="TableContents"/>
              <w:spacing w:before="0" w:after="0"/>
              <w:ind w:left="0" w:right="0" w:firstLine="200"/>
              <w:jc w:val="center"/>
              <w:rPr>
                <w:b/>
              </w:rPr>
            </w:pPr>
            <w:r>
              <w:rPr>
                <w:b/>
              </w:rPr>
              <w:t>(Dollars in millions)</w:t>
            </w:r>
          </w:p>
        </w:tc>
        <w:tc>
          <w:tcPr>
            <w:tcW w:w="110"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0"/>
              <w:rPr/>
            </w:pPr>
            <w:r>
              <w:rPr/>
              <w:t>$</w:t>
            </w:r>
          </w:p>
        </w:tc>
        <w:tc>
          <w:tcPr>
            <w:tcW w:w="1161" w:type="dxa"/>
            <w:tcBorders/>
            <w:shd w:fill="CCEEFF" w:val="clear"/>
            <w:vAlign w:val="bottom"/>
          </w:tcPr>
          <w:p>
            <w:pPr>
              <w:pStyle w:val="TableContents"/>
              <w:spacing w:before="0" w:after="0"/>
              <w:jc w:val="right"/>
              <w:rPr/>
            </w:pPr>
            <w:r>
              <w:rPr/>
              <w:t>(21.5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0"/>
              <w:rPr/>
            </w:pPr>
            <w:r>
              <w:rPr/>
              <w:t>$</w:t>
            </w:r>
          </w:p>
        </w:tc>
        <w:tc>
          <w:tcPr>
            <w:tcW w:w="1119" w:type="dxa"/>
            <w:tcBorders/>
            <w:shd w:fill="CCEEFF" w:val="clear"/>
            <w:vAlign w:val="bottom"/>
          </w:tcPr>
          <w:p>
            <w:pPr>
              <w:pStyle w:val="TableContents"/>
              <w:spacing w:before="0" w:after="0"/>
              <w:jc w:val="right"/>
              <w:rPr/>
            </w:pPr>
            <w:r>
              <w:rPr/>
              <w:t>9.5</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324" w:right="0" w:hanging="144"/>
              <w:rPr/>
            </w:pPr>
            <w:r>
              <w:rPr/>
              <w:t>Interest income</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(2.8</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(0.7</w:t>
            </w:r>
          </w:p>
        </w:tc>
        <w:tc>
          <w:tcPr>
            <w:tcW w:w="110" w:type="dxa"/>
            <w:tcBorders/>
            <w:shd w:fill="auto" w:val="clear"/>
            <w:vAlign w:val="bottom"/>
          </w:tcPr>
          <w:p>
            <w:pPr>
              <w:pStyle w:val="TableContents"/>
              <w:spacing w:before="0" w:after="0"/>
              <w:rPr/>
            </w:pPr>
            <w:r>
              <w:rPr/>
              <w:t>)</w:t>
            </w:r>
          </w:p>
        </w:tc>
      </w:tr>
      <w:tr>
        <w:trPr/>
        <w:tc>
          <w:tcPr>
            <w:tcW w:w="3725" w:type="dxa"/>
            <w:tcBorders/>
            <w:shd w:fill="CCEEFF" w:val="clear"/>
            <w:vAlign w:val="bottom"/>
          </w:tcPr>
          <w:p>
            <w:pPr>
              <w:pStyle w:val="TableContents"/>
              <w:spacing w:before="0" w:after="0"/>
              <w:ind w:left="324" w:right="0" w:hanging="144"/>
              <w:rPr/>
            </w:pPr>
            <w:r>
              <w:rPr/>
              <w:t>Interest expense</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0.3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0.1</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324" w:right="0" w:hanging="144"/>
              <w:rPr/>
            </w:pPr>
            <w:r>
              <w:rPr/>
              <w:t>Income tax expense (benefit)</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(1.2</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3.5</w:t>
            </w:r>
          </w:p>
        </w:tc>
        <w:tc>
          <w:tcPr>
            <w:tcW w:w="110"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324" w:right="0" w:hanging="144"/>
              <w:rPr/>
            </w:pPr>
            <w:r>
              <w:rPr/>
              <w:t>Depreciation and amortization</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4.4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3.9</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144" w:right="0" w:hanging="144"/>
              <w:rPr/>
            </w:pPr>
            <w:r>
              <w:rPr/>
              <w:t>EBITDA</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(20.9</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16.3</w:t>
            </w:r>
          </w:p>
        </w:tc>
        <w:tc>
          <w:tcPr>
            <w:tcW w:w="110"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144" w:right="0" w:hanging="144"/>
              <w:rPr/>
            </w:pPr>
            <w:r>
              <w:rPr/>
              <w:t>Adjustments:</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324" w:right="0" w:hanging="144"/>
              <w:rPr/>
            </w:pPr>
            <w:r>
              <w:rPr/>
              <w:t>Equity-based compensation expense(a)</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1.1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1.6</w:t>
            </w:r>
          </w:p>
        </w:tc>
        <w:tc>
          <w:tcPr>
            <w:tcW w:w="110"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324" w:right="0" w:hanging="144"/>
              <w:rPr/>
            </w:pPr>
            <w:r>
              <w:rPr/>
              <w:t>Foreign currency loss, net(b)</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0.7</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324" w:right="0" w:hanging="144"/>
              <w:rPr/>
            </w:pPr>
            <w:r>
              <w:rPr/>
              <w:t>Derivative valuation loss, net(c)</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0.1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0.1</w:t>
            </w:r>
          </w:p>
        </w:tc>
        <w:tc>
          <w:tcPr>
            <w:tcW w:w="110"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324" w:right="0" w:hanging="144"/>
              <w:rPr/>
            </w:pPr>
            <w:r>
              <w:rPr/>
              <w:t>Early termination charges(d)</w:t>
            </w:r>
          </w:p>
        </w:tc>
        <w:tc>
          <w:tcPr>
            <w:tcW w:w="60" w:type="dxa"/>
            <w:tcBorders/>
            <w:shd w:fill="CCEEFF" w:val="clear"/>
            <w:vAlign w:val="bottom"/>
          </w:tcPr>
          <w:p>
            <w:pPr>
              <w:pStyle w:val="TableContents"/>
              <w:spacing w:before="0" w:after="283"/>
              <w:jc w:val="right"/>
              <w:rPr/>
            </w:pPr>
            <w:r>
              <w:rPr/>
              <w:t> </w:t>
            </w:r>
          </w:p>
        </w:tc>
        <w:tc>
          <w:tcPr>
            <w:tcW w:w="31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1" w:type="dxa"/>
            <w:tcBorders>
              <w:bottom w:val="single" w:sz="12" w:space="0" w:color="000000"/>
            </w:tcBorders>
            <w:shd w:fill="CCEEFF" w:val="clear"/>
            <w:tcMar>
              <w:bottom w:w="28" w:type="dxa"/>
            </w:tcMar>
            <w:vAlign w:val="bottom"/>
          </w:tcPr>
          <w:p>
            <w:pPr>
              <w:pStyle w:val="TableContents"/>
              <w:spacing w:before="0" w:after="0"/>
              <w:jc w:val="right"/>
              <w:rPr/>
            </w:pPr>
            <w:r>
              <w:rPr/>
              <w:t>8.4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1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144" w:right="0" w:hanging="144"/>
              <w:rPr/>
            </w:pPr>
            <w:r>
              <w:rPr/>
              <w:t>Adjusted EBITDA</w:t>
            </w:r>
          </w:p>
        </w:tc>
        <w:tc>
          <w:tcPr>
            <w:tcW w:w="60" w:type="dxa"/>
            <w:tcBorders/>
            <w:shd w:fill="auto" w:val="clear"/>
            <w:vAlign w:val="bottom"/>
          </w:tcPr>
          <w:p>
            <w:pPr>
              <w:pStyle w:val="TableContents"/>
              <w:spacing w:before="0" w:after="283"/>
              <w:jc w:val="right"/>
              <w:rPr/>
            </w:pPr>
            <w:r>
              <w:rPr/>
              <w:t> </w:t>
            </w:r>
          </w:p>
        </w:tc>
        <w:tc>
          <w:tcPr>
            <w:tcW w:w="313" w:type="dxa"/>
            <w:tcBorders>
              <w:bottom w:val="double" w:sz="8" w:space="0" w:color="000000"/>
            </w:tcBorders>
            <w:shd w:fill="auto" w:val="clear"/>
            <w:tcMar>
              <w:bottom w:w="28" w:type="dxa"/>
            </w:tcMar>
            <w:vAlign w:val="bottom"/>
          </w:tcPr>
          <w:p>
            <w:pPr>
              <w:pStyle w:val="TableContents"/>
              <w:spacing w:before="0" w:after="0"/>
              <w:rPr/>
            </w:pPr>
            <w:r>
              <w:rPr/>
              <w:t>$</w:t>
            </w:r>
          </w:p>
        </w:tc>
        <w:tc>
          <w:tcPr>
            <w:tcW w:w="1161" w:type="dxa"/>
            <w:tcBorders>
              <w:bottom w:val="double" w:sz="8" w:space="0" w:color="000000"/>
            </w:tcBorders>
            <w:shd w:fill="auto" w:val="clear"/>
            <w:tcMar>
              <w:bottom w:w="28" w:type="dxa"/>
            </w:tcMar>
            <w:vAlign w:val="bottom"/>
          </w:tcPr>
          <w:p>
            <w:pPr>
              <w:pStyle w:val="TableContents"/>
              <w:spacing w:before="0" w:after="0"/>
              <w:jc w:val="right"/>
              <w:rPr/>
            </w:pPr>
            <w:r>
              <w:rPr/>
              <w:t>(7.9</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355" w:type="dxa"/>
            <w:tcBorders>
              <w:bottom w:val="double" w:sz="8" w:space="0" w:color="000000"/>
            </w:tcBorders>
            <w:shd w:fill="auto" w:val="clear"/>
            <w:tcMar>
              <w:bottom w:w="28" w:type="dxa"/>
            </w:tcMar>
            <w:vAlign w:val="bottom"/>
          </w:tcPr>
          <w:p>
            <w:pPr>
              <w:pStyle w:val="TableContents"/>
              <w:spacing w:before="0" w:after="0"/>
              <w:rPr/>
            </w:pPr>
            <w:r>
              <w:rPr/>
              <w:t>$</w:t>
            </w:r>
          </w:p>
        </w:tc>
        <w:tc>
          <w:tcPr>
            <w:tcW w:w="1119" w:type="dxa"/>
            <w:tcBorders>
              <w:bottom w:val="double" w:sz="8" w:space="0" w:color="000000"/>
            </w:tcBorders>
            <w:shd w:fill="auto" w:val="clear"/>
            <w:tcMar>
              <w:bottom w:w="28" w:type="dxa"/>
            </w:tcMar>
            <w:vAlign w:val="bottom"/>
          </w:tcPr>
          <w:p>
            <w:pPr>
              <w:pStyle w:val="TableContents"/>
              <w:spacing w:before="0" w:after="0"/>
              <w:jc w:val="right"/>
              <w:rPr/>
            </w:pPr>
            <w:r>
              <w:rPr/>
              <w:t>18.8</w:t>
            </w:r>
          </w:p>
        </w:tc>
        <w:tc>
          <w:tcPr>
            <w:tcW w:w="110"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10539" w:type="dxa"/>
        <w:jc w:val="left"/>
        <w:tblInd w:w="0" w:type="dxa"/>
        <w:tblCellMar>
          <w:top w:w="0" w:type="dxa"/>
          <w:left w:w="0" w:type="dxa"/>
          <w:bottom w:w="0" w:type="dxa"/>
          <w:right w:w="0" w:type="dxa"/>
        </w:tblCellMar>
      </w:tblPr>
      <w:tblGrid>
        <w:gridCol w:w="230"/>
        <w:gridCol w:w="10309"/>
      </w:tblGrid>
      <w:tr>
        <w:trPr/>
        <w:tc>
          <w:tcPr>
            <w:tcW w:w="230" w:type="dxa"/>
            <w:tcBorders/>
            <w:shd w:fill="auto" w:val="clear"/>
            <w:vAlign w:val="center"/>
          </w:tcPr>
          <w:p>
            <w:pPr>
              <w:pStyle w:val="TableContents"/>
              <w:spacing w:before="0" w:after="283"/>
              <w:rPr/>
            </w:pPr>
            <w:r>
              <w:rPr/>
              <w:t>(a)</w:t>
            </w:r>
          </w:p>
        </w:tc>
        <w:tc>
          <w:tcPr>
            <w:tcW w:w="10309" w:type="dxa"/>
            <w:tcBorders/>
            <w:shd w:fill="auto" w:val="clear"/>
            <w:vAlign w:val="center"/>
          </w:tcPr>
          <w:p>
            <w:pPr>
              <w:pStyle w:val="TableContents"/>
              <w:spacing w:before="0" w:after="0"/>
              <w:rPr/>
            </w:pPr>
            <w:r>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tc>
      </w:tr>
    </w:tbl>
    <w:tbl>
      <w:tblPr>
        <w:tblW w:w="10539" w:type="dxa"/>
        <w:jc w:val="left"/>
        <w:tblInd w:w="0" w:type="dxa"/>
        <w:tblCellMar>
          <w:top w:w="0" w:type="dxa"/>
          <w:left w:w="0" w:type="dxa"/>
          <w:bottom w:w="0" w:type="dxa"/>
          <w:right w:w="0" w:type="dxa"/>
        </w:tblCellMar>
      </w:tblPr>
      <w:tblGrid>
        <w:gridCol w:w="239"/>
        <w:gridCol w:w="10300"/>
      </w:tblGrid>
      <w:tr>
        <w:trPr/>
        <w:tc>
          <w:tcPr>
            <w:tcW w:w="239" w:type="dxa"/>
            <w:tcBorders/>
            <w:shd w:fill="auto" w:val="clear"/>
            <w:vAlign w:val="center"/>
          </w:tcPr>
          <w:p>
            <w:pPr>
              <w:pStyle w:val="TableContents"/>
              <w:spacing w:before="0" w:after="283"/>
              <w:rPr/>
            </w:pPr>
            <w:r>
              <w:rPr/>
              <w:t>(b)</w:t>
            </w:r>
          </w:p>
        </w:tc>
        <w:tc>
          <w:tcPr>
            <w:tcW w:w="10300" w:type="dxa"/>
            <w:tcBorders/>
            <w:shd w:fill="auto" w:val="clear"/>
            <w:vAlign w:val="center"/>
          </w:tcPr>
          <w:p>
            <w:pPr>
              <w:pStyle w:val="TableContents"/>
              <w:spacing w:before="0" w:after="0"/>
              <w:rPr/>
            </w:pPr>
            <w:r>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tc>
      </w:tr>
    </w:tbl>
    <w:tbl>
      <w:tblPr>
        <w:tblW w:w="10539" w:type="dxa"/>
        <w:jc w:val="left"/>
        <w:tblInd w:w="0" w:type="dxa"/>
        <w:tblCellMar>
          <w:top w:w="0" w:type="dxa"/>
          <w:left w:w="0" w:type="dxa"/>
          <w:bottom w:w="0" w:type="dxa"/>
          <w:right w:w="0" w:type="dxa"/>
        </w:tblCellMar>
      </w:tblPr>
      <w:tblGrid>
        <w:gridCol w:w="228"/>
        <w:gridCol w:w="10311"/>
      </w:tblGrid>
      <w:tr>
        <w:trPr/>
        <w:tc>
          <w:tcPr>
            <w:tcW w:w="228" w:type="dxa"/>
            <w:tcBorders/>
            <w:shd w:fill="auto" w:val="clear"/>
            <w:vAlign w:val="center"/>
          </w:tcPr>
          <w:p>
            <w:pPr>
              <w:pStyle w:val="TableContents"/>
              <w:spacing w:before="0" w:after="283"/>
              <w:rPr/>
            </w:pPr>
            <w:r>
              <w:rPr/>
              <w:t>(c)</w:t>
            </w:r>
          </w:p>
        </w:tc>
        <w:tc>
          <w:tcPr>
            <w:tcW w:w="10311" w:type="dxa"/>
            <w:tcBorders/>
            <w:shd w:fill="auto" w:val="clear"/>
            <w:vAlign w:val="center"/>
          </w:tcPr>
          <w:p>
            <w:pPr>
              <w:pStyle w:val="TableContents"/>
              <w:spacing w:before="0" w:after="0"/>
              <w:rPr/>
            </w:pPr>
            <w:r>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tc>
      </w:tr>
    </w:tbl>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(d)</w:t>
            </w:r>
          </w:p>
        </w:tc>
        <w:tc>
          <w:tcPr>
            <w:tcW w:w="10294" w:type="dxa"/>
            <w:tcBorders/>
            <w:shd w:fill="auto" w:val="clear"/>
            <w:vAlign w:val="center"/>
          </w:tcPr>
          <w:p>
            <w:pPr>
              <w:pStyle w:val="TableContents"/>
              <w:spacing w:before="0" w:after="0"/>
              <w:rPr/>
            </w:pPr>
            <w:r>
              <w:rPr/>
              <w:t>For the three months ended March 31, 2023, this adjustment eliminates the termination related charges of $8.4 million in connection with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tc>
      </w:tr>
    </w:tbl>
    <w:p>
      <w:pPr>
        <w:pStyle w:val="TextBody"/>
        <w:spacing w:before="0" w:after="0"/>
        <w:jc w:val="left"/>
        <w:rPr>
          <w:color w:val="000000"/>
        </w:rPr>
      </w:pPr>
      <w:r>
        <w:rPr>
          <w:color w:val="000000"/>
        </w:rPr>
        <w:t> </w:t>
      </w:r>
    </w:p>
    <w:p>
      <w:pPr>
        <w:pStyle w:val="TextBody"/>
        <w:spacing w:before="0" w:after="0"/>
        <w:ind w:left="489" w:right="0" w:hanging="0"/>
        <w:jc w:val="left"/>
        <w:rPr>
          <w:rFonts w:ascii="Times New Roman" w:hAnsi="Times New Roman"/>
          <w:color w:val="000000"/>
          <w:sz w:val="20"/>
        </w:rPr>
      </w:pPr>
      <w:r>
        <w:rPr>
          <w:rFonts w:ascii="Times New Roman" w:hAnsi="Times New Roman"/>
          <w:color w:val="000000"/>
          <w:sz w:val="20"/>
        </w:rPr>
        <w:t>Adjusted EBITDA has limitations as an analytical tool, and you should not consider it in isolation, or as a substitute for analysis of our results as reported under U.S. GAAP. Some of these limitations are:</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Adjusted EBITDA does not reflect our cash expenditures, or future requirements, for capital expenditures or contractual commitments;</w:t>
            </w:r>
          </w:p>
        </w:tc>
      </w:tr>
    </w:tbl>
    <w:p>
      <w:pPr>
        <w:pStyle w:val="TextBody"/>
        <w:spacing w:before="0" w:after="0"/>
        <w:jc w:val="left"/>
        <w:rPr>
          <w:color w:val="000000"/>
        </w:rPr>
      </w:pPr>
      <w:r>
        <w:rPr>
          <w:color w:val="000000"/>
        </w:rPr>
        <w:t> </w:t>
      </w:r>
    </w:p>
    <w:tbl>
      <w:tblPr>
        <w:tblW w:w="9588" w:type="dxa"/>
        <w:jc w:val="left"/>
        <w:tblInd w:w="0" w:type="dxa"/>
        <w:tblCellMar>
          <w:top w:w="0" w:type="dxa"/>
          <w:left w:w="0" w:type="dxa"/>
          <w:bottom w:w="0" w:type="dxa"/>
          <w:right w:w="0" w:type="dxa"/>
        </w:tblCellMar>
      </w:tblPr>
      <w:tblGrid>
        <w:gridCol w:w="38"/>
        <w:gridCol w:w="110"/>
        <w:gridCol w:w="94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440" w:type="dxa"/>
            <w:tcBorders/>
            <w:shd w:fill="auto" w:val="clear"/>
            <w:vAlign w:val="center"/>
          </w:tcPr>
          <w:p>
            <w:pPr>
              <w:pStyle w:val="TableContents"/>
              <w:spacing w:before="0" w:after="0"/>
              <w:rPr/>
            </w:pPr>
            <w:r>
              <w:rPr/>
              <w:t>Adjusted EBITDA does not reflect changes in, or cash requirements for, our working capital needs;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Adjusted EBITDA does not reflect the interest expense, or the cash requirements necessary to service interest or principal payments, on our debt;</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although depreciation and amortization are non-cash charges, the assets being depreciated and amortized will often need to be replaced in the future, and Adjusted EBITDA does not reflect any cash requirements for such replacements;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Adjusted EBITDA does not consider the potentially dilutive impact of issuing equity-based compensation to our management team and employees;</w:t>
            </w:r>
          </w:p>
        </w:tc>
      </w:tr>
    </w:tbl>
    <w:p>
      <w:pPr>
        <w:pStyle w:val="TextBody"/>
        <w:spacing w:before="0" w:after="0"/>
        <w:jc w:val="left"/>
        <w:rPr>
          <w:color w:val="000000"/>
        </w:rPr>
      </w:pPr>
      <w:r>
        <w:rPr>
          <w:color w:val="000000"/>
        </w:rPr>
        <w:t> </w:t>
      </w:r>
    </w:p>
    <w:tbl>
      <w:tblPr>
        <w:tblW w:w="10458" w:type="dxa"/>
        <w:jc w:val="left"/>
        <w:tblInd w:w="0" w:type="dxa"/>
        <w:tblCellMar>
          <w:top w:w="0" w:type="dxa"/>
          <w:left w:w="0" w:type="dxa"/>
          <w:bottom w:w="0" w:type="dxa"/>
          <w:right w:w="0" w:type="dxa"/>
        </w:tblCellMar>
      </w:tblPr>
      <w:tblGrid>
        <w:gridCol w:w="38"/>
        <w:gridCol w:w="110"/>
        <w:gridCol w:w="103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10" w:type="dxa"/>
            <w:tcBorders/>
            <w:shd w:fill="auto" w:val="clear"/>
            <w:vAlign w:val="center"/>
          </w:tcPr>
          <w:p>
            <w:pPr>
              <w:pStyle w:val="TableContents"/>
              <w:spacing w:before="0" w:after="0"/>
              <w:rPr/>
            </w:pPr>
            <w:r>
              <w:rPr/>
              <w:t>Adjusted EBITDA does not reflect the costs of holding certain assets and liabilities in foreign currencies;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other companies in our industry may calculate Adjusted EBITDA differently than we do, limiting its usefulness as a comparative measure.</w:t>
            </w:r>
          </w:p>
        </w:tc>
      </w:tr>
    </w:tbl>
    <w:p>
      <w:pPr>
        <w:pStyle w:val="TextBody"/>
        <w:spacing w:before="0" w:after="0"/>
        <w:jc w:val="left"/>
        <w:rPr>
          <w:color w:val="000000"/>
        </w:rPr>
      </w:pPr>
      <w:r>
        <w:rPr>
          <w:color w:val="000000"/>
        </w:rPr>
        <w:t> </w:t>
      </w:r>
    </w:p>
    <w:p>
      <w:pPr>
        <w:pStyle w:val="TextBody"/>
        <w:spacing w:before="0" w:after="0"/>
        <w:ind w:left="489" w:right="0" w:hanging="0"/>
        <w:jc w:val="left"/>
        <w:rPr>
          <w:rFonts w:ascii="Times New Roman" w:hAnsi="Times New Roman"/>
          <w:color w:val="000000"/>
          <w:sz w:val="20"/>
        </w:rPr>
      </w:pPr>
      <w:r>
        <w:rPr>
          <w:rFonts w:ascii="Times New Roman" w:hAnsi="Times New Roman"/>
          <w:color w:val="000000"/>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color w:val="000000"/>
        </w:rPr>
      </w:pPr>
      <w:r>
        <w:rPr>
          <w:color w:val="000000"/>
        </w:rPr>
        <w:t> </w:t>
      </w:r>
      <w:r>
        <w:rPr>
          <w:rFonts w:ascii="Times New Roman" w:hAnsi="Times New Roman"/>
          <w:color w:val="000000"/>
          <w:sz w:val="20"/>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Adjusted Operating Income is not a measure defined in accordance with U.S. GAAP and should not be construed as an alternative to operating income or any other performance measure derived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and (ii) early termination charges.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summarizes the adjustments to operating income (loss) that we make in order to calculate Adjusted Operating Income (Loss) for the periods indicated:</w:t>
      </w:r>
    </w:p>
    <w:p>
      <w:pPr>
        <w:pStyle w:val="TextBody"/>
        <w:spacing w:before="0" w:after="0"/>
        <w:jc w:val="left"/>
        <w:rPr/>
      </w:pPr>
      <w:r>
        <w:rPr/>
      </w:r>
    </w:p>
    <w:tbl>
      <w:tblPr>
        <w:tblW w:w="6963" w:type="dxa"/>
        <w:jc w:val="left"/>
        <w:tblInd w:w="0" w:type="dxa"/>
        <w:tblCellMar>
          <w:top w:w="0" w:type="dxa"/>
          <w:left w:w="0" w:type="dxa"/>
          <w:bottom w:w="0" w:type="dxa"/>
          <w:right w:w="0" w:type="dxa"/>
        </w:tblCellMar>
      </w:tblPr>
      <w:tblGrid>
        <w:gridCol w:w="3725"/>
        <w:gridCol w:w="60"/>
        <w:gridCol w:w="313"/>
        <w:gridCol w:w="1161"/>
        <w:gridCol w:w="95"/>
        <w:gridCol w:w="60"/>
        <w:gridCol w:w="355"/>
        <w:gridCol w:w="1119"/>
        <w:gridCol w:w="75"/>
      </w:tblGrid>
      <w:tr>
        <w:trPr/>
        <w:tc>
          <w:tcPr>
            <w:tcW w:w="37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3" w:type="dxa"/>
            <w:gridSpan w:val="6"/>
            <w:tcBorders/>
            <w:shd w:fill="auto" w:val="clear"/>
            <w:vAlign w:val="bottom"/>
          </w:tcPr>
          <w:p>
            <w:pPr>
              <w:pStyle w:val="TableContents"/>
              <w:spacing w:before="0" w:after="0"/>
              <w:jc w:val="center"/>
              <w:rPr>
                <w:b/>
              </w:rPr>
            </w:pPr>
            <w:r>
              <w:rPr>
                <w:b/>
              </w:rPr>
              <w:t>(Dollars in millions)</w:t>
            </w:r>
          </w:p>
        </w:tc>
        <w:tc>
          <w:tcPr>
            <w:tcW w:w="75"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144" w:right="0" w:hanging="144"/>
              <w:rPr/>
            </w:pPr>
            <w:r>
              <w:rPr/>
              <w:t>Operating income (loss)</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0"/>
              <w:rPr/>
            </w:pPr>
            <w:r>
              <w:rPr/>
              <w:t>$</w:t>
            </w:r>
          </w:p>
        </w:tc>
        <w:tc>
          <w:tcPr>
            <w:tcW w:w="1161" w:type="dxa"/>
            <w:tcBorders/>
            <w:shd w:fill="CCEEFF" w:val="clear"/>
            <w:vAlign w:val="bottom"/>
          </w:tcPr>
          <w:p>
            <w:pPr>
              <w:pStyle w:val="TableContents"/>
              <w:spacing w:before="0" w:after="0"/>
              <w:jc w:val="right"/>
              <w:rPr/>
            </w:pPr>
            <w:r>
              <w:rPr/>
              <w:t>(21.8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0"/>
              <w:rPr/>
            </w:pPr>
            <w:r>
              <w:rPr/>
              <w:t>$</w:t>
            </w:r>
          </w:p>
        </w:tc>
        <w:tc>
          <w:tcPr>
            <w:tcW w:w="1119" w:type="dxa"/>
            <w:tcBorders/>
            <w:shd w:fill="CCEEFF" w:val="clear"/>
            <w:vAlign w:val="bottom"/>
          </w:tcPr>
          <w:p>
            <w:pPr>
              <w:pStyle w:val="TableContents"/>
              <w:spacing w:before="0" w:after="0"/>
              <w:jc w:val="right"/>
              <w:rPr/>
            </w:pPr>
            <w:r>
              <w:rPr/>
              <w:t>12.9</w:t>
            </w:r>
          </w:p>
        </w:tc>
        <w:tc>
          <w:tcPr>
            <w:tcW w:w="75"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144" w:right="0" w:hanging="144"/>
              <w:rPr/>
            </w:pPr>
            <w:r>
              <w:rPr/>
              <w:t>Adjustments:</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324" w:right="0" w:hanging="144"/>
              <w:rPr/>
            </w:pPr>
            <w:r>
              <w:rPr/>
              <w:t>Equity-based compensation expense(a)</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1.6</w:t>
            </w:r>
          </w:p>
        </w:tc>
        <w:tc>
          <w:tcPr>
            <w:tcW w:w="75" w:type="dxa"/>
            <w:tcBorders/>
            <w:shd w:fill="CCEEFF" w:val="clear"/>
            <w:vAlign w:val="bottom"/>
          </w:tcPr>
          <w:p>
            <w:pPr>
              <w:pStyle w:val="TableContents"/>
              <w:spacing w:before="0" w:after="283"/>
              <w:rPr/>
            </w:pPr>
            <w:r>
              <w:rPr/>
              <w:t> </w:t>
            </w:r>
          </w:p>
        </w:tc>
      </w:tr>
      <w:tr>
        <w:trPr/>
        <w:tc>
          <w:tcPr>
            <w:tcW w:w="3725" w:type="dxa"/>
            <w:tcBorders/>
            <w:shd w:fill="auto" w:val="clear"/>
            <w:vAlign w:val="bottom"/>
          </w:tcPr>
          <w:p>
            <w:pPr>
              <w:pStyle w:val="TableContents"/>
              <w:spacing w:before="0" w:after="0"/>
              <w:ind w:left="324" w:right="0" w:hanging="144"/>
              <w:rPr/>
            </w:pPr>
            <w:r>
              <w:rPr/>
              <w:t>Early termination charges(b)</w:t>
            </w:r>
          </w:p>
        </w:tc>
        <w:tc>
          <w:tcPr>
            <w:tcW w:w="60" w:type="dxa"/>
            <w:tcBorders/>
            <w:shd w:fill="auto" w:val="clear"/>
            <w:vAlign w:val="bottom"/>
          </w:tcPr>
          <w:p>
            <w:pPr>
              <w:pStyle w:val="TableContents"/>
              <w:spacing w:before="0" w:after="283"/>
              <w:jc w:val="right"/>
              <w:rPr/>
            </w:pPr>
            <w:r>
              <w:rPr/>
              <w:t> </w:t>
            </w:r>
          </w:p>
        </w:tc>
        <w:tc>
          <w:tcPr>
            <w:tcW w:w="313" w:type="dxa"/>
            <w:tcBorders>
              <w:bottom w:val="single" w:sz="12" w:space="0" w:color="000000"/>
            </w:tcBorders>
            <w:shd w:fill="auto" w:val="clear"/>
            <w:tcMar>
              <w:bottom w:w="28" w:type="dxa"/>
            </w:tcMar>
            <w:vAlign w:val="bottom"/>
          </w:tcPr>
          <w:p>
            <w:pPr>
              <w:pStyle w:val="TableContents"/>
              <w:spacing w:before="0" w:after="283"/>
              <w:rPr/>
            </w:pPr>
            <w:r>
              <w:rPr/>
              <w:t> </w:t>
            </w:r>
          </w:p>
        </w:tc>
        <w:tc>
          <w:tcPr>
            <w:tcW w:w="1161" w:type="dxa"/>
            <w:tcBorders>
              <w:bottom w:val="single" w:sz="12" w:space="0" w:color="000000"/>
            </w:tcBorders>
            <w:shd w:fill="auto" w:val="clear"/>
            <w:tcMar>
              <w:bottom w:w="28" w:type="dxa"/>
            </w:tcMar>
            <w:vAlign w:val="bottom"/>
          </w:tcPr>
          <w:p>
            <w:pPr>
              <w:pStyle w:val="TableContents"/>
              <w:spacing w:before="0" w:after="0"/>
              <w:jc w:val="right"/>
              <w:rPr/>
            </w:pPr>
            <w:r>
              <w:rPr/>
              <w:t>8.4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bottom w:val="single" w:sz="12" w:space="0" w:color="000000"/>
            </w:tcBorders>
            <w:shd w:fill="auto" w:val="clear"/>
            <w:tcMar>
              <w:bottom w:w="28" w:type="dxa"/>
            </w:tcMar>
            <w:vAlign w:val="bottom"/>
          </w:tcPr>
          <w:p>
            <w:pPr>
              <w:pStyle w:val="TableContents"/>
              <w:spacing w:before="0" w:after="283"/>
              <w:rPr/>
            </w:pPr>
            <w:r>
              <w:rPr/>
              <w:t> </w:t>
            </w:r>
          </w:p>
        </w:tc>
        <w:tc>
          <w:tcPr>
            <w:tcW w:w="111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rPr/>
            </w:pPr>
            <w:r>
              <w:rPr/>
              <w:t> </w:t>
            </w:r>
          </w:p>
        </w:tc>
      </w:tr>
      <w:tr>
        <w:trPr/>
        <w:tc>
          <w:tcPr>
            <w:tcW w:w="3725" w:type="dxa"/>
            <w:tcBorders/>
            <w:shd w:fill="CCEEFF" w:val="clear"/>
            <w:vAlign w:val="bottom"/>
          </w:tcPr>
          <w:p>
            <w:pPr>
              <w:pStyle w:val="TableContents"/>
              <w:spacing w:before="0" w:after="0"/>
              <w:ind w:left="144" w:right="0" w:hanging="144"/>
              <w:rPr/>
            </w:pPr>
            <w:r>
              <w:rPr/>
              <w:t>Adjusted Operating Income (Loss)</w:t>
            </w:r>
          </w:p>
        </w:tc>
        <w:tc>
          <w:tcPr>
            <w:tcW w:w="60" w:type="dxa"/>
            <w:tcBorders/>
            <w:shd w:fill="CCEEFF" w:val="clear"/>
            <w:vAlign w:val="bottom"/>
          </w:tcPr>
          <w:p>
            <w:pPr>
              <w:pStyle w:val="TableContents"/>
              <w:spacing w:before="0" w:after="283"/>
              <w:jc w:val="right"/>
              <w:rPr/>
            </w:pPr>
            <w:r>
              <w:rPr/>
              <w:t> </w:t>
            </w:r>
          </w:p>
        </w:tc>
        <w:tc>
          <w:tcPr>
            <w:tcW w:w="313" w:type="dxa"/>
            <w:tcBorders>
              <w:bottom w:val="double" w:sz="8" w:space="0" w:color="000000"/>
            </w:tcBorders>
            <w:shd w:fill="CCEEFF" w:val="clear"/>
            <w:tcMar>
              <w:bottom w:w="28" w:type="dxa"/>
            </w:tcMar>
            <w:vAlign w:val="bottom"/>
          </w:tcPr>
          <w:p>
            <w:pPr>
              <w:pStyle w:val="TableContents"/>
              <w:spacing w:before="0" w:after="0"/>
              <w:rPr/>
            </w:pPr>
            <w:r>
              <w:rPr/>
              <w:t>$</w:t>
            </w:r>
          </w:p>
        </w:tc>
        <w:tc>
          <w:tcPr>
            <w:tcW w:w="1161" w:type="dxa"/>
            <w:tcBorders>
              <w:bottom w:val="double" w:sz="8" w:space="0" w:color="000000"/>
            </w:tcBorders>
            <w:shd w:fill="CCEEFF" w:val="clear"/>
            <w:tcMar>
              <w:bottom w:w="28" w:type="dxa"/>
            </w:tcMar>
            <w:vAlign w:val="bottom"/>
          </w:tcPr>
          <w:p>
            <w:pPr>
              <w:pStyle w:val="TableContents"/>
              <w:spacing w:before="0" w:after="0"/>
              <w:jc w:val="right"/>
              <w:rPr/>
            </w:pPr>
            <w:r>
              <w:rPr/>
              <w:t>(12.2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355" w:type="dxa"/>
            <w:tcBorders>
              <w:bottom w:val="double" w:sz="8" w:space="0" w:color="000000"/>
            </w:tcBorders>
            <w:shd w:fill="CCEEFF" w:val="clear"/>
            <w:tcMar>
              <w:bottom w:w="28" w:type="dxa"/>
            </w:tcMar>
            <w:vAlign w:val="bottom"/>
          </w:tcPr>
          <w:p>
            <w:pPr>
              <w:pStyle w:val="TableContents"/>
              <w:spacing w:before="0" w:after="0"/>
              <w:rPr/>
            </w:pPr>
            <w:r>
              <w:rPr/>
              <w:t>$</w:t>
            </w:r>
          </w:p>
        </w:tc>
        <w:tc>
          <w:tcPr>
            <w:tcW w:w="1119" w:type="dxa"/>
            <w:tcBorders>
              <w:bottom w:val="double" w:sz="8" w:space="0" w:color="000000"/>
            </w:tcBorders>
            <w:shd w:fill="CCEEFF" w:val="clear"/>
            <w:tcMar>
              <w:bottom w:w="28" w:type="dxa"/>
            </w:tcMar>
            <w:vAlign w:val="bottom"/>
          </w:tcPr>
          <w:p>
            <w:pPr>
              <w:pStyle w:val="TableContents"/>
              <w:spacing w:before="0" w:after="0"/>
              <w:jc w:val="right"/>
              <w:rPr/>
            </w:pPr>
            <w:r>
              <w:rPr/>
              <w:t>14.5</w:t>
            </w:r>
          </w:p>
        </w:tc>
        <w:tc>
          <w:tcPr>
            <w:tcW w:w="75" w:type="dxa"/>
            <w:tcBorders/>
            <w:shd w:fill="CCEEFF" w:val="clear"/>
            <w:vAlign w:val="bottom"/>
          </w:tcPr>
          <w:p>
            <w:pPr>
              <w:pStyle w:val="TableContents"/>
              <w:spacing w:before="0" w:after="283"/>
              <w:rPr/>
            </w:pPr>
            <w:r>
              <w:rPr/>
              <w:t> </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230"/>
        <w:gridCol w:w="10309"/>
      </w:tblGrid>
      <w:tr>
        <w:trPr/>
        <w:tc>
          <w:tcPr>
            <w:tcW w:w="230" w:type="dxa"/>
            <w:tcBorders/>
            <w:shd w:fill="auto" w:val="clear"/>
            <w:vAlign w:val="center"/>
          </w:tcPr>
          <w:p>
            <w:pPr>
              <w:pStyle w:val="TableContents"/>
              <w:spacing w:before="0" w:after="283"/>
              <w:rPr/>
            </w:pPr>
            <w:r>
              <w:rPr/>
              <w:t>(a)</w:t>
            </w:r>
          </w:p>
        </w:tc>
        <w:tc>
          <w:tcPr>
            <w:tcW w:w="10309" w:type="dxa"/>
            <w:tcBorders/>
            <w:shd w:fill="auto" w:val="clear"/>
            <w:vAlign w:val="center"/>
          </w:tcPr>
          <w:p>
            <w:pPr>
              <w:pStyle w:val="TableContents"/>
              <w:spacing w:before="0" w:after="0"/>
              <w:rPr/>
            </w:pPr>
            <w:r>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tc>
      </w:tr>
    </w:tbl>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(b)</w:t>
            </w:r>
          </w:p>
        </w:tc>
        <w:tc>
          <w:tcPr>
            <w:tcW w:w="10294" w:type="dxa"/>
            <w:tcBorders/>
            <w:shd w:fill="auto" w:val="clear"/>
            <w:vAlign w:val="center"/>
          </w:tcPr>
          <w:p>
            <w:pPr>
              <w:pStyle w:val="TableContents"/>
              <w:spacing w:before="0" w:after="0"/>
              <w:rPr/>
            </w:pPr>
            <w:r>
              <w:rPr/>
              <w:t>For the three months ended March 31, 2023, this adjustment eliminates the termination related charges of $8.4 million in connection with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present Adjusted Net Income (including on a per share basis) as a further supplemental measure of our performance. We prepare Adjusted Net Income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Adjusted Net Income (including on a per share basis) is not a measure defined in accordance with U.S. GAAP and should not be construed as an alternative to net income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net income (loss), adjusted to exclude (i) equity-based compensation expense, (ii) foreign currency loss, net, (iii) derivative valuation loss, net, (iv) early termination charges and (v) income tax effect on non-GAAP adjustments.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summarizes the adjustments to net income (loss) that we make in order to calculate Adjusted Net Income (Loss) (including on a per share basis) for the periods indicated:</w:t>
      </w:r>
    </w:p>
    <w:p>
      <w:pPr>
        <w:pStyle w:val="TextBody"/>
        <w:spacing w:before="0" w:after="0"/>
        <w:jc w:val="left"/>
        <w:rPr/>
      </w:pPr>
      <w:r>
        <w:rPr/>
      </w:r>
    </w:p>
    <w:tbl>
      <w:tblPr>
        <w:tblW w:w="7803" w:type="dxa"/>
        <w:jc w:val="left"/>
        <w:tblInd w:w="0" w:type="dxa"/>
        <w:tblCellMar>
          <w:top w:w="0" w:type="dxa"/>
          <w:left w:w="0" w:type="dxa"/>
          <w:bottom w:w="0" w:type="dxa"/>
          <w:right w:w="0" w:type="dxa"/>
        </w:tblCellMar>
      </w:tblPr>
      <w:tblGrid>
        <w:gridCol w:w="4565"/>
        <w:gridCol w:w="60"/>
        <w:gridCol w:w="313"/>
        <w:gridCol w:w="1161"/>
        <w:gridCol w:w="95"/>
        <w:gridCol w:w="60"/>
        <w:gridCol w:w="355"/>
        <w:gridCol w:w="1119"/>
        <w:gridCol w:w="75"/>
      </w:tblGrid>
      <w:tr>
        <w:trPr/>
        <w:tc>
          <w:tcPr>
            <w:tcW w:w="4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2023</w:t>
            </w:r>
          </w:p>
        </w:tc>
        <w:tc>
          <w:tcPr>
            <w:tcW w:w="9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4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Three Months</w:t>
            </w:r>
          </w:p>
          <w:p>
            <w:pPr>
              <w:pStyle w:val="TableContents"/>
              <w:spacing w:before="0" w:after="0"/>
              <w:jc w:val="center"/>
              <w:rPr>
                <w:b/>
              </w:rPr>
            </w:pPr>
            <w:r>
              <w:rPr>
                <w:b/>
              </w:rPr>
              <w:t>Ended</w:t>
            </w:r>
          </w:p>
          <w:p>
            <w:pPr>
              <w:pStyle w:val="TableContents"/>
              <w:spacing w:before="0" w:after="0"/>
              <w:jc w:val="center"/>
              <w:rPr>
                <w:b/>
              </w:rPr>
            </w:pPr>
            <w:r>
              <w:rPr>
                <w:b/>
              </w:rPr>
              <w:t>March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3" w:type="dxa"/>
            <w:gridSpan w:val="6"/>
            <w:tcBorders/>
            <w:shd w:fill="auto" w:val="clear"/>
            <w:vAlign w:val="bottom"/>
          </w:tcPr>
          <w:p>
            <w:pPr>
              <w:pStyle w:val="TableContents"/>
              <w:spacing w:before="0" w:after="0"/>
              <w:jc w:val="center"/>
              <w:rPr>
                <w:b/>
              </w:rPr>
            </w:pPr>
            <w:r>
              <w:rPr>
                <w:b/>
              </w:rPr>
              <w:t>(Dollars in millions, except per</w:t>
            </w:r>
          </w:p>
          <w:p>
            <w:pPr>
              <w:pStyle w:val="TableContents"/>
              <w:spacing w:before="0" w:after="0"/>
              <w:jc w:val="center"/>
              <w:rPr>
                <w:b/>
              </w:rPr>
            </w:pPr>
            <w:r>
              <w:rPr>
                <w:b/>
              </w:rPr>
              <w:t>share data)</w:t>
            </w:r>
          </w:p>
        </w:tc>
        <w:tc>
          <w:tcPr>
            <w:tcW w:w="75" w:type="dxa"/>
            <w:tcBorders/>
            <w:shd w:fill="auto" w:val="clear"/>
            <w:vAlign w:val="bottom"/>
          </w:tcPr>
          <w:p>
            <w:pPr>
              <w:pStyle w:val="TableContents"/>
              <w:spacing w:before="0" w:after="283"/>
              <w:rPr/>
            </w:pPr>
            <w:r>
              <w:rPr/>
              <w:t> </w:t>
            </w:r>
          </w:p>
        </w:tc>
      </w:tr>
      <w:tr>
        <w:trPr/>
        <w:tc>
          <w:tcPr>
            <w:tcW w:w="4565" w:type="dxa"/>
            <w:tcBorders/>
            <w:shd w:fill="CCEEFF" w:val="clear"/>
            <w:vAlign w:val="bottom"/>
          </w:tcPr>
          <w:p>
            <w:pPr>
              <w:pStyle w:val="TableContents"/>
              <w:spacing w:before="0" w:after="0"/>
              <w:ind w:left="144" w:right="0" w:hanging="144"/>
              <w:rPr/>
            </w:pPr>
            <w:r>
              <w:rPr/>
              <w:t>Net Income (Loss)</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0"/>
              <w:rPr/>
            </w:pPr>
            <w:r>
              <w:rPr/>
              <w:t>$</w:t>
            </w:r>
          </w:p>
        </w:tc>
        <w:tc>
          <w:tcPr>
            <w:tcW w:w="1161" w:type="dxa"/>
            <w:tcBorders/>
            <w:shd w:fill="CCEEFF" w:val="clear"/>
            <w:vAlign w:val="bottom"/>
          </w:tcPr>
          <w:p>
            <w:pPr>
              <w:pStyle w:val="TableContents"/>
              <w:spacing w:before="0" w:after="0"/>
              <w:jc w:val="right"/>
              <w:rPr/>
            </w:pPr>
            <w:r>
              <w:rPr/>
              <w:t>(21.5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0"/>
              <w:rPr/>
            </w:pPr>
            <w:r>
              <w:rPr/>
              <w:t>$</w:t>
            </w:r>
          </w:p>
        </w:tc>
        <w:tc>
          <w:tcPr>
            <w:tcW w:w="1119" w:type="dxa"/>
            <w:tcBorders/>
            <w:shd w:fill="CCEEFF" w:val="clear"/>
            <w:vAlign w:val="bottom"/>
          </w:tcPr>
          <w:p>
            <w:pPr>
              <w:pStyle w:val="TableContents"/>
              <w:spacing w:before="0" w:after="0"/>
              <w:jc w:val="right"/>
              <w:rPr/>
            </w:pPr>
            <w:r>
              <w:rPr/>
              <w:t>9.5</w:t>
            </w:r>
          </w:p>
        </w:tc>
        <w:tc>
          <w:tcPr>
            <w:tcW w:w="75"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0"/>
              <w:ind w:left="144" w:right="0" w:hanging="144"/>
              <w:rPr/>
            </w:pPr>
            <w:r>
              <w:rPr/>
              <w:t>Adjustments:</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r>
      <w:tr>
        <w:trPr/>
        <w:tc>
          <w:tcPr>
            <w:tcW w:w="4565" w:type="dxa"/>
            <w:tcBorders/>
            <w:shd w:fill="CCEEFF" w:val="clear"/>
            <w:vAlign w:val="bottom"/>
          </w:tcPr>
          <w:p>
            <w:pPr>
              <w:pStyle w:val="TableContents"/>
              <w:spacing w:before="0" w:after="0"/>
              <w:ind w:left="324" w:right="0" w:hanging="144"/>
              <w:rPr/>
            </w:pPr>
            <w:r>
              <w:rPr/>
              <w:t>Equity-based compensation expense(a)</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1.6</w:t>
            </w:r>
          </w:p>
        </w:tc>
        <w:tc>
          <w:tcPr>
            <w:tcW w:w="75"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0"/>
              <w:ind w:left="324" w:right="0" w:hanging="144"/>
              <w:rPr/>
            </w:pPr>
            <w:r>
              <w:rPr/>
              <w:t>Foreign currency loss, net(b)</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3.4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0.7</w:t>
            </w:r>
          </w:p>
        </w:tc>
        <w:tc>
          <w:tcPr>
            <w:tcW w:w="75" w:type="dxa"/>
            <w:tcBorders/>
            <w:shd w:fill="auto" w:val="clear"/>
            <w:vAlign w:val="bottom"/>
          </w:tcPr>
          <w:p>
            <w:pPr>
              <w:pStyle w:val="TableContents"/>
              <w:spacing w:before="0" w:after="283"/>
              <w:rPr/>
            </w:pPr>
            <w:r>
              <w:rPr/>
              <w:t> </w:t>
            </w:r>
          </w:p>
        </w:tc>
      </w:tr>
      <w:tr>
        <w:trPr/>
        <w:tc>
          <w:tcPr>
            <w:tcW w:w="4565" w:type="dxa"/>
            <w:tcBorders/>
            <w:shd w:fill="CCEEFF" w:val="clear"/>
            <w:vAlign w:val="bottom"/>
          </w:tcPr>
          <w:p>
            <w:pPr>
              <w:pStyle w:val="TableContents"/>
              <w:spacing w:before="0" w:after="0"/>
              <w:ind w:left="324" w:right="0" w:hanging="144"/>
              <w:rPr/>
            </w:pPr>
            <w:r>
              <w:rPr/>
              <w:t>Derivative valuation loss, net(c)</w:t>
            </w:r>
          </w:p>
        </w:tc>
        <w:tc>
          <w:tcPr>
            <w:tcW w:w="60" w:type="dxa"/>
            <w:tcBorders/>
            <w:shd w:fill="CCEEFF" w:val="clear"/>
            <w:vAlign w:val="bottom"/>
          </w:tcPr>
          <w:p>
            <w:pPr>
              <w:pStyle w:val="TableContents"/>
              <w:spacing w:before="0" w:after="283"/>
              <w:jc w:val="right"/>
              <w:rPr/>
            </w:pPr>
            <w:r>
              <w:rPr/>
              <w:t> </w:t>
            </w:r>
          </w:p>
        </w:tc>
        <w:tc>
          <w:tcPr>
            <w:tcW w:w="313"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0"/>
              <w:jc w:val="right"/>
              <w:rPr/>
            </w:pPr>
            <w:r>
              <w:rPr/>
              <w:t>0.1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0"/>
              <w:jc w:val="right"/>
              <w:rPr/>
            </w:pPr>
            <w:r>
              <w:rPr/>
              <w:t>0.1</w:t>
            </w:r>
          </w:p>
        </w:tc>
        <w:tc>
          <w:tcPr>
            <w:tcW w:w="75"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0"/>
              <w:ind w:left="324" w:right="0" w:hanging="144"/>
              <w:rPr/>
            </w:pPr>
            <w:r>
              <w:rPr/>
              <w:t>Early termination charges(d)</w:t>
            </w:r>
          </w:p>
        </w:tc>
        <w:tc>
          <w:tcPr>
            <w:tcW w:w="60" w:type="dxa"/>
            <w:tcBorders/>
            <w:shd w:fill="auto" w:val="clear"/>
            <w:vAlign w:val="bottom"/>
          </w:tcPr>
          <w:p>
            <w:pPr>
              <w:pStyle w:val="TableContents"/>
              <w:spacing w:before="0" w:after="283"/>
              <w:jc w:val="right"/>
              <w:rPr/>
            </w:pPr>
            <w:r>
              <w:rPr/>
              <w:t> </w:t>
            </w:r>
          </w:p>
        </w:tc>
        <w:tc>
          <w:tcPr>
            <w:tcW w:w="313"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0"/>
              <w:jc w:val="right"/>
              <w:rPr/>
            </w:pPr>
            <w:r>
              <w:rPr/>
              <w:t>8.4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rPr/>
            </w:pPr>
            <w:r>
              <w:rPr/>
              <w:t> </w:t>
            </w:r>
          </w:p>
        </w:tc>
      </w:tr>
      <w:tr>
        <w:trPr/>
        <w:tc>
          <w:tcPr>
            <w:tcW w:w="4565" w:type="dxa"/>
            <w:tcBorders/>
            <w:shd w:fill="CCEEFF" w:val="clear"/>
            <w:vAlign w:val="bottom"/>
          </w:tcPr>
          <w:p>
            <w:pPr>
              <w:pStyle w:val="TableContents"/>
              <w:spacing w:before="0" w:after="0"/>
              <w:ind w:left="324" w:right="0" w:hanging="144"/>
              <w:rPr/>
            </w:pPr>
            <w:r>
              <w:rPr/>
              <w:t>Income tax effect on non-GAAP adjustments(e)</w:t>
            </w:r>
          </w:p>
        </w:tc>
        <w:tc>
          <w:tcPr>
            <w:tcW w:w="60" w:type="dxa"/>
            <w:tcBorders/>
            <w:shd w:fill="CCEEFF" w:val="clear"/>
            <w:vAlign w:val="bottom"/>
          </w:tcPr>
          <w:p>
            <w:pPr>
              <w:pStyle w:val="TableContents"/>
              <w:spacing w:before="0" w:after="283"/>
              <w:jc w:val="right"/>
              <w:rPr/>
            </w:pPr>
            <w:r>
              <w:rPr/>
              <w:t> </w:t>
            </w:r>
          </w:p>
        </w:tc>
        <w:tc>
          <w:tcPr>
            <w:tcW w:w="31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1" w:type="dxa"/>
            <w:tcBorders>
              <w:bottom w:val="single" w:sz="12" w:space="0" w:color="000000"/>
            </w:tcBorders>
            <w:shd w:fill="CCEEFF" w:val="clear"/>
            <w:tcMar>
              <w:bottom w:w="28" w:type="dxa"/>
            </w:tcMar>
            <w:vAlign w:val="bottom"/>
          </w:tcPr>
          <w:p>
            <w:pPr>
              <w:pStyle w:val="TableContents"/>
              <w:spacing w:before="0" w:after="0"/>
              <w:jc w:val="right"/>
              <w:rPr/>
            </w:pPr>
            <w:r>
              <w:rPr/>
              <w:t>(1.9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35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19" w:type="dxa"/>
            <w:tcBorders>
              <w:bottom w:val="single" w:sz="12" w:space="0" w:color="000000"/>
            </w:tcBorders>
            <w:shd w:fill="CCEEFF" w:val="clear"/>
            <w:tcMar>
              <w:bottom w:w="28" w:type="dxa"/>
            </w:tcMar>
            <w:vAlign w:val="bottom"/>
          </w:tcPr>
          <w:p>
            <w:pPr>
              <w:pStyle w:val="TableContents"/>
              <w:spacing w:before="0" w:after="0"/>
              <w:jc w:val="right"/>
              <w:rPr/>
            </w:pPr>
            <w:r>
              <w:rPr/>
              <w:t>1.0</w:t>
            </w:r>
          </w:p>
        </w:tc>
        <w:tc>
          <w:tcPr>
            <w:tcW w:w="75"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0"/>
              <w:ind w:left="144" w:right="0" w:hanging="144"/>
              <w:rPr/>
            </w:pPr>
            <w:r>
              <w:rPr/>
              <w:t>Adjusted Net Income (Loss)</w:t>
            </w:r>
          </w:p>
        </w:tc>
        <w:tc>
          <w:tcPr>
            <w:tcW w:w="60" w:type="dxa"/>
            <w:tcBorders/>
            <w:shd w:fill="auto" w:val="clear"/>
            <w:vAlign w:val="bottom"/>
          </w:tcPr>
          <w:p>
            <w:pPr>
              <w:pStyle w:val="TableContents"/>
              <w:spacing w:before="0" w:after="283"/>
              <w:jc w:val="right"/>
              <w:rPr/>
            </w:pPr>
            <w:r>
              <w:rPr/>
              <w:t> </w:t>
            </w:r>
          </w:p>
        </w:tc>
        <w:tc>
          <w:tcPr>
            <w:tcW w:w="313" w:type="dxa"/>
            <w:tcBorders>
              <w:bottom w:val="double" w:sz="8" w:space="0" w:color="000000"/>
            </w:tcBorders>
            <w:shd w:fill="auto" w:val="clear"/>
            <w:tcMar>
              <w:bottom w:w="28" w:type="dxa"/>
            </w:tcMar>
            <w:vAlign w:val="bottom"/>
          </w:tcPr>
          <w:p>
            <w:pPr>
              <w:pStyle w:val="TableContents"/>
              <w:spacing w:before="0" w:after="0"/>
              <w:rPr/>
            </w:pPr>
            <w:r>
              <w:rPr/>
              <w:t>$</w:t>
            </w:r>
          </w:p>
        </w:tc>
        <w:tc>
          <w:tcPr>
            <w:tcW w:w="1161" w:type="dxa"/>
            <w:tcBorders>
              <w:bottom w:val="double" w:sz="8" w:space="0" w:color="000000"/>
            </w:tcBorders>
            <w:shd w:fill="auto" w:val="clear"/>
            <w:tcMar>
              <w:bottom w:w="28" w:type="dxa"/>
            </w:tcMar>
            <w:vAlign w:val="bottom"/>
          </w:tcPr>
          <w:p>
            <w:pPr>
              <w:pStyle w:val="TableContents"/>
              <w:spacing w:before="0" w:after="0"/>
              <w:jc w:val="right"/>
              <w:rPr/>
            </w:pPr>
            <w:r>
              <w:rPr/>
              <w:t>(10.4</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355" w:type="dxa"/>
            <w:tcBorders>
              <w:bottom w:val="double" w:sz="8" w:space="0" w:color="000000"/>
            </w:tcBorders>
            <w:shd w:fill="auto" w:val="clear"/>
            <w:tcMar>
              <w:bottom w:w="28" w:type="dxa"/>
            </w:tcMar>
            <w:vAlign w:val="bottom"/>
          </w:tcPr>
          <w:p>
            <w:pPr>
              <w:pStyle w:val="TableContents"/>
              <w:spacing w:before="0" w:after="0"/>
              <w:rPr/>
            </w:pPr>
            <w:r>
              <w:rPr/>
              <w:t>$</w:t>
            </w:r>
          </w:p>
        </w:tc>
        <w:tc>
          <w:tcPr>
            <w:tcW w:w="1119" w:type="dxa"/>
            <w:tcBorders>
              <w:bottom w:val="double" w:sz="8" w:space="0" w:color="000000"/>
            </w:tcBorders>
            <w:shd w:fill="auto" w:val="clear"/>
            <w:tcMar>
              <w:bottom w:w="28" w:type="dxa"/>
            </w:tcMar>
            <w:vAlign w:val="bottom"/>
          </w:tcPr>
          <w:p>
            <w:pPr>
              <w:pStyle w:val="TableContents"/>
              <w:spacing w:before="0" w:after="0"/>
              <w:jc w:val="right"/>
              <w:rPr/>
            </w:pPr>
            <w:r>
              <w:rPr/>
              <w:t>12.9</w:t>
            </w:r>
          </w:p>
        </w:tc>
        <w:tc>
          <w:tcPr>
            <w:tcW w:w="75" w:type="dxa"/>
            <w:tcBorders/>
            <w:shd w:fill="auto" w:val="clear"/>
            <w:vAlign w:val="bottom"/>
          </w:tcPr>
          <w:p>
            <w:pPr>
              <w:pStyle w:val="TableContents"/>
              <w:spacing w:before="0" w:after="283"/>
              <w:rPr/>
            </w:pPr>
            <w:r>
              <w:rPr/>
              <w:t> </w:t>
            </w:r>
          </w:p>
        </w:tc>
      </w:tr>
    </w:tbl>
    <w:p>
      <w:pPr>
        <w:pStyle w:val="TextBody"/>
        <w:spacing w:before="0" w:after="0"/>
        <w:rPr/>
      </w:pPr>
      <w:r>
        <w:rPr/>
      </w:r>
    </w:p>
    <w:tbl>
      <w:tblPr>
        <w:tblW w:w="7080" w:type="dxa"/>
        <w:jc w:val="left"/>
        <w:tblInd w:w="0" w:type="dxa"/>
        <w:tblCellMar>
          <w:top w:w="0" w:type="dxa"/>
          <w:left w:w="0" w:type="dxa"/>
          <w:bottom w:w="0" w:type="dxa"/>
          <w:right w:w="0" w:type="dxa"/>
        </w:tblCellMar>
      </w:tblPr>
      <w:tblGrid>
        <w:gridCol w:w="4310"/>
        <w:gridCol w:w="60"/>
        <w:gridCol w:w="140"/>
        <w:gridCol w:w="1100"/>
        <w:gridCol w:w="95"/>
        <w:gridCol w:w="60"/>
        <w:gridCol w:w="140"/>
        <w:gridCol w:w="1100"/>
        <w:gridCol w:w="75"/>
      </w:tblGrid>
      <w:tr>
        <w:trPr/>
        <w:tc>
          <w:tcPr>
            <w:tcW w:w="4310" w:type="dxa"/>
            <w:tcBorders/>
            <w:shd w:fill="CCEEFF" w:val="clear"/>
            <w:vAlign w:val="bottom"/>
          </w:tcPr>
          <w:p>
            <w:pPr>
              <w:pStyle w:val="TableContents"/>
              <w:spacing w:before="0" w:after="0"/>
              <w:ind w:left="324" w:right="0" w:hanging="144"/>
              <w:rPr/>
            </w:pPr>
            <w:r>
              <w:rPr/>
              <w:t>Reported earnings (loss) per share—basic</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(0.49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0.21</w:t>
            </w:r>
          </w:p>
        </w:tc>
        <w:tc>
          <w:tcPr>
            <w:tcW w:w="75" w:type="dxa"/>
            <w:tcBorders/>
            <w:shd w:fill="CCEE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0"/>
              <w:ind w:left="324" w:right="0" w:hanging="144"/>
              <w:rPr/>
            </w:pPr>
            <w:r>
              <w:rPr/>
              <w:t>Reported earnings (loss) per share—diluted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rPr/>
            </w:pPr>
            <w:r>
              <w:rPr/>
              <w:t>$</w:t>
            </w:r>
          </w:p>
        </w:tc>
        <w:tc>
          <w:tcPr>
            <w:tcW w:w="1100" w:type="dxa"/>
            <w:tcBorders/>
            <w:shd w:fill="auto" w:val="clear"/>
            <w:vAlign w:val="bottom"/>
          </w:tcPr>
          <w:p>
            <w:pPr>
              <w:pStyle w:val="TableContents"/>
              <w:spacing w:before="0" w:after="0"/>
              <w:jc w:val="right"/>
              <w:rPr/>
            </w:pPr>
            <w:r>
              <w:rPr/>
              <w:t>(0.49</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rPr/>
            </w:pPr>
            <w:r>
              <w:rPr/>
              <w:t>$</w:t>
            </w:r>
          </w:p>
        </w:tc>
        <w:tc>
          <w:tcPr>
            <w:tcW w:w="1100" w:type="dxa"/>
            <w:tcBorders/>
            <w:shd w:fill="auto" w:val="clear"/>
            <w:vAlign w:val="bottom"/>
          </w:tcPr>
          <w:p>
            <w:pPr>
              <w:pStyle w:val="TableContents"/>
              <w:spacing w:before="0" w:after="0"/>
              <w:jc w:val="right"/>
              <w:rPr/>
            </w:pPr>
            <w:r>
              <w:rPr/>
              <w:t>0.20</w:t>
            </w:r>
          </w:p>
        </w:tc>
        <w:tc>
          <w:tcPr>
            <w:tcW w:w="75" w:type="dxa"/>
            <w:tcBorders/>
            <w:shd w:fill="auto" w:val="clear"/>
            <w:vAlign w:val="bottom"/>
          </w:tcPr>
          <w:p>
            <w:pPr>
              <w:pStyle w:val="TableContents"/>
              <w:spacing w:before="0" w:after="283"/>
              <w:rPr/>
            </w:pPr>
            <w:r>
              <w:rPr/>
              <w:t> </w:t>
            </w:r>
          </w:p>
        </w:tc>
      </w:tr>
      <w:tr>
        <w:trPr/>
        <w:tc>
          <w:tcPr>
            <w:tcW w:w="4310" w:type="dxa"/>
            <w:tcBorders/>
            <w:shd w:fill="CCEEFF" w:val="clear"/>
            <w:vAlign w:val="bottom"/>
          </w:tcPr>
          <w:p>
            <w:pPr>
              <w:pStyle w:val="TableContents"/>
              <w:spacing w:before="0" w:after="0"/>
              <w:ind w:left="324" w:right="0" w:hanging="144"/>
              <w:rPr/>
            </w:pPr>
            <w:r>
              <w:rPr/>
              <w:t>Weighted average number of shares—basic</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pPr>
            <w:r>
              <w:rPr/>
              <w:t>43,390,832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pPr>
            <w:r>
              <w:rPr/>
              <w:t>45,603,208</w:t>
            </w:r>
          </w:p>
        </w:tc>
        <w:tc>
          <w:tcPr>
            <w:tcW w:w="75" w:type="dxa"/>
            <w:tcBorders/>
            <w:shd w:fill="CCEE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0"/>
              <w:ind w:left="324" w:right="0" w:hanging="144"/>
              <w:rPr/>
            </w:pPr>
            <w:r>
              <w:rPr/>
              <w:t>Weighted average number of shares—diluted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pPr>
            <w:r>
              <w:rPr/>
              <w:t>43,390,832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pPr>
            <w:r>
              <w:rPr/>
              <w:t>46,693,294</w:t>
            </w:r>
          </w:p>
        </w:tc>
        <w:tc>
          <w:tcPr>
            <w:tcW w:w="75" w:type="dxa"/>
            <w:tcBorders/>
            <w:shd w:fill="auto" w:val="clear"/>
            <w:vAlign w:val="bottom"/>
          </w:tcPr>
          <w:p>
            <w:pPr>
              <w:pStyle w:val="TableContents"/>
              <w:spacing w:before="0" w:after="283"/>
              <w:rPr/>
            </w:pPr>
            <w:r>
              <w:rPr/>
              <w:t> </w:t>
            </w:r>
          </w:p>
        </w:tc>
      </w:tr>
      <w:tr>
        <w:trPr/>
        <w:tc>
          <w:tcPr>
            <w:tcW w:w="4310" w:type="dxa"/>
            <w:tcBorders/>
            <w:shd w:fill="CCEEFF" w:val="clear"/>
            <w:vAlign w:val="bottom"/>
          </w:tcPr>
          <w:p>
            <w:pPr>
              <w:pStyle w:val="TableContents"/>
              <w:spacing w:before="0" w:after="0"/>
              <w:ind w:left="324" w:right="0" w:hanging="144"/>
              <w:rPr/>
            </w:pPr>
            <w:r>
              <w:rPr/>
              <w:t>Adjusted earnings (loss) per share—basic</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(0.24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0.28</w:t>
            </w:r>
          </w:p>
        </w:tc>
        <w:tc>
          <w:tcPr>
            <w:tcW w:w="75" w:type="dxa"/>
            <w:tcBorders/>
            <w:shd w:fill="CCEE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0"/>
              <w:ind w:left="324" w:right="0" w:hanging="144"/>
              <w:rPr/>
            </w:pPr>
            <w:r>
              <w:rPr/>
              <w:t>Adjusted earnings (loss) per share—diluted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rPr/>
            </w:pPr>
            <w:r>
              <w:rPr/>
              <w:t>$</w:t>
            </w:r>
          </w:p>
        </w:tc>
        <w:tc>
          <w:tcPr>
            <w:tcW w:w="1100" w:type="dxa"/>
            <w:tcBorders/>
            <w:shd w:fill="auto" w:val="clear"/>
            <w:vAlign w:val="bottom"/>
          </w:tcPr>
          <w:p>
            <w:pPr>
              <w:pStyle w:val="TableContents"/>
              <w:spacing w:before="0" w:after="0"/>
              <w:jc w:val="right"/>
              <w:rPr/>
            </w:pPr>
            <w:r>
              <w:rPr/>
              <w:t>(0.24</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rPr/>
            </w:pPr>
            <w:r>
              <w:rPr/>
              <w:t>$</w:t>
            </w:r>
          </w:p>
        </w:tc>
        <w:tc>
          <w:tcPr>
            <w:tcW w:w="1100" w:type="dxa"/>
            <w:tcBorders/>
            <w:shd w:fill="auto" w:val="clear"/>
            <w:vAlign w:val="bottom"/>
          </w:tcPr>
          <w:p>
            <w:pPr>
              <w:pStyle w:val="TableContents"/>
              <w:spacing w:before="0" w:after="0"/>
              <w:jc w:val="right"/>
              <w:rPr/>
            </w:pPr>
            <w:r>
              <w:rPr/>
              <w:t>0.28</w:t>
            </w:r>
          </w:p>
        </w:tc>
        <w:tc>
          <w:tcPr>
            <w:tcW w:w="75" w:type="dxa"/>
            <w:tcBorders/>
            <w:shd w:fill="auto" w:val="clear"/>
            <w:vAlign w:val="bottom"/>
          </w:tcPr>
          <w:p>
            <w:pPr>
              <w:pStyle w:val="TableContents"/>
              <w:spacing w:before="0" w:after="283"/>
              <w:rPr/>
            </w:pPr>
            <w:r>
              <w:rPr/>
              <w:t> </w:t>
            </w:r>
          </w:p>
        </w:tc>
      </w:tr>
      <w:tr>
        <w:trPr/>
        <w:tc>
          <w:tcPr>
            <w:tcW w:w="4310" w:type="dxa"/>
            <w:tcBorders/>
            <w:shd w:fill="CCEEFF" w:val="clear"/>
            <w:vAlign w:val="bottom"/>
          </w:tcPr>
          <w:p>
            <w:pPr>
              <w:pStyle w:val="TableContents"/>
              <w:spacing w:before="0" w:after="0"/>
              <w:ind w:left="324" w:right="0" w:hanging="144"/>
              <w:rPr/>
            </w:pPr>
            <w:r>
              <w:rPr/>
              <w:t>Weighted average number of shares—basic</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pPr>
            <w:r>
              <w:rPr/>
              <w:t>43,390,832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pPr>
            <w:r>
              <w:rPr/>
              <w:t>45,603,208</w:t>
            </w:r>
          </w:p>
        </w:tc>
        <w:tc>
          <w:tcPr>
            <w:tcW w:w="75" w:type="dxa"/>
            <w:tcBorders/>
            <w:shd w:fill="CCEE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0"/>
              <w:ind w:left="324" w:right="0" w:hanging="144"/>
              <w:rPr/>
            </w:pPr>
            <w:r>
              <w:rPr/>
              <w:t>Weighted average number of shares—diluted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pPr>
            <w:r>
              <w:rPr/>
              <w:t>43,390,832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pPr>
            <w:r>
              <w:rPr/>
              <w:t>46,693,294</w:t>
            </w:r>
          </w:p>
        </w:tc>
        <w:tc>
          <w:tcPr>
            <w:tcW w:w="7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HorizontalLine"/>
        <w:jc w:val="left"/>
        <w:rPr/>
      </w:pPr>
      <w:r>
        <w:rPr/>
      </w:r>
    </w:p>
    <w:tbl>
      <w:tblPr>
        <w:tblW w:w="10539" w:type="dxa"/>
        <w:jc w:val="left"/>
        <w:tblInd w:w="0" w:type="dxa"/>
        <w:tblCellMar>
          <w:top w:w="0" w:type="dxa"/>
          <w:left w:w="0" w:type="dxa"/>
          <w:bottom w:w="0" w:type="dxa"/>
          <w:right w:w="0" w:type="dxa"/>
        </w:tblCellMar>
      </w:tblPr>
      <w:tblGrid>
        <w:gridCol w:w="230"/>
        <w:gridCol w:w="10309"/>
      </w:tblGrid>
      <w:tr>
        <w:trPr/>
        <w:tc>
          <w:tcPr>
            <w:tcW w:w="230" w:type="dxa"/>
            <w:tcBorders/>
            <w:shd w:fill="auto" w:val="clear"/>
            <w:vAlign w:val="center"/>
          </w:tcPr>
          <w:p>
            <w:pPr>
              <w:pStyle w:val="TableContents"/>
              <w:spacing w:before="0" w:after="283"/>
              <w:rPr/>
            </w:pPr>
            <w:r>
              <w:rPr/>
              <w:t>(a)</w:t>
            </w:r>
          </w:p>
        </w:tc>
        <w:tc>
          <w:tcPr>
            <w:tcW w:w="10309" w:type="dxa"/>
            <w:tcBorders/>
            <w:shd w:fill="auto" w:val="clear"/>
            <w:vAlign w:val="center"/>
          </w:tcPr>
          <w:p>
            <w:pPr>
              <w:pStyle w:val="TableContents"/>
              <w:spacing w:before="0" w:after="0"/>
              <w:rPr/>
            </w:pPr>
            <w:r>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tc>
      </w:tr>
    </w:tbl>
    <w:tbl>
      <w:tblPr>
        <w:tblW w:w="10539" w:type="dxa"/>
        <w:jc w:val="left"/>
        <w:tblInd w:w="0" w:type="dxa"/>
        <w:tblCellMar>
          <w:top w:w="0" w:type="dxa"/>
          <w:left w:w="0" w:type="dxa"/>
          <w:bottom w:w="0" w:type="dxa"/>
          <w:right w:w="0" w:type="dxa"/>
        </w:tblCellMar>
      </w:tblPr>
      <w:tblGrid>
        <w:gridCol w:w="239"/>
        <w:gridCol w:w="10300"/>
      </w:tblGrid>
      <w:tr>
        <w:trPr/>
        <w:tc>
          <w:tcPr>
            <w:tcW w:w="239" w:type="dxa"/>
            <w:tcBorders/>
            <w:shd w:fill="auto" w:val="clear"/>
            <w:vAlign w:val="center"/>
          </w:tcPr>
          <w:p>
            <w:pPr>
              <w:pStyle w:val="TableContents"/>
              <w:spacing w:before="0" w:after="283"/>
              <w:rPr/>
            </w:pPr>
            <w:r>
              <w:rPr/>
              <w:t>(b)</w:t>
            </w:r>
          </w:p>
        </w:tc>
        <w:tc>
          <w:tcPr>
            <w:tcW w:w="10300" w:type="dxa"/>
            <w:tcBorders/>
            <w:shd w:fill="auto" w:val="clear"/>
            <w:vAlign w:val="center"/>
          </w:tcPr>
          <w:p>
            <w:pPr>
              <w:pStyle w:val="TableContents"/>
              <w:spacing w:before="0" w:after="0"/>
              <w:rPr/>
            </w:pPr>
            <w:r>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tc>
      </w:tr>
    </w:tbl>
    <w:tbl>
      <w:tblPr>
        <w:tblW w:w="10539" w:type="dxa"/>
        <w:jc w:val="left"/>
        <w:tblInd w:w="0" w:type="dxa"/>
        <w:tblCellMar>
          <w:top w:w="0" w:type="dxa"/>
          <w:left w:w="0" w:type="dxa"/>
          <w:bottom w:w="0" w:type="dxa"/>
          <w:right w:w="0" w:type="dxa"/>
        </w:tblCellMar>
      </w:tblPr>
      <w:tblGrid>
        <w:gridCol w:w="228"/>
        <w:gridCol w:w="10311"/>
      </w:tblGrid>
      <w:tr>
        <w:trPr/>
        <w:tc>
          <w:tcPr>
            <w:tcW w:w="228" w:type="dxa"/>
            <w:tcBorders/>
            <w:shd w:fill="auto" w:val="clear"/>
            <w:vAlign w:val="center"/>
          </w:tcPr>
          <w:p>
            <w:pPr>
              <w:pStyle w:val="TableContents"/>
              <w:spacing w:before="0" w:after="283"/>
              <w:rPr/>
            </w:pPr>
            <w:r>
              <w:rPr/>
              <w:t>(c)</w:t>
            </w:r>
          </w:p>
        </w:tc>
        <w:tc>
          <w:tcPr>
            <w:tcW w:w="10311" w:type="dxa"/>
            <w:tcBorders/>
            <w:shd w:fill="auto" w:val="clear"/>
            <w:vAlign w:val="center"/>
          </w:tcPr>
          <w:p>
            <w:pPr>
              <w:pStyle w:val="TableContents"/>
              <w:spacing w:before="0" w:after="0"/>
              <w:rPr/>
            </w:pPr>
            <w:r>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tc>
      </w:tr>
    </w:tbl>
    <w:tbl>
      <w:tblPr>
        <w:tblW w:w="10539" w:type="dxa"/>
        <w:jc w:val="left"/>
        <w:tblInd w:w="0" w:type="dxa"/>
        <w:tblCellMar>
          <w:top w:w="0" w:type="dxa"/>
          <w:left w:w="0" w:type="dxa"/>
          <w:bottom w:w="0" w:type="dxa"/>
          <w:right w:w="0" w:type="dxa"/>
        </w:tblCellMar>
      </w:tblPr>
      <w:tblGrid>
        <w:gridCol w:w="245"/>
        <w:gridCol w:w="10294"/>
      </w:tblGrid>
      <w:tr>
        <w:trPr/>
        <w:tc>
          <w:tcPr>
            <w:tcW w:w="245" w:type="dxa"/>
            <w:tcBorders/>
            <w:shd w:fill="auto" w:val="clear"/>
            <w:vAlign w:val="center"/>
          </w:tcPr>
          <w:p>
            <w:pPr>
              <w:pStyle w:val="TableContents"/>
              <w:spacing w:before="0" w:after="283"/>
              <w:rPr/>
            </w:pPr>
            <w:r>
              <w:rPr/>
              <w:t>(d)</w:t>
            </w:r>
          </w:p>
        </w:tc>
        <w:tc>
          <w:tcPr>
            <w:tcW w:w="10294" w:type="dxa"/>
            <w:tcBorders/>
            <w:shd w:fill="auto" w:val="clear"/>
            <w:vAlign w:val="center"/>
          </w:tcPr>
          <w:p>
            <w:pPr>
              <w:pStyle w:val="TableContents"/>
              <w:spacing w:before="0" w:after="0"/>
              <w:rPr/>
            </w:pPr>
            <w:r>
              <w:rPr/>
              <w:t>For the three months ended March 31, 2023, this adjustment eliminates the termination related charges of $8.4 million in connection with the Program that we offered to certain employees during the first quarter of 2023. As this adjustment meaningfully impacted our operating results and are not expected to represent an ongoing operating expense or income to us, we believe our operating performance results are more usefully compared if this adjustment is excluded.</w:t>
            </w:r>
          </w:p>
        </w:tc>
      </w:tr>
    </w:tbl>
    <w:tbl>
      <w:tblPr>
        <w:tblW w:w="10539" w:type="dxa"/>
        <w:jc w:val="left"/>
        <w:tblInd w:w="0" w:type="dxa"/>
        <w:tblCellMar>
          <w:top w:w="0" w:type="dxa"/>
          <w:left w:w="0" w:type="dxa"/>
          <w:bottom w:w="0" w:type="dxa"/>
          <w:right w:w="0" w:type="dxa"/>
        </w:tblCellMar>
      </w:tblPr>
      <w:tblGrid>
        <w:gridCol w:w="225"/>
        <w:gridCol w:w="10314"/>
      </w:tblGrid>
      <w:tr>
        <w:trPr/>
        <w:tc>
          <w:tcPr>
            <w:tcW w:w="225" w:type="dxa"/>
            <w:tcBorders/>
            <w:shd w:fill="auto" w:val="clear"/>
            <w:vAlign w:val="center"/>
          </w:tcPr>
          <w:p>
            <w:pPr>
              <w:pStyle w:val="TableContents"/>
              <w:spacing w:before="0" w:after="283"/>
              <w:rPr/>
            </w:pPr>
            <w:r>
              <w:rPr/>
              <w:t>(e)</w:t>
            </w:r>
          </w:p>
        </w:tc>
        <w:tc>
          <w:tcPr>
            <w:tcW w:w="10314" w:type="dxa"/>
            <w:tcBorders/>
            <w:shd w:fill="auto" w:val="clear"/>
            <w:vAlign w:val="center"/>
          </w:tcPr>
          <w:p>
            <w:pPr>
              <w:pStyle w:val="TableContents"/>
              <w:spacing w:before="0" w:after="0"/>
              <w:rPr/>
            </w:pPr>
            <w:r>
              <w:rPr/>
              <w:t>For the three months ended March 31, 2023 and 2022, income tax effect on non-GAAP adjustments were calculated by calculating the tax expense of each jurisdiction with or without the non-GAAP adjustments. For the three months ended March 31, 2023, income tax effect on non-GAAP adjustments related to our Korean subsidiary and the U.S parent entity were negative $1.2 million and negative $0.7 million, respectively. For the three months ended March 31, 2022, this adjustment eliminates the income tax effect on non-GAAP adjustments of $1.0 million related to our Korean subsidiary using a calculation method that we compare the tax expense of our Korean subsidiary with and without the non-GAAP adjustments.</w:t>
            </w:r>
          </w:p>
        </w:tc>
      </w:tr>
    </w:tbl>
    <w:p>
      <w:pPr>
        <w:pStyle w:val="TextBody"/>
        <w:spacing w:before="0" w:after="0"/>
        <w:jc w:val="left"/>
        <w:rPr>
          <w:color w:val="000000"/>
        </w:rPr>
      </w:pPr>
      <w:r>
        <w:rPr>
          <w:color w:val="000000"/>
        </w:rPr>
        <w:t> </w:t>
      </w:r>
    </w:p>
    <w:p>
      <w:pPr>
        <w:pStyle w:val="TextBody"/>
        <w:spacing w:before="0" w:after="0"/>
        <w:ind w:left="489" w:right="0" w:hanging="0"/>
        <w:jc w:val="left"/>
        <w:rPr>
          <w:rFonts w:ascii="Times New Roman" w:hAnsi="Times New Roman"/>
          <w:color w:val="000000"/>
          <w:sz w:val="20"/>
        </w:rPr>
      </w:pPr>
      <w:r>
        <w:rPr>
          <w:rFonts w:ascii="Times New Roman" w:hAnsi="Times New Roman"/>
          <w:color w:val="000000"/>
          <w:sz w:val="20"/>
        </w:rPr>
        <w:t>We believe that all adjustments to net income (loss) used to calculate Adjusted Net Income (Loss) was applied consistently to the periods presented.</w:t>
      </w:r>
    </w:p>
    <w:p>
      <w:pPr>
        <w:pStyle w:val="TextBody"/>
        <w:spacing w:before="0" w:after="0"/>
        <w:jc w:val="left"/>
        <w:rPr>
          <w:color w:val="000000"/>
        </w:rPr>
      </w:pPr>
      <w:r>
        <w:rPr>
          <w:color w:val="000000"/>
        </w:rPr>
        <w:t> </w:t>
      </w:r>
    </w:p>
    <w:p>
      <w:pPr>
        <w:pStyle w:val="TextBody"/>
        <w:spacing w:before="0" w:after="0"/>
        <w:ind w:left="489" w:right="0" w:hanging="0"/>
        <w:jc w:val="left"/>
        <w:rPr>
          <w:rFonts w:ascii="Times New Roman" w:hAnsi="Times New Roman"/>
          <w:color w:val="000000"/>
          <w:sz w:val="20"/>
        </w:rPr>
      </w:pPr>
      <w:r>
        <w:rPr>
          <w:rFonts w:ascii="Times New Roman" w:hAnsi="Times New Roman"/>
          <w:color w:val="000000"/>
          <w:sz w:val="20"/>
        </w:rPr>
        <w:t>Adjusted Net Income has limitations as an analytical tool, and you should not consider it in isolation, or as a substitute for analysis of our results as reported under U.S. GAAP. Some of these limitations are:</w:t>
      </w:r>
    </w:p>
    <w:p>
      <w:pPr>
        <w:pStyle w:val="TextBody"/>
        <w:spacing w:before="0" w:after="0"/>
        <w:jc w:val="left"/>
        <w:rPr>
          <w:color w:val="000000"/>
        </w:rPr>
      </w:pPr>
      <w:r>
        <w:rPr>
          <w:color w:val="000000"/>
        </w:rPr>
        <w:t> </w:t>
      </w:r>
    </w:p>
    <w:tbl>
      <w:tblPr>
        <w:tblW w:w="9798" w:type="dxa"/>
        <w:jc w:val="left"/>
        <w:tblInd w:w="0" w:type="dxa"/>
        <w:tblCellMar>
          <w:top w:w="0" w:type="dxa"/>
          <w:left w:w="0" w:type="dxa"/>
          <w:bottom w:w="0" w:type="dxa"/>
          <w:right w:w="0" w:type="dxa"/>
        </w:tblCellMar>
      </w:tblPr>
      <w:tblGrid>
        <w:gridCol w:w="38"/>
        <w:gridCol w:w="110"/>
        <w:gridCol w:w="96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50" w:type="dxa"/>
            <w:tcBorders/>
            <w:shd w:fill="auto" w:val="clear"/>
            <w:vAlign w:val="center"/>
          </w:tcPr>
          <w:p>
            <w:pPr>
              <w:pStyle w:val="TableContents"/>
              <w:spacing w:before="0" w:after="0"/>
              <w:rPr/>
            </w:pPr>
            <w:r>
              <w:rPr/>
              <w:t>Adjusted Net Income does not reflect changes in, or cash requirements for, our working capital needs;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Adjusted Net Income does not consider the potentially dilutive impact of issuing equity-based compensation to our management team and employees;</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Adjusted Net Income does not reflect the costs of holding certain assets and liabilities in foreign currencies; and</w:t>
            </w:r>
          </w:p>
        </w:tc>
      </w:tr>
    </w:tbl>
    <w:p>
      <w:pPr>
        <w:pStyle w:val="TextBody"/>
        <w:spacing w:before="0" w:after="0"/>
        <w:jc w:val="left"/>
        <w:rPr>
          <w:color w:val="000000"/>
        </w:rPr>
      </w:pPr>
      <w:r>
        <w:rPr>
          <w:color w:val="000000"/>
        </w:rPr>
        <w:t> </w:t>
      </w:r>
    </w:p>
    <w:tbl>
      <w:tblPr>
        <w:tblW w:w="10539" w:type="dxa"/>
        <w:jc w:val="left"/>
        <w:tblInd w:w="0" w:type="dxa"/>
        <w:tblCellMar>
          <w:top w:w="0" w:type="dxa"/>
          <w:left w:w="0" w:type="dxa"/>
          <w:bottom w:w="0" w:type="dxa"/>
          <w:right w:w="0" w:type="dxa"/>
        </w:tblCellMar>
      </w:tblPr>
      <w:tblGrid>
        <w:gridCol w:w="38"/>
        <w:gridCol w:w="110"/>
        <w:gridCol w:w="10391"/>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391" w:type="dxa"/>
            <w:tcBorders/>
            <w:shd w:fill="auto" w:val="clear"/>
            <w:vAlign w:val="center"/>
          </w:tcPr>
          <w:p>
            <w:pPr>
              <w:pStyle w:val="TableContents"/>
              <w:spacing w:before="0" w:after="0"/>
              <w:rPr/>
            </w:pPr>
            <w:r>
              <w:rPr/>
              <w:t>other companies in our industry may calculate Adjusted Net Income differently than we do, limiting its usefulness as a comparative measure.</w:t>
            </w:r>
          </w:p>
        </w:tc>
      </w:tr>
    </w:tbl>
    <w:p>
      <w:pPr>
        <w:pStyle w:val="TextBody"/>
        <w:spacing w:before="0" w:after="0"/>
        <w:jc w:val="left"/>
        <w:rPr>
          <w:color w:val="000000"/>
        </w:rPr>
      </w:pPr>
      <w:r>
        <w:rPr>
          <w:color w:val="000000"/>
        </w:rPr>
        <w:t> </w:t>
      </w:r>
    </w:p>
    <w:p>
      <w:pPr>
        <w:pStyle w:val="TextBody"/>
        <w:spacing w:before="0" w:after="0"/>
        <w:ind w:left="489" w:right="0" w:hanging="0"/>
        <w:jc w:val="left"/>
        <w:rPr>
          <w:rFonts w:ascii="Times New Roman" w:hAnsi="Times New Roman"/>
          <w:color w:val="000000"/>
          <w:sz w:val="20"/>
        </w:rPr>
      </w:pPr>
      <w:r>
        <w:rPr>
          <w:rFonts w:ascii="Times New Roman" w:hAnsi="Times New Roman"/>
          <w:color w:val="000000"/>
          <w:sz w:val="20"/>
        </w:rPr>
        <w:t>Because of these limitations, Adjusted Net Income should not be considered as a measure of profitability of our business. We compensate for these limitations by relying primarily on our U.S. GAAP results and using Adjusted Net Income only as a supplement.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Factors Affecting Our Results of Operations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Net</w:t>
      </w:r>
      <w:r>
        <w:rPr>
          <w:rFonts w:ascii="Times New Roman" w:hAnsi="Times New Roman"/>
          <w:color w:val="000000"/>
          <w:sz w:val="20"/>
        </w:rPr>
        <w:t> </w:t>
      </w:r>
      <w:r>
        <w:rPr>
          <w:rFonts w:ascii="Times New Roman" w:hAnsi="Times New Roman"/>
          <w:b/>
          <w:i/>
          <w:color w:val="000000"/>
          <w:sz w:val="20"/>
        </w:rPr>
        <w:t>Sales.</w:t>
      </w:r>
      <w:r>
        <w:rPr>
          <w:rFonts w:ascii="Times New Roman" w:hAnsi="Times New Roman"/>
          <w:color w:val="000000"/>
          <w:sz w:val="20"/>
        </w:rPr>
        <w:t xml:space="preserve"> We derive substantially all of our sales (net of sales returns and allowances) from our standard products business. We outsource 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recognize revenue when a customer obtains control of the product, which is generally upon product shipment, delivery at the customer’s location or upon customer acceptance, depending on the terms of the arrangement. For the three months ended March 31, 2023 and 2022, we sold products to 120 and 140 customers, respectively, and our net sales to our ten largest customers represented 71% and 72% of our net sales—standard products business, respectively.</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will provide the Transitional Fab 3 Foundry Services up to September 1, 2023 at an agreed upon cost plus a mark-up.</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Gross Profit.</w:t>
      </w:r>
      <w:r>
        <w:rPr>
          <w:rFonts w:ascii="Times New Roman" w:hAnsi="Times New Roman"/>
          <w:color w:val="000000"/>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Average</w:t>
      </w:r>
      <w:r>
        <w:rPr>
          <w:rFonts w:ascii="Times New Roman" w:hAnsi="Times New Roman"/>
          <w:color w:val="000000"/>
          <w:sz w:val="20"/>
        </w:rPr>
        <w:t> </w:t>
      </w:r>
      <w:r>
        <w:rPr>
          <w:rFonts w:ascii="Times New Roman" w:hAnsi="Times New Roman"/>
          <w:b/>
          <w:i/>
          <w:color w:val="000000"/>
          <w:sz w:val="20"/>
        </w:rPr>
        <w:t>Selling</w:t>
      </w:r>
      <w:r>
        <w:rPr>
          <w:rFonts w:ascii="Times New Roman" w:hAnsi="Times New Roman"/>
          <w:color w:val="000000"/>
          <w:sz w:val="20"/>
        </w:rPr>
        <w:t> </w:t>
      </w:r>
      <w:r>
        <w:rPr>
          <w:rFonts w:ascii="Times New Roman" w:hAnsi="Times New Roman"/>
          <w:b/>
          <w:i/>
          <w:color w:val="000000"/>
          <w:sz w:val="20"/>
        </w:rPr>
        <w:t>Prices.</w:t>
      </w:r>
      <w:r>
        <w:rPr>
          <w:rFonts w:ascii="Times New Roman" w:hAnsi="Times New Roman"/>
          <w:color w:val="000000"/>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Material Costs.</w:t>
      </w:r>
      <w:r>
        <w:rPr>
          <w:rFonts w:ascii="Times New Roman" w:hAnsi="Times New Roman"/>
          <w:color w:val="000000"/>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Labor</w:t>
      </w:r>
      <w:r>
        <w:rPr>
          <w:rFonts w:ascii="Times New Roman" w:hAnsi="Times New Roman"/>
          <w:color w:val="000000"/>
          <w:sz w:val="20"/>
        </w:rPr>
        <w:t> </w:t>
      </w:r>
      <w:r>
        <w:rPr>
          <w:rFonts w:ascii="Times New Roman" w:hAnsi="Times New Roman"/>
          <w:b/>
          <w:i/>
          <w:color w:val="000000"/>
          <w:sz w:val="20"/>
        </w:rPr>
        <w:t>Costs.</w:t>
      </w:r>
      <w:r>
        <w:rPr>
          <w:rFonts w:ascii="Times New Roman" w:hAnsi="Times New Roman"/>
          <w:color w:val="000000"/>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March 31, 2023, approximately 97% of our employees were eligible for severance benefits.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Depreciation Expense.</w:t>
      </w:r>
      <w:r>
        <w:rPr>
          <w:rFonts w:ascii="Times New Roman" w:hAnsi="Times New Roman"/>
          <w:color w:val="000000"/>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Selling</w:t>
      </w:r>
      <w:r>
        <w:rPr>
          <w:rFonts w:ascii="Times New Roman" w:hAnsi="Times New Roman"/>
          <w:color w:val="000000"/>
          <w:sz w:val="20"/>
        </w:rPr>
        <w:t> </w:t>
      </w:r>
      <w:r>
        <w:rPr>
          <w:rFonts w:ascii="Times New Roman" w:hAnsi="Times New Roman"/>
          <w:b/>
          <w:i/>
          <w:color w:val="000000"/>
          <w:sz w:val="20"/>
        </w:rPr>
        <w:t>Expenses.</w:t>
      </w:r>
      <w:r>
        <w:rPr>
          <w:rFonts w:ascii="Times New Roman" w:hAnsi="Times New Roman"/>
          <w:color w:val="000000"/>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General</w:t>
      </w:r>
      <w:r>
        <w:rPr>
          <w:rFonts w:ascii="Times New Roman" w:hAnsi="Times New Roman"/>
          <w:color w:val="000000"/>
          <w:sz w:val="20"/>
        </w:rPr>
        <w:t> </w:t>
      </w:r>
      <w:r>
        <w:rPr>
          <w:rFonts w:ascii="Times New Roman" w:hAnsi="Times New Roman"/>
          <w:b/>
          <w:i/>
          <w:color w:val="000000"/>
          <w:sz w:val="20"/>
        </w:rPr>
        <w:t>and</w:t>
      </w:r>
      <w:r>
        <w:rPr>
          <w:rFonts w:ascii="Times New Roman" w:hAnsi="Times New Roman"/>
          <w:color w:val="000000"/>
          <w:sz w:val="20"/>
        </w:rPr>
        <w:t> </w:t>
      </w:r>
      <w:r>
        <w:rPr>
          <w:rFonts w:ascii="Times New Roman" w:hAnsi="Times New Roman"/>
          <w:b/>
          <w:i/>
          <w:color w:val="000000"/>
          <w:sz w:val="20"/>
        </w:rPr>
        <w:t>Administrative</w:t>
      </w:r>
      <w:r>
        <w:rPr>
          <w:rFonts w:ascii="Times New Roman" w:hAnsi="Times New Roman"/>
          <w:color w:val="000000"/>
          <w:sz w:val="20"/>
        </w:rPr>
        <w:t> </w:t>
      </w:r>
      <w:r>
        <w:rPr>
          <w:rFonts w:ascii="Times New Roman" w:hAnsi="Times New Roman"/>
          <w:b/>
          <w:i/>
          <w:color w:val="000000"/>
          <w:sz w:val="20"/>
        </w:rPr>
        <w:t>Expenses.</w:t>
      </w:r>
      <w:r>
        <w:rPr>
          <w:rFonts w:ascii="Times New Roman" w:hAnsi="Times New Roman"/>
          <w:color w:val="000000"/>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Research</w:t>
      </w:r>
      <w:r>
        <w:rPr>
          <w:rFonts w:ascii="Times New Roman" w:hAnsi="Times New Roman"/>
          <w:color w:val="000000"/>
          <w:sz w:val="20"/>
        </w:rPr>
        <w:t> </w:t>
      </w:r>
      <w:r>
        <w:rPr>
          <w:rFonts w:ascii="Times New Roman" w:hAnsi="Times New Roman"/>
          <w:b/>
          <w:i/>
          <w:color w:val="000000"/>
          <w:sz w:val="20"/>
        </w:rPr>
        <w:t>and</w:t>
      </w:r>
      <w:r>
        <w:rPr>
          <w:rFonts w:ascii="Times New Roman" w:hAnsi="Times New Roman"/>
          <w:color w:val="000000"/>
          <w:sz w:val="20"/>
        </w:rPr>
        <w:t> </w:t>
      </w:r>
      <w:r>
        <w:rPr>
          <w:rFonts w:ascii="Times New Roman" w:hAnsi="Times New Roman"/>
          <w:b/>
          <w:i/>
          <w:color w:val="000000"/>
          <w:sz w:val="20"/>
        </w:rPr>
        <w:t>Development.</w:t>
      </w:r>
      <w:r>
        <w:rPr>
          <w:rFonts w:ascii="Times New Roman" w:hAnsi="Times New Roman"/>
          <w:color w:val="000000"/>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color w:val="000000"/>
        </w:rPr>
      </w:pPr>
      <w:r>
        <w:rPr>
          <w:color w:val="000000"/>
        </w:rPr>
        <w:t> </w:t>
      </w:r>
      <w:r>
        <w:rPr>
          <w:rFonts w:ascii="Times New Roman" w:hAnsi="Times New Roman"/>
          <w:b/>
          <w:i/>
          <w:color w:val="000000"/>
          <w:sz w:val="20"/>
        </w:rPr>
        <w:t>Impact of Foreign Currency Exchange Rates on Reported Results of Operations.</w:t>
      </w:r>
      <w:r>
        <w:rPr>
          <w:rFonts w:ascii="Times New Roman" w:hAnsi="Times New Roman"/>
          <w:color w:val="000000"/>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2023, the outstanding intercompany loan balance including accrued interest between our Korean subsidiary and our Dutch subsidiary was $301.9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Foreign Currency Gain or Loss.</w:t>
      </w:r>
      <w:r>
        <w:rPr>
          <w:rFonts w:ascii="Times New Roman" w:hAnsi="Times New Roman"/>
          <w:color w:val="000000"/>
          <w:sz w:val="20"/>
        </w:rPr>
        <w:t xml:space="preserve"> 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Income Taxes.</w:t>
      </w:r>
      <w:r>
        <w:rPr>
          <w:rFonts w:ascii="Times New Roman" w:hAnsi="Times New Roman"/>
          <w:color w:val="000000"/>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Capital</w:t>
      </w:r>
      <w:r>
        <w:rPr>
          <w:rFonts w:ascii="Times New Roman" w:hAnsi="Times New Roman"/>
          <w:color w:val="000000"/>
          <w:sz w:val="20"/>
        </w:rPr>
        <w:t> </w:t>
      </w:r>
      <w:r>
        <w:rPr>
          <w:rFonts w:ascii="Times New Roman" w:hAnsi="Times New Roman"/>
          <w:b/>
          <w:i/>
          <w:color w:val="000000"/>
          <w:sz w:val="20"/>
        </w:rPr>
        <w:t>Expenditures.</w:t>
      </w:r>
      <w:r>
        <w:rPr>
          <w:rFonts w:ascii="Times New Roman" w:hAnsi="Times New Roman"/>
          <w:color w:val="000000"/>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490"/>
        <w:jc w:val="left"/>
        <w:rPr>
          <w:color w:val="000000"/>
        </w:rPr>
      </w:pPr>
      <w:r>
        <w:rPr>
          <w:color w:val="000000"/>
        </w:rPr>
        <w:t> </w:t>
      </w:r>
      <w:r>
        <w:rPr>
          <w:rFonts w:ascii="Times New Roman" w:hAnsi="Times New Roman"/>
          <w:b/>
          <w:i/>
          <w:color w:val="000000"/>
          <w:sz w:val="20"/>
        </w:rPr>
        <w:t>Inventories.</w:t>
      </w:r>
      <w:r>
        <w:rPr>
          <w:rFonts w:ascii="Times New Roman" w:hAnsi="Times New Roman"/>
          <w:color w:val="000000"/>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Results of Operations – Comparison of Three Months Ended March 31, 2023 and 2022</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sets forth consolidated results of operations for the three months ended March 31, 2023 and 2022:</w:t>
      </w:r>
    </w:p>
    <w:p>
      <w:pPr>
        <w:pStyle w:val="TextBody"/>
        <w:spacing w:before="0" w:after="0"/>
        <w:jc w:val="left"/>
        <w:rPr/>
      </w:pPr>
      <w:r>
        <w:rPr/>
      </w:r>
    </w:p>
    <w:tbl>
      <w:tblPr>
        <w:tblW w:w="10539" w:type="dxa"/>
        <w:jc w:val="left"/>
        <w:tblInd w:w="0" w:type="dxa"/>
        <w:tblCellMar>
          <w:top w:w="0" w:type="dxa"/>
          <w:left w:w="0" w:type="dxa"/>
          <w:bottom w:w="0" w:type="dxa"/>
          <w:right w:w="0" w:type="dxa"/>
        </w:tblCellMar>
      </w:tblPr>
      <w:tblGrid>
        <w:gridCol w:w="3726"/>
        <w:gridCol w:w="60"/>
        <w:gridCol w:w="216"/>
        <w:gridCol w:w="751"/>
        <w:gridCol w:w="131"/>
        <w:gridCol w:w="82"/>
        <w:gridCol w:w="136"/>
        <w:gridCol w:w="1286"/>
        <w:gridCol w:w="215"/>
        <w:gridCol w:w="60"/>
        <w:gridCol w:w="209"/>
        <w:gridCol w:w="785"/>
        <w:gridCol w:w="128"/>
        <w:gridCol w:w="80"/>
        <w:gridCol w:w="136"/>
        <w:gridCol w:w="1286"/>
        <w:gridCol w:w="215"/>
        <w:gridCol w:w="60"/>
        <w:gridCol w:w="183"/>
        <w:gridCol w:w="677"/>
        <w:gridCol w:w="117"/>
      </w:tblGrid>
      <w:tr>
        <w:trPr/>
        <w:tc>
          <w:tcPr>
            <w:tcW w:w="37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2"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4"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7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31" w:type="dxa"/>
            <w:tcBorders>
              <w:bottom w:val="single" w:sz="12" w:space="0" w:color="000000"/>
            </w:tcBorders>
            <w:shd w:fill="auto" w:val="clear"/>
            <w:tcMar>
              <w:bottom w:w="30" w:type="dxa"/>
            </w:tcMar>
            <w:vAlign w:val="bottom"/>
          </w:tcPr>
          <w:p>
            <w:pPr>
              <w:pStyle w:val="TableContents"/>
              <w:spacing w:before="0" w:after="283"/>
              <w:rPr/>
            </w:pPr>
            <w:r>
              <w:rPr/>
              <w:t> </w:t>
            </w:r>
          </w:p>
        </w:tc>
        <w:tc>
          <w:tcPr>
            <w:tcW w:w="82" w:type="dxa"/>
            <w:tcBorders>
              <w:bottom w:val="single" w:sz="12" w:space="0" w:color="000000"/>
            </w:tcBorders>
            <w:shd w:fill="auto" w:val="clear"/>
            <w:tcMar>
              <w:bottom w:w="30" w:type="dxa"/>
            </w:tcMar>
            <w:vAlign w:val="bottom"/>
          </w:tcPr>
          <w:p>
            <w:pPr>
              <w:pStyle w:val="TableContents"/>
              <w:spacing w:before="0" w:after="283"/>
              <w:rPr/>
            </w:pPr>
            <w:r>
              <w:rPr/>
              <w:t> </w:t>
            </w:r>
          </w:p>
        </w:tc>
        <w:tc>
          <w:tcPr>
            <w:tcW w:w="142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Total Revenues</w:t>
            </w:r>
          </w:p>
        </w:tc>
        <w:tc>
          <w:tcPr>
            <w:tcW w:w="215" w:type="dxa"/>
            <w:tcBorders>
              <w:bottom w:val="single" w:sz="12" w:space="0" w:color="000000"/>
            </w:tcBorders>
            <w:shd w:fill="auto" w:val="clear"/>
            <w:tcMar>
              <w:bottom w:w="30" w:type="dxa"/>
            </w:tcMar>
            <w:vAlign w:val="bottom"/>
          </w:tcPr>
          <w:p>
            <w:pPr>
              <w:pStyle w:val="TableContents"/>
              <w:spacing w:before="0" w:after="283"/>
              <w:rPr/>
            </w:pPr>
            <w:r>
              <w:rPr/>
              <w:t> </w:t>
            </w:r>
          </w:p>
        </w:tc>
        <w:tc>
          <w:tcPr>
            <w:tcW w:w="60" w:type="dxa"/>
            <w:tcBorders>
              <w:bottom w:val="single" w:sz="12" w:space="0" w:color="000000"/>
            </w:tcBorders>
            <w:shd w:fill="auto" w:val="clear"/>
            <w:tcMar>
              <w:bottom w:w="30" w:type="dxa"/>
            </w:tcMar>
            <w:vAlign w:val="bottom"/>
          </w:tcPr>
          <w:p>
            <w:pPr>
              <w:pStyle w:val="TableContents"/>
              <w:spacing w:before="0" w:after="283"/>
              <w:rPr/>
            </w:pPr>
            <w:r>
              <w:rPr/>
              <w:t> </w:t>
            </w:r>
          </w:p>
        </w:tc>
        <w:tc>
          <w:tcPr>
            <w:tcW w:w="99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28" w:type="dxa"/>
            <w:tcBorders>
              <w:bottom w:val="single" w:sz="12" w:space="0" w:color="000000"/>
            </w:tcBorders>
            <w:shd w:fill="auto" w:val="clear"/>
            <w:tcMar>
              <w:bottom w:w="30" w:type="dxa"/>
            </w:tcMar>
            <w:vAlign w:val="bottom"/>
          </w:tcPr>
          <w:p>
            <w:pPr>
              <w:pStyle w:val="TableContents"/>
              <w:spacing w:before="0" w:after="283"/>
              <w:rPr/>
            </w:pPr>
            <w:r>
              <w:rPr/>
              <w:t> </w:t>
            </w:r>
          </w:p>
        </w:tc>
        <w:tc>
          <w:tcPr>
            <w:tcW w:w="80" w:type="dxa"/>
            <w:tcBorders>
              <w:bottom w:val="single" w:sz="12" w:space="0" w:color="000000"/>
            </w:tcBorders>
            <w:shd w:fill="auto" w:val="clear"/>
            <w:tcMar>
              <w:bottom w:w="30" w:type="dxa"/>
            </w:tcMar>
            <w:vAlign w:val="bottom"/>
          </w:tcPr>
          <w:p>
            <w:pPr>
              <w:pStyle w:val="TableContents"/>
              <w:spacing w:before="0" w:after="283"/>
              <w:rPr/>
            </w:pPr>
            <w:r>
              <w:rPr/>
              <w:t> </w:t>
            </w:r>
          </w:p>
        </w:tc>
        <w:tc>
          <w:tcPr>
            <w:tcW w:w="142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Total Revenues</w:t>
            </w:r>
          </w:p>
        </w:tc>
        <w:tc>
          <w:tcPr>
            <w:tcW w:w="215" w:type="dxa"/>
            <w:tcBorders>
              <w:bottom w:val="single" w:sz="12" w:space="0" w:color="000000"/>
            </w:tcBorders>
            <w:shd w:fill="auto" w:val="clear"/>
            <w:tcMar>
              <w:bottom w:w="30" w:type="dxa"/>
            </w:tcMar>
            <w:vAlign w:val="bottom"/>
          </w:tcPr>
          <w:p>
            <w:pPr>
              <w:pStyle w:val="TableContents"/>
              <w:spacing w:before="0" w:after="283"/>
              <w:rPr/>
            </w:pPr>
            <w:r>
              <w:rPr/>
              <w:t> </w:t>
            </w:r>
          </w:p>
        </w:tc>
        <w:tc>
          <w:tcPr>
            <w:tcW w:w="60" w:type="dxa"/>
            <w:tcBorders>
              <w:bottom w:val="single" w:sz="12" w:space="0" w:color="000000"/>
            </w:tcBorders>
            <w:shd w:fill="auto" w:val="clear"/>
            <w:tcMar>
              <w:bottom w:w="30" w:type="dxa"/>
            </w:tcM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p>
            <w:pPr>
              <w:pStyle w:val="TableContents"/>
              <w:spacing w:before="0" w:after="0"/>
              <w:jc w:val="center"/>
              <w:rPr>
                <w:b/>
              </w:rPr>
            </w:pPr>
            <w:r>
              <w:rPr>
                <w:b/>
              </w:rPr>
              <w:t>Amount</w:t>
            </w:r>
          </w:p>
        </w:tc>
        <w:tc>
          <w:tcPr>
            <w:tcW w:w="117" w:type="dxa"/>
            <w:tcBorders/>
            <w:shd w:fill="auto" w:val="clear"/>
            <w:vAlign w:val="bottom"/>
          </w:tcPr>
          <w:p>
            <w:pPr>
              <w:pStyle w:val="TableContents"/>
              <w:spacing w:before="0" w:after="283"/>
              <w:rPr/>
            </w:pPr>
            <w:r>
              <w:rPr/>
              <w:t> </w:t>
            </w:r>
          </w:p>
        </w:tc>
      </w:tr>
      <w:tr>
        <w:trPr/>
        <w:tc>
          <w:tcPr>
            <w:tcW w:w="37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36" w:type="dxa"/>
            <w:gridSpan w:val="18"/>
            <w:tcBorders/>
            <w:shd w:fill="auto" w:val="clear"/>
            <w:vAlign w:val="bottom"/>
          </w:tcPr>
          <w:p>
            <w:pPr>
              <w:pStyle w:val="TableContents"/>
              <w:spacing w:before="0" w:after="0"/>
              <w:ind w:left="0" w:right="0" w:firstLine="140"/>
              <w:jc w:val="center"/>
              <w:rPr>
                <w:b/>
              </w:rPr>
            </w:pPr>
            <w:r>
              <w:rPr>
                <w:b/>
              </w:rPr>
              <w:t>(Dollars in millions)</w:t>
            </w:r>
          </w:p>
        </w:tc>
        <w:tc>
          <w:tcPr>
            <w:tcW w:w="117" w:type="dxa"/>
            <w:tcBorders/>
            <w:shd w:fill="auto" w:val="clear"/>
            <w:vAlign w:val="bottom"/>
          </w:tcPr>
          <w:p>
            <w:pPr>
              <w:pStyle w:val="TableContents"/>
              <w:spacing w:before="0" w:after="283"/>
              <w:rPr/>
            </w:pPr>
            <w:r>
              <w:rPr/>
              <w:t> </w:t>
            </w:r>
          </w:p>
        </w:tc>
      </w:tr>
      <w:tr>
        <w:trPr/>
        <w:tc>
          <w:tcPr>
            <w:tcW w:w="3726" w:type="dxa"/>
            <w:tcBorders/>
            <w:shd w:fill="auto" w:val="clear"/>
            <w:vAlign w:val="bottom"/>
          </w:tcPr>
          <w:p>
            <w:pPr>
              <w:pStyle w:val="TableContents"/>
              <w:spacing w:before="0" w:after="0"/>
              <w:ind w:left="144" w:right="0" w:hanging="144"/>
              <w:rPr/>
            </w:pPr>
            <w:r>
              <w:rPr/>
              <w:t>Revenues</w:t>
            </w:r>
          </w:p>
        </w:tc>
        <w:tc>
          <w:tcPr>
            <w:tcW w:w="60" w:type="dxa"/>
            <w:tcBorders/>
            <w:shd w:fill="auto" w:val="clear"/>
            <w:vAlign w:val="bottom"/>
          </w:tcPr>
          <w:p>
            <w:pPr>
              <w:pStyle w:val="TableContents"/>
              <w:spacing w:before="0" w:after="283"/>
              <w:rPr/>
            </w:pPr>
            <w:r>
              <w:rPr/>
              <w:t> </w:t>
            </w:r>
          </w:p>
        </w:tc>
        <w:tc>
          <w:tcPr>
            <w:tcW w:w="967"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22"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22"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726" w:type="dxa"/>
            <w:tcBorders/>
            <w:shd w:fill="CCEEFF" w:val="clear"/>
            <w:vAlign w:val="bottom"/>
          </w:tcPr>
          <w:p>
            <w:pPr>
              <w:pStyle w:val="TableContents"/>
              <w:spacing w:before="0" w:after="0"/>
              <w:ind w:left="324" w:right="0" w:hanging="144"/>
              <w:rPr/>
            </w:pPr>
            <w:r>
              <w:rPr/>
              <w:t>Net sales – standard products business</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0"/>
              <w:rPr/>
            </w:pPr>
            <w:r>
              <w:rPr/>
              <w:t>$</w:t>
            </w:r>
          </w:p>
        </w:tc>
        <w:tc>
          <w:tcPr>
            <w:tcW w:w="751" w:type="dxa"/>
            <w:tcBorders/>
            <w:shd w:fill="CCEEFF" w:val="clear"/>
            <w:vAlign w:val="bottom"/>
          </w:tcPr>
          <w:p>
            <w:pPr>
              <w:pStyle w:val="TableContents"/>
              <w:spacing w:before="0" w:after="0"/>
              <w:jc w:val="right"/>
              <w:rPr/>
            </w:pPr>
            <w:r>
              <w:rPr/>
              <w:t>51.5</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90.4</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0"/>
              <w:rPr/>
            </w:pPr>
            <w:r>
              <w:rPr/>
              <w:t>$</w:t>
            </w:r>
          </w:p>
        </w:tc>
        <w:tc>
          <w:tcPr>
            <w:tcW w:w="785" w:type="dxa"/>
            <w:tcBorders/>
            <w:shd w:fill="CCEEFF" w:val="clear"/>
            <w:vAlign w:val="bottom"/>
          </w:tcPr>
          <w:p>
            <w:pPr>
              <w:pStyle w:val="TableContents"/>
              <w:spacing w:before="0" w:after="0"/>
              <w:jc w:val="right"/>
              <w:rPr/>
            </w:pPr>
            <w:r>
              <w:rPr/>
              <w:t>94.0</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90.3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0"/>
              <w:rPr/>
            </w:pPr>
            <w:r>
              <w:rPr/>
              <w:t>$</w:t>
            </w:r>
          </w:p>
        </w:tc>
        <w:tc>
          <w:tcPr>
            <w:tcW w:w="677" w:type="dxa"/>
            <w:tcBorders/>
            <w:shd w:fill="CCEEFF" w:val="clear"/>
            <w:vAlign w:val="bottom"/>
          </w:tcPr>
          <w:p>
            <w:pPr>
              <w:pStyle w:val="TableContents"/>
              <w:spacing w:before="0" w:after="0"/>
              <w:jc w:val="right"/>
              <w:rPr/>
            </w:pPr>
            <w:r>
              <w:rPr/>
              <w:t>(42.5</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324" w:right="0" w:hanging="144"/>
              <w:rPr/>
            </w:pPr>
            <w:r>
              <w:rPr/>
              <w:t>Net sales – transitional Fab 3 foundry services</w:t>
            </w:r>
          </w:p>
        </w:tc>
        <w:tc>
          <w:tcPr>
            <w:tcW w:w="60" w:type="dxa"/>
            <w:tcBorders/>
            <w:shd w:fill="auto" w:val="clear"/>
            <w:vAlign w:val="bottom"/>
          </w:tcPr>
          <w:p>
            <w:pPr>
              <w:pStyle w:val="TableContents"/>
              <w:spacing w:before="0" w:after="283"/>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rPr/>
            </w:pPr>
            <w:r>
              <w:rPr/>
              <w:t> </w:t>
            </w:r>
          </w:p>
        </w:tc>
        <w:tc>
          <w:tcPr>
            <w:tcW w:w="751" w:type="dxa"/>
            <w:tcBorders>
              <w:bottom w:val="single" w:sz="12" w:space="0" w:color="000000"/>
            </w:tcBorders>
            <w:shd w:fill="auto" w:val="clear"/>
            <w:tcMar>
              <w:bottom w:w="28" w:type="dxa"/>
            </w:tcMar>
            <w:vAlign w:val="bottom"/>
          </w:tcPr>
          <w:p>
            <w:pPr>
              <w:pStyle w:val="TableContents"/>
              <w:spacing w:before="0" w:after="0"/>
              <w:jc w:val="right"/>
              <w:rPr/>
            </w:pPr>
            <w:r>
              <w:rPr/>
              <w:t>5.5</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9.6</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bottom w:val="single" w:sz="12" w:space="0" w:color="000000"/>
            </w:tcBorders>
            <w:shd w:fill="auto" w:val="clear"/>
            <w:tcMar>
              <w:bottom w:w="28" w:type="dxa"/>
            </w:tcMar>
            <w:vAlign w:val="bottom"/>
          </w:tcPr>
          <w:p>
            <w:pPr>
              <w:pStyle w:val="TableContents"/>
              <w:spacing w:before="0" w:after="283"/>
              <w:rPr/>
            </w:pPr>
            <w:r>
              <w:rPr/>
              <w:t> </w:t>
            </w:r>
          </w:p>
        </w:tc>
        <w:tc>
          <w:tcPr>
            <w:tcW w:w="785" w:type="dxa"/>
            <w:tcBorders>
              <w:bottom w:val="single" w:sz="12" w:space="0" w:color="000000"/>
            </w:tcBorders>
            <w:shd w:fill="auto" w:val="clear"/>
            <w:tcMar>
              <w:bottom w:w="28" w:type="dxa"/>
            </w:tcMar>
            <w:vAlign w:val="bottom"/>
          </w:tcPr>
          <w:p>
            <w:pPr>
              <w:pStyle w:val="TableContents"/>
              <w:spacing w:before="0" w:after="0"/>
              <w:jc w:val="right"/>
              <w:rPr/>
            </w:pPr>
            <w:r>
              <w:rPr/>
              <w:t>10.1</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w:t>
            </w:r>
          </w:p>
        </w:tc>
        <w:tc>
          <w:tcPr>
            <w:tcW w:w="1286" w:type="dxa"/>
            <w:tcBorders>
              <w:bottom w:val="single" w:sz="12" w:space="0" w:color="000000"/>
            </w:tcBorders>
            <w:shd w:fill="auto" w:val="clear"/>
            <w:tcMar>
              <w:bottom w:w="28" w:type="dxa"/>
            </w:tcMar>
            <w:vAlign w:val="bottom"/>
          </w:tcPr>
          <w:p>
            <w:pPr>
              <w:pStyle w:val="TableContents"/>
              <w:spacing w:before="0" w:after="0"/>
              <w:jc w:val="right"/>
              <w:rPr/>
            </w:pPr>
            <w:r>
              <w:rPr/>
              <w:t>9.7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(4.6</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504" w:right="0" w:hanging="144"/>
              <w:rPr/>
            </w:pPr>
            <w:r>
              <w:rPr/>
              <w:t>Total revenues</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0"/>
              <w:jc w:val="right"/>
              <w:rPr/>
            </w:pPr>
            <w:r>
              <w:rPr/>
              <w:t>57.0</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pPr>
            <w:r>
              <w:rPr/>
              <w:t>104.1</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(47.1</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Cost of sales</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 </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rPr/>
            </w:pPr>
            <w:r>
              <w:rPr/>
              <w:t> </w:t>
            </w:r>
          </w:p>
        </w:tc>
      </w:tr>
      <w:tr>
        <w:trPr/>
        <w:tc>
          <w:tcPr>
            <w:tcW w:w="3726" w:type="dxa"/>
            <w:tcBorders/>
            <w:shd w:fill="CCEEFF" w:val="clear"/>
            <w:vAlign w:val="bottom"/>
          </w:tcPr>
          <w:p>
            <w:pPr>
              <w:pStyle w:val="TableContents"/>
              <w:spacing w:before="0" w:after="0"/>
              <w:ind w:left="324" w:right="0" w:hanging="144"/>
              <w:rPr/>
            </w:pPr>
            <w:r>
              <w:rPr/>
              <w:t>Cost of sales – standard products business</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0"/>
              <w:jc w:val="right"/>
              <w:rPr/>
            </w:pPr>
            <w:r>
              <w:rPr/>
              <w:t>37.3</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65.5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pPr>
            <w:r>
              <w:rPr/>
              <w:t>56.1</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53.9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(18.8</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324" w:right="0" w:hanging="144"/>
              <w:rPr/>
            </w:pPr>
            <w:r>
              <w:rPr/>
              <w:t>Cost of sales – transitional Fab 3 foundry services</w:t>
            </w:r>
          </w:p>
        </w:tc>
        <w:tc>
          <w:tcPr>
            <w:tcW w:w="60" w:type="dxa"/>
            <w:tcBorders/>
            <w:shd w:fill="auto" w:val="clear"/>
            <w:vAlign w:val="bottom"/>
          </w:tcPr>
          <w:p>
            <w:pPr>
              <w:pStyle w:val="TableContents"/>
              <w:spacing w:before="0" w:after="283"/>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rPr/>
            </w:pPr>
            <w:r>
              <w:rPr/>
              <w:t> </w:t>
            </w:r>
          </w:p>
        </w:tc>
        <w:tc>
          <w:tcPr>
            <w:tcW w:w="751" w:type="dxa"/>
            <w:tcBorders>
              <w:bottom w:val="single" w:sz="12" w:space="0" w:color="000000"/>
            </w:tcBorders>
            <w:shd w:fill="auto" w:val="clear"/>
            <w:tcMar>
              <w:bottom w:w="28" w:type="dxa"/>
            </w:tcMar>
            <w:vAlign w:val="bottom"/>
          </w:tcPr>
          <w:p>
            <w:pPr>
              <w:pStyle w:val="TableContents"/>
              <w:spacing w:before="0" w:after="0"/>
              <w:jc w:val="right"/>
              <w:rPr/>
            </w:pPr>
            <w:r>
              <w:rPr/>
              <w:t>7.6</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13.3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bottom w:val="single" w:sz="12" w:space="0" w:color="000000"/>
            </w:tcBorders>
            <w:shd w:fill="auto" w:val="clear"/>
            <w:tcMar>
              <w:bottom w:w="28" w:type="dxa"/>
            </w:tcMar>
            <w:vAlign w:val="bottom"/>
          </w:tcPr>
          <w:p>
            <w:pPr>
              <w:pStyle w:val="TableContents"/>
              <w:spacing w:before="0" w:after="283"/>
              <w:rPr/>
            </w:pPr>
            <w:r>
              <w:rPr/>
              <w:t> </w:t>
            </w:r>
          </w:p>
        </w:tc>
        <w:tc>
          <w:tcPr>
            <w:tcW w:w="785" w:type="dxa"/>
            <w:tcBorders>
              <w:bottom w:val="single" w:sz="12" w:space="0" w:color="000000"/>
            </w:tcBorders>
            <w:shd w:fill="auto" w:val="clear"/>
            <w:tcMar>
              <w:bottom w:w="28" w:type="dxa"/>
            </w:tcMar>
            <w:vAlign w:val="bottom"/>
          </w:tcPr>
          <w:p>
            <w:pPr>
              <w:pStyle w:val="TableContents"/>
              <w:spacing w:before="0" w:after="0"/>
              <w:jc w:val="right"/>
              <w:rPr/>
            </w:pPr>
            <w:r>
              <w:rPr/>
              <w:t>9.0</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w:t>
            </w:r>
          </w:p>
        </w:tc>
        <w:tc>
          <w:tcPr>
            <w:tcW w:w="1286" w:type="dxa"/>
            <w:tcBorders>
              <w:bottom w:val="single" w:sz="12" w:space="0" w:color="000000"/>
            </w:tcBorders>
            <w:shd w:fill="auto" w:val="clear"/>
            <w:tcMar>
              <w:bottom w:w="28" w:type="dxa"/>
            </w:tcMar>
            <w:vAlign w:val="bottom"/>
          </w:tcPr>
          <w:p>
            <w:pPr>
              <w:pStyle w:val="TableContents"/>
              <w:spacing w:before="0" w:after="0"/>
              <w:jc w:val="right"/>
              <w:rPr/>
            </w:pPr>
            <w:r>
              <w:rPr/>
              <w:t>8.7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(1.4</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504" w:right="0" w:hanging="144"/>
              <w:rPr/>
            </w:pPr>
            <w:r>
              <w:rPr/>
              <w:t>Total cost of sales</w:t>
            </w:r>
          </w:p>
        </w:tc>
        <w:tc>
          <w:tcPr>
            <w:tcW w:w="60" w:type="dxa"/>
            <w:tcBorders/>
            <w:shd w:fill="CCEEFF" w:val="clear"/>
            <w:vAlign w:val="bottom"/>
          </w:tcPr>
          <w:p>
            <w:pPr>
              <w:pStyle w:val="TableContents"/>
              <w:spacing w:before="0" w:after="283"/>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1" w:type="dxa"/>
            <w:tcBorders>
              <w:bottom w:val="single" w:sz="12" w:space="0" w:color="000000"/>
            </w:tcBorders>
            <w:shd w:fill="CCEEFF" w:val="clear"/>
            <w:tcMar>
              <w:bottom w:w="28" w:type="dxa"/>
            </w:tcMar>
            <w:vAlign w:val="bottom"/>
          </w:tcPr>
          <w:p>
            <w:pPr>
              <w:pStyle w:val="TableContents"/>
              <w:spacing w:before="0" w:after="0"/>
              <w:jc w:val="right"/>
              <w:rPr/>
            </w:pPr>
            <w:r>
              <w:rPr/>
              <w:t>44.9</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78.8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pPr>
            <w:r>
              <w:rPr/>
              <w:t>65.1</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86" w:type="dxa"/>
            <w:tcBorders>
              <w:bottom w:val="single" w:sz="12" w:space="0" w:color="000000"/>
            </w:tcBorders>
            <w:shd w:fill="CCEEFF" w:val="clear"/>
            <w:tcMar>
              <w:bottom w:w="28" w:type="dxa"/>
            </w:tcMar>
            <w:vAlign w:val="bottom"/>
          </w:tcPr>
          <w:p>
            <w:pPr>
              <w:pStyle w:val="TableContents"/>
              <w:spacing w:before="0" w:after="0"/>
              <w:jc w:val="right"/>
              <w:rPr/>
            </w:pPr>
            <w:r>
              <w:rPr/>
              <w:t>62.5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77" w:type="dxa"/>
            <w:tcBorders>
              <w:bottom w:val="single" w:sz="12" w:space="0" w:color="000000"/>
            </w:tcBorders>
            <w:shd w:fill="CCEEFF" w:val="clear"/>
            <w:tcMar>
              <w:bottom w:w="28" w:type="dxa"/>
            </w:tcMar>
            <w:vAlign w:val="bottom"/>
          </w:tcPr>
          <w:p>
            <w:pPr>
              <w:pStyle w:val="TableContents"/>
              <w:spacing w:before="0" w:after="0"/>
              <w:jc w:val="right"/>
              <w:rPr/>
            </w:pPr>
            <w:r>
              <w:rPr/>
              <w:t>(20.2</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Gross profit</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0"/>
              <w:jc w:val="right"/>
              <w:rPr/>
            </w:pPr>
            <w:r>
              <w:rPr/>
              <w:t>12.1</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21.2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0"/>
              <w:jc w:val="right"/>
              <w:rPr/>
            </w:pPr>
            <w:r>
              <w:rPr/>
              <w:t>39.0</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37.5</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(26.9</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144" w:right="0" w:hanging="144"/>
              <w:rPr/>
            </w:pPr>
            <w:r>
              <w:rPr/>
              <w:t>Selling, general and administrative expenses</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0"/>
              <w:jc w:val="right"/>
              <w:rPr/>
            </w:pPr>
            <w:r>
              <w:rPr/>
              <w:t>12.2</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21.3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pPr>
            <w:r>
              <w:rPr/>
              <w:t>14.2</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13.6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(2.0</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Research and development expenses</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0"/>
              <w:jc w:val="right"/>
              <w:rPr/>
            </w:pPr>
            <w:r>
              <w:rPr/>
              <w:t>13.3</w:t>
            </w:r>
          </w:p>
        </w:tc>
        <w:tc>
          <w:tcPr>
            <w:tcW w:w="131"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23.3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0"/>
              <w:jc w:val="right"/>
              <w:rPr/>
            </w:pPr>
            <w:r>
              <w:rPr/>
              <w:t>12.0</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11.5</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1.3</w:t>
            </w:r>
          </w:p>
        </w:tc>
        <w:tc>
          <w:tcPr>
            <w:tcW w:w="117" w:type="dxa"/>
            <w:tcBorders/>
            <w:shd w:fill="auto" w:val="clear"/>
            <w:vAlign w:val="bottom"/>
          </w:tcPr>
          <w:p>
            <w:pPr>
              <w:pStyle w:val="TableContents"/>
              <w:spacing w:before="0" w:after="283"/>
              <w:rPr/>
            </w:pPr>
            <w:r>
              <w:rPr/>
              <w:t> </w:t>
            </w:r>
          </w:p>
        </w:tc>
      </w:tr>
      <w:tr>
        <w:trPr/>
        <w:tc>
          <w:tcPr>
            <w:tcW w:w="3726" w:type="dxa"/>
            <w:tcBorders/>
            <w:shd w:fill="CCEEFF" w:val="clear"/>
            <w:vAlign w:val="bottom"/>
          </w:tcPr>
          <w:p>
            <w:pPr>
              <w:pStyle w:val="TableContents"/>
              <w:spacing w:before="0" w:after="0"/>
              <w:ind w:left="144" w:right="0" w:hanging="144"/>
              <w:rPr/>
            </w:pPr>
            <w:r>
              <w:rPr/>
              <w:t>Early termination charges</w:t>
            </w:r>
          </w:p>
        </w:tc>
        <w:tc>
          <w:tcPr>
            <w:tcW w:w="60" w:type="dxa"/>
            <w:tcBorders/>
            <w:shd w:fill="CCEEFF" w:val="clear"/>
            <w:vAlign w:val="bottom"/>
          </w:tcPr>
          <w:p>
            <w:pPr>
              <w:pStyle w:val="TableContents"/>
              <w:spacing w:before="0" w:after="283"/>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1" w:type="dxa"/>
            <w:tcBorders>
              <w:bottom w:val="single" w:sz="12" w:space="0" w:color="000000"/>
            </w:tcBorders>
            <w:shd w:fill="CCEEFF" w:val="clear"/>
            <w:tcMar>
              <w:bottom w:w="28" w:type="dxa"/>
            </w:tcMar>
            <w:vAlign w:val="bottom"/>
          </w:tcPr>
          <w:p>
            <w:pPr>
              <w:pStyle w:val="TableContents"/>
              <w:spacing w:before="0" w:after="0"/>
              <w:jc w:val="right"/>
              <w:rPr/>
            </w:pPr>
            <w:r>
              <w:rPr/>
              <w:t>8.4</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14.8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8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77" w:type="dxa"/>
            <w:tcBorders>
              <w:bottom w:val="single" w:sz="12" w:space="0" w:color="000000"/>
            </w:tcBorders>
            <w:shd w:fill="CCEEFF" w:val="clear"/>
            <w:tcMar>
              <w:bottom w:w="28" w:type="dxa"/>
            </w:tcMar>
            <w:vAlign w:val="bottom"/>
          </w:tcPr>
          <w:p>
            <w:pPr>
              <w:pStyle w:val="TableContents"/>
              <w:spacing w:before="0" w:after="0"/>
              <w:jc w:val="right"/>
              <w:rPr/>
            </w:pPr>
            <w:r>
              <w:rPr/>
              <w:t>8.4</w:t>
            </w:r>
          </w:p>
        </w:tc>
        <w:tc>
          <w:tcPr>
            <w:tcW w:w="117" w:type="dxa"/>
            <w:tcBorders/>
            <w:shd w:fill="CCEEFF" w:val="clear"/>
            <w:vAlign w:val="bottom"/>
          </w:tcPr>
          <w:p>
            <w:pPr>
              <w:pStyle w:val="TableContents"/>
              <w:spacing w:before="0" w:after="283"/>
              <w:rPr/>
            </w:pPr>
            <w:r>
              <w:rPr/>
              <w:t> </w:t>
            </w:r>
          </w:p>
        </w:tc>
      </w:tr>
      <w:tr>
        <w:trPr/>
        <w:tc>
          <w:tcPr>
            <w:tcW w:w="3726" w:type="dxa"/>
            <w:tcBorders/>
            <w:shd w:fill="auto" w:val="clear"/>
            <w:vAlign w:val="bottom"/>
          </w:tcPr>
          <w:p>
            <w:pPr>
              <w:pStyle w:val="TableContents"/>
              <w:spacing w:before="0" w:after="0"/>
              <w:ind w:left="144" w:right="0" w:hanging="144"/>
              <w:rPr/>
            </w:pPr>
            <w:r>
              <w:rPr/>
              <w:t>Operating income (loss)</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0"/>
              <w:jc w:val="right"/>
              <w:rPr/>
            </w:pPr>
            <w:r>
              <w:rPr/>
              <w:t>(21.8</w:t>
            </w:r>
          </w:p>
        </w:tc>
        <w:tc>
          <w:tcPr>
            <w:tcW w:w="131" w:type="dxa"/>
            <w:tcBorders/>
            <w:shd w:fill="auto" w:val="clear"/>
            <w:vAlign w:val="bottom"/>
          </w:tcPr>
          <w:p>
            <w:pPr>
              <w:pStyle w:val="TableContents"/>
              <w:spacing w:before="0" w:after="0"/>
              <w:rPr/>
            </w:pPr>
            <w:r>
              <w:rPr/>
              <w:t>)</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(38.3</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0"/>
              <w:jc w:val="right"/>
              <w:rPr/>
            </w:pPr>
            <w:r>
              <w:rPr/>
              <w:t>12.9</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12.4</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(34.7</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144" w:right="0" w:hanging="144"/>
              <w:rPr/>
            </w:pPr>
            <w:r>
              <w:rPr/>
              <w:t>Interest income</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0"/>
              <w:jc w:val="right"/>
              <w:rPr/>
            </w:pPr>
            <w:r>
              <w:rPr/>
              <w:t>2.8</w:t>
            </w:r>
          </w:p>
        </w:tc>
        <w:tc>
          <w:tcPr>
            <w:tcW w:w="131"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5.0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pPr>
            <w:r>
              <w:rPr/>
              <w:t>0.7</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0.7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2.1</w:t>
            </w:r>
          </w:p>
        </w:tc>
        <w:tc>
          <w:tcPr>
            <w:tcW w:w="117" w:type="dxa"/>
            <w:tcBorders/>
            <w:shd w:fill="CCEEFF" w:val="clear"/>
            <w:vAlign w:val="bottom"/>
          </w:tcPr>
          <w:p>
            <w:pPr>
              <w:pStyle w:val="TableContents"/>
              <w:spacing w:before="0" w:after="283"/>
              <w:rPr/>
            </w:pPr>
            <w:r>
              <w:rPr/>
              <w:t> </w:t>
            </w:r>
          </w:p>
        </w:tc>
      </w:tr>
      <w:tr>
        <w:trPr/>
        <w:tc>
          <w:tcPr>
            <w:tcW w:w="3726" w:type="dxa"/>
            <w:tcBorders/>
            <w:shd w:fill="auto" w:val="clear"/>
            <w:vAlign w:val="bottom"/>
          </w:tcPr>
          <w:p>
            <w:pPr>
              <w:pStyle w:val="TableContents"/>
              <w:spacing w:before="0" w:after="0"/>
              <w:ind w:left="144" w:right="0" w:hanging="144"/>
              <w:rPr/>
            </w:pPr>
            <w:r>
              <w:rPr/>
              <w:t>Interest expense</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0"/>
              <w:jc w:val="right"/>
              <w:rPr/>
            </w:pPr>
            <w:r>
              <w:rPr/>
              <w:t>(0.3</w:t>
            </w:r>
          </w:p>
        </w:tc>
        <w:tc>
          <w:tcPr>
            <w:tcW w:w="131" w:type="dxa"/>
            <w:tcBorders/>
            <w:shd w:fill="auto" w:val="clear"/>
            <w:vAlign w:val="bottom"/>
          </w:tcPr>
          <w:p>
            <w:pPr>
              <w:pStyle w:val="TableContents"/>
              <w:spacing w:before="0" w:after="0"/>
              <w:rPr/>
            </w:pPr>
            <w:r>
              <w:rPr/>
              <w:t>)</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(0.4</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0"/>
              <w:jc w:val="right"/>
              <w:rPr/>
            </w:pPr>
            <w:r>
              <w:rPr/>
              <w:t>(0.1</w:t>
            </w:r>
          </w:p>
        </w:tc>
        <w:tc>
          <w:tcPr>
            <w:tcW w:w="128" w:type="dxa"/>
            <w:tcBorders/>
            <w:shd w:fill="auto" w:val="clear"/>
            <w:vAlign w:val="bottom"/>
          </w:tcPr>
          <w:p>
            <w:pPr>
              <w:pStyle w:val="TableContents"/>
              <w:spacing w:before="0" w:after="0"/>
              <w:rPr/>
            </w:pPr>
            <w:r>
              <w:rPr/>
              <w:t>)</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(0.1</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(0.1</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144" w:right="0" w:hanging="144"/>
              <w:rPr/>
            </w:pPr>
            <w:r>
              <w:rPr/>
              <w:t>Foreign currency loss, net</w:t>
            </w:r>
          </w:p>
        </w:tc>
        <w:tc>
          <w:tcPr>
            <w:tcW w:w="6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0"/>
              <w:jc w:val="right"/>
              <w:rPr/>
            </w:pPr>
            <w:r>
              <w:rPr/>
              <w:t>(3.4</w:t>
            </w:r>
          </w:p>
        </w:tc>
        <w:tc>
          <w:tcPr>
            <w:tcW w:w="131" w:type="dxa"/>
            <w:tcBorders/>
            <w:shd w:fill="CCEEFF" w:val="clear"/>
            <w:vAlign w:val="bottom"/>
          </w:tcPr>
          <w:p>
            <w:pPr>
              <w:pStyle w:val="TableContents"/>
              <w:spacing w:before="0" w:after="0"/>
              <w:rPr/>
            </w:pPr>
            <w:r>
              <w:rPr/>
              <w:t>)</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(6.0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pPr>
            <w:r>
              <w:rPr/>
              <w:t>(0.7</w:t>
            </w:r>
          </w:p>
        </w:tc>
        <w:tc>
          <w:tcPr>
            <w:tcW w:w="128" w:type="dxa"/>
            <w:tcBorders/>
            <w:shd w:fill="CCEEFF" w:val="clear"/>
            <w:vAlign w:val="bottom"/>
          </w:tcPr>
          <w:p>
            <w:pPr>
              <w:pStyle w:val="TableContents"/>
              <w:spacing w:before="0" w:after="0"/>
              <w:rPr/>
            </w:pPr>
            <w:r>
              <w:rPr/>
              <w:t>)</w:t>
            </w:r>
          </w:p>
        </w:tc>
        <w:tc>
          <w:tcPr>
            <w:tcW w:w="8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(0.7</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(2.7</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Others, net</w:t>
            </w:r>
          </w:p>
        </w:tc>
        <w:tc>
          <w:tcPr>
            <w:tcW w:w="60" w:type="dxa"/>
            <w:tcBorders/>
            <w:shd w:fill="auto" w:val="clear"/>
            <w:vAlign w:val="bottom"/>
          </w:tcPr>
          <w:p>
            <w:pPr>
              <w:pStyle w:val="TableContents"/>
              <w:spacing w:before="0" w:after="283"/>
              <w:rPr/>
            </w:pPr>
            <w:r>
              <w:rPr/>
              <w:t> </w:t>
            </w:r>
          </w:p>
        </w:tc>
        <w:tc>
          <w:tcPr>
            <w:tcW w:w="216" w:type="dxa"/>
            <w:tcBorders>
              <w:bottom w:val="single" w:sz="12" w:space="0" w:color="000000"/>
            </w:tcBorders>
            <w:shd w:fill="auto" w:val="clear"/>
            <w:tcMar>
              <w:bottom w:w="28" w:type="dxa"/>
            </w:tcMar>
            <w:vAlign w:val="bottom"/>
          </w:tcPr>
          <w:p>
            <w:pPr>
              <w:pStyle w:val="TableContents"/>
              <w:spacing w:before="0" w:after="283"/>
              <w:rPr/>
            </w:pPr>
            <w:r>
              <w:rPr/>
              <w:t> </w:t>
            </w:r>
          </w:p>
        </w:tc>
        <w:tc>
          <w:tcPr>
            <w:tcW w:w="751" w:type="dxa"/>
            <w:tcBorders>
              <w:bottom w:val="single" w:sz="12" w:space="0" w:color="000000"/>
            </w:tcBorders>
            <w:shd w:fill="auto" w:val="clear"/>
            <w:tcMar>
              <w:bottom w:w="28" w:type="dxa"/>
            </w:tcMar>
            <w:vAlign w:val="bottom"/>
          </w:tcPr>
          <w:p>
            <w:pPr>
              <w:pStyle w:val="TableContents"/>
              <w:spacing w:before="0" w:after="0"/>
              <w:jc w:val="right"/>
              <w:rPr/>
            </w:pPr>
            <w:r>
              <w:rPr/>
              <w:t>(0.0</w:t>
            </w:r>
          </w:p>
        </w:tc>
        <w:tc>
          <w:tcPr>
            <w:tcW w:w="131" w:type="dxa"/>
            <w:tcBorders/>
            <w:shd w:fill="auto" w:val="clear"/>
            <w:vAlign w:val="bottom"/>
          </w:tcPr>
          <w:p>
            <w:pPr>
              <w:pStyle w:val="TableContents"/>
              <w:spacing w:before="0" w:after="0"/>
              <w:rPr/>
            </w:pPr>
            <w:r>
              <w:rPr/>
              <w:t>)</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(0.1</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9" w:type="dxa"/>
            <w:tcBorders>
              <w:bottom w:val="single" w:sz="12" w:space="0" w:color="000000"/>
            </w:tcBorders>
            <w:shd w:fill="auto" w:val="clear"/>
            <w:tcMar>
              <w:bottom w:w="28" w:type="dxa"/>
            </w:tcMar>
            <w:vAlign w:val="bottom"/>
          </w:tcPr>
          <w:p>
            <w:pPr>
              <w:pStyle w:val="TableContents"/>
              <w:spacing w:before="0" w:after="283"/>
              <w:rPr/>
            </w:pPr>
            <w:r>
              <w:rPr/>
              <w:t> </w:t>
            </w:r>
          </w:p>
        </w:tc>
        <w:tc>
          <w:tcPr>
            <w:tcW w:w="785" w:type="dxa"/>
            <w:tcBorders>
              <w:bottom w:val="single" w:sz="12" w:space="0" w:color="000000"/>
            </w:tcBorders>
            <w:shd w:fill="auto" w:val="clear"/>
            <w:tcMar>
              <w:bottom w:w="28" w:type="dxa"/>
            </w:tcMar>
            <w:vAlign w:val="bottom"/>
          </w:tcPr>
          <w:p>
            <w:pPr>
              <w:pStyle w:val="TableContents"/>
              <w:spacing w:before="0" w:after="0"/>
              <w:jc w:val="right"/>
              <w:rPr/>
            </w:pPr>
            <w:r>
              <w:rPr/>
              <w:t>0.2</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bottom w:val="single" w:sz="12" w:space="0" w:color="000000"/>
            </w:tcBorders>
            <w:shd w:fill="auto" w:val="clear"/>
            <w:tcMar>
              <w:bottom w:w="28" w:type="dxa"/>
            </w:tcMar>
            <w:vAlign w:val="bottom"/>
          </w:tcPr>
          <w:p>
            <w:pPr>
              <w:pStyle w:val="TableContents"/>
              <w:spacing w:before="0" w:after="283"/>
              <w:rPr/>
            </w:pPr>
            <w:r>
              <w:rPr/>
              <w:t> </w:t>
            </w:r>
          </w:p>
        </w:tc>
        <w:tc>
          <w:tcPr>
            <w:tcW w:w="1286" w:type="dxa"/>
            <w:tcBorders>
              <w:bottom w:val="single" w:sz="12" w:space="0" w:color="000000"/>
            </w:tcBorders>
            <w:shd w:fill="auto" w:val="clear"/>
            <w:tcMar>
              <w:bottom w:w="28" w:type="dxa"/>
            </w:tcMar>
            <w:vAlign w:val="bottom"/>
          </w:tcPr>
          <w:p>
            <w:pPr>
              <w:pStyle w:val="TableContents"/>
              <w:spacing w:before="0" w:after="0"/>
              <w:jc w:val="right"/>
              <w:rPr/>
            </w:pPr>
            <w:r>
              <w:rPr/>
              <w:t>0.2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(0.3</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1" w:type="dxa"/>
            <w:tcBorders>
              <w:bottom w:val="single" w:sz="12" w:space="0" w:color="000000"/>
            </w:tcBorders>
            <w:shd w:fill="CCEEFF" w:val="clear"/>
            <w:tcMar>
              <w:bottom w:w="28" w:type="dxa"/>
            </w:tcMar>
            <w:vAlign w:val="bottom"/>
          </w:tcPr>
          <w:p>
            <w:pPr>
              <w:pStyle w:val="TableContents"/>
              <w:spacing w:before="0" w:after="0"/>
              <w:jc w:val="right"/>
              <w:rPr/>
            </w:pPr>
            <w:r>
              <w:rPr/>
              <w:t>(0.9</w:t>
            </w:r>
          </w:p>
        </w:tc>
        <w:tc>
          <w:tcPr>
            <w:tcW w:w="131" w:type="dxa"/>
            <w:tcBorders/>
            <w:shd w:fill="CCEEFF" w:val="clear"/>
            <w:vAlign w:val="bottom"/>
          </w:tcPr>
          <w:p>
            <w:pPr>
              <w:pStyle w:val="TableContents"/>
              <w:spacing w:before="0" w:after="0"/>
              <w:rPr/>
            </w:pPr>
            <w:r>
              <w:rPr/>
              <w:t>)</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(1.5</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pPr>
            <w:r>
              <w:rPr/>
              <w:t>0.1</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86" w:type="dxa"/>
            <w:tcBorders>
              <w:bottom w:val="single" w:sz="12" w:space="0" w:color="000000"/>
            </w:tcBorders>
            <w:shd w:fill="CCEEFF" w:val="clear"/>
            <w:tcMar>
              <w:bottom w:w="28" w:type="dxa"/>
            </w:tcMar>
            <w:vAlign w:val="bottom"/>
          </w:tcPr>
          <w:p>
            <w:pPr>
              <w:pStyle w:val="TableContents"/>
              <w:spacing w:before="0" w:after="0"/>
              <w:jc w:val="right"/>
              <w:rPr/>
            </w:pPr>
            <w:r>
              <w:rPr/>
              <w:t>0.1</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77" w:type="dxa"/>
            <w:tcBorders>
              <w:bottom w:val="single" w:sz="12" w:space="0" w:color="000000"/>
            </w:tcBorders>
            <w:shd w:fill="CCEEFF" w:val="clear"/>
            <w:tcMar>
              <w:bottom w:w="28" w:type="dxa"/>
            </w:tcMar>
            <w:vAlign w:val="bottom"/>
          </w:tcPr>
          <w:p>
            <w:pPr>
              <w:pStyle w:val="TableContents"/>
              <w:spacing w:before="0" w:after="0"/>
              <w:jc w:val="right"/>
              <w:rPr/>
            </w:pPr>
            <w:r>
              <w:rPr/>
              <w:t>(1.0</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Income (loss) before income tax expense</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0"/>
              <w:jc w:val="right"/>
              <w:rPr/>
            </w:pPr>
            <w:r>
              <w:rPr/>
              <w:t>(22.7</w:t>
            </w:r>
          </w:p>
        </w:tc>
        <w:tc>
          <w:tcPr>
            <w:tcW w:w="131" w:type="dxa"/>
            <w:tcBorders/>
            <w:shd w:fill="auto" w:val="clear"/>
            <w:vAlign w:val="bottom"/>
          </w:tcPr>
          <w:p>
            <w:pPr>
              <w:pStyle w:val="TableContents"/>
              <w:spacing w:before="0" w:after="0"/>
              <w:rPr/>
            </w:pPr>
            <w:r>
              <w:rPr/>
              <w:t>)</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(39.8</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0"/>
              <w:jc w:val="right"/>
              <w:rPr/>
            </w:pPr>
            <w:r>
              <w:rPr/>
              <w:t>13.0</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12.5</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(35.7</w:t>
            </w:r>
          </w:p>
        </w:tc>
        <w:tc>
          <w:tcPr>
            <w:tcW w:w="117" w:type="dxa"/>
            <w:tcBorders/>
            <w:shd w:fill="auto" w:val="clear"/>
            <w:vAlign w:val="bottom"/>
          </w:tcPr>
          <w:p>
            <w:pPr>
              <w:pStyle w:val="TableContents"/>
              <w:spacing w:before="0" w:after="0"/>
              <w:rPr/>
            </w:pPr>
            <w:r>
              <w:rPr/>
              <w:t>)</w:t>
            </w:r>
          </w:p>
        </w:tc>
      </w:tr>
      <w:tr>
        <w:trPr/>
        <w:tc>
          <w:tcPr>
            <w:tcW w:w="3726" w:type="dxa"/>
            <w:tcBorders/>
            <w:shd w:fill="CCEEFF" w:val="clear"/>
            <w:vAlign w:val="bottom"/>
          </w:tcPr>
          <w:p>
            <w:pPr>
              <w:pStyle w:val="TableContents"/>
              <w:spacing w:before="0" w:after="0"/>
              <w:ind w:left="144" w:right="0" w:hanging="144"/>
              <w:rPr/>
            </w:pPr>
            <w:r>
              <w:rPr/>
              <w:t>Income tax expense (benefit)</w:t>
            </w:r>
          </w:p>
        </w:tc>
        <w:tc>
          <w:tcPr>
            <w:tcW w:w="60" w:type="dxa"/>
            <w:tcBorders/>
            <w:shd w:fill="CCEEFF" w:val="clear"/>
            <w:vAlign w:val="bottom"/>
          </w:tcPr>
          <w:p>
            <w:pPr>
              <w:pStyle w:val="TableContents"/>
              <w:spacing w:before="0" w:after="283"/>
              <w:rPr/>
            </w:pPr>
            <w:r>
              <w:rPr/>
              <w:t> </w:t>
            </w:r>
          </w:p>
        </w:tc>
        <w:tc>
          <w:tcPr>
            <w:tcW w:w="21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1" w:type="dxa"/>
            <w:tcBorders>
              <w:bottom w:val="single" w:sz="12" w:space="0" w:color="000000"/>
            </w:tcBorders>
            <w:shd w:fill="CCEEFF" w:val="clear"/>
            <w:tcMar>
              <w:bottom w:w="28" w:type="dxa"/>
            </w:tcMar>
            <w:vAlign w:val="bottom"/>
          </w:tcPr>
          <w:p>
            <w:pPr>
              <w:pStyle w:val="TableContents"/>
              <w:spacing w:before="0" w:after="0"/>
              <w:jc w:val="right"/>
              <w:rPr/>
            </w:pPr>
            <w:r>
              <w:rPr/>
              <w:t>(1.2</w:t>
            </w:r>
          </w:p>
        </w:tc>
        <w:tc>
          <w:tcPr>
            <w:tcW w:w="131" w:type="dxa"/>
            <w:tcBorders/>
            <w:shd w:fill="CCEEFF" w:val="clear"/>
            <w:vAlign w:val="bottom"/>
          </w:tcPr>
          <w:p>
            <w:pPr>
              <w:pStyle w:val="TableContents"/>
              <w:spacing w:before="0" w:after="0"/>
              <w:rPr/>
            </w:pPr>
            <w:r>
              <w:rPr/>
              <w:t>)</w:t>
            </w:r>
          </w:p>
        </w:tc>
        <w:tc>
          <w:tcPr>
            <w:tcW w:w="82"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286" w:type="dxa"/>
            <w:tcBorders/>
            <w:shd w:fill="CCEEFF" w:val="clear"/>
            <w:vAlign w:val="bottom"/>
          </w:tcPr>
          <w:p>
            <w:pPr>
              <w:pStyle w:val="TableContents"/>
              <w:spacing w:before="0" w:after="0"/>
              <w:jc w:val="right"/>
              <w:rPr/>
            </w:pPr>
            <w:r>
              <w:rPr/>
              <w:t>(2.2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pPr>
            <w:r>
              <w:rPr/>
              <w:t>3.5</w:t>
            </w:r>
          </w:p>
        </w:tc>
        <w:tc>
          <w:tcPr>
            <w:tcW w:w="128"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86" w:type="dxa"/>
            <w:tcBorders>
              <w:bottom w:val="single" w:sz="12" w:space="0" w:color="000000"/>
            </w:tcBorders>
            <w:shd w:fill="CCEEFF" w:val="clear"/>
            <w:tcMar>
              <w:bottom w:w="28" w:type="dxa"/>
            </w:tcMar>
            <w:vAlign w:val="bottom"/>
          </w:tcPr>
          <w:p>
            <w:pPr>
              <w:pStyle w:val="TableContents"/>
              <w:spacing w:before="0" w:after="0"/>
              <w:jc w:val="right"/>
              <w:rPr/>
            </w:pPr>
            <w:r>
              <w:rPr/>
              <w:t>3.3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77" w:type="dxa"/>
            <w:tcBorders>
              <w:bottom w:val="single" w:sz="12" w:space="0" w:color="000000"/>
            </w:tcBorders>
            <w:shd w:fill="CCEEFF" w:val="clear"/>
            <w:tcMar>
              <w:bottom w:w="28" w:type="dxa"/>
            </w:tcMar>
            <w:vAlign w:val="bottom"/>
          </w:tcPr>
          <w:p>
            <w:pPr>
              <w:pStyle w:val="TableContents"/>
              <w:spacing w:before="0" w:after="0"/>
              <w:jc w:val="right"/>
              <w:rPr/>
            </w:pPr>
            <w:r>
              <w:rPr/>
              <w:t>(4.7</w:t>
            </w:r>
          </w:p>
        </w:tc>
        <w:tc>
          <w:tcPr>
            <w:tcW w:w="117" w:type="dxa"/>
            <w:tcBorders/>
            <w:shd w:fill="CCEEFF" w:val="clear"/>
            <w:vAlign w:val="bottom"/>
          </w:tcPr>
          <w:p>
            <w:pPr>
              <w:pStyle w:val="TableContents"/>
              <w:spacing w:before="0" w:after="0"/>
              <w:rPr/>
            </w:pPr>
            <w:r>
              <w:rPr/>
              <w:t>)</w:t>
            </w:r>
          </w:p>
        </w:tc>
      </w:tr>
      <w:tr>
        <w:trPr/>
        <w:tc>
          <w:tcPr>
            <w:tcW w:w="3726" w:type="dxa"/>
            <w:tcBorders/>
            <w:shd w:fill="auto" w:val="clear"/>
            <w:vAlign w:val="bottom"/>
          </w:tcPr>
          <w:p>
            <w:pPr>
              <w:pStyle w:val="TableContents"/>
              <w:spacing w:before="0" w:after="0"/>
              <w:ind w:left="144" w:right="0" w:hanging="144"/>
              <w:rPr/>
            </w:pPr>
            <w:r>
              <w:rPr/>
              <w:t>Net income (loss)</w:t>
            </w:r>
          </w:p>
        </w:tc>
        <w:tc>
          <w:tcPr>
            <w:tcW w:w="60" w:type="dxa"/>
            <w:tcBorders/>
            <w:shd w:fill="auto" w:val="clear"/>
            <w:vAlign w:val="bottom"/>
          </w:tcPr>
          <w:p>
            <w:pPr>
              <w:pStyle w:val="TableContents"/>
              <w:spacing w:before="0" w:after="283"/>
              <w:rPr/>
            </w:pPr>
            <w:r>
              <w:rPr/>
              <w:t> </w:t>
            </w:r>
          </w:p>
        </w:tc>
        <w:tc>
          <w:tcPr>
            <w:tcW w:w="216" w:type="dxa"/>
            <w:tcBorders>
              <w:bottom w:val="double" w:sz="8" w:space="0" w:color="000000"/>
            </w:tcBorders>
            <w:shd w:fill="auto" w:val="clear"/>
            <w:tcMar>
              <w:bottom w:w="28" w:type="dxa"/>
            </w:tcMar>
            <w:vAlign w:val="bottom"/>
          </w:tcPr>
          <w:p>
            <w:pPr>
              <w:pStyle w:val="TableContents"/>
              <w:spacing w:before="0" w:after="0"/>
              <w:rPr/>
            </w:pPr>
            <w:r>
              <w:rPr/>
              <w:t>$</w:t>
            </w:r>
          </w:p>
        </w:tc>
        <w:tc>
          <w:tcPr>
            <w:tcW w:w="751" w:type="dxa"/>
            <w:tcBorders>
              <w:bottom w:val="double" w:sz="8" w:space="0" w:color="000000"/>
            </w:tcBorders>
            <w:shd w:fill="auto" w:val="clear"/>
            <w:tcMar>
              <w:bottom w:w="28" w:type="dxa"/>
            </w:tcMar>
            <w:vAlign w:val="bottom"/>
          </w:tcPr>
          <w:p>
            <w:pPr>
              <w:pStyle w:val="TableContents"/>
              <w:spacing w:before="0" w:after="0"/>
              <w:jc w:val="right"/>
              <w:rPr/>
            </w:pPr>
            <w:r>
              <w:rPr/>
              <w:t>(21.5</w:t>
            </w:r>
          </w:p>
        </w:tc>
        <w:tc>
          <w:tcPr>
            <w:tcW w:w="131" w:type="dxa"/>
            <w:tcBorders/>
            <w:shd w:fill="auto" w:val="clear"/>
            <w:vAlign w:val="bottom"/>
          </w:tcPr>
          <w:p>
            <w:pPr>
              <w:pStyle w:val="TableContents"/>
              <w:spacing w:before="0" w:after="0"/>
              <w:rPr/>
            </w:pPr>
            <w:r>
              <w:rPr/>
              <w:t>)</w:t>
            </w:r>
          </w:p>
        </w:tc>
        <w:tc>
          <w:tcPr>
            <w:tcW w:w="8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0"/>
              <w:jc w:val="right"/>
              <w:rPr/>
            </w:pPr>
            <w:r>
              <w:rPr/>
              <w:t>(37.7</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9" w:type="dxa"/>
            <w:tcBorders>
              <w:bottom w:val="double" w:sz="8" w:space="0" w:color="000000"/>
            </w:tcBorders>
            <w:shd w:fill="auto" w:val="clear"/>
            <w:tcMar>
              <w:bottom w:w="28" w:type="dxa"/>
            </w:tcMar>
            <w:vAlign w:val="bottom"/>
          </w:tcPr>
          <w:p>
            <w:pPr>
              <w:pStyle w:val="TableContents"/>
              <w:spacing w:before="0" w:after="0"/>
              <w:rPr/>
            </w:pPr>
            <w:r>
              <w:rPr/>
              <w:t>$</w:t>
            </w:r>
          </w:p>
        </w:tc>
        <w:tc>
          <w:tcPr>
            <w:tcW w:w="785" w:type="dxa"/>
            <w:tcBorders>
              <w:bottom w:val="double" w:sz="8" w:space="0" w:color="000000"/>
            </w:tcBorders>
            <w:shd w:fill="auto" w:val="clear"/>
            <w:tcMar>
              <w:bottom w:w="28" w:type="dxa"/>
            </w:tcMar>
            <w:vAlign w:val="bottom"/>
          </w:tcPr>
          <w:p>
            <w:pPr>
              <w:pStyle w:val="TableContents"/>
              <w:spacing w:before="0" w:after="0"/>
              <w:jc w:val="right"/>
              <w:rPr/>
            </w:pPr>
            <w:r>
              <w:rPr/>
              <w:t>9.5</w:t>
            </w:r>
          </w:p>
        </w:tc>
        <w:tc>
          <w:tcPr>
            <w:tcW w:w="128"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6" w:type="dxa"/>
            <w:tcBorders>
              <w:bottom w:val="double" w:sz="8" w:space="0" w:color="000000"/>
            </w:tcBorders>
            <w:shd w:fill="auto" w:val="clear"/>
            <w:tcMar>
              <w:bottom w:w="28" w:type="dxa"/>
            </w:tcMar>
            <w:vAlign w:val="bottom"/>
          </w:tcPr>
          <w:p>
            <w:pPr>
              <w:pStyle w:val="TableContents"/>
              <w:spacing w:before="0" w:after="283"/>
              <w:rPr/>
            </w:pPr>
            <w:r>
              <w:rPr/>
              <w:t> </w:t>
            </w:r>
          </w:p>
        </w:tc>
        <w:tc>
          <w:tcPr>
            <w:tcW w:w="1286" w:type="dxa"/>
            <w:tcBorders>
              <w:bottom w:val="double" w:sz="8" w:space="0" w:color="000000"/>
            </w:tcBorders>
            <w:shd w:fill="auto" w:val="clear"/>
            <w:tcMar>
              <w:bottom w:w="28" w:type="dxa"/>
            </w:tcMar>
            <w:vAlign w:val="bottom"/>
          </w:tcPr>
          <w:p>
            <w:pPr>
              <w:pStyle w:val="TableContents"/>
              <w:spacing w:before="0" w:after="0"/>
              <w:jc w:val="right"/>
              <w:rPr/>
            </w:pPr>
            <w:r>
              <w:rPr/>
              <w:t>9.2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3" w:type="dxa"/>
            <w:tcBorders>
              <w:bottom w:val="double" w:sz="8" w:space="0" w:color="000000"/>
            </w:tcBorders>
            <w:shd w:fill="auto" w:val="clear"/>
            <w:tcMar>
              <w:bottom w:w="28" w:type="dxa"/>
            </w:tcMar>
            <w:vAlign w:val="bottom"/>
          </w:tcPr>
          <w:p>
            <w:pPr>
              <w:pStyle w:val="TableContents"/>
              <w:spacing w:before="0" w:after="0"/>
              <w:rPr/>
            </w:pPr>
            <w:r>
              <w:rPr/>
              <w:t>$</w:t>
            </w:r>
          </w:p>
        </w:tc>
        <w:tc>
          <w:tcPr>
            <w:tcW w:w="677" w:type="dxa"/>
            <w:tcBorders>
              <w:bottom w:val="double" w:sz="8" w:space="0" w:color="000000"/>
            </w:tcBorders>
            <w:shd w:fill="auto" w:val="clear"/>
            <w:tcMar>
              <w:bottom w:w="28" w:type="dxa"/>
            </w:tcMar>
            <w:vAlign w:val="bottom"/>
          </w:tcPr>
          <w:p>
            <w:pPr>
              <w:pStyle w:val="TableContents"/>
              <w:spacing w:before="0" w:after="0"/>
              <w:jc w:val="right"/>
              <w:rPr/>
            </w:pPr>
            <w:r>
              <w:rPr/>
              <w:t>(31.0</w:t>
            </w:r>
          </w:p>
        </w:tc>
        <w:tc>
          <w:tcPr>
            <w:tcW w:w="117" w:type="dxa"/>
            <w:tcBorders/>
            <w:shd w:fill="auto" w:val="clear"/>
            <w:vAlign w:val="bottom"/>
          </w:tcPr>
          <w:p>
            <w:pPr>
              <w:pStyle w:val="TableContents"/>
              <w:spacing w:before="0" w:after="0"/>
              <w:rPr/>
            </w:pPr>
            <w:r>
              <w:rPr/>
              <w:t>)</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3694"/>
        <w:gridCol w:w="60"/>
        <w:gridCol w:w="234"/>
        <w:gridCol w:w="712"/>
        <w:gridCol w:w="91"/>
        <w:gridCol w:w="91"/>
        <w:gridCol w:w="141"/>
        <w:gridCol w:w="1326"/>
        <w:gridCol w:w="215"/>
        <w:gridCol w:w="60"/>
        <w:gridCol w:w="214"/>
        <w:gridCol w:w="814"/>
        <w:gridCol w:w="85"/>
        <w:gridCol w:w="85"/>
        <w:gridCol w:w="140"/>
        <w:gridCol w:w="1326"/>
        <w:gridCol w:w="215"/>
        <w:gridCol w:w="60"/>
        <w:gridCol w:w="183"/>
        <w:gridCol w:w="677"/>
        <w:gridCol w:w="116"/>
      </w:tblGrid>
      <w:tr>
        <w:trPr/>
        <w:tc>
          <w:tcPr>
            <w:tcW w:w="3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64"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91" w:type="dxa"/>
            <w:tcBorders>
              <w:bottom w:val="single" w:sz="12" w:space="0" w:color="000000"/>
            </w:tcBorders>
            <w:shd w:fill="auto" w:val="clear"/>
            <w:tcMar>
              <w:bottom w:w="28" w:type="dxa"/>
            </w:tcMar>
            <w:vAlign w:val="bottom"/>
          </w:tcPr>
          <w:p>
            <w:pPr>
              <w:pStyle w:val="TableContents"/>
              <w:spacing w:before="0" w:after="283"/>
              <w:rPr/>
            </w:pPr>
            <w:r>
              <w:rPr/>
              <w:t> </w:t>
            </w:r>
          </w:p>
        </w:tc>
        <w:tc>
          <w:tcPr>
            <w:tcW w:w="91"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7"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Total Revenues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8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Total Revenues</w:t>
            </w:r>
          </w:p>
        </w:tc>
        <w:tc>
          <w:tcPr>
            <w:tcW w:w="21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p>
            <w:pPr>
              <w:pStyle w:val="TableContents"/>
              <w:spacing w:before="0" w:after="0"/>
              <w:jc w:val="center"/>
              <w:rPr>
                <w:b/>
              </w:rPr>
            </w:pPr>
            <w:r>
              <w:rPr>
                <w:b/>
              </w:rPr>
              <w:t>Amount</w:t>
            </w:r>
          </w:p>
        </w:tc>
        <w:tc>
          <w:tcPr>
            <w:tcW w:w="116" w:type="dxa"/>
            <w:tcBorders/>
            <w:shd w:fill="auto" w:val="clear"/>
            <w:vAlign w:val="bottom"/>
          </w:tcPr>
          <w:p>
            <w:pPr>
              <w:pStyle w:val="TableContents"/>
              <w:spacing w:before="0" w:after="283"/>
              <w:rPr/>
            </w:pPr>
            <w:r>
              <w:rPr/>
              <w:t> </w:t>
            </w:r>
          </w:p>
        </w:tc>
      </w:tr>
      <w:tr>
        <w:trPr/>
        <w:tc>
          <w:tcPr>
            <w:tcW w:w="36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9" w:type="dxa"/>
            <w:gridSpan w:val="18"/>
            <w:tcBorders/>
            <w:shd w:fill="auto" w:val="clear"/>
            <w:vAlign w:val="bottom"/>
          </w:tcPr>
          <w:p>
            <w:pPr>
              <w:pStyle w:val="TableContents"/>
              <w:spacing w:before="0" w:after="0"/>
              <w:ind w:left="0" w:right="0" w:firstLine="80"/>
              <w:jc w:val="center"/>
              <w:rPr>
                <w:b/>
              </w:rPr>
            </w:pPr>
            <w:r>
              <w:rPr>
                <w:b/>
              </w:rPr>
              <w:t>(Dollars in millions)</w:t>
            </w:r>
          </w:p>
        </w:tc>
        <w:tc>
          <w:tcPr>
            <w:tcW w:w="116" w:type="dxa"/>
            <w:tcBorders/>
            <w:shd w:fill="auto" w:val="clear"/>
            <w:vAlign w:val="bottom"/>
          </w:tcPr>
          <w:p>
            <w:pPr>
              <w:pStyle w:val="TableContents"/>
              <w:spacing w:before="0" w:after="283"/>
              <w:rPr/>
            </w:pPr>
            <w:r>
              <w:rPr/>
              <w:t> </w:t>
            </w:r>
          </w:p>
        </w:tc>
      </w:tr>
      <w:tr>
        <w:trPr/>
        <w:tc>
          <w:tcPr>
            <w:tcW w:w="3694" w:type="dxa"/>
            <w:tcBorders/>
            <w:shd w:fill="auto" w:val="clear"/>
            <w:vAlign w:val="bottom"/>
          </w:tcPr>
          <w:p>
            <w:pPr>
              <w:pStyle w:val="TableContents"/>
              <w:spacing w:before="0" w:after="0"/>
              <w:ind w:left="144" w:right="0" w:hanging="144"/>
              <w:rPr>
                <w:b/>
              </w:rPr>
            </w:pPr>
            <w:r>
              <w:rPr>
                <w:b/>
              </w:rPr>
              <w:t>Revenues</w:t>
            </w:r>
          </w:p>
        </w:tc>
        <w:tc>
          <w:tcPr>
            <w:tcW w:w="60"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46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94" w:type="dxa"/>
            <w:tcBorders/>
            <w:shd w:fill="auto" w:val="clear"/>
            <w:vAlign w:val="bottom"/>
          </w:tcPr>
          <w:p>
            <w:pPr>
              <w:pStyle w:val="TableContents"/>
              <w:spacing w:before="0" w:after="0"/>
              <w:ind w:left="324" w:right="0" w:hanging="144"/>
              <w:rPr/>
            </w:pPr>
            <w:r>
              <w:rPr/>
              <w:t>Net sales – standard products business</w:t>
            </w:r>
          </w:p>
        </w:tc>
        <w:tc>
          <w:tcPr>
            <w:tcW w:w="60"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46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94" w:type="dxa"/>
            <w:tcBorders/>
            <w:shd w:fill="CCEEFF" w:val="clear"/>
            <w:vAlign w:val="bottom"/>
          </w:tcPr>
          <w:p>
            <w:pPr>
              <w:pStyle w:val="TableContents"/>
              <w:spacing w:before="0" w:after="0"/>
              <w:ind w:left="504" w:right="0" w:hanging="144"/>
              <w:rPr/>
            </w:pPr>
            <w:r>
              <w:rPr/>
              <w:t>Display Solutions</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0"/>
              <w:rPr/>
            </w:pPr>
            <w:r>
              <w:rPr/>
              <w:t>$</w:t>
            </w:r>
          </w:p>
        </w:tc>
        <w:tc>
          <w:tcPr>
            <w:tcW w:w="712" w:type="dxa"/>
            <w:tcBorders/>
            <w:shd w:fill="CCEEFF" w:val="clear"/>
            <w:vAlign w:val="bottom"/>
          </w:tcPr>
          <w:p>
            <w:pPr>
              <w:pStyle w:val="TableContents"/>
              <w:spacing w:before="0" w:after="0"/>
              <w:jc w:val="right"/>
              <w:rPr/>
            </w:pPr>
            <w:r>
              <w:rPr/>
              <w:t>10.8</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0"/>
              <w:jc w:val="right"/>
              <w:rPr/>
            </w:pPr>
            <w:r>
              <w:rPr/>
              <w:t>19.0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0"/>
              <w:rPr/>
            </w:pPr>
            <w:r>
              <w:rPr/>
              <w:t>$</w:t>
            </w:r>
          </w:p>
        </w:tc>
        <w:tc>
          <w:tcPr>
            <w:tcW w:w="814" w:type="dxa"/>
            <w:tcBorders/>
            <w:shd w:fill="CCEEFF" w:val="clear"/>
            <w:vAlign w:val="bottom"/>
          </w:tcPr>
          <w:p>
            <w:pPr>
              <w:pStyle w:val="TableContents"/>
              <w:spacing w:before="0" w:after="0"/>
              <w:jc w:val="right"/>
              <w:rPr/>
            </w:pPr>
            <w:r>
              <w:rPr/>
              <w:t>29.2</w:t>
            </w:r>
          </w:p>
        </w:tc>
        <w:tc>
          <w:tcPr>
            <w:tcW w:w="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0"/>
              <w:jc w:val="right"/>
              <w:rPr/>
            </w:pPr>
            <w:r>
              <w:rPr/>
              <w:t>28.0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rPr/>
            </w:pPr>
            <w:r>
              <w:rPr/>
              <w:t>$</w:t>
            </w:r>
          </w:p>
        </w:tc>
        <w:tc>
          <w:tcPr>
            <w:tcW w:w="677" w:type="dxa"/>
            <w:tcBorders/>
            <w:shd w:fill="CCEEFF" w:val="clear"/>
            <w:vAlign w:val="bottom"/>
          </w:tcPr>
          <w:p>
            <w:pPr>
              <w:pStyle w:val="TableContents"/>
              <w:spacing w:before="0" w:after="0"/>
              <w:jc w:val="right"/>
              <w:rPr/>
            </w:pPr>
            <w:r>
              <w:rPr/>
              <w:t>(18.3</w:t>
            </w:r>
          </w:p>
        </w:tc>
        <w:tc>
          <w:tcPr>
            <w:tcW w:w="116" w:type="dxa"/>
            <w:tcBorders/>
            <w:shd w:fill="CCEEFF" w:val="clear"/>
            <w:vAlign w:val="bottom"/>
          </w:tcPr>
          <w:p>
            <w:pPr>
              <w:pStyle w:val="TableContents"/>
              <w:spacing w:before="0" w:after="0"/>
              <w:rPr/>
            </w:pPr>
            <w:r>
              <w:rPr/>
              <w:t>)</w:t>
            </w:r>
          </w:p>
        </w:tc>
      </w:tr>
      <w:tr>
        <w:trPr/>
        <w:tc>
          <w:tcPr>
            <w:tcW w:w="3694" w:type="dxa"/>
            <w:tcBorders/>
            <w:shd w:fill="auto" w:val="clear"/>
            <w:vAlign w:val="bottom"/>
          </w:tcPr>
          <w:p>
            <w:pPr>
              <w:pStyle w:val="TableContents"/>
              <w:spacing w:before="0" w:after="0"/>
              <w:ind w:left="504" w:right="0" w:hanging="144"/>
              <w:rPr/>
            </w:pPr>
            <w:r>
              <w:rPr/>
              <w:t>Power Solutions</w:t>
            </w:r>
          </w:p>
        </w:tc>
        <w:tc>
          <w:tcPr>
            <w:tcW w:w="60" w:type="dxa"/>
            <w:tcBorders/>
            <w:shd w:fill="auto" w:val="clear"/>
            <w:vAlign w:val="bottom"/>
          </w:tcPr>
          <w:p>
            <w:pPr>
              <w:pStyle w:val="TableContents"/>
              <w:spacing w:before="0" w:after="283"/>
              <w:jc w:val="right"/>
              <w:rPr/>
            </w:pPr>
            <w:r>
              <w:rPr/>
              <w:t> </w:t>
            </w:r>
          </w:p>
        </w:tc>
        <w:tc>
          <w:tcPr>
            <w:tcW w:w="234" w:type="dxa"/>
            <w:tcBorders>
              <w:bottom w:val="single" w:sz="12" w:space="0" w:color="000000"/>
            </w:tcBorders>
            <w:shd w:fill="auto" w:val="clear"/>
            <w:tcMar>
              <w:bottom w:w="28" w:type="dxa"/>
            </w:tcMar>
            <w:vAlign w:val="bottom"/>
          </w:tcPr>
          <w:p>
            <w:pPr>
              <w:pStyle w:val="TableContents"/>
              <w:spacing w:before="0" w:after="283"/>
              <w:rPr/>
            </w:pPr>
            <w:r>
              <w:rPr/>
              <w:t> </w:t>
            </w:r>
          </w:p>
        </w:tc>
        <w:tc>
          <w:tcPr>
            <w:tcW w:w="712" w:type="dxa"/>
            <w:tcBorders>
              <w:bottom w:val="single" w:sz="12" w:space="0" w:color="000000"/>
            </w:tcBorders>
            <w:shd w:fill="auto" w:val="clear"/>
            <w:tcMar>
              <w:bottom w:w="28" w:type="dxa"/>
            </w:tcMar>
            <w:vAlign w:val="bottom"/>
          </w:tcPr>
          <w:p>
            <w:pPr>
              <w:pStyle w:val="TableContents"/>
              <w:spacing w:before="0" w:after="0"/>
              <w:jc w:val="right"/>
              <w:rPr/>
            </w:pPr>
            <w:r>
              <w:rPr/>
              <w:t>40.7</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w:t>
            </w:r>
          </w:p>
        </w:tc>
        <w:tc>
          <w:tcPr>
            <w:tcW w:w="1326" w:type="dxa"/>
            <w:tcBorders>
              <w:bottom w:val="single" w:sz="12" w:space="0" w:color="000000"/>
            </w:tcBorders>
            <w:shd w:fill="auto" w:val="clear"/>
            <w:tcMar>
              <w:bottom w:w="28" w:type="dxa"/>
            </w:tcMar>
            <w:vAlign w:val="bottom"/>
          </w:tcPr>
          <w:p>
            <w:pPr>
              <w:pStyle w:val="TableContents"/>
              <w:spacing w:before="0" w:after="0"/>
              <w:jc w:val="right"/>
              <w:rPr/>
            </w:pPr>
            <w:r>
              <w:rPr/>
              <w:t>71.4</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rPr/>
            </w:pPr>
            <w:r>
              <w:rPr/>
              <w:t> </w:t>
            </w:r>
          </w:p>
        </w:tc>
        <w:tc>
          <w:tcPr>
            <w:tcW w:w="814" w:type="dxa"/>
            <w:tcBorders>
              <w:bottom w:val="single" w:sz="12" w:space="0" w:color="000000"/>
            </w:tcBorders>
            <w:shd w:fill="auto" w:val="clear"/>
            <w:tcMar>
              <w:bottom w:w="28" w:type="dxa"/>
            </w:tcMar>
            <w:vAlign w:val="bottom"/>
          </w:tcPr>
          <w:p>
            <w:pPr>
              <w:pStyle w:val="TableContents"/>
              <w:spacing w:before="0" w:after="0"/>
              <w:jc w:val="right"/>
              <w:rPr/>
            </w:pPr>
            <w:r>
              <w:rPr/>
              <w:t>64.8</w:t>
            </w:r>
          </w:p>
        </w:tc>
        <w:tc>
          <w:tcPr>
            <w:tcW w:w="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326" w:type="dxa"/>
            <w:tcBorders>
              <w:bottom w:val="single" w:sz="12" w:space="0" w:color="000000"/>
            </w:tcBorders>
            <w:shd w:fill="auto" w:val="clear"/>
            <w:tcMar>
              <w:bottom w:w="28" w:type="dxa"/>
            </w:tcMar>
            <w:vAlign w:val="bottom"/>
          </w:tcPr>
          <w:p>
            <w:pPr>
              <w:pStyle w:val="TableContents"/>
              <w:spacing w:before="0" w:after="0"/>
              <w:jc w:val="right"/>
              <w:rPr/>
            </w:pPr>
            <w:r>
              <w:rPr/>
              <w:t>62.3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(24.2</w:t>
            </w:r>
          </w:p>
        </w:tc>
        <w:tc>
          <w:tcPr>
            <w:tcW w:w="116" w:type="dxa"/>
            <w:tcBorders/>
            <w:shd w:fill="auto" w:val="clear"/>
            <w:vAlign w:val="bottom"/>
          </w:tcPr>
          <w:p>
            <w:pPr>
              <w:pStyle w:val="TableContents"/>
              <w:spacing w:before="0" w:after="0"/>
              <w:rPr/>
            </w:pPr>
            <w:r>
              <w:rPr/>
              <w:t>)</w:t>
            </w:r>
          </w:p>
        </w:tc>
      </w:tr>
      <w:tr>
        <w:trPr/>
        <w:tc>
          <w:tcPr>
            <w:tcW w:w="3694" w:type="dxa"/>
            <w:tcBorders/>
            <w:shd w:fill="CCEEFF" w:val="clear"/>
            <w:vAlign w:val="bottom"/>
          </w:tcPr>
          <w:p>
            <w:pPr>
              <w:pStyle w:val="TableContents"/>
              <w:spacing w:before="0" w:after="0"/>
              <w:ind w:left="684" w:right="0" w:hanging="144"/>
              <w:rPr/>
            </w:pPr>
            <w:r>
              <w:rPr/>
              <w:t>Total standard products business</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51.5</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0"/>
              <w:jc w:val="right"/>
              <w:rPr/>
            </w:pPr>
            <w:r>
              <w:rPr/>
              <w:t>90.4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0"/>
              <w:jc w:val="right"/>
              <w:rPr/>
            </w:pPr>
            <w:r>
              <w:rPr/>
              <w:t>94.0</w:t>
            </w:r>
          </w:p>
        </w:tc>
        <w:tc>
          <w:tcPr>
            <w:tcW w:w="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rPr/>
            </w:pPr>
            <w:r>
              <w:rPr/>
              <w:t> </w:t>
            </w:r>
          </w:p>
        </w:tc>
        <w:tc>
          <w:tcPr>
            <w:tcW w:w="1326" w:type="dxa"/>
            <w:tcBorders/>
            <w:shd w:fill="CCEEFF" w:val="clear"/>
            <w:vAlign w:val="bottom"/>
          </w:tcPr>
          <w:p>
            <w:pPr>
              <w:pStyle w:val="TableContents"/>
              <w:spacing w:before="0" w:after="0"/>
              <w:jc w:val="right"/>
              <w:rPr/>
            </w:pPr>
            <w:r>
              <w:rPr/>
              <w:t>90.3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(42.5</w:t>
            </w:r>
          </w:p>
        </w:tc>
        <w:tc>
          <w:tcPr>
            <w:tcW w:w="116" w:type="dxa"/>
            <w:tcBorders/>
            <w:shd w:fill="CCEEFF" w:val="clear"/>
            <w:vAlign w:val="bottom"/>
          </w:tcPr>
          <w:p>
            <w:pPr>
              <w:pStyle w:val="TableContents"/>
              <w:spacing w:before="0" w:after="0"/>
              <w:rPr/>
            </w:pPr>
            <w:r>
              <w:rPr/>
              <w:t>)</w:t>
            </w:r>
          </w:p>
        </w:tc>
      </w:tr>
      <w:tr>
        <w:trPr/>
        <w:tc>
          <w:tcPr>
            <w:tcW w:w="3694" w:type="dxa"/>
            <w:tcBorders/>
            <w:shd w:fill="auto" w:val="clear"/>
            <w:vAlign w:val="bottom"/>
          </w:tcPr>
          <w:p>
            <w:pPr>
              <w:pStyle w:val="TableContents"/>
              <w:spacing w:before="0" w:after="0"/>
              <w:ind w:left="324" w:right="0" w:hanging="144"/>
              <w:rPr/>
            </w:pPr>
            <w:r>
              <w:rPr/>
              <w:t>Net sales – transitional Fab 3 foundry services</w:t>
            </w:r>
          </w:p>
        </w:tc>
        <w:tc>
          <w:tcPr>
            <w:tcW w:w="60" w:type="dxa"/>
            <w:tcBorders/>
            <w:shd w:fill="auto" w:val="clear"/>
            <w:vAlign w:val="bottom"/>
          </w:tcPr>
          <w:p>
            <w:pPr>
              <w:pStyle w:val="TableContents"/>
              <w:spacing w:before="0" w:after="283"/>
              <w:jc w:val="right"/>
              <w:rPr/>
            </w:pPr>
            <w:r>
              <w:rPr/>
              <w:t> </w:t>
            </w:r>
          </w:p>
        </w:tc>
        <w:tc>
          <w:tcPr>
            <w:tcW w:w="234" w:type="dxa"/>
            <w:tcBorders>
              <w:bottom w:val="single" w:sz="12" w:space="0" w:color="000000"/>
            </w:tcBorders>
            <w:shd w:fill="auto" w:val="clear"/>
            <w:tcMar>
              <w:bottom w:w="28" w:type="dxa"/>
            </w:tcMar>
            <w:vAlign w:val="bottom"/>
          </w:tcPr>
          <w:p>
            <w:pPr>
              <w:pStyle w:val="TableContents"/>
              <w:spacing w:before="0" w:after="283"/>
              <w:rPr/>
            </w:pPr>
            <w:r>
              <w:rPr/>
              <w:t> </w:t>
            </w:r>
          </w:p>
        </w:tc>
        <w:tc>
          <w:tcPr>
            <w:tcW w:w="712" w:type="dxa"/>
            <w:tcBorders>
              <w:bottom w:val="single" w:sz="12" w:space="0" w:color="000000"/>
            </w:tcBorders>
            <w:shd w:fill="auto" w:val="clear"/>
            <w:tcMar>
              <w:bottom w:w="28" w:type="dxa"/>
            </w:tcMar>
            <w:vAlign w:val="bottom"/>
          </w:tcPr>
          <w:p>
            <w:pPr>
              <w:pStyle w:val="TableContents"/>
              <w:spacing w:before="0" w:after="0"/>
              <w:jc w:val="right"/>
              <w:rPr/>
            </w:pPr>
            <w:r>
              <w:rPr/>
              <w:t>5.5</w:t>
            </w:r>
          </w:p>
        </w:tc>
        <w:tc>
          <w:tcPr>
            <w:tcW w:w="91"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w:t>
            </w:r>
          </w:p>
        </w:tc>
        <w:tc>
          <w:tcPr>
            <w:tcW w:w="1326" w:type="dxa"/>
            <w:tcBorders>
              <w:bottom w:val="single" w:sz="12" w:space="0" w:color="000000"/>
            </w:tcBorders>
            <w:shd w:fill="auto" w:val="clear"/>
            <w:tcMar>
              <w:bottom w:w="28" w:type="dxa"/>
            </w:tcMar>
            <w:vAlign w:val="bottom"/>
          </w:tcPr>
          <w:p>
            <w:pPr>
              <w:pStyle w:val="TableContents"/>
              <w:spacing w:before="0" w:after="0"/>
              <w:jc w:val="right"/>
              <w:rPr/>
            </w:pPr>
            <w:r>
              <w:rPr/>
              <w:t>9.6</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4" w:type="dxa"/>
            <w:tcBorders>
              <w:bottom w:val="single" w:sz="12" w:space="0" w:color="000000"/>
            </w:tcBorders>
            <w:shd w:fill="auto" w:val="clear"/>
            <w:tcMar>
              <w:bottom w:w="28" w:type="dxa"/>
            </w:tcMar>
            <w:vAlign w:val="bottom"/>
          </w:tcPr>
          <w:p>
            <w:pPr>
              <w:pStyle w:val="TableContents"/>
              <w:spacing w:before="0" w:after="283"/>
              <w:rPr/>
            </w:pPr>
            <w:r>
              <w:rPr/>
              <w:t> </w:t>
            </w:r>
          </w:p>
        </w:tc>
        <w:tc>
          <w:tcPr>
            <w:tcW w:w="814" w:type="dxa"/>
            <w:tcBorders>
              <w:bottom w:val="single" w:sz="12" w:space="0" w:color="000000"/>
            </w:tcBorders>
            <w:shd w:fill="auto" w:val="clear"/>
            <w:tcMar>
              <w:bottom w:w="28" w:type="dxa"/>
            </w:tcMar>
            <w:vAlign w:val="bottom"/>
          </w:tcPr>
          <w:p>
            <w:pPr>
              <w:pStyle w:val="TableContents"/>
              <w:spacing w:before="0" w:after="0"/>
              <w:jc w:val="right"/>
              <w:rPr/>
            </w:pPr>
            <w:r>
              <w:rPr/>
              <w:t>10.1</w:t>
            </w:r>
          </w:p>
        </w:tc>
        <w:tc>
          <w:tcPr>
            <w:tcW w:w="8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326" w:type="dxa"/>
            <w:tcBorders>
              <w:bottom w:val="single" w:sz="12" w:space="0" w:color="000000"/>
            </w:tcBorders>
            <w:shd w:fill="auto" w:val="clear"/>
            <w:tcMar>
              <w:bottom w:w="28" w:type="dxa"/>
            </w:tcMar>
            <w:vAlign w:val="bottom"/>
          </w:tcPr>
          <w:p>
            <w:pPr>
              <w:pStyle w:val="TableContents"/>
              <w:spacing w:before="0" w:after="0"/>
              <w:jc w:val="right"/>
              <w:rPr/>
            </w:pPr>
            <w:r>
              <w:rPr/>
              <w:t>9.7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(4.6</w:t>
            </w:r>
          </w:p>
        </w:tc>
        <w:tc>
          <w:tcPr>
            <w:tcW w:w="116" w:type="dxa"/>
            <w:tcBorders/>
            <w:shd w:fill="auto" w:val="clear"/>
            <w:vAlign w:val="bottom"/>
          </w:tcPr>
          <w:p>
            <w:pPr>
              <w:pStyle w:val="TableContents"/>
              <w:spacing w:before="0" w:after="0"/>
              <w:rPr/>
            </w:pPr>
            <w:r>
              <w:rPr/>
              <w:t>)</w:t>
            </w:r>
          </w:p>
        </w:tc>
      </w:tr>
      <w:tr>
        <w:trPr/>
        <w:tc>
          <w:tcPr>
            <w:tcW w:w="3694" w:type="dxa"/>
            <w:tcBorders/>
            <w:shd w:fill="CCEEFF" w:val="clear"/>
            <w:vAlign w:val="bottom"/>
          </w:tcPr>
          <w:p>
            <w:pPr>
              <w:pStyle w:val="TableContents"/>
              <w:spacing w:before="0" w:after="0"/>
              <w:ind w:left="684" w:right="0" w:hanging="144"/>
              <w:rPr/>
            </w:pPr>
            <w:r>
              <w:rPr/>
              <w:t>Total revenues</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0"/>
              <w:rPr/>
            </w:pPr>
            <w:r>
              <w:rPr/>
              <w:t>$</w:t>
            </w:r>
          </w:p>
        </w:tc>
        <w:tc>
          <w:tcPr>
            <w:tcW w:w="712" w:type="dxa"/>
            <w:tcBorders>
              <w:bottom w:val="double" w:sz="8" w:space="0" w:color="000000"/>
            </w:tcBorders>
            <w:shd w:fill="CCEEFF" w:val="clear"/>
            <w:tcMar>
              <w:bottom w:w="28" w:type="dxa"/>
            </w:tcMar>
            <w:vAlign w:val="bottom"/>
          </w:tcPr>
          <w:p>
            <w:pPr>
              <w:pStyle w:val="TableContents"/>
              <w:spacing w:before="0" w:after="0"/>
              <w:jc w:val="right"/>
              <w:rPr/>
            </w:pPr>
            <w:r>
              <w:rPr/>
              <w:t>57.0</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right"/>
              <w:rPr/>
            </w:pPr>
            <w:r>
              <w:rPr/>
              <w:t> </w:t>
            </w:r>
          </w:p>
        </w:tc>
        <w:tc>
          <w:tcPr>
            <w:tcW w:w="141" w:type="dxa"/>
            <w:tcBorders>
              <w:bottom w:val="double" w:sz="8" w:space="0" w:color="000000"/>
            </w:tcBorders>
            <w:shd w:fill="CCEEFF" w:val="clear"/>
            <w:tcMar>
              <w:bottom w:w="28" w:type="dxa"/>
            </w:tcMar>
            <w:vAlign w:val="bottom"/>
          </w:tcPr>
          <w:p>
            <w:pPr>
              <w:pStyle w:val="TableContents"/>
              <w:spacing w:before="0" w:after="283"/>
              <w:rPr/>
            </w:pPr>
            <w:r>
              <w:rPr/>
              <w:t> </w:t>
            </w:r>
          </w:p>
        </w:tc>
        <w:tc>
          <w:tcPr>
            <w:tcW w:w="1326"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14" w:type="dxa"/>
            <w:tcBorders>
              <w:bottom w:val="double" w:sz="8" w:space="0" w:color="000000"/>
            </w:tcBorders>
            <w:shd w:fill="CCEEFF" w:val="clear"/>
            <w:tcMar>
              <w:bottom w:w="28" w:type="dxa"/>
            </w:tcMar>
            <w:vAlign w:val="bottom"/>
          </w:tcPr>
          <w:p>
            <w:pPr>
              <w:pStyle w:val="TableContents"/>
              <w:spacing w:before="0" w:after="0"/>
              <w:jc w:val="right"/>
              <w:rPr/>
            </w:pPr>
            <w:r>
              <w:rPr/>
              <w:t>104.1</w:t>
            </w:r>
          </w:p>
        </w:tc>
        <w:tc>
          <w:tcPr>
            <w:tcW w:w="8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rPr/>
            </w:pPr>
            <w:r>
              <w:rPr/>
              <w:t> </w:t>
            </w:r>
          </w:p>
        </w:tc>
        <w:tc>
          <w:tcPr>
            <w:tcW w:w="1326"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bottom w:val="double" w:sz="8" w:space="0" w:color="000000"/>
            </w:tcBorders>
            <w:shd w:fill="CCEEFF" w:val="clear"/>
            <w:tcMar>
              <w:bottom w:w="28" w:type="dxa"/>
            </w:tcMar>
            <w:vAlign w:val="bottom"/>
          </w:tcPr>
          <w:p>
            <w:pPr>
              <w:pStyle w:val="TableContents"/>
              <w:spacing w:before="0" w:after="0"/>
              <w:rPr/>
            </w:pPr>
            <w:r>
              <w:rPr/>
              <w:t>$</w:t>
            </w:r>
          </w:p>
        </w:tc>
        <w:tc>
          <w:tcPr>
            <w:tcW w:w="677" w:type="dxa"/>
            <w:tcBorders>
              <w:bottom w:val="double" w:sz="8" w:space="0" w:color="000000"/>
            </w:tcBorders>
            <w:shd w:fill="CCEEFF" w:val="clear"/>
            <w:tcMar>
              <w:bottom w:w="28" w:type="dxa"/>
            </w:tcMar>
            <w:vAlign w:val="bottom"/>
          </w:tcPr>
          <w:p>
            <w:pPr>
              <w:pStyle w:val="TableContents"/>
              <w:spacing w:before="0" w:after="0"/>
              <w:jc w:val="right"/>
              <w:rPr/>
            </w:pPr>
            <w:r>
              <w:rPr/>
              <w:t>(47.1</w:t>
            </w:r>
          </w:p>
        </w:tc>
        <w:tc>
          <w:tcPr>
            <w:tcW w:w="116" w:type="dxa"/>
            <w:tcBorders/>
            <w:shd w:fill="CCEEFF" w:val="clear"/>
            <w:vAlign w:val="bottom"/>
          </w:tcPr>
          <w:p>
            <w:pPr>
              <w:pStyle w:val="TableContents"/>
              <w:spacing w:before="0" w:after="0"/>
              <w:rPr/>
            </w:pPr>
            <w:r>
              <w:rPr/>
              <w:t>)</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4554"/>
        <w:gridCol w:w="60"/>
        <w:gridCol w:w="236"/>
        <w:gridCol w:w="738"/>
        <w:gridCol w:w="158"/>
        <w:gridCol w:w="99"/>
        <w:gridCol w:w="99"/>
        <w:gridCol w:w="857"/>
        <w:gridCol w:w="215"/>
        <w:gridCol w:w="60"/>
        <w:gridCol w:w="257"/>
        <w:gridCol w:w="803"/>
        <w:gridCol w:w="108"/>
        <w:gridCol w:w="108"/>
        <w:gridCol w:w="112"/>
        <w:gridCol w:w="824"/>
        <w:gridCol w:w="215"/>
        <w:gridCol w:w="60"/>
        <w:gridCol w:w="183"/>
        <w:gridCol w:w="677"/>
        <w:gridCol w:w="116"/>
      </w:tblGrid>
      <w:tr>
        <w:trPr/>
        <w:tc>
          <w:tcPr>
            <w:tcW w:w="45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87"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2"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5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58" w:type="dxa"/>
            <w:tcBorders>
              <w:bottom w:val="single" w:sz="12" w:space="0" w:color="000000"/>
            </w:tcBorders>
            <w:shd w:fill="auto" w:val="clear"/>
            <w:tcMar>
              <w:bottom w:w="28" w:type="dxa"/>
            </w:tcMar>
            <w:vAlign w:val="bottom"/>
          </w:tcPr>
          <w:p>
            <w:pPr>
              <w:pStyle w:val="TableContents"/>
              <w:spacing w:before="0" w:after="283"/>
              <w:rPr/>
            </w:pPr>
            <w:r>
              <w:rPr/>
              <w:t> </w:t>
            </w:r>
          </w:p>
        </w:tc>
        <w:tc>
          <w:tcPr>
            <w:tcW w:w="99" w:type="dxa"/>
            <w:tcBorders>
              <w:bottom w:val="single" w:sz="12" w:space="0" w:color="000000"/>
            </w:tcBorders>
            <w:shd w:fill="auto" w:val="clear"/>
            <w:tcMar>
              <w:bottom w:w="28" w:type="dxa"/>
            </w:tcMar>
            <w:vAlign w:val="bottom"/>
          </w:tcPr>
          <w:p>
            <w:pPr>
              <w:pStyle w:val="TableContents"/>
              <w:spacing w:before="0" w:after="283"/>
              <w:rPr/>
            </w:pPr>
            <w:r>
              <w:rPr/>
              <w:t> </w:t>
            </w:r>
          </w:p>
        </w:tc>
        <w:tc>
          <w:tcPr>
            <w:tcW w:w="95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Net Sales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08" w:type="dxa"/>
            <w:tcBorders>
              <w:bottom w:val="single" w:sz="12" w:space="0" w:color="000000"/>
            </w:tcBorders>
            <w:shd w:fill="auto" w:val="clear"/>
            <w:tcMar>
              <w:bottom w:w="28" w:type="dxa"/>
            </w:tcMar>
            <w:vAlign w:val="bottom"/>
          </w:tcPr>
          <w:p>
            <w:pPr>
              <w:pStyle w:val="TableContents"/>
              <w:spacing w:before="0" w:after="283"/>
              <w:rPr/>
            </w:pPr>
            <w:r>
              <w:rPr/>
              <w:t> </w:t>
            </w:r>
          </w:p>
        </w:tc>
        <w:tc>
          <w:tcPr>
            <w:tcW w:w="108" w:type="dxa"/>
            <w:tcBorders>
              <w:bottom w:val="single" w:sz="12" w:space="0" w:color="000000"/>
            </w:tcBorders>
            <w:shd w:fill="auto" w:val="clear"/>
            <w:tcMar>
              <w:bottom w:w="28" w:type="dxa"/>
            </w:tcMar>
            <w:vAlign w:val="bottom"/>
          </w:tcPr>
          <w:p>
            <w:pPr>
              <w:pStyle w:val="TableContents"/>
              <w:spacing w:before="0" w:after="283"/>
              <w:rPr/>
            </w:pPr>
            <w:r>
              <w:rPr/>
              <w:t> </w:t>
            </w:r>
          </w:p>
        </w:tc>
        <w:tc>
          <w:tcPr>
            <w:tcW w:w="93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Net Sales</w:t>
            </w:r>
          </w:p>
        </w:tc>
        <w:tc>
          <w:tcPr>
            <w:tcW w:w="21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p>
            <w:pPr>
              <w:pStyle w:val="TableContents"/>
              <w:spacing w:before="0" w:after="0"/>
              <w:jc w:val="center"/>
              <w:rPr>
                <w:b/>
              </w:rPr>
            </w:pPr>
            <w:r>
              <w:rPr>
                <w:b/>
              </w:rPr>
              <w:t>Amount</w:t>
            </w:r>
          </w:p>
        </w:tc>
        <w:tc>
          <w:tcPr>
            <w:tcW w:w="116" w:type="dxa"/>
            <w:tcBorders/>
            <w:shd w:fill="auto" w:val="clear"/>
            <w:vAlign w:val="bottom"/>
          </w:tcPr>
          <w:p>
            <w:pPr>
              <w:pStyle w:val="TableContents"/>
              <w:spacing w:before="0" w:after="283"/>
              <w:rPr/>
            </w:pPr>
            <w:r>
              <w:rPr/>
              <w:t> </w:t>
            </w:r>
          </w:p>
        </w:tc>
      </w:tr>
      <w:tr>
        <w:trPr/>
        <w:tc>
          <w:tcPr>
            <w:tcW w:w="45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09" w:type="dxa"/>
            <w:gridSpan w:val="18"/>
            <w:tcBorders/>
            <w:shd w:fill="auto" w:val="clear"/>
            <w:vAlign w:val="bottom"/>
          </w:tcPr>
          <w:p>
            <w:pPr>
              <w:pStyle w:val="TableContents"/>
              <w:spacing w:before="0" w:after="0"/>
              <w:ind w:left="0" w:right="0" w:firstLine="200"/>
              <w:jc w:val="center"/>
              <w:rPr>
                <w:b/>
              </w:rPr>
            </w:pPr>
            <w:r>
              <w:rPr>
                <w:b/>
              </w:rPr>
              <w:t>(Dollars in millions)</w:t>
            </w:r>
          </w:p>
        </w:tc>
        <w:tc>
          <w:tcPr>
            <w:tcW w:w="116" w:type="dxa"/>
            <w:tcBorders/>
            <w:shd w:fill="auto" w:val="clear"/>
            <w:vAlign w:val="bottom"/>
          </w:tcPr>
          <w:p>
            <w:pPr>
              <w:pStyle w:val="TableContents"/>
              <w:spacing w:before="0" w:after="283"/>
              <w:rPr/>
            </w:pPr>
            <w:r>
              <w:rPr/>
              <w:t> </w:t>
            </w:r>
          </w:p>
        </w:tc>
      </w:tr>
      <w:tr>
        <w:trPr/>
        <w:tc>
          <w:tcPr>
            <w:tcW w:w="4554" w:type="dxa"/>
            <w:tcBorders/>
            <w:shd w:fill="auto" w:val="clear"/>
            <w:vAlign w:val="bottom"/>
          </w:tcPr>
          <w:p>
            <w:pPr>
              <w:pStyle w:val="TableContents"/>
              <w:spacing w:before="0" w:after="0"/>
              <w:ind w:left="240" w:right="0" w:hanging="240"/>
              <w:rPr>
                <w:b/>
              </w:rPr>
            </w:pPr>
            <w:r>
              <w:rPr>
                <w:b/>
              </w:rPr>
              <w:t>Gross Profit</w:t>
            </w:r>
          </w:p>
        </w:tc>
        <w:tc>
          <w:tcPr>
            <w:tcW w:w="60" w:type="dxa"/>
            <w:tcBorders/>
            <w:shd w:fill="auto" w:val="clear"/>
            <w:vAlign w:val="bottom"/>
          </w:tcPr>
          <w:p>
            <w:pPr>
              <w:pStyle w:val="TableContents"/>
              <w:spacing w:before="0" w:after="283"/>
              <w:rPr/>
            </w:pPr>
            <w:r>
              <w:rPr/>
              <w:t> </w:t>
            </w:r>
          </w:p>
        </w:tc>
        <w:tc>
          <w:tcPr>
            <w:tcW w:w="974"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0" w:type="dxa"/>
            <w:gridSpan w:val="2"/>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554" w:type="dxa"/>
            <w:tcBorders/>
            <w:shd w:fill="CCEEFF" w:val="clear"/>
            <w:vAlign w:val="bottom"/>
          </w:tcPr>
          <w:p>
            <w:pPr>
              <w:pStyle w:val="TableContents"/>
              <w:spacing w:before="0" w:after="0"/>
              <w:ind w:left="180" w:right="0" w:hanging="0"/>
              <w:rPr/>
            </w:pPr>
            <w:r>
              <w:rPr/>
              <w:t>Gross profit – standard products business</w:t>
            </w:r>
          </w:p>
        </w:tc>
        <w:tc>
          <w:tcPr>
            <w:tcW w:w="60" w:type="dxa"/>
            <w:tcBorders/>
            <w:shd w:fill="CCEEFF" w:val="clear"/>
            <w:vAlign w:val="bottom"/>
          </w:tcPr>
          <w:p>
            <w:pPr>
              <w:pStyle w:val="TableContents"/>
              <w:spacing w:before="0" w:after="283"/>
              <w:jc w:val="right"/>
              <w:rPr/>
            </w:pPr>
            <w:r>
              <w:rPr/>
              <w:t> </w:t>
            </w:r>
          </w:p>
        </w:tc>
        <w:tc>
          <w:tcPr>
            <w:tcW w:w="236" w:type="dxa"/>
            <w:tcBorders/>
            <w:shd w:fill="CCEEFF" w:val="clear"/>
            <w:vAlign w:val="bottom"/>
          </w:tcPr>
          <w:p>
            <w:pPr>
              <w:pStyle w:val="TableContents"/>
              <w:spacing w:before="0" w:after="0"/>
              <w:rPr/>
            </w:pPr>
            <w:r>
              <w:rPr/>
              <w:t>$</w:t>
            </w:r>
          </w:p>
        </w:tc>
        <w:tc>
          <w:tcPr>
            <w:tcW w:w="738" w:type="dxa"/>
            <w:tcBorders/>
            <w:shd w:fill="CCEEFF" w:val="clear"/>
            <w:vAlign w:val="bottom"/>
          </w:tcPr>
          <w:p>
            <w:pPr>
              <w:pStyle w:val="TableContents"/>
              <w:spacing w:before="0" w:after="0"/>
              <w:jc w:val="right"/>
              <w:rPr/>
            </w:pPr>
            <w:r>
              <w:rPr/>
              <w:t>14.2</w:t>
            </w:r>
          </w:p>
        </w:tc>
        <w:tc>
          <w:tcPr>
            <w:tcW w:w="15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0"/>
              <w:jc w:val="right"/>
              <w:rPr/>
            </w:pPr>
            <w:r>
              <w:rPr/>
              <w:t>27.6</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57" w:type="dxa"/>
            <w:tcBorders/>
            <w:shd w:fill="CCEEFF" w:val="clear"/>
            <w:vAlign w:val="bottom"/>
          </w:tcPr>
          <w:p>
            <w:pPr>
              <w:pStyle w:val="TableContents"/>
              <w:spacing w:before="0" w:after="0"/>
              <w:rPr/>
            </w:pPr>
            <w:r>
              <w:rPr/>
              <w:t>$</w:t>
            </w:r>
          </w:p>
        </w:tc>
        <w:tc>
          <w:tcPr>
            <w:tcW w:w="803" w:type="dxa"/>
            <w:tcBorders/>
            <w:shd w:fill="CCEEFF" w:val="clear"/>
            <w:vAlign w:val="bottom"/>
          </w:tcPr>
          <w:p>
            <w:pPr>
              <w:pStyle w:val="TableContents"/>
              <w:spacing w:before="0" w:after="0"/>
              <w:jc w:val="right"/>
              <w:rPr/>
            </w:pPr>
            <w:r>
              <w:rPr/>
              <w:t>37.9</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rPr/>
            </w:pPr>
            <w:r>
              <w:rPr/>
              <w:t> </w:t>
            </w:r>
          </w:p>
        </w:tc>
        <w:tc>
          <w:tcPr>
            <w:tcW w:w="824" w:type="dxa"/>
            <w:tcBorders/>
            <w:shd w:fill="CCEEFF" w:val="clear"/>
            <w:vAlign w:val="bottom"/>
          </w:tcPr>
          <w:p>
            <w:pPr>
              <w:pStyle w:val="TableContents"/>
              <w:spacing w:before="0" w:after="0"/>
              <w:jc w:val="right"/>
              <w:rPr/>
            </w:pPr>
            <w:r>
              <w:rPr/>
              <w:t>40.3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rPr/>
            </w:pPr>
            <w:r>
              <w:rPr/>
              <w:t>$</w:t>
            </w:r>
          </w:p>
        </w:tc>
        <w:tc>
          <w:tcPr>
            <w:tcW w:w="677" w:type="dxa"/>
            <w:tcBorders/>
            <w:shd w:fill="CCEEFF" w:val="clear"/>
            <w:vAlign w:val="bottom"/>
          </w:tcPr>
          <w:p>
            <w:pPr>
              <w:pStyle w:val="TableContents"/>
              <w:spacing w:before="0" w:after="0"/>
              <w:jc w:val="right"/>
              <w:rPr/>
            </w:pPr>
            <w:r>
              <w:rPr/>
              <w:t>(23.7</w:t>
            </w:r>
          </w:p>
        </w:tc>
        <w:tc>
          <w:tcPr>
            <w:tcW w:w="116" w:type="dxa"/>
            <w:tcBorders/>
            <w:shd w:fill="CCEEFF" w:val="clear"/>
            <w:vAlign w:val="bottom"/>
          </w:tcPr>
          <w:p>
            <w:pPr>
              <w:pStyle w:val="TableContents"/>
              <w:spacing w:before="0" w:after="0"/>
              <w:rPr/>
            </w:pPr>
            <w:r>
              <w:rPr/>
              <w:t>)</w:t>
            </w:r>
          </w:p>
        </w:tc>
      </w:tr>
      <w:tr>
        <w:trPr/>
        <w:tc>
          <w:tcPr>
            <w:tcW w:w="4554" w:type="dxa"/>
            <w:tcBorders/>
            <w:shd w:fill="auto" w:val="clear"/>
            <w:vAlign w:val="bottom"/>
          </w:tcPr>
          <w:p>
            <w:pPr>
              <w:pStyle w:val="TableContents"/>
              <w:spacing w:before="0" w:after="0"/>
              <w:ind w:left="180" w:right="0" w:hanging="0"/>
              <w:rPr/>
            </w:pPr>
            <w:r>
              <w:rPr/>
              <w:t>Gross profit – transitional Fab 3 foundry services</w:t>
            </w:r>
          </w:p>
        </w:tc>
        <w:tc>
          <w:tcPr>
            <w:tcW w:w="60" w:type="dxa"/>
            <w:tcBorders/>
            <w:shd w:fill="auto" w:val="clear"/>
            <w:vAlign w:val="bottom"/>
          </w:tcPr>
          <w:p>
            <w:pPr>
              <w:pStyle w:val="TableContents"/>
              <w:spacing w:before="0" w:after="283"/>
              <w:jc w:val="right"/>
              <w:rPr/>
            </w:pPr>
            <w:r>
              <w:rPr/>
              <w:t> </w:t>
            </w:r>
          </w:p>
        </w:tc>
        <w:tc>
          <w:tcPr>
            <w:tcW w:w="236" w:type="dxa"/>
            <w:tcBorders>
              <w:bottom w:val="single" w:sz="12" w:space="0" w:color="000000"/>
            </w:tcBorders>
            <w:shd w:fill="auto" w:val="clear"/>
            <w:tcMar>
              <w:bottom w:w="28" w:type="dxa"/>
            </w:tcMar>
            <w:vAlign w:val="bottom"/>
          </w:tcPr>
          <w:p>
            <w:pPr>
              <w:pStyle w:val="TableContents"/>
              <w:spacing w:before="0" w:after="283"/>
              <w:rPr/>
            </w:pPr>
            <w:r>
              <w:rPr/>
              <w:t> </w:t>
            </w:r>
          </w:p>
        </w:tc>
        <w:tc>
          <w:tcPr>
            <w:tcW w:w="738" w:type="dxa"/>
            <w:tcBorders>
              <w:bottom w:val="single" w:sz="12" w:space="0" w:color="000000"/>
            </w:tcBorders>
            <w:shd w:fill="auto" w:val="clear"/>
            <w:tcMar>
              <w:bottom w:w="28" w:type="dxa"/>
            </w:tcMar>
            <w:vAlign w:val="bottom"/>
          </w:tcPr>
          <w:p>
            <w:pPr>
              <w:pStyle w:val="TableContents"/>
              <w:spacing w:before="0" w:after="0"/>
              <w:jc w:val="right"/>
              <w:rPr/>
            </w:pPr>
            <w:r>
              <w:rPr/>
              <w:t>(2.1</w:t>
            </w:r>
          </w:p>
        </w:tc>
        <w:tc>
          <w:tcPr>
            <w:tcW w:w="158" w:type="dxa"/>
            <w:tcBorders/>
            <w:shd w:fill="auto" w:val="clear"/>
            <w:vAlign w:val="bottom"/>
          </w:tcPr>
          <w:p>
            <w:pPr>
              <w:pStyle w:val="TableContents"/>
              <w:spacing w:before="0" w:after="0"/>
              <w:rPr/>
            </w:pPr>
            <w:r>
              <w:rPr/>
              <w:t>)</w:t>
            </w:r>
          </w:p>
        </w:tc>
        <w:tc>
          <w:tcPr>
            <w:tcW w:w="99" w:type="dxa"/>
            <w:tcBorders/>
            <w:shd w:fill="auto" w:val="clear"/>
            <w:vAlign w:val="bottom"/>
          </w:tcPr>
          <w:p>
            <w:pPr>
              <w:pStyle w:val="TableContents"/>
              <w:spacing w:before="0" w:after="283"/>
              <w:jc w:val="right"/>
              <w:rPr/>
            </w:pPr>
            <w:r>
              <w:rPr/>
              <w:t> </w:t>
            </w:r>
          </w:p>
        </w:tc>
        <w:tc>
          <w:tcPr>
            <w:tcW w:w="99" w:type="dxa"/>
            <w:tcBorders>
              <w:bottom w:val="single" w:sz="12" w:space="0" w:color="000000"/>
            </w:tcBorders>
            <w:shd w:fill="auto" w:val="clear"/>
            <w:tcMar>
              <w:bottom w:w="28" w:type="dxa"/>
            </w:tcMar>
            <w:vAlign w:val="bottom"/>
          </w:tcPr>
          <w:p>
            <w:pPr>
              <w:pStyle w:val="TableContents"/>
              <w:spacing w:before="0" w:after="283"/>
              <w:rPr/>
            </w:pPr>
            <w:r>
              <w:rPr/>
              <w:t> </w:t>
            </w:r>
          </w:p>
        </w:tc>
        <w:tc>
          <w:tcPr>
            <w:tcW w:w="857" w:type="dxa"/>
            <w:tcBorders>
              <w:bottom w:val="single" w:sz="12" w:space="0" w:color="000000"/>
            </w:tcBorders>
            <w:shd w:fill="auto" w:val="clear"/>
            <w:tcMar>
              <w:bottom w:w="28" w:type="dxa"/>
            </w:tcMar>
            <w:vAlign w:val="bottom"/>
          </w:tcPr>
          <w:p>
            <w:pPr>
              <w:pStyle w:val="TableContents"/>
              <w:spacing w:before="0" w:after="0"/>
              <w:jc w:val="right"/>
              <w:rPr/>
            </w:pPr>
            <w:r>
              <w:rPr/>
              <w:t>(38.4</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jc w:val="right"/>
              <w:rPr/>
            </w:pPr>
            <w:r>
              <w:rPr/>
              <w:t> </w:t>
            </w:r>
          </w:p>
        </w:tc>
        <w:tc>
          <w:tcPr>
            <w:tcW w:w="257" w:type="dxa"/>
            <w:tcBorders>
              <w:bottom w:val="single" w:sz="12" w:space="0" w:color="000000"/>
            </w:tcBorders>
            <w:shd w:fill="auto" w:val="clear"/>
            <w:tcMar>
              <w:bottom w:w="28" w:type="dxa"/>
            </w:tcMar>
            <w:vAlign w:val="bottom"/>
          </w:tcPr>
          <w:p>
            <w:pPr>
              <w:pStyle w:val="TableContents"/>
              <w:spacing w:before="0" w:after="283"/>
              <w:rPr/>
            </w:pPr>
            <w:r>
              <w:rPr/>
              <w:t> </w:t>
            </w:r>
          </w:p>
        </w:tc>
        <w:tc>
          <w:tcPr>
            <w:tcW w:w="803" w:type="dxa"/>
            <w:tcBorders>
              <w:bottom w:val="single" w:sz="12" w:space="0" w:color="000000"/>
            </w:tcBorders>
            <w:shd w:fill="auto" w:val="clear"/>
            <w:tcMar>
              <w:bottom w:w="28" w:type="dxa"/>
            </w:tcMar>
            <w:vAlign w:val="bottom"/>
          </w:tcPr>
          <w:p>
            <w:pPr>
              <w:pStyle w:val="TableContents"/>
              <w:spacing w:before="0" w:after="0"/>
              <w:jc w:val="right"/>
              <w:rPr/>
            </w:pPr>
            <w:r>
              <w:rPr/>
              <w:t>1.1</w:t>
            </w:r>
          </w:p>
        </w:tc>
        <w:tc>
          <w:tcPr>
            <w:tcW w:w="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right"/>
              <w:rPr/>
            </w:pPr>
            <w:r>
              <w:rPr/>
              <w:t> </w:t>
            </w:r>
          </w:p>
        </w:tc>
        <w:tc>
          <w:tcPr>
            <w:tcW w:w="112" w:type="dxa"/>
            <w:tcBorders>
              <w:bottom w:val="single" w:sz="12" w:space="0" w:color="000000"/>
            </w:tcBorders>
            <w:shd w:fill="auto" w:val="clear"/>
            <w:tcMar>
              <w:bottom w:w="28" w:type="dxa"/>
            </w:tcMar>
            <w:vAlign w:val="bottom"/>
          </w:tcPr>
          <w:p>
            <w:pPr>
              <w:pStyle w:val="TableContents"/>
              <w:spacing w:before="0" w:after="283"/>
              <w:rPr/>
            </w:pPr>
            <w:r>
              <w:rPr/>
              <w:t> </w:t>
            </w:r>
          </w:p>
        </w:tc>
        <w:tc>
          <w:tcPr>
            <w:tcW w:w="824" w:type="dxa"/>
            <w:tcBorders>
              <w:bottom w:val="single" w:sz="12" w:space="0" w:color="000000"/>
            </w:tcBorders>
            <w:shd w:fill="auto" w:val="clear"/>
            <w:tcMar>
              <w:bottom w:w="28" w:type="dxa"/>
            </w:tcMar>
            <w:vAlign w:val="bottom"/>
          </w:tcPr>
          <w:p>
            <w:pPr>
              <w:pStyle w:val="TableContents"/>
              <w:spacing w:before="0" w:after="0"/>
              <w:jc w:val="right"/>
              <w:rPr/>
            </w:pPr>
            <w:r>
              <w:rPr/>
              <w:t>10.6</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(3.2</w:t>
            </w:r>
          </w:p>
        </w:tc>
        <w:tc>
          <w:tcPr>
            <w:tcW w:w="116" w:type="dxa"/>
            <w:tcBorders/>
            <w:shd w:fill="auto" w:val="clear"/>
            <w:vAlign w:val="bottom"/>
          </w:tcPr>
          <w:p>
            <w:pPr>
              <w:pStyle w:val="TableContents"/>
              <w:spacing w:before="0" w:after="0"/>
              <w:rPr/>
            </w:pPr>
            <w:r>
              <w:rPr/>
              <w:t>)</w:t>
            </w:r>
          </w:p>
        </w:tc>
      </w:tr>
      <w:tr>
        <w:trPr/>
        <w:tc>
          <w:tcPr>
            <w:tcW w:w="4554" w:type="dxa"/>
            <w:tcBorders/>
            <w:shd w:fill="CCEEFF" w:val="clear"/>
            <w:vAlign w:val="bottom"/>
          </w:tcPr>
          <w:p>
            <w:pPr>
              <w:pStyle w:val="TableContents"/>
              <w:spacing w:before="0" w:after="0"/>
              <w:ind w:left="360" w:right="0" w:hanging="0"/>
              <w:rPr/>
            </w:pPr>
            <w:r>
              <w:rPr/>
              <w:t>Total gross profit</w:t>
            </w:r>
          </w:p>
        </w:tc>
        <w:tc>
          <w:tcPr>
            <w:tcW w:w="60" w:type="dxa"/>
            <w:tcBorders/>
            <w:shd w:fill="CCEEFF" w:val="clear"/>
            <w:vAlign w:val="bottom"/>
          </w:tcPr>
          <w:p>
            <w:pPr>
              <w:pStyle w:val="TableContents"/>
              <w:spacing w:before="0" w:after="283"/>
              <w:jc w:val="right"/>
              <w:rPr/>
            </w:pPr>
            <w:r>
              <w:rPr/>
              <w:t> </w:t>
            </w:r>
          </w:p>
        </w:tc>
        <w:tc>
          <w:tcPr>
            <w:tcW w:w="236" w:type="dxa"/>
            <w:tcBorders>
              <w:bottom w:val="double" w:sz="8" w:space="0" w:color="000000"/>
            </w:tcBorders>
            <w:shd w:fill="CCEEFF" w:val="clear"/>
            <w:tcMar>
              <w:bottom w:w="28" w:type="dxa"/>
            </w:tcMar>
            <w:vAlign w:val="bottom"/>
          </w:tcPr>
          <w:p>
            <w:pPr>
              <w:pStyle w:val="TableContents"/>
              <w:spacing w:before="0" w:after="0"/>
              <w:rPr/>
            </w:pPr>
            <w:r>
              <w:rPr/>
              <w:t>$</w:t>
            </w:r>
          </w:p>
        </w:tc>
        <w:tc>
          <w:tcPr>
            <w:tcW w:w="738" w:type="dxa"/>
            <w:tcBorders>
              <w:bottom w:val="double" w:sz="8" w:space="0" w:color="000000"/>
            </w:tcBorders>
            <w:shd w:fill="CCEEFF" w:val="clear"/>
            <w:tcMar>
              <w:bottom w:w="28" w:type="dxa"/>
            </w:tcMar>
            <w:vAlign w:val="bottom"/>
          </w:tcPr>
          <w:p>
            <w:pPr>
              <w:pStyle w:val="TableContents"/>
              <w:spacing w:before="0" w:after="0"/>
              <w:jc w:val="right"/>
              <w:rPr/>
            </w:pPr>
            <w:r>
              <w:rPr/>
              <w:t>12.1</w:t>
            </w:r>
          </w:p>
        </w:tc>
        <w:tc>
          <w:tcPr>
            <w:tcW w:w="15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right"/>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rPr/>
            </w:pPr>
            <w:r>
              <w:rPr/>
              <w:t> </w:t>
            </w:r>
          </w:p>
        </w:tc>
        <w:tc>
          <w:tcPr>
            <w:tcW w:w="857" w:type="dxa"/>
            <w:tcBorders>
              <w:bottom w:val="double" w:sz="8" w:space="0" w:color="000000"/>
            </w:tcBorders>
            <w:shd w:fill="CCEEFF" w:val="clear"/>
            <w:tcMar>
              <w:bottom w:w="28" w:type="dxa"/>
            </w:tcMar>
            <w:vAlign w:val="bottom"/>
          </w:tcPr>
          <w:p>
            <w:pPr>
              <w:pStyle w:val="TableContents"/>
              <w:spacing w:before="0" w:after="0"/>
              <w:jc w:val="right"/>
              <w:rPr/>
            </w:pPr>
            <w:r>
              <w:rPr/>
              <w:t>21.2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57" w:type="dxa"/>
            <w:tcBorders>
              <w:bottom w:val="double" w:sz="8" w:space="0" w:color="000000"/>
            </w:tcBorders>
            <w:shd w:fill="CCEEFF" w:val="clear"/>
            <w:tcMar>
              <w:bottom w:w="28" w:type="dxa"/>
            </w:tcMar>
            <w:vAlign w:val="bottom"/>
          </w:tcPr>
          <w:p>
            <w:pPr>
              <w:pStyle w:val="TableContents"/>
              <w:spacing w:before="0" w:after="0"/>
              <w:rPr/>
            </w:pPr>
            <w:r>
              <w:rPr/>
              <w:t>$</w:t>
            </w:r>
          </w:p>
        </w:tc>
        <w:tc>
          <w:tcPr>
            <w:tcW w:w="803" w:type="dxa"/>
            <w:tcBorders>
              <w:bottom w:val="double" w:sz="8" w:space="0" w:color="000000"/>
            </w:tcBorders>
            <w:shd w:fill="CCEEFF" w:val="clear"/>
            <w:tcMar>
              <w:bottom w:w="28" w:type="dxa"/>
            </w:tcMar>
            <w:vAlign w:val="bottom"/>
          </w:tcPr>
          <w:p>
            <w:pPr>
              <w:pStyle w:val="TableContents"/>
              <w:spacing w:before="0" w:after="0"/>
              <w:jc w:val="right"/>
              <w:rPr/>
            </w:pPr>
            <w:r>
              <w:rPr/>
              <w:t>39.0</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right"/>
              <w:rPr/>
            </w:pPr>
            <w:r>
              <w:rPr/>
              <w:t> </w:t>
            </w:r>
          </w:p>
        </w:tc>
        <w:tc>
          <w:tcPr>
            <w:tcW w:w="112" w:type="dxa"/>
            <w:tcBorders>
              <w:bottom w:val="double" w:sz="8" w:space="0" w:color="000000"/>
            </w:tcBorders>
            <w:shd w:fill="CCEEFF" w:val="clear"/>
            <w:tcMar>
              <w:bottom w:w="28" w:type="dxa"/>
            </w:tcMar>
            <w:vAlign w:val="bottom"/>
          </w:tcPr>
          <w:p>
            <w:pPr>
              <w:pStyle w:val="TableContents"/>
              <w:spacing w:before="0" w:after="283"/>
              <w:rPr/>
            </w:pPr>
            <w:r>
              <w:rPr/>
              <w:t> </w:t>
            </w:r>
          </w:p>
        </w:tc>
        <w:tc>
          <w:tcPr>
            <w:tcW w:w="824" w:type="dxa"/>
            <w:tcBorders>
              <w:bottom w:val="double" w:sz="8" w:space="0" w:color="000000"/>
            </w:tcBorders>
            <w:shd w:fill="CCEEFF" w:val="clear"/>
            <w:tcMar>
              <w:bottom w:w="28" w:type="dxa"/>
            </w:tcMar>
            <w:vAlign w:val="bottom"/>
          </w:tcPr>
          <w:p>
            <w:pPr>
              <w:pStyle w:val="TableContents"/>
              <w:spacing w:before="0" w:after="0"/>
              <w:jc w:val="right"/>
              <w:rPr/>
            </w:pPr>
            <w:r>
              <w:rPr/>
              <w:t>37.5</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bottom w:val="double" w:sz="8" w:space="0" w:color="000000"/>
            </w:tcBorders>
            <w:shd w:fill="CCEEFF" w:val="clear"/>
            <w:tcMar>
              <w:bottom w:w="28" w:type="dxa"/>
            </w:tcMar>
            <w:vAlign w:val="bottom"/>
          </w:tcPr>
          <w:p>
            <w:pPr>
              <w:pStyle w:val="TableContents"/>
              <w:spacing w:before="0" w:after="0"/>
              <w:rPr/>
            </w:pPr>
            <w:r>
              <w:rPr/>
              <w:t>$</w:t>
            </w:r>
          </w:p>
        </w:tc>
        <w:tc>
          <w:tcPr>
            <w:tcW w:w="677" w:type="dxa"/>
            <w:tcBorders>
              <w:bottom w:val="double" w:sz="8" w:space="0" w:color="000000"/>
            </w:tcBorders>
            <w:shd w:fill="CCEEFF" w:val="clear"/>
            <w:tcMar>
              <w:bottom w:w="28" w:type="dxa"/>
            </w:tcMar>
            <w:vAlign w:val="bottom"/>
          </w:tcPr>
          <w:p>
            <w:pPr>
              <w:pStyle w:val="TableContents"/>
              <w:spacing w:before="0" w:after="0"/>
              <w:jc w:val="right"/>
              <w:rPr/>
            </w:pPr>
            <w:r>
              <w:rPr/>
              <w:t>(26.9</w:t>
            </w:r>
          </w:p>
        </w:tc>
        <w:tc>
          <w:tcPr>
            <w:tcW w:w="116"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Total revenues were $57.0 million for the three months ended March 31, 2023, a $47.1 million, or 45.2%, decrease compared to $104.1 million for the three months ended March 31, 2022. This decrease was primarily due to a decrease in revenue related to our standard products business as described below.</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The standard products business.</w:t>
      </w:r>
      <w:r>
        <w:rPr>
          <w:rFonts w:ascii="Times New Roman" w:hAnsi="Times New Roman"/>
          <w:color w:val="000000"/>
          <w:sz w:val="20"/>
        </w:rPr>
        <w:t xml:space="preserve"> Net sales from our standard products business were $51.5 million for the three months ended March 31, 2023, a $42.5 million, or 45.2%, decrease compared to $94.0 million for the three months ended March 31, 2022. The decrease in net sales from our Display Solutions business line was primarily attributable to a decrease in revenue from our mobile OLED display driver ICs stemming from a lower customer demand resulting from weak global macroeconomic conditions, and a lack of new design-wins caused by supply shortage in 2022 (in particular for 28nm 12 inch OLED wafers) at external 12 inch foundries. The decrease in net sales from our Power Solutions business line was attributable to lower demand for power products such as MOSFETs, including high-end MOSFETs, primarily for TVs, smartphones and e-bikes, due mainly to the industry-wide slowdown.</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The transitional Fab 3 foundry services.</w:t>
      </w:r>
      <w:r>
        <w:rPr>
          <w:rFonts w:ascii="Times New Roman" w:hAnsi="Times New Roman"/>
          <w:color w:val="000000"/>
          <w:sz w:val="20"/>
        </w:rPr>
        <w:t xml:space="preserve"> Net sales from the transitional Fab 3 foundry services were $5.5 million and $10.1 million for the three months ended March 31, 2023 and 2022, respectively.</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Gross Profit</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Total gross profit was $12.1 million for the three months ended March 31, 2023 compared to $39.0 million for the three months ended March 31, 2022, a $26.9 million, or 69.0%, decrease. Gross profit as a percentage of net sales for the three months ended March 31, 2023 decreased to 21.2% compared to 37.5% for the three months ended March 31, 2022. The decrease in gross profit and gross profit as a percentage of net sales was primarily due to our standard products business as further described below.</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The standard products business.</w:t>
      </w:r>
      <w:r>
        <w:rPr>
          <w:rFonts w:ascii="Times New Roman" w:hAnsi="Times New Roman"/>
          <w:color w:val="000000"/>
          <w:sz w:val="20"/>
        </w:rPr>
        <w:t xml:space="preserve"> Gross profit from our standard products business was $14.2 million for the three months ended March 31, 2023, which represented a $23.7 million, or 62.6%, decrease from gross profit of $37.9 million for the three months ended March 31, 2022. The decrease in gross profit was primarily attributable to a significant decrease in net sales from our standard product business as explained above. Gross profit as a percentage of net sales for the three months ended March 31, 2023 decreased to 27.6% compared to 40.3% for the three months ended March 31, 2022. The year-over-year decrease in gross profit as a percentage of net sales was primarily attributable to an unfavorable product mix and a significant drop in the utilization rate of our internal fabrication facility in Gumi. Gross profit as a percentage of net sales for the three months ended March 31, 2022 was higher due to an increase in average selling price benefited from the favorable pricing environment.</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Net Sales – Standard Products Business by Geographic Region</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March 31, 2023 and 2022:</w:t>
      </w:r>
    </w:p>
    <w:p>
      <w:pPr>
        <w:pStyle w:val="TextBody"/>
        <w:spacing w:before="0" w:after="0"/>
        <w:jc w:val="left"/>
        <w:rPr/>
      </w:pPr>
      <w:r>
        <w:rPr/>
      </w:r>
    </w:p>
    <w:tbl>
      <w:tblPr>
        <w:tblW w:w="9153" w:type="dxa"/>
        <w:jc w:val="left"/>
        <w:tblInd w:w="0" w:type="dxa"/>
        <w:tblCellMar>
          <w:top w:w="0" w:type="dxa"/>
          <w:left w:w="0" w:type="dxa"/>
          <w:bottom w:w="0" w:type="dxa"/>
          <w:right w:w="0" w:type="dxa"/>
        </w:tblCellMar>
      </w:tblPr>
      <w:tblGrid>
        <w:gridCol w:w="2975"/>
        <w:gridCol w:w="60"/>
        <w:gridCol w:w="234"/>
        <w:gridCol w:w="736"/>
        <w:gridCol w:w="100"/>
        <w:gridCol w:w="100"/>
        <w:gridCol w:w="108"/>
        <w:gridCol w:w="1021"/>
        <w:gridCol w:w="215"/>
        <w:gridCol w:w="60"/>
        <w:gridCol w:w="234"/>
        <w:gridCol w:w="736"/>
        <w:gridCol w:w="100"/>
        <w:gridCol w:w="100"/>
        <w:gridCol w:w="108"/>
        <w:gridCol w:w="1021"/>
        <w:gridCol w:w="215"/>
        <w:gridCol w:w="60"/>
        <w:gridCol w:w="183"/>
        <w:gridCol w:w="677"/>
        <w:gridCol w:w="110"/>
      </w:tblGrid>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9"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9"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 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0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Net Sales –</w:t>
            </w:r>
          </w:p>
          <w:p>
            <w:pPr>
              <w:pStyle w:val="TableContents"/>
              <w:spacing w:before="0" w:after="0"/>
              <w:jc w:val="center"/>
              <w:rPr>
                <w:b/>
              </w:rPr>
            </w:pPr>
            <w:r>
              <w:rPr>
                <w:b/>
              </w:rPr>
              <w:t>standard</w:t>
            </w:r>
          </w:p>
          <w:p>
            <w:pPr>
              <w:pStyle w:val="TableContents"/>
              <w:spacing w:before="0" w:after="0"/>
              <w:jc w:val="center"/>
              <w:rPr>
                <w:b/>
              </w:rPr>
            </w:pPr>
            <w:r>
              <w:rPr>
                <w:b/>
              </w:rPr>
              <w:t>products</w:t>
            </w:r>
          </w:p>
          <w:p>
            <w:pPr>
              <w:pStyle w:val="TableContents"/>
              <w:spacing w:before="0" w:after="0"/>
              <w:jc w:val="center"/>
              <w:rPr>
                <w:b/>
              </w:rPr>
            </w:pPr>
            <w:r>
              <w:rPr>
                <w:b/>
              </w:rPr>
              <w:t>business</w:t>
            </w:r>
          </w:p>
        </w:tc>
        <w:tc>
          <w:tcPr>
            <w:tcW w:w="21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Amount</w:t>
            </w:r>
          </w:p>
        </w:tc>
        <w:tc>
          <w:tcPr>
            <w:tcW w:w="10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of</w:t>
            </w:r>
          </w:p>
          <w:p>
            <w:pPr>
              <w:pStyle w:val="TableContents"/>
              <w:spacing w:before="0" w:after="0"/>
              <w:jc w:val="center"/>
              <w:rPr>
                <w:b/>
              </w:rPr>
            </w:pPr>
            <w:r>
              <w:rPr>
                <w:b/>
              </w:rPr>
              <w:t>Net Sales –</w:t>
            </w:r>
          </w:p>
          <w:p>
            <w:pPr>
              <w:pStyle w:val="TableContents"/>
              <w:spacing w:before="0" w:after="0"/>
              <w:jc w:val="center"/>
              <w:rPr>
                <w:b/>
              </w:rPr>
            </w:pPr>
            <w:r>
              <w:rPr>
                <w:b/>
              </w:rPr>
              <w:t>standard</w:t>
            </w:r>
          </w:p>
          <w:p>
            <w:pPr>
              <w:pStyle w:val="TableContents"/>
              <w:spacing w:before="0" w:after="0"/>
              <w:jc w:val="center"/>
              <w:rPr>
                <w:b/>
              </w:rPr>
            </w:pPr>
            <w:r>
              <w:rPr>
                <w:b/>
              </w:rPr>
              <w:t>products</w:t>
            </w:r>
          </w:p>
          <w:p>
            <w:pPr>
              <w:pStyle w:val="TableContents"/>
              <w:spacing w:before="0" w:after="0"/>
              <w:jc w:val="center"/>
              <w:rPr>
                <w:b/>
              </w:rPr>
            </w:pPr>
            <w:r>
              <w:rPr>
                <w:b/>
              </w:rPr>
              <w:t>business</w:t>
            </w:r>
          </w:p>
        </w:tc>
        <w:tc>
          <w:tcPr>
            <w:tcW w:w="21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Change</w:t>
            </w:r>
          </w:p>
          <w:p>
            <w:pPr>
              <w:pStyle w:val="TableContents"/>
              <w:spacing w:before="0" w:after="0"/>
              <w:jc w:val="center"/>
              <w:rPr>
                <w:b/>
              </w:rPr>
            </w:pPr>
            <w:r>
              <w:rPr>
                <w:b/>
              </w:rPr>
              <w:t>Amount</w:t>
            </w:r>
          </w:p>
        </w:tc>
        <w:tc>
          <w:tcPr>
            <w:tcW w:w="110" w:type="dxa"/>
            <w:tcBorders/>
            <w:shd w:fill="auto" w:val="clear"/>
            <w:vAlign w:val="bottom"/>
          </w:tcPr>
          <w:p>
            <w:pPr>
              <w:pStyle w:val="TableContents"/>
              <w:spacing w:before="0" w:after="283"/>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08" w:type="dxa"/>
            <w:gridSpan w:val="18"/>
            <w:tcBorders/>
            <w:shd w:fill="auto" w:val="clear"/>
            <w:vAlign w:val="bottom"/>
          </w:tcPr>
          <w:p>
            <w:pPr>
              <w:pStyle w:val="TableContents"/>
              <w:spacing w:before="0" w:after="0"/>
              <w:ind w:left="0" w:right="0" w:firstLine="140"/>
              <w:jc w:val="center"/>
              <w:rPr>
                <w:b/>
              </w:rPr>
            </w:pPr>
            <w:r>
              <w:rPr>
                <w:b/>
              </w:rPr>
              <w:t>(Dollars in millions)</w:t>
            </w:r>
          </w:p>
        </w:tc>
        <w:tc>
          <w:tcPr>
            <w:tcW w:w="110" w:type="dxa"/>
            <w:tcBorders/>
            <w:shd w:fill="auto"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0"/>
              <w:ind w:left="144" w:right="0" w:hanging="144"/>
              <w:rPr/>
            </w:pPr>
            <w:r>
              <w:rPr/>
              <w:t>Korea</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0"/>
              <w:rPr/>
            </w:pPr>
            <w:r>
              <w:rPr/>
              <w:t>$</w:t>
            </w:r>
          </w:p>
        </w:tc>
        <w:tc>
          <w:tcPr>
            <w:tcW w:w="736" w:type="dxa"/>
            <w:tcBorders/>
            <w:shd w:fill="CCEEFF" w:val="clear"/>
            <w:vAlign w:val="bottom"/>
          </w:tcPr>
          <w:p>
            <w:pPr>
              <w:pStyle w:val="TableContents"/>
              <w:spacing w:before="0" w:after="0"/>
              <w:jc w:val="right"/>
              <w:rPr/>
            </w:pPr>
            <w:r>
              <w:rPr/>
              <w:t>16.5</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0"/>
              <w:jc w:val="right"/>
              <w:rPr/>
            </w:pPr>
            <w:r>
              <w:rPr/>
              <w:t>32.0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0"/>
              <w:rPr/>
            </w:pPr>
            <w:r>
              <w:rPr/>
              <w:t>$</w:t>
            </w:r>
          </w:p>
        </w:tc>
        <w:tc>
          <w:tcPr>
            <w:tcW w:w="736" w:type="dxa"/>
            <w:tcBorders/>
            <w:shd w:fill="CCEEFF" w:val="clear"/>
            <w:vAlign w:val="bottom"/>
          </w:tcPr>
          <w:p>
            <w:pPr>
              <w:pStyle w:val="TableContents"/>
              <w:spacing w:before="0" w:after="0"/>
              <w:jc w:val="right"/>
              <w:rPr/>
            </w:pPr>
            <w:r>
              <w:rPr/>
              <w:t>31.0</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0"/>
              <w:jc w:val="right"/>
              <w:rPr/>
            </w:pPr>
            <w:r>
              <w:rPr/>
              <w:t>33.0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0"/>
              <w:rPr/>
            </w:pPr>
            <w:r>
              <w:rPr/>
              <w:t>$</w:t>
            </w:r>
          </w:p>
        </w:tc>
        <w:tc>
          <w:tcPr>
            <w:tcW w:w="677" w:type="dxa"/>
            <w:tcBorders/>
            <w:shd w:fill="CCEEFF" w:val="clear"/>
            <w:vAlign w:val="bottom"/>
          </w:tcPr>
          <w:p>
            <w:pPr>
              <w:pStyle w:val="TableContents"/>
              <w:spacing w:before="0" w:after="0"/>
              <w:jc w:val="right"/>
              <w:rPr/>
            </w:pPr>
            <w:r>
              <w:rPr/>
              <w:t>(14.5</w:t>
            </w:r>
          </w:p>
        </w:tc>
        <w:tc>
          <w:tcPr>
            <w:tcW w:w="110" w:type="dxa"/>
            <w:tcBorders/>
            <w:shd w:fill="CCEEFF" w:val="clear"/>
            <w:vAlign w:val="bottom"/>
          </w:tcPr>
          <w:p>
            <w:pPr>
              <w:pStyle w:val="TableContents"/>
              <w:spacing w:before="0" w:after="0"/>
              <w:rPr/>
            </w:pPr>
            <w:r>
              <w:rPr/>
              <w:t>)</w:t>
            </w:r>
          </w:p>
        </w:tc>
      </w:tr>
      <w:tr>
        <w:trPr/>
        <w:tc>
          <w:tcPr>
            <w:tcW w:w="2975" w:type="dxa"/>
            <w:tcBorders/>
            <w:shd w:fill="auto" w:val="clear"/>
            <w:vAlign w:val="bottom"/>
          </w:tcPr>
          <w:p>
            <w:pPr>
              <w:pStyle w:val="TableContents"/>
              <w:spacing w:before="0" w:after="0"/>
              <w:ind w:left="144" w:right="0" w:hanging="144"/>
              <w:rPr/>
            </w:pPr>
            <w:r>
              <w:rPr/>
              <w:t>Asia Pacific (other than Korea)</w:t>
            </w:r>
          </w:p>
        </w:tc>
        <w:tc>
          <w:tcPr>
            <w:tcW w:w="60" w:type="dxa"/>
            <w:tcBorders/>
            <w:shd w:fill="auto" w:val="cle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0"/>
              <w:jc w:val="right"/>
              <w:rPr/>
            </w:pPr>
            <w:r>
              <w:rPr/>
              <w:t>31.9</w:t>
            </w:r>
          </w:p>
        </w:tc>
        <w:tc>
          <w:tcPr>
            <w:tcW w:w="10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0"/>
              <w:jc w:val="right"/>
              <w:rPr/>
            </w:pPr>
            <w:r>
              <w:rPr/>
              <w:t>62.0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34"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0"/>
              <w:jc w:val="right"/>
              <w:rPr/>
            </w:pPr>
            <w:r>
              <w:rPr/>
              <w:t>58.3</w:t>
            </w:r>
          </w:p>
        </w:tc>
        <w:tc>
          <w:tcPr>
            <w:tcW w:w="10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right"/>
              <w:rPr/>
            </w:pPr>
            <w:r>
              <w:rPr/>
              <w:t> </w:t>
            </w:r>
          </w:p>
        </w:tc>
        <w:tc>
          <w:tcPr>
            <w:tcW w:w="108"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0"/>
              <w:jc w:val="right"/>
              <w:rPr/>
            </w:pPr>
            <w:r>
              <w:rPr/>
              <w:t>62.0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0"/>
              <w:jc w:val="right"/>
              <w:rPr/>
            </w:pPr>
            <w:r>
              <w:rPr/>
              <w:t>(26.4</w:t>
            </w:r>
          </w:p>
        </w:tc>
        <w:tc>
          <w:tcPr>
            <w:tcW w:w="110" w:type="dxa"/>
            <w:tcBorders/>
            <w:shd w:fill="auto" w:val="clear"/>
            <w:vAlign w:val="bottom"/>
          </w:tcPr>
          <w:p>
            <w:pPr>
              <w:pStyle w:val="TableContents"/>
              <w:spacing w:before="0" w:after="0"/>
              <w:rPr/>
            </w:pPr>
            <w:r>
              <w:rPr/>
              <w:t>)</w:t>
            </w:r>
          </w:p>
        </w:tc>
      </w:tr>
      <w:tr>
        <w:trPr/>
        <w:tc>
          <w:tcPr>
            <w:tcW w:w="2975" w:type="dxa"/>
            <w:tcBorders/>
            <w:shd w:fill="CCEEFF" w:val="clear"/>
            <w:vAlign w:val="bottom"/>
          </w:tcPr>
          <w:p>
            <w:pPr>
              <w:pStyle w:val="TableContents"/>
              <w:spacing w:before="0" w:after="0"/>
              <w:ind w:left="144" w:right="0" w:hanging="144"/>
              <w:rPr/>
            </w:pPr>
            <w:r>
              <w:rPr/>
              <w:t>United States</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0"/>
              <w:jc w:val="right"/>
              <w:rPr/>
            </w:pPr>
            <w:r>
              <w:rPr/>
              <w:t>1.0</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0"/>
              <w:jc w:val="right"/>
              <w:rPr/>
            </w:pPr>
            <w:r>
              <w:rPr/>
              <w:t>2.0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0"/>
              <w:jc w:val="right"/>
              <w:rPr/>
            </w:pPr>
            <w:r>
              <w:rPr/>
              <w:t>2.9</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0"/>
              <w:jc w:val="right"/>
              <w:rPr/>
            </w:pPr>
            <w:r>
              <w:rPr/>
              <w:t>3.0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0"/>
              <w:jc w:val="right"/>
              <w:rPr/>
            </w:pPr>
            <w:r>
              <w:rPr/>
              <w:t>(1.8</w:t>
            </w:r>
          </w:p>
        </w:tc>
        <w:tc>
          <w:tcPr>
            <w:tcW w:w="110" w:type="dxa"/>
            <w:tcBorders/>
            <w:shd w:fill="CCEEFF" w:val="clear"/>
            <w:vAlign w:val="bottom"/>
          </w:tcPr>
          <w:p>
            <w:pPr>
              <w:pStyle w:val="TableContents"/>
              <w:spacing w:before="0" w:after="0"/>
              <w:rPr/>
            </w:pPr>
            <w:r>
              <w:rPr/>
              <w:t>)</w:t>
            </w:r>
          </w:p>
        </w:tc>
      </w:tr>
      <w:tr>
        <w:trPr/>
        <w:tc>
          <w:tcPr>
            <w:tcW w:w="2975" w:type="dxa"/>
            <w:tcBorders/>
            <w:shd w:fill="auto" w:val="clear"/>
            <w:vAlign w:val="bottom"/>
          </w:tcPr>
          <w:p>
            <w:pPr>
              <w:pStyle w:val="TableContents"/>
              <w:spacing w:before="0" w:after="0"/>
              <w:ind w:left="144" w:right="0" w:hanging="144"/>
              <w:rPr/>
            </w:pPr>
            <w:r>
              <w:rPr/>
              <w:t>Europe</w:t>
            </w:r>
          </w:p>
        </w:tc>
        <w:tc>
          <w:tcPr>
            <w:tcW w:w="60" w:type="dxa"/>
            <w:tcBorders/>
            <w:shd w:fill="auto" w:val="clear"/>
            <w:vAlign w:val="bottom"/>
          </w:tcPr>
          <w:p>
            <w:pPr>
              <w:pStyle w:val="TableContents"/>
              <w:spacing w:before="0" w:after="283"/>
              <w:jc w:val="right"/>
              <w:rPr/>
            </w:pPr>
            <w:r>
              <w:rPr/>
              <w:t> </w:t>
            </w:r>
          </w:p>
        </w:tc>
        <w:tc>
          <w:tcPr>
            <w:tcW w:w="23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6" w:type="dxa"/>
            <w:tcBorders>
              <w:bottom w:val="single" w:sz="12" w:space="0" w:color="000000"/>
            </w:tcBorders>
            <w:shd w:fill="auto" w:val="clear"/>
            <w:tcMar>
              <w:bottom w:w="28" w:type="dxa"/>
            </w:tcMar>
            <w:vAlign w:val="bottom"/>
          </w:tcPr>
          <w:p>
            <w:pPr>
              <w:pStyle w:val="TableContents"/>
              <w:spacing w:before="0" w:after="0"/>
              <w:jc w:val="right"/>
              <w:rPr/>
            </w:pPr>
            <w:r>
              <w:rPr/>
              <w:t>2.1</w:t>
            </w:r>
          </w:p>
        </w:tc>
        <w:tc>
          <w:tcPr>
            <w:tcW w:w="10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right"/>
              <w:rPr/>
            </w:pPr>
            <w:r>
              <w:rPr/>
              <w:t> </w:t>
            </w:r>
          </w:p>
        </w:tc>
        <w:tc>
          <w:tcPr>
            <w:tcW w:w="108" w:type="dxa"/>
            <w:tcBorders>
              <w:bottom w:val="single" w:sz="12" w:space="0" w:color="000000"/>
            </w:tcBorders>
            <w:shd w:fill="auto" w:val="clear"/>
            <w:tcMar>
              <w:bottom w:w="28" w:type="dxa"/>
            </w:tcMar>
            <w:vAlign w:val="bottom"/>
          </w:tcPr>
          <w:p>
            <w:pPr>
              <w:pStyle w:val="TableContents"/>
              <w:spacing w:before="0" w:after="283"/>
              <w:rPr/>
            </w:pPr>
            <w:r>
              <w:rPr/>
              <w:t> </w:t>
            </w:r>
          </w:p>
        </w:tc>
        <w:tc>
          <w:tcPr>
            <w:tcW w:w="1021" w:type="dxa"/>
            <w:tcBorders>
              <w:bottom w:val="single" w:sz="12" w:space="0" w:color="000000"/>
            </w:tcBorders>
            <w:shd w:fill="auto" w:val="clear"/>
            <w:tcMar>
              <w:bottom w:w="28" w:type="dxa"/>
            </w:tcMar>
            <w:vAlign w:val="bottom"/>
          </w:tcPr>
          <w:p>
            <w:pPr>
              <w:pStyle w:val="TableContents"/>
              <w:spacing w:before="0" w:after="0"/>
              <w:jc w:val="right"/>
              <w:rPr/>
            </w:pPr>
            <w:r>
              <w:rPr/>
              <w:t>4.0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3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6" w:type="dxa"/>
            <w:tcBorders>
              <w:bottom w:val="single" w:sz="12" w:space="0" w:color="000000"/>
            </w:tcBorders>
            <w:shd w:fill="auto" w:val="clear"/>
            <w:tcMar>
              <w:bottom w:w="28" w:type="dxa"/>
            </w:tcMar>
            <w:vAlign w:val="bottom"/>
          </w:tcPr>
          <w:p>
            <w:pPr>
              <w:pStyle w:val="TableContents"/>
              <w:spacing w:before="0" w:after="0"/>
              <w:jc w:val="right"/>
              <w:rPr/>
            </w:pPr>
            <w:r>
              <w:rPr/>
              <w:t>1.9</w:t>
            </w:r>
          </w:p>
        </w:tc>
        <w:tc>
          <w:tcPr>
            <w:tcW w:w="10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right"/>
              <w:rPr/>
            </w:pPr>
            <w:r>
              <w:rPr/>
              <w:t> </w:t>
            </w:r>
          </w:p>
        </w:tc>
        <w:tc>
          <w:tcPr>
            <w:tcW w:w="108" w:type="dxa"/>
            <w:tcBorders>
              <w:bottom w:val="single" w:sz="12" w:space="0" w:color="000000"/>
            </w:tcBorders>
            <w:shd w:fill="auto" w:val="clear"/>
            <w:tcMar>
              <w:bottom w:w="28" w:type="dxa"/>
            </w:tcMar>
            <w:vAlign w:val="bottom"/>
          </w:tcPr>
          <w:p>
            <w:pPr>
              <w:pStyle w:val="TableContents"/>
              <w:spacing w:before="0" w:after="283"/>
              <w:rPr/>
            </w:pPr>
            <w:r>
              <w:rPr/>
              <w:t> </w:t>
            </w:r>
          </w:p>
        </w:tc>
        <w:tc>
          <w:tcPr>
            <w:tcW w:w="1021" w:type="dxa"/>
            <w:tcBorders>
              <w:bottom w:val="single" w:sz="12" w:space="0" w:color="000000"/>
            </w:tcBorders>
            <w:shd w:fill="auto" w:val="clear"/>
            <w:tcMar>
              <w:bottom w:w="28" w:type="dxa"/>
            </w:tcMar>
            <w:vAlign w:val="bottom"/>
          </w:tcPr>
          <w:p>
            <w:pPr>
              <w:pStyle w:val="TableContents"/>
              <w:spacing w:before="0" w:after="0"/>
              <w:jc w:val="right"/>
              <w:rPr/>
            </w:pPr>
            <w:r>
              <w:rPr/>
              <w:t>2.0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3" w:type="dxa"/>
            <w:tcBorders>
              <w:bottom w:val="single" w:sz="12" w:space="0" w:color="000000"/>
            </w:tcBorders>
            <w:shd w:fill="auto" w:val="clear"/>
            <w:tcMar>
              <w:bottom w:w="28" w:type="dxa"/>
            </w:tcMar>
            <w:vAlign w:val="bottom"/>
          </w:tcPr>
          <w:p>
            <w:pPr>
              <w:pStyle w:val="TableContents"/>
              <w:spacing w:before="0" w:after="283"/>
              <w:rPr/>
            </w:pPr>
            <w:r>
              <w:rPr/>
              <w:t> </w:t>
            </w:r>
          </w:p>
        </w:tc>
        <w:tc>
          <w:tcPr>
            <w:tcW w:w="677" w:type="dxa"/>
            <w:tcBorders>
              <w:bottom w:val="single" w:sz="12" w:space="0" w:color="000000"/>
            </w:tcBorders>
            <w:shd w:fill="auto" w:val="clear"/>
            <w:tcMar>
              <w:bottom w:w="28" w:type="dxa"/>
            </w:tcMar>
            <w:vAlign w:val="bottom"/>
          </w:tcPr>
          <w:p>
            <w:pPr>
              <w:pStyle w:val="TableContents"/>
              <w:spacing w:before="0" w:after="0"/>
              <w:jc w:val="right"/>
              <w:rPr/>
            </w:pPr>
            <w:r>
              <w:rPr/>
              <w:t>0.2</w:t>
            </w:r>
          </w:p>
        </w:tc>
        <w:tc>
          <w:tcPr>
            <w:tcW w:w="110" w:type="dxa"/>
            <w:tcBorders/>
            <w:shd w:fill="auto"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0"/>
              <w:rPr/>
            </w:pPr>
            <w:r>
              <w:rPr/>
              <w:t>$</w:t>
            </w:r>
          </w:p>
        </w:tc>
        <w:tc>
          <w:tcPr>
            <w:tcW w:w="736" w:type="dxa"/>
            <w:tcBorders>
              <w:bottom w:val="double" w:sz="8" w:space="0" w:color="000000"/>
            </w:tcBorders>
            <w:shd w:fill="CCEEFF" w:val="clear"/>
            <w:tcMar>
              <w:bottom w:w="28" w:type="dxa"/>
            </w:tcMar>
            <w:vAlign w:val="bottom"/>
          </w:tcPr>
          <w:p>
            <w:pPr>
              <w:pStyle w:val="TableContents"/>
              <w:spacing w:before="0" w:after="0"/>
              <w:jc w:val="right"/>
              <w:rPr/>
            </w:pPr>
            <w:r>
              <w:rPr/>
              <w:t>51.5</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21"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0"/>
              <w:rPr/>
            </w:pPr>
            <w:r>
              <w:rPr/>
              <w:t>$</w:t>
            </w:r>
          </w:p>
        </w:tc>
        <w:tc>
          <w:tcPr>
            <w:tcW w:w="736" w:type="dxa"/>
            <w:tcBorders>
              <w:bottom w:val="double" w:sz="8" w:space="0" w:color="000000"/>
            </w:tcBorders>
            <w:shd w:fill="CCEEFF" w:val="clear"/>
            <w:tcMar>
              <w:bottom w:w="28" w:type="dxa"/>
            </w:tcMar>
            <w:vAlign w:val="bottom"/>
          </w:tcPr>
          <w:p>
            <w:pPr>
              <w:pStyle w:val="TableContents"/>
              <w:spacing w:before="0" w:after="0"/>
              <w:jc w:val="right"/>
              <w:rPr/>
            </w:pPr>
            <w:r>
              <w:rPr/>
              <w:t>94.0</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21"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jc w:val="right"/>
              <w:rPr/>
            </w:pPr>
            <w:r>
              <w:rPr/>
              <w:t> </w:t>
            </w:r>
          </w:p>
        </w:tc>
        <w:tc>
          <w:tcPr>
            <w:tcW w:w="183" w:type="dxa"/>
            <w:tcBorders>
              <w:bottom w:val="double" w:sz="8" w:space="0" w:color="000000"/>
            </w:tcBorders>
            <w:shd w:fill="CCEEFF" w:val="clear"/>
            <w:tcMar>
              <w:bottom w:w="28" w:type="dxa"/>
            </w:tcMar>
            <w:vAlign w:val="bottom"/>
          </w:tcPr>
          <w:p>
            <w:pPr>
              <w:pStyle w:val="TableContents"/>
              <w:spacing w:before="0" w:after="0"/>
              <w:rPr/>
            </w:pPr>
            <w:r>
              <w:rPr/>
              <w:t>$</w:t>
            </w:r>
          </w:p>
        </w:tc>
        <w:tc>
          <w:tcPr>
            <w:tcW w:w="677" w:type="dxa"/>
            <w:tcBorders>
              <w:bottom w:val="double" w:sz="8" w:space="0" w:color="000000"/>
            </w:tcBorders>
            <w:shd w:fill="CCEEFF" w:val="clear"/>
            <w:tcMar>
              <w:bottom w:w="28" w:type="dxa"/>
            </w:tcMar>
            <w:vAlign w:val="bottom"/>
          </w:tcPr>
          <w:p>
            <w:pPr>
              <w:pStyle w:val="TableContents"/>
              <w:spacing w:before="0" w:after="0"/>
              <w:jc w:val="right"/>
              <w:rPr/>
            </w:pPr>
            <w:r>
              <w:rPr/>
              <w:t>(42.5</w:t>
            </w:r>
          </w:p>
        </w:tc>
        <w:tc>
          <w:tcPr>
            <w:tcW w:w="110" w:type="dxa"/>
            <w:tcBorders/>
            <w:shd w:fill="CCEEFF" w:val="clear"/>
            <w:vAlign w:val="bottom"/>
          </w:tcPr>
          <w:p>
            <w:pPr>
              <w:pStyle w:val="TableContents"/>
              <w:spacing w:before="0" w:after="0"/>
              <w:rPr/>
            </w:pPr>
            <w:r>
              <w:rPr/>
              <w:t>)</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Net sales – standard products business in Korea for the three months ended March 31, 2023 decreased from $31.0 million to $16.5 million compared to the three months ended March 31, 2022, or by $14.5 million, or 46.8%, primarily due to lower demand for power products such as MOSFETs, including high-end MOSFETs, primarily for TVs and smartphone applications. Weak demand for our OLED TV display driver ICs also unfavorably affected this quarter.</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Net sales – standard products business in Asia Pacific (other than Korea) for the three months ended March 31, 2023 decreased to $31.9 million from $58.3 million in the three months ended March 31, 2022, or by $26.4 million, or 45.2%, primarily due to a decrease in revenue from our mobile OLED display driver ICs stemming from a lower customer demand resulting from weak global macroeconomic conditions, and a lack of new design-wins caused by supply shortage in 2022 (in particular for 28nm 12 inch OLED wafers) at external 12 inch foundries. The decreased demand for our power products such as MOSFETs, including high-end MOSFETs, primarily for smartphones and e-bikes, also unfavorably affected this quarter.</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Operating Expenses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Selling,</w:t>
      </w:r>
      <w:r>
        <w:rPr>
          <w:rFonts w:ascii="Times New Roman" w:hAnsi="Times New Roman"/>
          <w:color w:val="000000"/>
          <w:sz w:val="20"/>
        </w:rPr>
        <w:t> </w:t>
      </w:r>
      <w:r>
        <w:rPr>
          <w:rFonts w:ascii="Times New Roman" w:hAnsi="Times New Roman"/>
          <w:b/>
          <w:i/>
          <w:color w:val="000000"/>
          <w:sz w:val="20"/>
        </w:rPr>
        <w:t>General</w:t>
      </w:r>
      <w:r>
        <w:rPr>
          <w:rFonts w:ascii="Times New Roman" w:hAnsi="Times New Roman"/>
          <w:color w:val="000000"/>
          <w:sz w:val="20"/>
        </w:rPr>
        <w:t> </w:t>
      </w:r>
      <w:r>
        <w:rPr>
          <w:rFonts w:ascii="Times New Roman" w:hAnsi="Times New Roman"/>
          <w:b/>
          <w:i/>
          <w:color w:val="000000"/>
          <w:sz w:val="20"/>
        </w:rPr>
        <w:t>and</w:t>
      </w:r>
      <w:r>
        <w:rPr>
          <w:rFonts w:ascii="Times New Roman" w:hAnsi="Times New Roman"/>
          <w:color w:val="000000"/>
          <w:sz w:val="20"/>
        </w:rPr>
        <w:t> </w:t>
      </w:r>
      <w:r>
        <w:rPr>
          <w:rFonts w:ascii="Times New Roman" w:hAnsi="Times New Roman"/>
          <w:b/>
          <w:i/>
          <w:color w:val="000000"/>
          <w:sz w:val="20"/>
        </w:rPr>
        <w:t>Administrative</w:t>
      </w:r>
      <w:r>
        <w:rPr>
          <w:rFonts w:ascii="Times New Roman" w:hAnsi="Times New Roman"/>
          <w:color w:val="000000"/>
          <w:sz w:val="20"/>
        </w:rPr>
        <w:t> </w:t>
      </w:r>
      <w:r>
        <w:rPr>
          <w:rFonts w:ascii="Times New Roman" w:hAnsi="Times New Roman"/>
          <w:b/>
          <w:i/>
          <w:color w:val="000000"/>
          <w:sz w:val="20"/>
        </w:rPr>
        <w:t>Expenses.</w:t>
      </w:r>
      <w:r>
        <w:rPr>
          <w:rFonts w:ascii="Times New Roman" w:hAnsi="Times New Roman"/>
          <w:color w:val="000000"/>
          <w:sz w:val="20"/>
        </w:rPr>
        <w:t xml:space="preserve"> Selling, general and administrative expenses were $12.2 million, or 21.3% of total revenues, for the three months ended March 31, 2023, compared to $14.2 million, or 13.6% of total revenues, for the three months ended March 31, 2022. The decrease of $2.0 million, or 14.1%, was primarily attributable to a decrease in employee compensation including certain incentives and benefit related accruals. This decrease also resulted from a decrease in professional fees mainly comprised of legal and consulting fees.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Research</w:t>
      </w:r>
      <w:r>
        <w:rPr>
          <w:rFonts w:ascii="Times New Roman" w:hAnsi="Times New Roman"/>
          <w:color w:val="000000"/>
          <w:sz w:val="20"/>
        </w:rPr>
        <w:t> </w:t>
      </w:r>
      <w:r>
        <w:rPr>
          <w:rFonts w:ascii="Times New Roman" w:hAnsi="Times New Roman"/>
          <w:b/>
          <w:i/>
          <w:color w:val="000000"/>
          <w:sz w:val="20"/>
        </w:rPr>
        <w:t>and</w:t>
      </w:r>
      <w:r>
        <w:rPr>
          <w:rFonts w:ascii="Times New Roman" w:hAnsi="Times New Roman"/>
          <w:color w:val="000000"/>
          <w:sz w:val="20"/>
        </w:rPr>
        <w:t> </w:t>
      </w:r>
      <w:r>
        <w:rPr>
          <w:rFonts w:ascii="Times New Roman" w:hAnsi="Times New Roman"/>
          <w:b/>
          <w:i/>
          <w:color w:val="000000"/>
          <w:sz w:val="20"/>
        </w:rPr>
        <w:t>Development</w:t>
      </w:r>
      <w:r>
        <w:rPr>
          <w:rFonts w:ascii="Times New Roman" w:hAnsi="Times New Roman"/>
          <w:color w:val="000000"/>
          <w:sz w:val="20"/>
        </w:rPr>
        <w:t> </w:t>
      </w:r>
      <w:r>
        <w:rPr>
          <w:rFonts w:ascii="Times New Roman" w:hAnsi="Times New Roman"/>
          <w:b/>
          <w:i/>
          <w:color w:val="000000"/>
          <w:sz w:val="20"/>
        </w:rPr>
        <w:t>Expenses.</w:t>
      </w:r>
      <w:r>
        <w:rPr>
          <w:rFonts w:ascii="Times New Roman" w:hAnsi="Times New Roman"/>
          <w:color w:val="000000"/>
          <w:sz w:val="20"/>
        </w:rPr>
        <w:t xml:space="preserve"> Research and development expenses were $13.3 million, or 23.3% of total revenues, for the three months ended March 31, 2023, compared to $12.0 million, or 11.5% of total revenues, for the three months ended March 31, 2022. The increase of $1.3 million, or 11.2%, was primarily attributable to an increase in development activities for our 28-nanometer OLED display driver ICs, which was offset in part by a decrease in certain employee incentives.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Early Termination Charges.</w:t>
      </w:r>
      <w:r>
        <w:rPr>
          <w:rFonts w:ascii="Times New Roman" w:hAnsi="Times New Roman"/>
          <w:color w:val="000000"/>
          <w:sz w:val="20"/>
        </w:rPr>
        <w:t xml:space="preserve"> For the three months ended March 31, 2023, we recorded in our consolidated statement of operations $8.4 million of termination related charges in connection with the Program that we offered to certain employees during the first quarter of 2023.</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Operating Income (Loss)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a result of the foregoing, operating loss of $21.8 million was recorded for the three months ended March 31, 2023 compared to operating income of $12.9 million for the three months ended March 31, 2022. As discussed above, the decrease in operating income of $34.7 million resulted primarily from a $26.9 million decrease in gross profit, an $8.4 million increase in early termination charges and a $1.3 million increase in research and development expenses. This decrease in operating income was offset in part by a $2.0 million decrease in selling, general and administrative expenses.</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Other Income (Expense)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Interest</w:t>
      </w:r>
      <w:r>
        <w:rPr>
          <w:rFonts w:ascii="Times New Roman" w:hAnsi="Times New Roman"/>
          <w:color w:val="000000"/>
          <w:sz w:val="20"/>
        </w:rPr>
        <w:t> </w:t>
      </w:r>
      <w:r>
        <w:rPr>
          <w:rFonts w:ascii="Times New Roman" w:hAnsi="Times New Roman"/>
          <w:b/>
          <w:i/>
          <w:color w:val="000000"/>
          <w:sz w:val="20"/>
        </w:rPr>
        <w:t>Income.</w:t>
      </w:r>
      <w:r>
        <w:rPr>
          <w:rFonts w:ascii="Times New Roman" w:hAnsi="Times New Roman"/>
          <w:color w:val="000000"/>
          <w:sz w:val="20"/>
        </w:rPr>
        <w:t xml:space="preserve"> Interest income was $2.8 million and $0.7 million for the three months ended March 31, 2023 and March 31, 2022, respectively. The increase of $2.1 million, or 297.5%, was primarily attributable to an increase in interest income on cash and cash equivalents held by our Korean subsidiary, which benefited from the favorable financial market environment.</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Interest</w:t>
      </w:r>
      <w:r>
        <w:rPr>
          <w:rFonts w:ascii="Times New Roman" w:hAnsi="Times New Roman"/>
          <w:color w:val="000000"/>
          <w:sz w:val="20"/>
        </w:rPr>
        <w:t> </w:t>
      </w:r>
      <w:r>
        <w:rPr>
          <w:rFonts w:ascii="Times New Roman" w:hAnsi="Times New Roman"/>
          <w:b/>
          <w:i/>
          <w:color w:val="000000"/>
          <w:sz w:val="20"/>
        </w:rPr>
        <w:t>Expense.</w:t>
      </w:r>
      <w:r>
        <w:rPr>
          <w:rFonts w:ascii="Times New Roman" w:hAnsi="Times New Roman"/>
          <w:color w:val="000000"/>
          <w:sz w:val="20"/>
        </w:rPr>
        <w:t xml:space="preserve"> Interest expense was $0.3 million and $0.1 million for the three months ended March 31, 2023 and March 31, 2022, respectively.</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b/>
          <w:i/>
          <w:color w:val="000000"/>
          <w:sz w:val="20"/>
        </w:rPr>
        <w:t>Foreign</w:t>
      </w:r>
      <w:r>
        <w:rPr>
          <w:rFonts w:ascii="Times New Roman" w:hAnsi="Times New Roman"/>
          <w:color w:val="000000"/>
          <w:sz w:val="20"/>
        </w:rPr>
        <w:t> </w:t>
      </w:r>
      <w:r>
        <w:rPr>
          <w:rFonts w:ascii="Times New Roman" w:hAnsi="Times New Roman"/>
          <w:b/>
          <w:i/>
          <w:color w:val="000000"/>
          <w:sz w:val="20"/>
        </w:rPr>
        <w:t>Currency</w:t>
      </w:r>
      <w:r>
        <w:rPr>
          <w:rFonts w:ascii="Times New Roman" w:hAnsi="Times New Roman"/>
          <w:color w:val="000000"/>
          <w:sz w:val="20"/>
        </w:rPr>
        <w:t> </w:t>
      </w:r>
      <w:r>
        <w:rPr>
          <w:rFonts w:ascii="Times New Roman" w:hAnsi="Times New Roman"/>
          <w:b/>
          <w:i/>
          <w:color w:val="000000"/>
          <w:sz w:val="20"/>
        </w:rPr>
        <w:t>Loss,</w:t>
      </w:r>
      <w:r>
        <w:rPr>
          <w:rFonts w:ascii="Times New Roman" w:hAnsi="Times New Roman"/>
          <w:color w:val="000000"/>
          <w:sz w:val="20"/>
        </w:rPr>
        <w:t> </w:t>
      </w:r>
      <w:r>
        <w:rPr>
          <w:rFonts w:ascii="Times New Roman" w:hAnsi="Times New Roman"/>
          <w:b/>
          <w:i/>
          <w:color w:val="000000"/>
          <w:sz w:val="20"/>
        </w:rPr>
        <w:t>Net.</w:t>
      </w:r>
      <w:r>
        <w:rPr>
          <w:rFonts w:ascii="Times New Roman" w:hAnsi="Times New Roman"/>
          <w:color w:val="000000"/>
          <w:sz w:val="20"/>
        </w:rPr>
        <w:t xml:space="preserve"> Net foreign currency loss for the three months ended March 31, 2023 was $3.4 million compared to net foreign currency loss of $0.7 million for the three months ended March 31, 2022. The net foreign currency loss for the three months ended March 31, 2023 and March 31, 2022 was due to the depreciation in value of the Korean won relative to the U.S. dollar during the period.</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March 31, 2023 and March 31, 2022, the outstanding intercompany loan balances, including accrued interest between our Korean subsidiary and our Dutch subsidiary, were $301.9 million and $348.5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Income tax benefit was $1.2 million for the three months ended March 31, 2023, which was primarily attributable to the estimated taxable loss in our Korean subsidiary for the respective period.</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Income tax expense was $3.5 million for the three months ended March 31, 2022, which was primarily attributable to the estimated taxable income in our Korean subsidiary for the respective period.</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Net Income (Loss)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a result of the foregoing, a net loss of $21.5 million was recorded for the three months ended March 31, 2023 compared to a net income of $9.5 million for the three months ended March 31, 2022. As discussed above, the $31.0 million decrease in net income was primarily attributable to a $34.7 million decrease in operating income and a $2.7 million increase in net foreign currency loss, which was offset in part by a $4.7 million decrease in income tax expense and a $2.1 million increase in interest income.</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principal capital requirements are to fund sales and marketing, invest in research and development and capital equipment, and to fund working capital needs. We calculate working capital as current assets less current liabilities.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2023, we did not have any accounts payable on extended terms or payment deferment with our vendors.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March 31, 2023, the outstanding obligation of this arrangement is approximately $23.7 million for remaining service term through 2028.</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As of March 31, 2023, cash and cash equivalents held by our Korean subsidiary were $193.0 million, which represents 91%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Working Capital</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Our working capital balance as of March 31, 2023 was $261.6 million compared to $290.6 million as of December 31, 2022. The $29.0 million decrease was primarily attributable to a $13.4 million decrease in cash and cash equivalents resulted primarily from our stock repurchase program and a $7.4 million increase in accrued expense resulted primarily from termination related charges under the Program.</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Cash inflow provided by operating activities totaled $7.9 million for the three months ended March 31, 2023, compared to $12.8 million of cash inflow provided by operating activities for the three months ended March 31, 2022. The net operating cash inflow for the three months ended March 31, 2023 reflects our net loss of $21.5 million, as adjusted favorably by $18.3 million, which mainly consisted of depreciation and amortization, provision for severance benefits, and net foreign currency loss, and net favorable impact of $11.1 million from changes of operating assets and liabilities.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Cash outflow used in investing activities totaled $3.6 million for the three months ended March 31, 2023, compared to $2.1 million of cash outflow used in investing activities for the three months ended March 31, 2022. The $1.5 million increase was primarily attributable to a $3.4 million increase in guarantee deposits, which was offset in part by a $1.1 million net decrease in hedge collateral and a $0.8 million decrease in purchase of property, plant and equipment.</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Cash outflow used in financing activities totaled $12.4 million for the three months ended March 31, 2023, compared to $0.8 million of cash inflow provided by financing activities for the three months ended March 31, 2022. The financing cash outflow for the three months ended March 31, 2023 was primarily attributable to a payment of $11.9 million for the repurchases of our common stock pursuant to our stock repurchase program and a payment of $0.4 million for the repurchase of our common stock to satisfy tax withholding obligations in connection with the vesting of restricted stock units. The financing cash inflow for the three months ended March 31, 2022 was primarily attributable to $1.8 million of proceeds received from the issuance of common stock in connection with the exercise of stock options, which was offset in part by a payment of $0.8 million for the repurchase of our common stock to satisfy tax withholding obligations in connection with the vesting of restricted stock units.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Capital Expenditures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routinely make capital expenditures for fabrication facility maintenance, enhancement of our existing facility and reinforcement of our global research and development capability. For the three months ended March 31, 2023, capital expenditures for property, plant and equipment were $0.1 million, a $0.8 million, or 85.7%, decrease from $0.9 million for the three months ended March 31, 2022. The capital expenditures for the three months ended March 31, 2023 and 2022 were related to meeting our customer demand and supporting technology and facility improvement at our fabrication facility.</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believe that our significant accounting policies, which are described further in Note 1 to our consolidated financial statements in our Annual Report on Form 10-K for our fiscal year ended December 31, 2022, or our 2022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A description of our critical accounting policies that involve significant management judgement appears in our 2022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2022 Form 10-K.</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12" w:name="QuantitativeandQualitativ"/>
      <w:bookmarkStart w:id="13" w:name="QuantitativeandQualitativ"/>
      <w:bookmarkEnd w:id="13"/>
    </w:p>
    <w:tbl>
      <w:tblPr>
        <w:tblW w:w="6910" w:type="dxa"/>
        <w:jc w:val="left"/>
        <w:tblInd w:w="0" w:type="dxa"/>
        <w:tblCellMar>
          <w:top w:w="0" w:type="dxa"/>
          <w:left w:w="0" w:type="dxa"/>
          <w:bottom w:w="0" w:type="dxa"/>
          <w:right w:w="0" w:type="dxa"/>
        </w:tblCellMar>
      </w:tblPr>
      <w:tblGrid>
        <w:gridCol w:w="740"/>
        <w:gridCol w:w="6170"/>
      </w:tblGrid>
      <w:tr>
        <w:trPr/>
        <w:tc>
          <w:tcPr>
            <w:tcW w:w="740" w:type="dxa"/>
            <w:tcBorders/>
            <w:shd w:fill="auto" w:val="clear"/>
            <w:vAlign w:val="center"/>
          </w:tcPr>
          <w:p>
            <w:pPr>
              <w:pStyle w:val="TableContents"/>
              <w:spacing w:before="0" w:after="283"/>
              <w:rPr>
                <w:b/>
              </w:rPr>
            </w:pPr>
            <w:r>
              <w:rPr>
                <w:b/>
              </w:rPr>
              <w:t>Item 3.</w:t>
            </w:r>
          </w:p>
        </w:tc>
        <w:tc>
          <w:tcPr>
            <w:tcW w:w="6170" w:type="dxa"/>
            <w:tcBorders/>
            <w:shd w:fill="auto" w:val="clear"/>
            <w:vAlign w:val="center"/>
          </w:tcPr>
          <w:p>
            <w:pPr>
              <w:pStyle w:val="TableContents"/>
              <w:spacing w:before="0" w:after="0"/>
              <w:rPr>
                <w:b/>
              </w:rPr>
            </w:pPr>
            <w:r>
              <w:rPr>
                <w:b/>
              </w:rPr>
              <w:t>Quantitative and Qualitative Disclosures About Market Risk</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Foreign Currency Exposures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2023 for our Korean subsidiary, a 10% devaluation of the Korean won against the U.S. dollar would have resulted in a decrease of $0.5 million in our U.S. dollar financial instruments and cash balances.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14" w:name="ControlsandProcedures"/>
      <w:bookmarkStart w:id="15" w:name="ControlsandProcedures"/>
      <w:bookmarkEnd w:id="15"/>
    </w:p>
    <w:tbl>
      <w:tblPr>
        <w:tblW w:w="3325" w:type="dxa"/>
        <w:jc w:val="left"/>
        <w:tblInd w:w="0" w:type="dxa"/>
        <w:tblCellMar>
          <w:top w:w="0" w:type="dxa"/>
          <w:left w:w="0" w:type="dxa"/>
          <w:bottom w:w="0" w:type="dxa"/>
          <w:right w:w="0" w:type="dxa"/>
        </w:tblCellMar>
      </w:tblPr>
      <w:tblGrid>
        <w:gridCol w:w="740"/>
        <w:gridCol w:w="2585"/>
      </w:tblGrid>
      <w:tr>
        <w:trPr/>
        <w:tc>
          <w:tcPr>
            <w:tcW w:w="740" w:type="dxa"/>
            <w:tcBorders/>
            <w:shd w:fill="auto" w:val="clear"/>
            <w:vAlign w:val="center"/>
          </w:tcPr>
          <w:p>
            <w:pPr>
              <w:pStyle w:val="TableContents"/>
              <w:spacing w:before="0" w:after="283"/>
              <w:rPr>
                <w:b/>
              </w:rPr>
            </w:pPr>
            <w:r>
              <w:rPr>
                <w:b/>
              </w:rPr>
              <w:t>Item 4.</w:t>
            </w:r>
          </w:p>
        </w:tc>
        <w:tc>
          <w:tcPr>
            <w:tcW w:w="2585" w:type="dxa"/>
            <w:tcBorders/>
            <w:shd w:fill="auto" w:val="clear"/>
            <w:vAlign w:val="center"/>
          </w:tcPr>
          <w:p>
            <w:pPr>
              <w:pStyle w:val="TableContents"/>
              <w:spacing w:before="0" w:after="0"/>
              <w:rPr>
                <w:b/>
              </w:rPr>
            </w:pPr>
            <w:r>
              <w:rPr>
                <w:b/>
              </w:rPr>
              <w:t>Controls and Procedures</w:t>
            </w:r>
          </w:p>
        </w:tc>
      </w:tr>
    </w:tbl>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connection with the preparation of this Report, we carried out an evaluation under the supervision of and with the participation of our management, including our Chief Executive Officer and Chief Financial Officer, as of March 31, 2023,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2023.</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March 31, 2023 that have materially affected, or are reasonably likely to materially affect, our internal control over financial reporting.</w:t>
      </w:r>
    </w:p>
    <w:p>
      <w:pPr>
        <w:pStyle w:val="TextBody"/>
        <w:spacing w:before="0" w:after="0"/>
        <w:ind w:left="0" w:right="0" w:firstLine="49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PART II. OTHER INFORMATION</w:t>
      </w:r>
      <w:bookmarkStart w:id="16" w:name="OTHERINFORMATION"/>
      <w:bookmarkEnd w:id="16"/>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17" w:name="LegalProceedings"/>
      <w:bookmarkStart w:id="18" w:name="LegalProceedings"/>
      <w:bookmarkEnd w:id="18"/>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283"/>
              <w:rPr>
                <w:b/>
              </w:rPr>
            </w:pPr>
            <w:r>
              <w:rPr>
                <w:b/>
              </w:rPr>
              <w:t>Item 1.</w:t>
            </w:r>
          </w:p>
        </w:tc>
        <w:tc>
          <w:tcPr>
            <w:tcW w:w="1895" w:type="dxa"/>
            <w:tcBorders/>
            <w:shd w:fill="auto" w:val="clear"/>
            <w:vAlign w:val="center"/>
          </w:tcPr>
          <w:p>
            <w:pPr>
              <w:pStyle w:val="TableContents"/>
              <w:spacing w:before="0" w:after="0"/>
              <w:rPr>
                <w:b/>
              </w:rPr>
            </w:pPr>
            <w:r>
              <w:rPr>
                <w:b/>
              </w:rPr>
              <w:t>Legal Proceedings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For a discussion of legal proceedings, see “Part I: Item 3. Legal Proceedings” of our 2022 Form 10-K.</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See also “Item 1A. Risk Factors” in this Report and “Part I: Item 1A. Risk Factors” of our 2022 Form 10-K for additional information.</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19" w:name="RiskFactors"/>
      <w:bookmarkStart w:id="20" w:name="RiskFactors"/>
      <w:bookmarkEnd w:id="20"/>
    </w:p>
    <w:tbl>
      <w:tblPr>
        <w:tblW w:w="2245" w:type="dxa"/>
        <w:jc w:val="left"/>
        <w:tblInd w:w="0" w:type="dxa"/>
        <w:tblCellMar>
          <w:top w:w="0" w:type="dxa"/>
          <w:left w:w="0" w:type="dxa"/>
          <w:bottom w:w="0" w:type="dxa"/>
          <w:right w:w="0" w:type="dxa"/>
        </w:tblCellMar>
      </w:tblPr>
      <w:tblGrid>
        <w:gridCol w:w="920"/>
        <w:gridCol w:w="1325"/>
      </w:tblGrid>
      <w:tr>
        <w:trPr/>
        <w:tc>
          <w:tcPr>
            <w:tcW w:w="920" w:type="dxa"/>
            <w:tcBorders/>
            <w:shd w:fill="auto" w:val="clear"/>
            <w:vAlign w:val="center"/>
          </w:tcPr>
          <w:p>
            <w:pPr>
              <w:pStyle w:val="TableContents"/>
              <w:spacing w:before="0" w:after="283"/>
              <w:rPr>
                <w:b/>
              </w:rPr>
            </w:pPr>
            <w:r>
              <w:rPr>
                <w:b/>
              </w:rPr>
              <w:t>Item 1A.</w:t>
            </w:r>
          </w:p>
        </w:tc>
        <w:tc>
          <w:tcPr>
            <w:tcW w:w="1325" w:type="dxa"/>
            <w:tcBorders/>
            <w:shd w:fill="auto" w:val="clear"/>
            <w:vAlign w:val="center"/>
          </w:tcPr>
          <w:p>
            <w:pPr>
              <w:pStyle w:val="TableContents"/>
              <w:spacing w:before="0" w:after="0"/>
              <w:rPr>
                <w:b/>
              </w:rPr>
            </w:pPr>
            <w:r>
              <w:rPr>
                <w:b/>
              </w:rPr>
              <w:t>Risk Factors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Company is subject to risks and uncertainties, any of which could have a significant or material adverse effect on our business, financial condition, liquidity or consolidated financial statements.</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In addition to the other information contained in this Report and the other reports and materials the Company files with the SEC, investors should carefully consider the risk factors disclosed in Part I, Item 1A of our 2022 Form 10-K as well as in our subsequent filings with the SEC. The risks described herein and therein are not the only ones we face.</w:t>
      </w:r>
    </w:p>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There have been no material changes to the risk factors disclosed in Part I, Item 1A of our 2022 Form 10-K.</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1" w:name="UnregisteredSalesofEquity"/>
      <w:bookmarkStart w:id="22" w:name="UnregisteredSalesofEquity"/>
      <w:bookmarkEnd w:id="22"/>
    </w:p>
    <w:tbl>
      <w:tblPr>
        <w:tblW w:w="6880" w:type="dxa"/>
        <w:jc w:val="left"/>
        <w:tblInd w:w="0" w:type="dxa"/>
        <w:tblCellMar>
          <w:top w:w="0" w:type="dxa"/>
          <w:left w:w="0" w:type="dxa"/>
          <w:bottom w:w="0" w:type="dxa"/>
          <w:right w:w="0" w:type="dxa"/>
        </w:tblCellMar>
      </w:tblPr>
      <w:tblGrid>
        <w:gridCol w:w="740"/>
        <w:gridCol w:w="6140"/>
      </w:tblGrid>
      <w:tr>
        <w:trPr/>
        <w:tc>
          <w:tcPr>
            <w:tcW w:w="740" w:type="dxa"/>
            <w:tcBorders/>
            <w:shd w:fill="auto" w:val="clear"/>
            <w:vAlign w:val="center"/>
          </w:tcPr>
          <w:p>
            <w:pPr>
              <w:pStyle w:val="TableContents"/>
              <w:spacing w:before="0" w:after="283"/>
              <w:rPr>
                <w:b/>
              </w:rPr>
            </w:pPr>
            <w:r>
              <w:rPr>
                <w:b/>
              </w:rPr>
              <w:t>Item 2.</w:t>
            </w:r>
          </w:p>
        </w:tc>
        <w:tc>
          <w:tcPr>
            <w:tcW w:w="6140" w:type="dxa"/>
            <w:tcBorders/>
            <w:shd w:fill="auto" w:val="clear"/>
            <w:vAlign w:val="center"/>
          </w:tcPr>
          <w:p>
            <w:pPr>
              <w:pStyle w:val="TableContents"/>
              <w:spacing w:before="0" w:after="0"/>
              <w:rPr>
                <w:b/>
              </w:rPr>
            </w:pPr>
            <w:r>
              <w:rPr>
                <w:b/>
              </w:rPr>
              <w:t>Unregistered Sales of Equity Securities and Use of Proceeds.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The following table shows the monthly activity related to our repurchases of common stock for the quarter ended March 31, 2023.</w:t>
      </w:r>
    </w:p>
    <w:p>
      <w:pPr>
        <w:pStyle w:val="TextBody"/>
        <w:spacing w:before="0" w:after="0"/>
        <w:jc w:val="left"/>
        <w:rPr/>
      </w:pPr>
      <w:r>
        <w:rPr/>
      </w:r>
    </w:p>
    <w:tbl>
      <w:tblPr>
        <w:tblW w:w="9647" w:type="dxa"/>
        <w:jc w:val="left"/>
        <w:tblInd w:w="0" w:type="dxa"/>
        <w:tblCellMar>
          <w:top w:w="0" w:type="dxa"/>
          <w:left w:w="0" w:type="dxa"/>
          <w:bottom w:w="28" w:type="dxa"/>
          <w:right w:w="0" w:type="dxa"/>
        </w:tblCellMar>
      </w:tblPr>
      <w:tblGrid>
        <w:gridCol w:w="1460"/>
        <w:gridCol w:w="60"/>
        <w:gridCol w:w="103"/>
        <w:gridCol w:w="1691"/>
        <w:gridCol w:w="60"/>
        <w:gridCol w:w="60"/>
        <w:gridCol w:w="242"/>
        <w:gridCol w:w="968"/>
        <w:gridCol w:w="60"/>
        <w:gridCol w:w="60"/>
        <w:gridCol w:w="128"/>
        <w:gridCol w:w="2111"/>
        <w:gridCol w:w="60"/>
        <w:gridCol w:w="60"/>
        <w:gridCol w:w="418"/>
        <w:gridCol w:w="2031"/>
        <w:gridCol w:w="75"/>
      </w:tblGrid>
      <w:tr>
        <w:trPr/>
        <w:tc>
          <w:tcPr>
            <w:tcW w:w="1460" w:type="dxa"/>
            <w:tcBorders>
              <w:bottom w:val="single" w:sz="12" w:space="0" w:color="000000"/>
            </w:tcBorders>
            <w:shd w:fill="auto" w:val="clear"/>
            <w:vAlign w:val="center"/>
          </w:tcPr>
          <w:p>
            <w:pPr>
              <w:pStyle w:val="TableContents"/>
              <w:spacing w:before="0" w:after="0"/>
              <w:ind w:left="144" w:right="0" w:hanging="144"/>
              <w:rPr>
                <w:b/>
              </w:rPr>
            </w:pPr>
            <w:r>
              <w:rPr>
                <w:b/>
              </w:rPr>
              <w:t>Period</w:t>
            </w:r>
          </w:p>
          <w:p>
            <w:pPr>
              <w:pStyle w:val="TableContents"/>
              <w:spacing w:before="0" w:after="0"/>
              <w:ind w:left="144" w:right="0" w:hanging="144"/>
              <w:rPr/>
            </w:pPr>
            <w:r>
              <w:rPr/>
              <w:t> </w:t>
            </w:r>
          </w:p>
        </w:tc>
        <w:tc>
          <w:tcPr>
            <w:tcW w:w="60" w:type="dxa"/>
            <w:tcBorders/>
            <w:shd w:fill="auto" w:val="clear"/>
            <w:tcMar>
              <w:bottom w:w="0" w:type="dxa"/>
            </w:tcMar>
            <w:vAlign w:val="bottom"/>
          </w:tcPr>
          <w:p>
            <w:pPr>
              <w:pStyle w:val="TableContents"/>
              <w:spacing w:before="0" w:after="283"/>
              <w:rPr/>
            </w:pPr>
            <w:r>
              <w:rPr/>
              <w:t> </w:t>
            </w:r>
          </w:p>
        </w:tc>
        <w:tc>
          <w:tcPr>
            <w:tcW w:w="1794" w:type="dxa"/>
            <w:gridSpan w:val="2"/>
            <w:tcBorders>
              <w:bottom w:val="single" w:sz="12" w:space="0" w:color="000000"/>
            </w:tcBorders>
            <w:shd w:fill="auto" w:val="clear"/>
            <w:vAlign w:val="bottom"/>
          </w:tcPr>
          <w:p>
            <w:pPr>
              <w:pStyle w:val="TableContents"/>
              <w:spacing w:before="0" w:after="0"/>
              <w:ind w:left="0" w:right="0" w:firstLine="320"/>
              <w:jc w:val="center"/>
              <w:rPr>
                <w:b/>
              </w:rPr>
            </w:pPr>
            <w:r>
              <w:rPr>
                <w:b/>
              </w:rPr>
              <w:t>Total Number</w:t>
            </w:r>
          </w:p>
          <w:p>
            <w:pPr>
              <w:pStyle w:val="TableContents"/>
              <w:spacing w:before="0" w:after="0"/>
              <w:ind w:left="0" w:right="0" w:firstLine="320"/>
              <w:jc w:val="center"/>
              <w:rPr>
                <w:b/>
              </w:rPr>
            </w:pPr>
            <w:r>
              <w:rPr>
                <w:b/>
              </w:rPr>
              <w:t>of Shares</w:t>
            </w:r>
          </w:p>
          <w:p>
            <w:pPr>
              <w:pStyle w:val="TableContents"/>
              <w:spacing w:before="0" w:after="0"/>
              <w:ind w:left="0" w:right="0" w:firstLine="320"/>
              <w:jc w:val="center"/>
              <w:rPr>
                <w:b/>
              </w:rPr>
            </w:pPr>
            <w:r>
              <w:rPr>
                <w:b/>
              </w:rPr>
              <w:t>Purchased(1)</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210" w:type="dxa"/>
            <w:gridSpan w:val="2"/>
            <w:tcBorders>
              <w:bottom w:val="single" w:sz="12" w:space="0" w:color="000000"/>
            </w:tcBorders>
            <w:shd w:fill="auto" w:val="clear"/>
            <w:vAlign w:val="bottom"/>
          </w:tcPr>
          <w:p>
            <w:pPr>
              <w:pStyle w:val="TableContents"/>
              <w:spacing w:before="0" w:after="0"/>
              <w:ind w:left="0" w:right="0" w:firstLine="140"/>
              <w:jc w:val="center"/>
              <w:rPr>
                <w:b/>
              </w:rPr>
            </w:pPr>
            <w:r>
              <w:rPr>
                <w:b/>
              </w:rPr>
              <w:t>Average</w:t>
            </w:r>
          </w:p>
          <w:p>
            <w:pPr>
              <w:pStyle w:val="TableContents"/>
              <w:spacing w:before="0" w:after="0"/>
              <w:ind w:left="0" w:right="0" w:firstLine="140"/>
              <w:jc w:val="center"/>
              <w:rPr>
                <w:b/>
              </w:rPr>
            </w:pPr>
            <w:r>
              <w:rPr>
                <w:b/>
              </w:rPr>
              <w:t>Price Paid</w:t>
            </w:r>
          </w:p>
          <w:p>
            <w:pPr>
              <w:pStyle w:val="TableContents"/>
              <w:spacing w:before="0" w:after="0"/>
              <w:ind w:left="0" w:right="0" w:firstLine="140"/>
              <w:jc w:val="center"/>
              <w:rPr>
                <w:b/>
              </w:rPr>
            </w:pPr>
            <w:r>
              <w:rPr>
                <w:b/>
              </w:rPr>
              <w:t>per Share</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239" w:type="dxa"/>
            <w:gridSpan w:val="2"/>
            <w:tcBorders>
              <w:bottom w:val="single" w:sz="12" w:space="0" w:color="000000"/>
            </w:tcBorders>
            <w:shd w:fill="auto" w:val="clear"/>
            <w:vAlign w:val="bottom"/>
          </w:tcPr>
          <w:p>
            <w:pPr>
              <w:pStyle w:val="TableContents"/>
              <w:spacing w:before="0" w:after="0"/>
              <w:ind w:left="0" w:right="0" w:firstLine="360"/>
              <w:jc w:val="center"/>
              <w:rPr>
                <w:b/>
              </w:rPr>
            </w:pPr>
            <w:r>
              <w:rPr>
                <w:b/>
              </w:rPr>
              <w:t>Total Number</w:t>
            </w:r>
          </w:p>
          <w:p>
            <w:pPr>
              <w:pStyle w:val="TableContents"/>
              <w:spacing w:before="0" w:after="0"/>
              <w:ind w:left="0" w:right="0" w:firstLine="360"/>
              <w:jc w:val="center"/>
              <w:rPr>
                <w:b/>
              </w:rPr>
            </w:pPr>
            <w:r>
              <w:rPr>
                <w:b/>
              </w:rPr>
              <w:t>of Shares</w:t>
            </w:r>
          </w:p>
          <w:p>
            <w:pPr>
              <w:pStyle w:val="TableContents"/>
              <w:spacing w:before="0" w:after="0"/>
              <w:ind w:left="0" w:right="0" w:firstLine="360"/>
              <w:jc w:val="center"/>
              <w:rPr>
                <w:b/>
              </w:rPr>
            </w:pPr>
            <w:r>
              <w:rPr>
                <w:b/>
              </w:rPr>
              <w:t>Purchased as Part</w:t>
            </w:r>
          </w:p>
          <w:p>
            <w:pPr>
              <w:pStyle w:val="TableContents"/>
              <w:spacing w:before="0" w:after="0"/>
              <w:ind w:left="0" w:right="0" w:firstLine="360"/>
              <w:jc w:val="center"/>
              <w:rPr>
                <w:b/>
              </w:rPr>
            </w:pPr>
            <w:r>
              <w:rPr>
                <w:b/>
              </w:rPr>
              <w:t>of Publicly</w:t>
            </w:r>
          </w:p>
          <w:p>
            <w:pPr>
              <w:pStyle w:val="TableContents"/>
              <w:spacing w:before="0" w:after="0"/>
              <w:ind w:left="0" w:right="0" w:firstLine="360"/>
              <w:jc w:val="center"/>
              <w:rPr>
                <w:b/>
              </w:rPr>
            </w:pPr>
            <w:r>
              <w:rPr>
                <w:b/>
              </w:rPr>
              <w:t>Announced Plans</w:t>
            </w:r>
          </w:p>
          <w:p>
            <w:pPr>
              <w:pStyle w:val="TableContents"/>
              <w:spacing w:before="0" w:after="0"/>
              <w:ind w:left="0" w:right="0" w:firstLine="360"/>
              <w:jc w:val="center"/>
              <w:rPr>
                <w:b/>
              </w:rPr>
            </w:pPr>
            <w:r>
              <w:rPr>
                <w:b/>
              </w:rPr>
              <w:t>or Programs(2)</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449" w:type="dxa"/>
            <w:gridSpan w:val="2"/>
            <w:tcBorders>
              <w:bottom w:val="single" w:sz="12" w:space="0" w:color="000000"/>
            </w:tcBorders>
            <w:shd w:fill="auto" w:val="clear"/>
            <w:vAlign w:val="bottom"/>
          </w:tcPr>
          <w:p>
            <w:pPr>
              <w:pStyle w:val="TableContents"/>
              <w:spacing w:before="0" w:after="0"/>
              <w:ind w:left="0" w:right="0" w:firstLine="300"/>
              <w:jc w:val="center"/>
              <w:rPr>
                <w:b/>
              </w:rPr>
            </w:pPr>
            <w:r>
              <w:rPr>
                <w:b/>
              </w:rPr>
              <w:t>Approximate dollar</w:t>
            </w:r>
          </w:p>
          <w:p>
            <w:pPr>
              <w:pStyle w:val="TableContents"/>
              <w:spacing w:before="0" w:after="0"/>
              <w:ind w:left="0" w:right="0" w:firstLine="300"/>
              <w:jc w:val="center"/>
              <w:rPr>
                <w:b/>
              </w:rPr>
            </w:pPr>
            <w:r>
              <w:rPr>
                <w:b/>
              </w:rPr>
              <w:t>value of Shares that</w:t>
            </w:r>
          </w:p>
          <w:p>
            <w:pPr>
              <w:pStyle w:val="TableContents"/>
              <w:spacing w:before="0" w:after="0"/>
              <w:ind w:left="0" w:right="0" w:firstLine="300"/>
              <w:jc w:val="center"/>
              <w:rPr>
                <w:b/>
              </w:rPr>
            </w:pPr>
            <w:r>
              <w:rPr>
                <w:b/>
              </w:rPr>
              <w:t>may yet be</w:t>
            </w:r>
          </w:p>
          <w:p>
            <w:pPr>
              <w:pStyle w:val="TableContents"/>
              <w:spacing w:before="0" w:after="0"/>
              <w:ind w:left="0" w:right="0" w:firstLine="300"/>
              <w:jc w:val="center"/>
              <w:rPr>
                <w:b/>
              </w:rPr>
            </w:pPr>
            <w:r>
              <w:rPr>
                <w:b/>
              </w:rPr>
              <w:t>Purchased under the</w:t>
            </w:r>
          </w:p>
          <w:p>
            <w:pPr>
              <w:pStyle w:val="TableContents"/>
              <w:spacing w:before="0" w:after="0"/>
              <w:ind w:left="0" w:right="0" w:firstLine="300"/>
              <w:jc w:val="center"/>
              <w:rPr>
                <w:b/>
              </w:rPr>
            </w:pPr>
            <w:r>
              <w:rPr>
                <w:b/>
              </w:rPr>
              <w:t>Plans or Programs</w:t>
            </w:r>
          </w:p>
          <w:p>
            <w:pPr>
              <w:pStyle w:val="TableContents"/>
              <w:spacing w:before="0" w:after="0"/>
              <w:ind w:left="0" w:right="0" w:firstLine="300"/>
              <w:jc w:val="center"/>
              <w:rPr>
                <w:b/>
              </w:rPr>
            </w:pPr>
            <w:r>
              <w:rPr>
                <w:b/>
              </w:rPr>
              <w:t>(in thousands)(2)</w:t>
            </w:r>
          </w:p>
        </w:tc>
        <w:tc>
          <w:tcPr>
            <w:tcW w:w="75" w:type="dxa"/>
            <w:tcBorders/>
            <w:shd w:fill="auto" w:val="clear"/>
            <w:tcMar>
              <w:bottom w:w="0" w:type="dxa"/>
            </w:tcMar>
            <w:vAlign w:val="bottom"/>
          </w:tcPr>
          <w:p>
            <w:pPr>
              <w:pStyle w:val="TableContents"/>
              <w:spacing w:before="0" w:after="283"/>
              <w:rPr/>
            </w:pPr>
            <w:r>
              <w:rPr/>
              <w:t> </w:t>
            </w:r>
          </w:p>
        </w:tc>
      </w:tr>
      <w:tr>
        <w:trPr/>
        <w:tc>
          <w:tcPr>
            <w:tcW w:w="1460" w:type="dxa"/>
            <w:tcBorders/>
            <w:shd w:fill="CCEEFF" w:val="clear"/>
            <w:tcMar>
              <w:bottom w:w="0" w:type="dxa"/>
            </w:tcMar>
            <w:vAlign w:val="bottom"/>
          </w:tcPr>
          <w:p>
            <w:pPr>
              <w:pStyle w:val="TableContents"/>
              <w:spacing w:before="0" w:after="0"/>
              <w:ind w:left="144" w:right="0" w:hanging="144"/>
              <w:rPr/>
            </w:pPr>
            <w:r>
              <w:rPr/>
              <w:t>January 2023</w:t>
            </w:r>
          </w:p>
        </w:tc>
        <w:tc>
          <w:tcPr>
            <w:tcW w:w="60"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rPr/>
            </w:pPr>
            <w:r>
              <w:rPr/>
              <w:t> </w:t>
            </w:r>
          </w:p>
        </w:tc>
        <w:tc>
          <w:tcPr>
            <w:tcW w:w="1691" w:type="dxa"/>
            <w:tcBorders/>
            <w:shd w:fill="CCEEFF" w:val="clear"/>
            <w:tcMar>
              <w:bottom w:w="0" w:type="dxa"/>
            </w:tcMar>
            <w:vAlign w:val="bottom"/>
          </w:tcPr>
          <w:p>
            <w:pPr>
              <w:pStyle w:val="TableContents"/>
              <w:spacing w:before="0" w:after="0"/>
              <w:jc w:val="right"/>
              <w:rPr/>
            </w:pPr>
            <w:r>
              <w:rPr/>
              <w:t>210,192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242" w:type="dxa"/>
            <w:tcBorders/>
            <w:shd w:fill="CCEEFF" w:val="clear"/>
            <w:tcMar>
              <w:bottom w:w="0" w:type="dxa"/>
            </w:tcMar>
            <w:vAlign w:val="bottom"/>
          </w:tcPr>
          <w:p>
            <w:pPr>
              <w:pStyle w:val="TableContents"/>
              <w:spacing w:before="0" w:after="0"/>
              <w:rPr/>
            </w:pPr>
            <w:r>
              <w:rPr/>
              <w:t>$</w:t>
            </w:r>
          </w:p>
        </w:tc>
        <w:tc>
          <w:tcPr>
            <w:tcW w:w="968" w:type="dxa"/>
            <w:tcBorders/>
            <w:shd w:fill="CCEEFF" w:val="clear"/>
            <w:tcMar>
              <w:bottom w:w="0" w:type="dxa"/>
            </w:tcMar>
            <w:vAlign w:val="bottom"/>
          </w:tcPr>
          <w:p>
            <w:pPr>
              <w:pStyle w:val="TableContents"/>
              <w:spacing w:before="0" w:after="0"/>
              <w:jc w:val="right"/>
              <w:rPr/>
            </w:pPr>
            <w:r>
              <w:rPr/>
              <w:t>10.45</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28" w:type="dxa"/>
            <w:tcBorders/>
            <w:shd w:fill="CCEEFF" w:val="clear"/>
            <w:tcMar>
              <w:bottom w:w="0" w:type="dxa"/>
            </w:tcMar>
            <w:vAlign w:val="bottom"/>
          </w:tcPr>
          <w:p>
            <w:pPr>
              <w:pStyle w:val="TableContents"/>
              <w:spacing w:before="0" w:after="283"/>
              <w:rPr/>
            </w:pPr>
            <w:r>
              <w:rPr/>
              <w:t> </w:t>
            </w:r>
          </w:p>
        </w:tc>
        <w:tc>
          <w:tcPr>
            <w:tcW w:w="2111" w:type="dxa"/>
            <w:tcBorders/>
            <w:shd w:fill="CCEEFF" w:val="clear"/>
            <w:tcMar>
              <w:bottom w:w="0" w:type="dxa"/>
            </w:tcMar>
            <w:vAlign w:val="bottom"/>
          </w:tcPr>
          <w:p>
            <w:pPr>
              <w:pStyle w:val="TableContents"/>
              <w:spacing w:before="0" w:after="0"/>
              <w:jc w:val="right"/>
              <w:rPr/>
            </w:pPr>
            <w:r>
              <w:rPr/>
              <w:t>210,192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418" w:type="dxa"/>
            <w:tcBorders/>
            <w:shd w:fill="CCEEFF" w:val="clear"/>
            <w:tcMar>
              <w:bottom w:w="0" w:type="dxa"/>
            </w:tcMar>
            <w:vAlign w:val="bottom"/>
          </w:tcPr>
          <w:p>
            <w:pPr>
              <w:pStyle w:val="TableContents"/>
              <w:spacing w:before="0" w:after="0"/>
              <w:rPr/>
            </w:pPr>
            <w:r>
              <w:rPr/>
              <w:t>$</w:t>
            </w:r>
          </w:p>
        </w:tc>
        <w:tc>
          <w:tcPr>
            <w:tcW w:w="2031" w:type="dxa"/>
            <w:tcBorders/>
            <w:shd w:fill="CCEEFF" w:val="clear"/>
            <w:tcMar>
              <w:bottom w:w="0" w:type="dxa"/>
            </w:tcMar>
            <w:vAlign w:val="bottom"/>
          </w:tcPr>
          <w:p>
            <w:pPr>
              <w:pStyle w:val="TableContents"/>
              <w:spacing w:before="0" w:after="0"/>
              <w:jc w:val="right"/>
              <w:rPr/>
            </w:pPr>
            <w:r>
              <w:rPr/>
              <w:t>35,292</w:t>
            </w:r>
          </w:p>
        </w:tc>
        <w:tc>
          <w:tcPr>
            <w:tcW w:w="75" w:type="dxa"/>
            <w:tcBorders/>
            <w:shd w:fill="CCEEFF" w:val="clear"/>
            <w:tcMar>
              <w:bottom w:w="0" w:type="dxa"/>
            </w:tcMar>
            <w:vAlign w:val="bottom"/>
          </w:tcPr>
          <w:p>
            <w:pPr>
              <w:pStyle w:val="TableContents"/>
              <w:spacing w:before="0" w:after="283"/>
              <w:rPr/>
            </w:pPr>
            <w:r>
              <w:rPr/>
              <w:t> </w:t>
            </w:r>
          </w:p>
        </w:tc>
      </w:tr>
      <w:tr>
        <w:trPr/>
        <w:tc>
          <w:tcPr>
            <w:tcW w:w="1460" w:type="dxa"/>
            <w:tcBorders/>
            <w:shd w:fill="auto" w:val="clear"/>
            <w:tcMar>
              <w:bottom w:w="0" w:type="dxa"/>
            </w:tcMar>
            <w:vAlign w:val="bottom"/>
          </w:tcPr>
          <w:p>
            <w:pPr>
              <w:pStyle w:val="TableContents"/>
              <w:spacing w:before="0" w:after="0"/>
              <w:ind w:left="144" w:right="0" w:hanging="144"/>
              <w:rPr/>
            </w:pPr>
            <w:r>
              <w:rPr/>
              <w:t>February 2023</w:t>
            </w:r>
          </w:p>
        </w:tc>
        <w:tc>
          <w:tcPr>
            <w:tcW w:w="60" w:type="dxa"/>
            <w:tcBorders/>
            <w:shd w:fill="auto" w:val="clear"/>
            <w:tcMar>
              <w:bottom w:w="0" w:type="dxa"/>
            </w:tcMar>
            <w:vAlign w:val="bottom"/>
          </w:tcPr>
          <w:p>
            <w:pPr>
              <w:pStyle w:val="TableContents"/>
              <w:spacing w:before="0" w:after="283"/>
              <w:jc w:val="right"/>
              <w:rPr/>
            </w:pPr>
            <w:r>
              <w:rPr/>
              <w:t> </w:t>
            </w:r>
          </w:p>
        </w:tc>
        <w:tc>
          <w:tcPr>
            <w:tcW w:w="103" w:type="dxa"/>
            <w:tcBorders/>
            <w:shd w:fill="auto" w:val="clear"/>
            <w:tcMar>
              <w:bottom w:w="0" w:type="dxa"/>
            </w:tcMar>
            <w:vAlign w:val="bottom"/>
          </w:tcPr>
          <w:p>
            <w:pPr>
              <w:pStyle w:val="TableContents"/>
              <w:spacing w:before="0" w:after="283"/>
              <w:rPr/>
            </w:pPr>
            <w:r>
              <w:rPr/>
              <w:t> </w:t>
            </w:r>
          </w:p>
        </w:tc>
        <w:tc>
          <w:tcPr>
            <w:tcW w:w="1691" w:type="dxa"/>
            <w:tcBorders/>
            <w:shd w:fill="auto" w:val="clear"/>
            <w:tcMar>
              <w:bottom w:w="0" w:type="dxa"/>
            </w:tcMar>
            <w:vAlign w:val="bottom"/>
          </w:tcPr>
          <w:p>
            <w:pPr>
              <w:pStyle w:val="TableContents"/>
              <w:spacing w:before="0" w:after="0"/>
              <w:jc w:val="right"/>
              <w:rPr/>
            </w:pPr>
            <w:r>
              <w:rPr/>
              <w:t>222,314</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242" w:type="dxa"/>
            <w:tcBorders/>
            <w:shd w:fill="auto" w:val="clear"/>
            <w:tcMar>
              <w:bottom w:w="0" w:type="dxa"/>
            </w:tcMar>
            <w:vAlign w:val="bottom"/>
          </w:tcPr>
          <w:p>
            <w:pPr>
              <w:pStyle w:val="TableContents"/>
              <w:spacing w:before="0" w:after="0"/>
              <w:rPr/>
            </w:pPr>
            <w:r>
              <w:rPr/>
              <w:t>$</w:t>
            </w:r>
          </w:p>
        </w:tc>
        <w:tc>
          <w:tcPr>
            <w:tcW w:w="968" w:type="dxa"/>
            <w:tcBorders/>
            <w:shd w:fill="auto" w:val="clear"/>
            <w:tcMar>
              <w:bottom w:w="0" w:type="dxa"/>
            </w:tcMar>
            <w:vAlign w:val="bottom"/>
          </w:tcPr>
          <w:p>
            <w:pPr>
              <w:pStyle w:val="TableContents"/>
              <w:spacing w:before="0" w:after="0"/>
              <w:jc w:val="right"/>
              <w:rPr/>
            </w:pPr>
            <w:r>
              <w:rPr/>
              <w:t>10.16</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28" w:type="dxa"/>
            <w:tcBorders/>
            <w:shd w:fill="auto" w:val="clear"/>
            <w:tcMar>
              <w:bottom w:w="0" w:type="dxa"/>
            </w:tcMar>
            <w:vAlign w:val="bottom"/>
          </w:tcPr>
          <w:p>
            <w:pPr>
              <w:pStyle w:val="TableContents"/>
              <w:spacing w:before="0" w:after="283"/>
              <w:rPr/>
            </w:pPr>
            <w:r>
              <w:rPr/>
              <w:t> </w:t>
            </w:r>
          </w:p>
        </w:tc>
        <w:tc>
          <w:tcPr>
            <w:tcW w:w="2111" w:type="dxa"/>
            <w:tcBorders/>
            <w:shd w:fill="auto" w:val="clear"/>
            <w:tcMar>
              <w:bottom w:w="0" w:type="dxa"/>
            </w:tcMar>
            <w:vAlign w:val="bottom"/>
          </w:tcPr>
          <w:p>
            <w:pPr>
              <w:pStyle w:val="TableContents"/>
              <w:spacing w:before="0" w:after="0"/>
              <w:jc w:val="right"/>
              <w:rPr/>
            </w:pPr>
            <w:r>
              <w:rPr/>
              <w:t>222,314</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418" w:type="dxa"/>
            <w:tcBorders/>
            <w:shd w:fill="auto" w:val="clear"/>
            <w:tcMar>
              <w:bottom w:w="0" w:type="dxa"/>
            </w:tcMar>
            <w:vAlign w:val="bottom"/>
          </w:tcPr>
          <w:p>
            <w:pPr>
              <w:pStyle w:val="TableContents"/>
              <w:spacing w:before="0" w:after="0"/>
              <w:rPr/>
            </w:pPr>
            <w:r>
              <w:rPr/>
              <w:t>$</w:t>
            </w:r>
          </w:p>
        </w:tc>
        <w:tc>
          <w:tcPr>
            <w:tcW w:w="2031" w:type="dxa"/>
            <w:tcBorders/>
            <w:shd w:fill="auto" w:val="clear"/>
            <w:tcMar>
              <w:bottom w:w="0" w:type="dxa"/>
            </w:tcMar>
            <w:vAlign w:val="bottom"/>
          </w:tcPr>
          <w:p>
            <w:pPr>
              <w:pStyle w:val="TableContents"/>
              <w:spacing w:before="0" w:after="0"/>
              <w:jc w:val="right"/>
              <w:rPr/>
            </w:pPr>
            <w:r>
              <w:rPr/>
              <w:t>33,033</w:t>
            </w:r>
          </w:p>
        </w:tc>
        <w:tc>
          <w:tcPr>
            <w:tcW w:w="75" w:type="dxa"/>
            <w:tcBorders/>
            <w:shd w:fill="auto" w:val="clear"/>
            <w:tcMar>
              <w:bottom w:w="0" w:type="dxa"/>
            </w:tcMar>
            <w:vAlign w:val="bottom"/>
          </w:tcPr>
          <w:p>
            <w:pPr>
              <w:pStyle w:val="TableContents"/>
              <w:spacing w:before="0" w:after="283"/>
              <w:rPr/>
            </w:pPr>
            <w:r>
              <w:rPr/>
              <w:t> </w:t>
            </w:r>
          </w:p>
        </w:tc>
      </w:tr>
      <w:tr>
        <w:trPr/>
        <w:tc>
          <w:tcPr>
            <w:tcW w:w="1460" w:type="dxa"/>
            <w:tcBorders/>
            <w:shd w:fill="CCEEFF" w:val="clear"/>
            <w:tcMar>
              <w:bottom w:w="0" w:type="dxa"/>
            </w:tcMar>
            <w:vAlign w:val="bottom"/>
          </w:tcPr>
          <w:p>
            <w:pPr>
              <w:pStyle w:val="TableContents"/>
              <w:spacing w:before="0" w:after="0"/>
              <w:ind w:left="144" w:right="0" w:hanging="144"/>
              <w:rPr/>
            </w:pPr>
            <w:r>
              <w:rPr/>
              <w:t>March 2023(1)</w:t>
            </w:r>
          </w:p>
        </w:tc>
        <w:tc>
          <w:tcPr>
            <w:tcW w:w="60" w:type="dxa"/>
            <w:tcBorders/>
            <w:shd w:fill="CCEEFF" w:val="clear"/>
            <w:tcMar>
              <w:bottom w:w="0" w:type="dxa"/>
            </w:tcMar>
            <w:vAlign w:val="bottom"/>
          </w:tcPr>
          <w:p>
            <w:pPr>
              <w:pStyle w:val="TableContents"/>
              <w:spacing w:before="0" w:after="283"/>
              <w:jc w:val="right"/>
              <w:rPr/>
            </w:pPr>
            <w:r>
              <w:rPr/>
              <w:t> </w:t>
            </w:r>
          </w:p>
        </w:tc>
        <w:tc>
          <w:tcPr>
            <w:tcW w:w="103" w:type="dxa"/>
            <w:tcBorders>
              <w:bottom w:val="single" w:sz="12" w:space="0" w:color="000000"/>
            </w:tcBorders>
            <w:shd w:fill="CCEEFF" w:val="clear"/>
            <w:vAlign w:val="bottom"/>
          </w:tcPr>
          <w:p>
            <w:pPr>
              <w:pStyle w:val="TableContents"/>
              <w:spacing w:before="0" w:after="283"/>
              <w:rPr/>
            </w:pPr>
            <w:r>
              <w:rPr/>
              <w:t> </w:t>
            </w:r>
          </w:p>
        </w:tc>
        <w:tc>
          <w:tcPr>
            <w:tcW w:w="1691" w:type="dxa"/>
            <w:tcBorders>
              <w:bottom w:val="single" w:sz="12" w:space="0" w:color="000000"/>
            </w:tcBorders>
            <w:shd w:fill="CCEEFF" w:val="clear"/>
            <w:vAlign w:val="bottom"/>
          </w:tcPr>
          <w:p>
            <w:pPr>
              <w:pStyle w:val="TableContents"/>
              <w:spacing w:before="0" w:after="0"/>
              <w:jc w:val="right"/>
              <w:rPr/>
            </w:pPr>
            <w:r>
              <w:rPr/>
              <w:t>807,487</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242" w:type="dxa"/>
            <w:tcBorders>
              <w:bottom w:val="single" w:sz="12" w:space="0" w:color="000000"/>
            </w:tcBorders>
            <w:shd w:fill="CCEEFF" w:val="clear"/>
            <w:vAlign w:val="bottom"/>
          </w:tcPr>
          <w:p>
            <w:pPr>
              <w:pStyle w:val="TableContents"/>
              <w:spacing w:before="0" w:after="0"/>
              <w:rPr/>
            </w:pPr>
            <w:r>
              <w:rPr/>
              <w:t>$</w:t>
            </w:r>
          </w:p>
        </w:tc>
        <w:tc>
          <w:tcPr>
            <w:tcW w:w="968" w:type="dxa"/>
            <w:tcBorders>
              <w:bottom w:val="single" w:sz="12" w:space="0" w:color="000000"/>
            </w:tcBorders>
            <w:shd w:fill="CCEEFF" w:val="clear"/>
            <w:vAlign w:val="bottom"/>
          </w:tcPr>
          <w:p>
            <w:pPr>
              <w:pStyle w:val="TableContents"/>
              <w:spacing w:before="0" w:after="0"/>
              <w:jc w:val="right"/>
              <w:rPr/>
            </w:pPr>
            <w:r>
              <w:rPr/>
              <w:t>9.22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28" w:type="dxa"/>
            <w:tcBorders>
              <w:bottom w:val="single" w:sz="12" w:space="0" w:color="000000"/>
            </w:tcBorders>
            <w:shd w:fill="CCEEFF" w:val="clear"/>
            <w:vAlign w:val="bottom"/>
          </w:tcPr>
          <w:p>
            <w:pPr>
              <w:pStyle w:val="TableContents"/>
              <w:spacing w:before="0" w:after="283"/>
              <w:rPr/>
            </w:pPr>
            <w:r>
              <w:rPr/>
              <w:t> </w:t>
            </w:r>
          </w:p>
        </w:tc>
        <w:tc>
          <w:tcPr>
            <w:tcW w:w="2111" w:type="dxa"/>
            <w:tcBorders>
              <w:bottom w:val="single" w:sz="12" w:space="0" w:color="000000"/>
            </w:tcBorders>
            <w:shd w:fill="CCEEFF" w:val="clear"/>
            <w:vAlign w:val="bottom"/>
          </w:tcPr>
          <w:p>
            <w:pPr>
              <w:pStyle w:val="TableContents"/>
              <w:spacing w:before="0" w:after="0"/>
              <w:jc w:val="right"/>
              <w:rPr/>
            </w:pPr>
            <w:r>
              <w:rPr/>
              <w:t>805,966</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418" w:type="dxa"/>
            <w:tcBorders>
              <w:bottom w:val="single" w:sz="12" w:space="0" w:color="000000"/>
            </w:tcBorders>
            <w:shd w:fill="CCEEFF" w:val="clear"/>
            <w:vAlign w:val="bottom"/>
          </w:tcPr>
          <w:p>
            <w:pPr>
              <w:pStyle w:val="TableContents"/>
              <w:spacing w:before="0" w:after="0"/>
              <w:rPr/>
            </w:pPr>
            <w:r>
              <w:rPr/>
              <w:t>$</w:t>
            </w:r>
          </w:p>
        </w:tc>
        <w:tc>
          <w:tcPr>
            <w:tcW w:w="2031" w:type="dxa"/>
            <w:tcBorders>
              <w:bottom w:val="single" w:sz="12" w:space="0" w:color="000000"/>
            </w:tcBorders>
            <w:shd w:fill="CCEEFF" w:val="clear"/>
            <w:vAlign w:val="bottom"/>
          </w:tcPr>
          <w:p>
            <w:pPr>
              <w:pStyle w:val="TableContents"/>
              <w:spacing w:before="0" w:after="0"/>
              <w:jc w:val="right"/>
              <w:rPr/>
            </w:pPr>
            <w:r>
              <w:rPr/>
              <w:t>25,601</w:t>
            </w:r>
          </w:p>
        </w:tc>
        <w:tc>
          <w:tcPr>
            <w:tcW w:w="75" w:type="dxa"/>
            <w:tcBorders/>
            <w:shd w:fill="CCEEFF" w:val="clear"/>
            <w:tcMar>
              <w:bottom w:w="0" w:type="dxa"/>
            </w:tcMar>
            <w:vAlign w:val="bottom"/>
          </w:tcPr>
          <w:p>
            <w:pPr>
              <w:pStyle w:val="TableContents"/>
              <w:spacing w:before="0" w:after="283"/>
              <w:rPr/>
            </w:pPr>
            <w:r>
              <w:rPr/>
              <w:t> </w:t>
            </w:r>
          </w:p>
        </w:tc>
      </w:tr>
      <w:tr>
        <w:trPr/>
        <w:tc>
          <w:tcPr>
            <w:tcW w:w="1460" w:type="dxa"/>
            <w:tcBorders/>
            <w:shd w:fill="auto" w:val="clear"/>
            <w:tcMar>
              <w:bottom w:w="0" w:type="dxa"/>
            </w:tcMar>
            <w:vAlign w:val="bottom"/>
          </w:tcPr>
          <w:p>
            <w:pPr>
              <w:pStyle w:val="TableContents"/>
              <w:spacing w:before="0" w:after="0"/>
              <w:ind w:left="144" w:right="0" w:hanging="144"/>
              <w:rPr/>
            </w:pPr>
            <w:r>
              <w:rPr/>
              <w:t>Total</w:t>
            </w:r>
          </w:p>
        </w:tc>
        <w:tc>
          <w:tcPr>
            <w:tcW w:w="60" w:type="dxa"/>
            <w:tcBorders/>
            <w:shd w:fill="auto" w:val="clear"/>
            <w:tcMar>
              <w:bottom w:w="0" w:type="dxa"/>
            </w:tcMar>
            <w:vAlign w:val="bottom"/>
          </w:tcPr>
          <w:p>
            <w:pPr>
              <w:pStyle w:val="TableContents"/>
              <w:spacing w:before="0" w:after="283"/>
              <w:jc w:val="right"/>
              <w:rPr/>
            </w:pPr>
            <w:r>
              <w:rPr/>
              <w:t> </w:t>
            </w:r>
          </w:p>
        </w:tc>
        <w:tc>
          <w:tcPr>
            <w:tcW w:w="103" w:type="dxa"/>
            <w:tcBorders>
              <w:bottom w:val="double" w:sz="8" w:space="0" w:color="000000"/>
            </w:tcBorders>
            <w:shd w:fill="auto" w:val="clear"/>
            <w:vAlign w:val="bottom"/>
          </w:tcPr>
          <w:p>
            <w:pPr>
              <w:pStyle w:val="TableContents"/>
              <w:spacing w:before="0" w:after="283"/>
              <w:rPr/>
            </w:pPr>
            <w:r>
              <w:rPr/>
              <w:t> </w:t>
            </w:r>
          </w:p>
        </w:tc>
        <w:tc>
          <w:tcPr>
            <w:tcW w:w="1691" w:type="dxa"/>
            <w:tcBorders>
              <w:bottom w:val="double" w:sz="8" w:space="0" w:color="000000"/>
            </w:tcBorders>
            <w:shd w:fill="auto" w:val="clear"/>
            <w:vAlign w:val="bottom"/>
          </w:tcPr>
          <w:p>
            <w:pPr>
              <w:pStyle w:val="TableContents"/>
              <w:spacing w:before="0" w:after="0"/>
              <w:jc w:val="right"/>
              <w:rPr/>
            </w:pPr>
            <w:r>
              <w:rPr/>
              <w:t>1,239,993</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242" w:type="dxa"/>
            <w:tcBorders>
              <w:bottom w:val="double" w:sz="8" w:space="0" w:color="000000"/>
            </w:tcBorders>
            <w:shd w:fill="auto" w:val="clear"/>
            <w:vAlign w:val="bottom"/>
          </w:tcPr>
          <w:p>
            <w:pPr>
              <w:pStyle w:val="TableContents"/>
              <w:spacing w:before="0" w:after="0"/>
              <w:rPr/>
            </w:pPr>
            <w:r>
              <w:rPr/>
              <w:t>$</w:t>
            </w:r>
          </w:p>
        </w:tc>
        <w:tc>
          <w:tcPr>
            <w:tcW w:w="968" w:type="dxa"/>
            <w:tcBorders>
              <w:bottom w:val="double" w:sz="8" w:space="0" w:color="000000"/>
            </w:tcBorders>
            <w:shd w:fill="auto" w:val="clear"/>
            <w:vAlign w:val="bottom"/>
          </w:tcPr>
          <w:p>
            <w:pPr>
              <w:pStyle w:val="TableContents"/>
              <w:spacing w:before="0" w:after="0"/>
              <w:jc w:val="right"/>
              <w:rPr/>
            </w:pPr>
            <w:r>
              <w:rPr/>
              <w:t>9.60</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28" w:type="dxa"/>
            <w:tcBorders>
              <w:bottom w:val="double" w:sz="8" w:space="0" w:color="000000"/>
            </w:tcBorders>
            <w:shd w:fill="auto" w:val="clear"/>
            <w:vAlign w:val="bottom"/>
          </w:tcPr>
          <w:p>
            <w:pPr>
              <w:pStyle w:val="TableContents"/>
              <w:spacing w:before="0" w:after="283"/>
              <w:rPr/>
            </w:pPr>
            <w:r>
              <w:rPr/>
              <w:t> </w:t>
            </w:r>
          </w:p>
        </w:tc>
        <w:tc>
          <w:tcPr>
            <w:tcW w:w="2111" w:type="dxa"/>
            <w:tcBorders>
              <w:bottom w:val="double" w:sz="8" w:space="0" w:color="000000"/>
            </w:tcBorders>
            <w:shd w:fill="auto" w:val="clear"/>
            <w:vAlign w:val="bottom"/>
          </w:tcPr>
          <w:p>
            <w:pPr>
              <w:pStyle w:val="TableContents"/>
              <w:spacing w:before="0" w:after="0"/>
              <w:jc w:val="right"/>
              <w:rPr/>
            </w:pPr>
            <w:r>
              <w:rPr/>
              <w:t>1,238,472</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418" w:type="dxa"/>
            <w:tcBorders>
              <w:bottom w:val="double" w:sz="8" w:space="0" w:color="000000"/>
            </w:tcBorders>
            <w:shd w:fill="auto" w:val="clear"/>
            <w:vAlign w:val="bottom"/>
          </w:tcPr>
          <w:p>
            <w:pPr>
              <w:pStyle w:val="TableContents"/>
              <w:spacing w:before="0" w:after="0"/>
              <w:rPr/>
            </w:pPr>
            <w:r>
              <w:rPr/>
              <w:t>$</w:t>
            </w:r>
          </w:p>
        </w:tc>
        <w:tc>
          <w:tcPr>
            <w:tcW w:w="2031" w:type="dxa"/>
            <w:tcBorders>
              <w:bottom w:val="double" w:sz="8" w:space="0" w:color="000000"/>
            </w:tcBorders>
            <w:shd w:fill="auto" w:val="clear"/>
            <w:vAlign w:val="bottom"/>
          </w:tcPr>
          <w:p>
            <w:pPr>
              <w:pStyle w:val="TableContents"/>
              <w:spacing w:before="0" w:after="0"/>
              <w:jc w:val="right"/>
              <w:rPr/>
            </w:pPr>
            <w:r>
              <w:rPr/>
              <w:t>25,601</w:t>
            </w:r>
          </w:p>
        </w:tc>
        <w:tc>
          <w:tcPr>
            <w:tcW w:w="75" w:type="dxa"/>
            <w:tcBorders/>
            <w:shd w:fill="auto" w:val="clear"/>
            <w:tcMar>
              <w:bottom w:w="0" w:type="dxa"/>
            </w:tcMar>
            <w:vAlign w:val="bottom"/>
          </w:tcPr>
          <w:p>
            <w:pPr>
              <w:pStyle w:val="TableContents"/>
              <w:spacing w:before="0" w:after="283"/>
              <w:rPr/>
            </w:pPr>
            <w:r>
              <w:rPr/>
              <w:t> </w:t>
            </w:r>
          </w:p>
        </w:tc>
      </w:tr>
    </w:tbl>
    <w:p>
      <w:pPr>
        <w:pStyle w:val="TextBody"/>
        <w:spacing w:before="0" w:after="0"/>
        <w:jc w:val="left"/>
        <w:rPr/>
      </w:pPr>
      <w:r>
        <w:rPr/>
      </w:r>
    </w:p>
    <w:p>
      <w:pPr>
        <w:pStyle w:val="HorizontalLine"/>
        <w:jc w:val="left"/>
        <w:rPr/>
      </w:pPr>
      <w:r>
        <w:rPr/>
      </w:r>
    </w:p>
    <w:p>
      <w:pPr>
        <w:pStyle w:val="TextBody"/>
        <w:spacing w:before="0" w:after="0"/>
        <w:jc w:val="left"/>
        <w:rPr/>
      </w:pPr>
      <w:r>
        <w:rPr/>
      </w:r>
    </w:p>
    <w:tbl>
      <w:tblPr>
        <w:tblW w:w="10539" w:type="dxa"/>
        <w:jc w:val="left"/>
        <w:tblInd w:w="0" w:type="dxa"/>
        <w:tblCellMar>
          <w:top w:w="0" w:type="dxa"/>
          <w:left w:w="0" w:type="dxa"/>
          <w:bottom w:w="0" w:type="dxa"/>
          <w:right w:w="0" w:type="dxa"/>
        </w:tblCellMar>
      </w:tblPr>
      <w:tblGrid>
        <w:gridCol w:w="277"/>
        <w:gridCol w:w="10262"/>
      </w:tblGrid>
      <w:tr>
        <w:trPr/>
        <w:tc>
          <w:tcPr>
            <w:tcW w:w="277" w:type="dxa"/>
            <w:tcBorders/>
            <w:shd w:fill="auto" w:val="clear"/>
            <w:vAlign w:val="center"/>
          </w:tcPr>
          <w:p>
            <w:pPr>
              <w:pStyle w:val="TableContents"/>
              <w:spacing w:before="0" w:after="283"/>
              <w:rPr/>
            </w:pPr>
            <w:r>
              <w:rPr/>
              <w:t>(1)</w:t>
            </w:r>
          </w:p>
        </w:tc>
        <w:tc>
          <w:tcPr>
            <w:tcW w:w="10262" w:type="dxa"/>
            <w:tcBorders/>
            <w:shd w:fill="auto" w:val="clear"/>
            <w:vAlign w:val="center"/>
          </w:tcPr>
          <w:p>
            <w:pPr>
              <w:pStyle w:val="TableContents"/>
              <w:spacing w:before="0" w:after="0"/>
              <w:rPr/>
            </w:pPr>
            <w:r>
              <w:rPr/>
              <w:t>Includes 1,521 shares withheld to satisfy tax withholding obligations in connection with the vesting of restricted stock units issued under our equity incentive plans.</w:t>
            </w:r>
          </w:p>
        </w:tc>
      </w:tr>
    </w:tbl>
    <w:tbl>
      <w:tblPr>
        <w:tblW w:w="10539" w:type="dxa"/>
        <w:jc w:val="left"/>
        <w:tblInd w:w="0" w:type="dxa"/>
        <w:tblCellMar>
          <w:top w:w="0" w:type="dxa"/>
          <w:left w:w="0" w:type="dxa"/>
          <w:bottom w:w="0" w:type="dxa"/>
          <w:right w:w="0" w:type="dxa"/>
        </w:tblCellMar>
      </w:tblPr>
      <w:tblGrid>
        <w:gridCol w:w="239"/>
        <w:gridCol w:w="10300"/>
      </w:tblGrid>
      <w:tr>
        <w:trPr/>
        <w:tc>
          <w:tcPr>
            <w:tcW w:w="239" w:type="dxa"/>
            <w:tcBorders/>
            <w:shd w:fill="auto" w:val="clear"/>
            <w:vAlign w:val="center"/>
          </w:tcPr>
          <w:p>
            <w:pPr>
              <w:pStyle w:val="TableContents"/>
              <w:spacing w:before="0" w:after="283"/>
              <w:rPr/>
            </w:pPr>
            <w:r>
              <w:rPr/>
              <w:t>(2)</w:t>
            </w:r>
          </w:p>
        </w:tc>
        <w:tc>
          <w:tcPr>
            <w:tcW w:w="10300" w:type="dxa"/>
            <w:tcBorders/>
            <w:shd w:fill="auto" w:val="clear"/>
            <w:vAlign w:val="center"/>
          </w:tcPr>
          <w:p>
            <w:pPr>
              <w:pStyle w:val="TableContents"/>
              <w:spacing w:before="0" w:after="0"/>
              <w:rPr/>
            </w:pPr>
            <w:r>
              <w:rPr/>
              <w:t>On August 31, 2022, the Company’s Board of Directors authorized an expansion of the Company’s previously announced stock repurchase program from $75 million to $87.5 million of the Company’s common stock. The Company has already repurchased shares worth $37.5 million under the program through an accelerated stock repurchase agreement on December 21, 2021 with JPMorgan Chase Bank, National Association. The remaining $50.0 million of the expanded $87.5 million program will be repurchased in the open market or through privately negotiated transactions. In connection with the repurchase program, the Company established a stock trading plan with Oppenheimer &amp; Co. Inc. in accordance with Rule 10b5-1 under the Securities Exchange Act of 1934, as amended.</w:t>
            </w:r>
          </w:p>
        </w:tc>
      </w:tr>
    </w:tbl>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3" w:name="DefaultsUponSeniorSecurit"/>
      <w:bookmarkStart w:id="24" w:name="DefaultsUponSeniorSecurit"/>
      <w:bookmarkEnd w:id="24"/>
    </w:p>
    <w:tbl>
      <w:tblPr>
        <w:tblW w:w="4000" w:type="dxa"/>
        <w:jc w:val="left"/>
        <w:tblInd w:w="0" w:type="dxa"/>
        <w:tblCellMar>
          <w:top w:w="0" w:type="dxa"/>
          <w:left w:w="0" w:type="dxa"/>
          <w:bottom w:w="0" w:type="dxa"/>
          <w:right w:w="0" w:type="dxa"/>
        </w:tblCellMar>
      </w:tblPr>
      <w:tblGrid>
        <w:gridCol w:w="740"/>
        <w:gridCol w:w="3260"/>
      </w:tblGrid>
      <w:tr>
        <w:trPr/>
        <w:tc>
          <w:tcPr>
            <w:tcW w:w="740" w:type="dxa"/>
            <w:tcBorders/>
            <w:shd w:fill="auto" w:val="clear"/>
            <w:vAlign w:val="center"/>
          </w:tcPr>
          <w:p>
            <w:pPr>
              <w:pStyle w:val="TableContents"/>
              <w:spacing w:before="0" w:after="283"/>
              <w:rPr>
                <w:b/>
              </w:rPr>
            </w:pPr>
            <w:r>
              <w:rPr>
                <w:b/>
              </w:rPr>
              <w:t>Item 3.</w:t>
            </w:r>
          </w:p>
        </w:tc>
        <w:tc>
          <w:tcPr>
            <w:tcW w:w="3260" w:type="dxa"/>
            <w:tcBorders/>
            <w:shd w:fill="auto" w:val="clear"/>
            <w:vAlign w:val="center"/>
          </w:tcPr>
          <w:p>
            <w:pPr>
              <w:pStyle w:val="TableContents"/>
              <w:spacing w:before="0" w:after="0"/>
              <w:rPr>
                <w:b/>
              </w:rPr>
            </w:pPr>
            <w:r>
              <w:rPr>
                <w:b/>
              </w:rPr>
              <w:t>Defaults Upon Senior Securities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5" w:name="MineSafetyDisclosures"/>
      <w:bookmarkStart w:id="26" w:name="MineSafetyDisclosures"/>
      <w:bookmarkEnd w:id="26"/>
    </w:p>
    <w:tbl>
      <w:tblPr>
        <w:tblW w:w="3190" w:type="dxa"/>
        <w:jc w:val="left"/>
        <w:tblInd w:w="0" w:type="dxa"/>
        <w:tblCellMar>
          <w:top w:w="0" w:type="dxa"/>
          <w:left w:w="0" w:type="dxa"/>
          <w:bottom w:w="0" w:type="dxa"/>
          <w:right w:w="0" w:type="dxa"/>
        </w:tblCellMar>
      </w:tblPr>
      <w:tblGrid>
        <w:gridCol w:w="740"/>
        <w:gridCol w:w="2450"/>
      </w:tblGrid>
      <w:tr>
        <w:trPr/>
        <w:tc>
          <w:tcPr>
            <w:tcW w:w="740" w:type="dxa"/>
            <w:tcBorders/>
            <w:shd w:fill="auto" w:val="clear"/>
            <w:vAlign w:val="center"/>
          </w:tcPr>
          <w:p>
            <w:pPr>
              <w:pStyle w:val="TableContents"/>
              <w:spacing w:before="0" w:after="283"/>
              <w:rPr>
                <w:b/>
              </w:rPr>
            </w:pPr>
            <w:r>
              <w:rPr>
                <w:b/>
              </w:rPr>
              <w:t>Item 4.</w:t>
            </w:r>
          </w:p>
        </w:tc>
        <w:tc>
          <w:tcPr>
            <w:tcW w:w="2450" w:type="dxa"/>
            <w:tcBorders/>
            <w:shd w:fill="auto" w:val="clear"/>
            <w:vAlign w:val="center"/>
          </w:tcPr>
          <w:p>
            <w:pPr>
              <w:pStyle w:val="TableContents"/>
              <w:spacing w:before="0" w:after="0"/>
              <w:rPr>
                <w:b/>
              </w:rPr>
            </w:pPr>
            <w:r>
              <w:rPr>
                <w:b/>
              </w:rPr>
              <w:t>Mine Safety Disclosures</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7" w:name="OtherInformation"/>
      <w:bookmarkStart w:id="28" w:name="OtherInformation"/>
      <w:bookmarkEnd w:id="28"/>
    </w:p>
    <w:tbl>
      <w:tblPr>
        <w:tblW w:w="2665" w:type="dxa"/>
        <w:jc w:val="left"/>
        <w:tblInd w:w="0" w:type="dxa"/>
        <w:tblCellMar>
          <w:top w:w="0" w:type="dxa"/>
          <w:left w:w="0" w:type="dxa"/>
          <w:bottom w:w="0" w:type="dxa"/>
          <w:right w:w="0" w:type="dxa"/>
        </w:tblCellMar>
      </w:tblPr>
      <w:tblGrid>
        <w:gridCol w:w="740"/>
        <w:gridCol w:w="1925"/>
      </w:tblGrid>
      <w:tr>
        <w:trPr/>
        <w:tc>
          <w:tcPr>
            <w:tcW w:w="740" w:type="dxa"/>
            <w:tcBorders/>
            <w:shd w:fill="auto" w:val="clear"/>
            <w:vAlign w:val="center"/>
          </w:tcPr>
          <w:p>
            <w:pPr>
              <w:pStyle w:val="TableContents"/>
              <w:spacing w:before="0" w:after="283"/>
              <w:rPr>
                <w:b/>
              </w:rPr>
            </w:pPr>
            <w:r>
              <w:rPr>
                <w:b/>
              </w:rPr>
              <w:t>Item 5.</w:t>
            </w:r>
          </w:p>
        </w:tc>
        <w:tc>
          <w:tcPr>
            <w:tcW w:w="1925" w:type="dxa"/>
            <w:tcBorders/>
            <w:shd w:fill="auto" w:val="clear"/>
            <w:vAlign w:val="center"/>
          </w:tcPr>
          <w:p>
            <w:pPr>
              <w:pStyle w:val="TableContents"/>
              <w:spacing w:before="0" w:after="0"/>
              <w:rPr>
                <w:b/>
              </w:rPr>
            </w:pPr>
            <w:r>
              <w:rPr>
                <w:b/>
              </w:rPr>
              <w:t>Other Information</w:t>
            </w:r>
          </w:p>
        </w:tc>
      </w:tr>
    </w:tbl>
    <w:p>
      <w:pPr>
        <w:pStyle w:val="TextBody"/>
        <w:spacing w:before="0" w:after="0"/>
        <w:jc w:val="left"/>
        <w:rPr>
          <w:color w:val="000000"/>
        </w:rPr>
      </w:pPr>
      <w:r>
        <w:rPr>
          <w:color w:val="000000"/>
        </w:rPr>
        <w:t> </w:t>
      </w:r>
    </w:p>
    <w:p>
      <w:pPr>
        <w:pStyle w:val="TextBody"/>
        <w:spacing w:before="0" w:after="0"/>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29" w:name="Exhibits."/>
      <w:bookmarkStart w:id="30" w:name="Exhibits."/>
      <w:bookmarkEnd w:id="30"/>
    </w:p>
    <w:tbl>
      <w:tblPr>
        <w:tblW w:w="1675" w:type="dxa"/>
        <w:jc w:val="left"/>
        <w:tblInd w:w="0" w:type="dxa"/>
        <w:tblCellMar>
          <w:top w:w="0" w:type="dxa"/>
          <w:left w:w="0" w:type="dxa"/>
          <w:bottom w:w="0" w:type="dxa"/>
          <w:right w:w="0" w:type="dxa"/>
        </w:tblCellMar>
      </w:tblPr>
      <w:tblGrid>
        <w:gridCol w:w="740"/>
        <w:gridCol w:w="935"/>
      </w:tblGrid>
      <w:tr>
        <w:trPr/>
        <w:tc>
          <w:tcPr>
            <w:tcW w:w="740" w:type="dxa"/>
            <w:tcBorders/>
            <w:shd w:fill="auto" w:val="clear"/>
            <w:vAlign w:val="center"/>
          </w:tcPr>
          <w:p>
            <w:pPr>
              <w:pStyle w:val="TableContents"/>
              <w:spacing w:before="0" w:after="283"/>
              <w:rPr>
                <w:b/>
              </w:rPr>
            </w:pPr>
            <w:r>
              <w:rPr>
                <w:b/>
              </w:rPr>
              <w:t>Item 6.</w:t>
            </w:r>
          </w:p>
        </w:tc>
        <w:tc>
          <w:tcPr>
            <w:tcW w:w="935" w:type="dxa"/>
            <w:tcBorders/>
            <w:shd w:fill="auto" w:val="clear"/>
            <w:vAlign w:val="center"/>
          </w:tcPr>
          <w:p>
            <w:pPr>
              <w:pStyle w:val="TableContents"/>
              <w:spacing w:before="0" w:after="0"/>
              <w:rPr>
                <w:b/>
              </w:rPr>
            </w:pPr>
            <w:r>
              <w:rPr>
                <w:b/>
              </w:rPr>
              <w:t>Exhibits.</w:t>
            </w:r>
          </w:p>
        </w:tc>
      </w:tr>
    </w:tbl>
    <w:p>
      <w:pPr>
        <w:pStyle w:val="TextBody"/>
        <w:spacing w:before="0" w:after="0"/>
        <w:rPr/>
      </w:pPr>
      <w:r>
        <w:rPr/>
      </w:r>
    </w:p>
    <w:tbl>
      <w:tblPr>
        <w:tblW w:w="10539" w:type="dxa"/>
        <w:jc w:val="left"/>
        <w:tblInd w:w="0" w:type="dxa"/>
        <w:tblCellMar>
          <w:top w:w="0" w:type="dxa"/>
          <w:left w:w="0" w:type="dxa"/>
          <w:bottom w:w="0" w:type="dxa"/>
          <w:right w:w="0" w:type="dxa"/>
        </w:tblCellMar>
      </w:tblPr>
      <w:tblGrid>
        <w:gridCol w:w="983"/>
        <w:gridCol w:w="9556"/>
      </w:tblGrid>
      <w:tr>
        <w:trPr/>
        <w:tc>
          <w:tcPr>
            <w:tcW w:w="983" w:type="dxa"/>
            <w:tcBorders/>
            <w:shd w:fill="auto" w:val="clear"/>
            <w:vAlign w:val="center"/>
          </w:tcPr>
          <w:p>
            <w:pPr>
              <w:pStyle w:val="TableContents"/>
              <w:spacing w:before="0" w:after="0"/>
              <w:jc w:val="center"/>
              <w:rPr>
                <w:b/>
              </w:rPr>
            </w:pPr>
            <w:r>
              <w:rPr>
                <w:b/>
              </w:rPr>
              <w:t>Exhibit</w:t>
            </w:r>
          </w:p>
          <w:p>
            <w:pPr>
              <w:pStyle w:val="TableContents"/>
              <w:spacing w:before="0" w:after="0"/>
              <w:jc w:val="center"/>
              <w:rPr>
                <w:b/>
                <w:u w:val="single"/>
              </w:rPr>
            </w:pPr>
            <w:r>
              <w:rPr>
                <w:b/>
                <w:u w:val="single"/>
              </w:rPr>
              <w:t>Number</w:t>
            </w:r>
          </w:p>
        </w:tc>
        <w:tc>
          <w:tcPr>
            <w:tcW w:w="9556" w:type="dxa"/>
            <w:tcBorders/>
            <w:shd w:fill="auto" w:val="clear"/>
            <w:vAlign w:val="center"/>
          </w:tcPr>
          <w:p>
            <w:pPr>
              <w:pStyle w:val="TableContents"/>
              <w:spacing w:before="0" w:after="0"/>
              <w:jc w:val="center"/>
              <w:rPr>
                <w:b/>
                <w:u w:val="single"/>
              </w:rPr>
            </w:pPr>
            <w:r>
              <w:rPr>
                <w:b/>
                <w:u w:val="single"/>
              </w:rPr>
              <w:t>Description</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31.1#</w:t>
            </w:r>
          </w:p>
        </w:tc>
        <w:tc>
          <w:tcPr>
            <w:tcW w:w="9556" w:type="dxa"/>
            <w:tcBorders/>
            <w:shd w:fill="CCEEFF" w:val="clear"/>
            <w:vAlign w:val="center"/>
          </w:tcPr>
          <w:p>
            <w:pPr>
              <w:pStyle w:val="TableContents"/>
              <w:spacing w:before="0" w:after="0"/>
              <w:rPr/>
            </w:pPr>
            <w:hyperlink w:anchor="brhc20051976_ex31-1.htm">
              <w:r>
                <w:rPr>
                  <w:rStyle w:val="InternetLink"/>
                  <w:color w:val="000000"/>
                </w:rPr>
                <w:t>Certification pursuant to Rule 13a-14(a) or Rule 15d-14(a) of the Securities Exchange Act of 1934 of the Principal Executive Officer.</w:t>
              </w:r>
            </w:hyperlink>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color w:val="000000"/>
              </w:rPr>
            </w:pPr>
            <w:r>
              <w:rPr>
                <w:color w:val="000000"/>
              </w:rPr>
              <w:t> </w:t>
            </w:r>
          </w:p>
        </w:tc>
      </w:tr>
      <w:tr>
        <w:trPr/>
        <w:tc>
          <w:tcPr>
            <w:tcW w:w="983" w:type="dxa"/>
            <w:tcBorders/>
            <w:shd w:fill="CCEEFF" w:val="clear"/>
            <w:vAlign w:val="center"/>
          </w:tcPr>
          <w:p>
            <w:pPr>
              <w:pStyle w:val="TableContents"/>
              <w:spacing w:lineRule="auto" w:line="240" w:before="0" w:after="0"/>
              <w:rPr/>
            </w:pPr>
            <w:r>
              <w:rPr/>
              <w:t>31.2#</w:t>
            </w:r>
          </w:p>
        </w:tc>
        <w:tc>
          <w:tcPr>
            <w:tcW w:w="9556" w:type="dxa"/>
            <w:tcBorders/>
            <w:shd w:fill="CCEEFF" w:val="clear"/>
            <w:vAlign w:val="center"/>
          </w:tcPr>
          <w:p>
            <w:pPr>
              <w:pStyle w:val="TableContents"/>
              <w:spacing w:before="0" w:after="0"/>
              <w:rPr/>
            </w:pPr>
            <w:hyperlink w:anchor="brhc20051976_ex31-2.htm">
              <w:r>
                <w:rPr>
                  <w:rStyle w:val="InternetLink"/>
                  <w:color w:val="000000"/>
                </w:rPr>
                <w:t>Certification pursuant to Rule 13a-14(a) or Rule 15d-14(a) of the Securities Exchange Act of 1934 of the Principal Financial Officer.</w:t>
              </w:r>
            </w:hyperlink>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color w:val="000000"/>
              </w:rPr>
            </w:pPr>
            <w:r>
              <w:rPr>
                <w:color w:val="000000"/>
              </w:rPr>
              <w:t> </w:t>
            </w:r>
          </w:p>
        </w:tc>
      </w:tr>
      <w:tr>
        <w:trPr/>
        <w:tc>
          <w:tcPr>
            <w:tcW w:w="983" w:type="dxa"/>
            <w:tcBorders/>
            <w:shd w:fill="CCEEFF" w:val="clear"/>
            <w:vAlign w:val="center"/>
          </w:tcPr>
          <w:p>
            <w:pPr>
              <w:pStyle w:val="TableContents"/>
              <w:spacing w:before="0" w:after="0"/>
              <w:rPr/>
            </w:pPr>
            <w:r>
              <w:rPr/>
              <w:t>32.1†</w:t>
            </w:r>
          </w:p>
        </w:tc>
        <w:tc>
          <w:tcPr>
            <w:tcW w:w="9556" w:type="dxa"/>
            <w:tcBorders/>
            <w:shd w:fill="CCEEFF" w:val="clear"/>
            <w:vAlign w:val="center"/>
          </w:tcPr>
          <w:p>
            <w:pPr>
              <w:pStyle w:val="TableContents"/>
              <w:spacing w:before="0" w:after="0"/>
              <w:rPr/>
            </w:pPr>
            <w:hyperlink w:anchor="brhc20051976_ex32-1.htm">
              <w:r>
                <w:rPr>
                  <w:rStyle w:val="InternetLink"/>
                  <w:color w:val="000000"/>
                </w:rPr>
                <w:t>Certification pursuant to 18 U.S.C. Section 1350, as adopted pursuant to Section 906 of the Sarbanes-Oxley Act of 2002, of the Principal Executive Officer.</w:t>
              </w:r>
            </w:hyperlink>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color w:val="000000"/>
              </w:rPr>
            </w:pPr>
            <w:r>
              <w:rPr>
                <w:color w:val="000000"/>
              </w:rPr>
              <w:t> </w:t>
            </w:r>
          </w:p>
        </w:tc>
      </w:tr>
      <w:tr>
        <w:trPr/>
        <w:tc>
          <w:tcPr>
            <w:tcW w:w="983" w:type="dxa"/>
            <w:tcBorders/>
            <w:shd w:fill="CCEEFF" w:val="clear"/>
            <w:vAlign w:val="center"/>
          </w:tcPr>
          <w:p>
            <w:pPr>
              <w:pStyle w:val="TableContents"/>
              <w:spacing w:before="0" w:after="0"/>
              <w:rPr/>
            </w:pPr>
            <w:r>
              <w:rPr/>
              <w:t>32.2†</w:t>
            </w:r>
          </w:p>
        </w:tc>
        <w:tc>
          <w:tcPr>
            <w:tcW w:w="9556" w:type="dxa"/>
            <w:tcBorders/>
            <w:shd w:fill="CCEEFF" w:val="clear"/>
            <w:vAlign w:val="center"/>
          </w:tcPr>
          <w:p>
            <w:pPr>
              <w:pStyle w:val="TableContents"/>
              <w:spacing w:before="0" w:after="0"/>
              <w:rPr/>
            </w:pPr>
            <w:hyperlink w:anchor="brhc20051976_ex32-2.htm">
              <w:r>
                <w:rPr>
                  <w:rStyle w:val="InternetLink"/>
                  <w:color w:val="000000"/>
                </w:rPr>
                <w:t>Certification pursuant to 18 U.S.C. Section 1350, as adopted pursuant to Section 906 of the Sarbanes-Oxley Act of 2002, of the Principal Financial Officer.</w:t>
              </w:r>
            </w:hyperlink>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101.INS#</w:t>
            </w:r>
          </w:p>
        </w:tc>
        <w:tc>
          <w:tcPr>
            <w:tcW w:w="9556" w:type="dxa"/>
            <w:tcBorders/>
            <w:shd w:fill="CCEEFF" w:val="clear"/>
            <w:vAlign w:val="center"/>
          </w:tcPr>
          <w:p>
            <w:pPr>
              <w:pStyle w:val="TableContents"/>
              <w:spacing w:before="0" w:after="0"/>
              <w:rPr/>
            </w:pPr>
            <w:r>
              <w:rPr/>
              <w:t>Inline XBRL Instance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101.SCH#</w:t>
            </w:r>
          </w:p>
        </w:tc>
        <w:tc>
          <w:tcPr>
            <w:tcW w:w="9556" w:type="dxa"/>
            <w:tcBorders/>
            <w:shd w:fill="CCEEFF" w:val="clear"/>
            <w:vAlign w:val="center"/>
          </w:tcPr>
          <w:p>
            <w:pPr>
              <w:pStyle w:val="TableContents"/>
              <w:spacing w:before="0" w:after="0"/>
              <w:rPr/>
            </w:pPr>
            <w:r>
              <w:rPr/>
              <w:t>Inline XBRL Taxonomy Extension Schema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101.CAL#</w:t>
            </w:r>
          </w:p>
        </w:tc>
        <w:tc>
          <w:tcPr>
            <w:tcW w:w="9556" w:type="dxa"/>
            <w:tcBorders/>
            <w:shd w:fill="CCEEFF" w:val="clear"/>
            <w:vAlign w:val="center"/>
          </w:tcPr>
          <w:p>
            <w:pPr>
              <w:pStyle w:val="TableContents"/>
              <w:spacing w:before="0" w:after="0"/>
              <w:rPr/>
            </w:pPr>
            <w:r>
              <w:rPr/>
              <w:t>Inline XBRL Taxonomy Extension Calculation Linkbase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101.DEF#</w:t>
            </w:r>
          </w:p>
        </w:tc>
        <w:tc>
          <w:tcPr>
            <w:tcW w:w="9556" w:type="dxa"/>
            <w:tcBorders/>
            <w:shd w:fill="CCEEFF" w:val="clear"/>
            <w:vAlign w:val="center"/>
          </w:tcPr>
          <w:p>
            <w:pPr>
              <w:pStyle w:val="TableContents"/>
              <w:spacing w:before="0" w:after="0"/>
              <w:rPr/>
            </w:pPr>
            <w:r>
              <w:rPr/>
              <w:t>Inline XBRL Taxonomy Extension Definition Linkbase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101.LAB#</w:t>
            </w:r>
          </w:p>
        </w:tc>
        <w:tc>
          <w:tcPr>
            <w:tcW w:w="9556" w:type="dxa"/>
            <w:tcBorders/>
            <w:shd w:fill="CCEEFF" w:val="clear"/>
            <w:vAlign w:val="center"/>
          </w:tcPr>
          <w:p>
            <w:pPr>
              <w:pStyle w:val="TableContents"/>
              <w:spacing w:before="0" w:after="0"/>
              <w:rPr/>
            </w:pPr>
            <w:r>
              <w:rPr/>
              <w:t>Inline XBRL Taxonomy Extension Label Linkbase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lineRule="auto" w:line="240" w:before="0" w:after="0"/>
              <w:rPr/>
            </w:pPr>
            <w:r>
              <w:rPr/>
              <w:t>101.PRE#</w:t>
            </w:r>
          </w:p>
        </w:tc>
        <w:tc>
          <w:tcPr>
            <w:tcW w:w="9556" w:type="dxa"/>
            <w:tcBorders/>
            <w:shd w:fill="CCEEFF" w:val="clear"/>
            <w:vAlign w:val="center"/>
          </w:tcPr>
          <w:p>
            <w:pPr>
              <w:pStyle w:val="TableContents"/>
              <w:spacing w:before="0" w:after="0"/>
              <w:rPr/>
            </w:pPr>
            <w:r>
              <w:rPr/>
              <w:t>Inline XBRL Taxonomy Extension Presentation Linkbase Document.</w:t>
            </w:r>
          </w:p>
        </w:tc>
      </w:tr>
      <w:tr>
        <w:trPr/>
        <w:tc>
          <w:tcPr>
            <w:tcW w:w="983" w:type="dxa"/>
            <w:tcBorders/>
            <w:shd w:fill="auto" w:val="clear"/>
            <w:vAlign w:val="center"/>
          </w:tcPr>
          <w:p>
            <w:pPr>
              <w:pStyle w:val="TableContents"/>
              <w:spacing w:before="0" w:after="283"/>
              <w:rPr/>
            </w:pPr>
            <w:r>
              <w:rPr/>
              <w:t> </w:t>
            </w:r>
          </w:p>
        </w:tc>
        <w:tc>
          <w:tcPr>
            <w:tcW w:w="9556" w:type="dxa"/>
            <w:tcBorders/>
            <w:shd w:fill="auto" w:val="clear"/>
            <w:vAlign w:val="center"/>
          </w:tcPr>
          <w:p>
            <w:pPr>
              <w:pStyle w:val="TableContents"/>
              <w:spacing w:before="0" w:after="283"/>
              <w:rPr/>
            </w:pPr>
            <w:r>
              <w:rPr/>
              <w:t> </w:t>
            </w:r>
          </w:p>
        </w:tc>
      </w:tr>
      <w:tr>
        <w:trPr/>
        <w:tc>
          <w:tcPr>
            <w:tcW w:w="983" w:type="dxa"/>
            <w:tcBorders/>
            <w:shd w:fill="CCEEFF" w:val="clear"/>
            <w:vAlign w:val="center"/>
          </w:tcPr>
          <w:p>
            <w:pPr>
              <w:pStyle w:val="TableContents"/>
              <w:spacing w:before="0" w:after="0"/>
              <w:rPr/>
            </w:pPr>
            <w:r>
              <w:rPr/>
              <w:t>104</w:t>
            </w:r>
          </w:p>
        </w:tc>
        <w:tc>
          <w:tcPr>
            <w:tcW w:w="9556" w:type="dxa"/>
            <w:tcBorders/>
            <w:shd w:fill="CCEEFF" w:val="clear"/>
            <w:vAlign w:val="center"/>
          </w:tcPr>
          <w:p>
            <w:pPr>
              <w:pStyle w:val="TableContents"/>
              <w:spacing w:before="0" w:after="0"/>
              <w:rPr/>
            </w:pPr>
            <w:r>
              <w:rPr/>
              <w:t>Cover Page Interactive Data File (formatted as Inline XBRL and contained in Exhibit 101).</w:t>
            </w:r>
          </w:p>
        </w:tc>
      </w:tr>
    </w:tbl>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Footnotes:</w:t>
      </w:r>
    </w:p>
    <w:p>
      <w:pPr>
        <w:pStyle w:val="TextBody"/>
        <w:spacing w:before="0" w:after="0"/>
        <w:jc w:val="left"/>
        <w:rPr>
          <w:color w:val="000000"/>
        </w:rPr>
      </w:pPr>
      <w:r>
        <w:rPr>
          <w:color w:val="000000"/>
        </w:rPr>
        <w:t> </w:t>
      </w:r>
    </w:p>
    <w:tbl>
      <w:tblPr>
        <w:tblW w:w="1555" w:type="dxa"/>
        <w:jc w:val="left"/>
        <w:tblInd w:w="0" w:type="dxa"/>
        <w:tblCellMar>
          <w:top w:w="0" w:type="dxa"/>
          <w:left w:w="0" w:type="dxa"/>
          <w:bottom w:w="0" w:type="dxa"/>
          <w:right w:w="0" w:type="dxa"/>
        </w:tblCellMar>
      </w:tblPr>
      <w:tblGrid>
        <w:gridCol w:w="155"/>
        <w:gridCol w:w="1400"/>
      </w:tblGrid>
      <w:tr>
        <w:trPr/>
        <w:tc>
          <w:tcPr>
            <w:tcW w:w="155" w:type="dxa"/>
            <w:tcBorders/>
            <w:shd w:fill="auto" w:val="clear"/>
            <w:vAlign w:val="center"/>
          </w:tcPr>
          <w:p>
            <w:pPr>
              <w:pStyle w:val="TableContents"/>
              <w:spacing w:lineRule="auto" w:line="240" w:before="0" w:after="283"/>
              <w:rPr/>
            </w:pPr>
            <w:r>
              <w:rPr/>
              <w:t>#</w:t>
            </w:r>
          </w:p>
        </w:tc>
        <w:tc>
          <w:tcPr>
            <w:tcW w:w="1400" w:type="dxa"/>
            <w:tcBorders/>
            <w:shd w:fill="auto" w:val="clear"/>
            <w:vAlign w:val="center"/>
          </w:tcPr>
          <w:p>
            <w:pPr>
              <w:pStyle w:val="TableContents"/>
              <w:spacing w:before="0" w:after="0"/>
              <w:rPr/>
            </w:pPr>
            <w:r>
              <w:rPr/>
              <w:t>Filed herewith</w:t>
            </w:r>
          </w:p>
        </w:tc>
      </w:tr>
    </w:tbl>
    <w:tbl>
      <w:tblPr>
        <w:tblW w:w="2020" w:type="dxa"/>
        <w:jc w:val="left"/>
        <w:tblInd w:w="0" w:type="dxa"/>
        <w:tblCellMar>
          <w:top w:w="0" w:type="dxa"/>
          <w:left w:w="0" w:type="dxa"/>
          <w:bottom w:w="0" w:type="dxa"/>
          <w:right w:w="0" w:type="dxa"/>
        </w:tblCellMar>
      </w:tblPr>
      <w:tblGrid>
        <w:gridCol w:w="155"/>
        <w:gridCol w:w="1865"/>
      </w:tblGrid>
      <w:tr>
        <w:trPr/>
        <w:tc>
          <w:tcPr>
            <w:tcW w:w="155" w:type="dxa"/>
            <w:tcBorders/>
            <w:shd w:fill="auto" w:val="clear"/>
            <w:vAlign w:val="center"/>
          </w:tcPr>
          <w:p>
            <w:pPr>
              <w:pStyle w:val="TableContents"/>
              <w:spacing w:before="0" w:after="283"/>
              <w:rPr/>
            </w:pPr>
            <w:r>
              <w:rPr/>
              <w:t>†</w:t>
            </w:r>
          </w:p>
        </w:tc>
        <w:tc>
          <w:tcPr>
            <w:tcW w:w="1865" w:type="dxa"/>
            <w:tcBorders/>
            <w:shd w:fill="auto" w:val="clear"/>
            <w:vAlign w:val="center"/>
          </w:tcPr>
          <w:p>
            <w:pPr>
              <w:pStyle w:val="TableContents"/>
              <w:spacing w:before="0" w:after="0"/>
              <w:rPr/>
            </w:pPr>
            <w:r>
              <w:rPr/>
              <w:t>Furnished herewith</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color w:val="000000"/>
        </w:rPr>
      </w:pPr>
      <w:r>
        <w:rPr>
          <w:color w:val="000000"/>
        </w:rPr>
        <w:t> </w:t>
      </w:r>
      <w:r>
        <w:rPr>
          <w:rFonts w:ascii="Times New Roman" w:hAnsi="Times New Roman"/>
          <w:b/>
          <w:color w:val="000000"/>
          <w:sz w:val="20"/>
        </w:rPr>
        <w:t>SIGNATURES</w:t>
      </w:r>
      <w:bookmarkStart w:id="31" w:name="SIGNATURES"/>
      <w:bookmarkEnd w:id="31"/>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r>
    </w:p>
    <w:tbl>
      <w:tblPr>
        <w:tblW w:w="8010" w:type="dxa"/>
        <w:jc w:val="left"/>
        <w:tblInd w:w="0" w:type="dxa"/>
        <w:tblCellMar>
          <w:top w:w="0" w:type="dxa"/>
          <w:left w:w="0" w:type="dxa"/>
          <w:bottom w:w="0" w:type="dxa"/>
          <w:right w:w="0" w:type="dxa"/>
        </w:tblCellMar>
      </w:tblPr>
      <w:tblGrid>
        <w:gridCol w:w="1925"/>
        <w:gridCol w:w="365"/>
        <w:gridCol w:w="5720"/>
      </w:tblGrid>
      <w:tr>
        <w:trPr/>
        <w:tc>
          <w:tcPr>
            <w:tcW w:w="1925" w:type="dxa"/>
            <w:tcBorders/>
            <w:shd w:fill="auto" w:val="clear"/>
            <w:vAlign w:val="center"/>
          </w:tcPr>
          <w:p>
            <w:pPr>
              <w:pStyle w:val="TableContents"/>
              <w:spacing w:before="0" w:after="283"/>
              <w:rPr/>
            </w:pPr>
            <w:r>
              <w:rPr/>
              <w:t> </w:t>
            </w:r>
          </w:p>
        </w:tc>
        <w:tc>
          <w:tcPr>
            <w:tcW w:w="6085" w:type="dxa"/>
            <w:gridSpan w:val="2"/>
            <w:tcBorders/>
            <w:shd w:fill="auto" w:val="clear"/>
            <w:vAlign w:val="center"/>
          </w:tcPr>
          <w:p>
            <w:pPr>
              <w:pStyle w:val="TableContents"/>
              <w:spacing w:before="0" w:after="0"/>
              <w:rPr/>
            </w:pPr>
            <w:r>
              <w:rPr/>
              <w:t>MAGNACHIP SEMICONDUCTOR CORPORATION</w:t>
            </w:r>
          </w:p>
          <w:p>
            <w:pPr>
              <w:pStyle w:val="TableContents"/>
              <w:spacing w:before="0" w:after="0"/>
              <w:rPr/>
            </w:pPr>
            <w:r>
              <w:rPr/>
              <w:t>(Registrant)</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 </w:t>
            </w:r>
          </w:p>
        </w:tc>
      </w:tr>
      <w:tr>
        <w:trPr/>
        <w:tc>
          <w:tcPr>
            <w:tcW w:w="1925" w:type="dxa"/>
            <w:tcBorders/>
            <w:shd w:fill="auto" w:val="clear"/>
            <w:vAlign w:val="center"/>
          </w:tcPr>
          <w:p>
            <w:pPr>
              <w:pStyle w:val="TableContents"/>
              <w:spacing w:before="0" w:after="0"/>
              <w:rPr/>
            </w:pPr>
            <w:r>
              <w:rPr/>
              <w:t>Dated: May 8, 2023</w:t>
            </w:r>
          </w:p>
        </w:tc>
        <w:tc>
          <w:tcPr>
            <w:tcW w:w="365" w:type="dxa"/>
            <w:tcBorders/>
            <w:shd w:fill="auto" w:val="clear"/>
            <w:vAlign w:val="center"/>
          </w:tcPr>
          <w:p>
            <w:pPr>
              <w:pStyle w:val="TableContents"/>
              <w:spacing w:before="0" w:after="0"/>
              <w:rPr/>
            </w:pPr>
            <w:r>
              <w:rPr/>
              <w:t>By:</w:t>
            </w:r>
          </w:p>
        </w:tc>
        <w:tc>
          <w:tcPr>
            <w:tcW w:w="5720" w:type="dxa"/>
            <w:tcBorders>
              <w:bottom w:val="single" w:sz="12" w:space="0" w:color="000000"/>
            </w:tcBorders>
            <w:shd w:fill="auto" w:val="clear"/>
            <w:tcMar>
              <w:bottom w:w="28" w:type="dxa"/>
            </w:tcMar>
            <w:vAlign w:val="center"/>
          </w:tcPr>
          <w:p>
            <w:pPr>
              <w:pStyle w:val="TableContents"/>
              <w:spacing w:before="0" w:after="0"/>
              <w:rPr/>
            </w:pPr>
            <w:r>
              <w:rPr/>
              <w:t>/s/ Young-Joon Kim</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0"/>
              <w:rPr/>
            </w:pPr>
            <w:r>
              <w:rPr/>
              <w:t>Young-Joon Kim</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0"/>
              <w:rPr/>
            </w:pPr>
            <w:r>
              <w:rPr/>
              <w:t>Chief Executive Officer and Interim Chief Financial Officer</w:t>
            </w:r>
          </w:p>
        </w:tc>
      </w:tr>
      <w:tr>
        <w:trPr/>
        <w:tc>
          <w:tcPr>
            <w:tcW w:w="192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720" w:type="dxa"/>
            <w:tcBorders/>
            <w:shd w:fill="auto" w:val="clear"/>
            <w:vAlign w:val="center"/>
          </w:tcPr>
          <w:p>
            <w:pPr>
              <w:pStyle w:val="TableContents"/>
              <w:spacing w:before="0" w:after="283"/>
              <w:rPr/>
            </w:pPr>
            <w:r>
              <w:rPr/>
              <w:t>(Principal Executive Officer and Principal Financial Officer)</w:t>
            </w:r>
          </w:p>
        </w:tc>
      </w:tr>
    </w:tbl>
    <w:p>
      <w:pPr>
        <w:pStyle w:val="TextBody"/>
        <w:spacing w:before="0" w:after="0"/>
        <w:jc w:val="left"/>
        <w:rPr/>
      </w:pPr>
      <w:r>
        <w:rPr/>
      </w:r>
    </w:p>
    <w:p>
      <w:pPr>
        <w:pStyle w:val="TextBody"/>
        <w:spacing w:before="0" w:after="0"/>
        <w:jc w:val="left"/>
        <w:rPr/>
      </w:pPr>
      <w:r>
        <w:rPr/>
      </w:r>
    </w:p>
    <w:p>
      <w:pPr>
        <w:pStyle w:val="TextBody"/>
        <w:spacing w:before="0" w:after="0"/>
        <w:jc w:val="center"/>
        <w:rPr>
          <w:rFonts w:ascii="Times New Roman" w:hAnsi="Times New Roman"/>
          <w:color w:val="000000"/>
          <w:sz w:val="16"/>
        </w:rPr>
      </w:pPr>
      <w:r>
        <w:rPr>
          <w:rFonts w:ascii="Times New Roman" w:hAnsi="Times New Roman"/>
          <w:color w:val="000000"/>
          <w:sz w:val="16"/>
        </w:rPr>
        <w:t>46</w:t>
      </w:r>
    </w:p>
    <w:p>
      <w:pPr>
        <w:pStyle w:val="HorizontalLine"/>
        <w:jc w:val="left"/>
        <w:rPr/>
      </w:pPr>
      <w:r>
        <w:rPr/>
      </w:r>
      <w:r>
        <w:br w:type="page"/>
      </w:r>
    </w:p>
    <w:p>
      <w:pPr>
        <w:pStyle w:val="HorizontalLine"/>
        <w:pBdr>
          <w:bottom w:val="single" w:sz="20" w:space="0" w:color="808080"/>
        </w:pBdr>
        <w:rPr/>
      </w:pPr>
      <w:r>
        <w:rPr/>
      </w:r>
      <w:bookmarkStart w:id="32" w:name="brhc20051976_ex31-1.htm"/>
      <w:bookmarkStart w:id="33" w:name="ksbrhc20051976_ex311"/>
      <w:bookmarkStart w:id="34" w:name="brhc20051976_ex31-1.htm"/>
      <w:bookmarkStart w:id="35" w:name="ksbrhc20051976_ex311"/>
      <w:bookmarkEnd w:id="34"/>
      <w:bookmarkEnd w:id="35"/>
    </w:p>
    <w:p>
      <w:pPr>
        <w:pStyle w:val="TextBody"/>
        <w:spacing w:before="0" w:after="0"/>
        <w:jc w:val="right"/>
        <w:rPr>
          <w:b/>
        </w:rPr>
      </w:pPr>
      <w:r>
        <w:rPr>
          <w:b/>
        </w:rPr>
        <w:t>Exhibit 31.1</w:t>
      </w:r>
    </w:p>
    <w:p>
      <w:pPr>
        <w:pStyle w:val="TextBody"/>
        <w:spacing w:before="0" w:after="0"/>
        <w:rPr/>
      </w:pPr>
      <w:r>
        <w:rPr/>
        <w:t> </w:t>
      </w:r>
    </w:p>
    <w:p>
      <w:pPr>
        <w:pStyle w:val="TextBody"/>
        <w:spacing w:before="0" w:after="0"/>
        <w:jc w:val="center"/>
        <w:rPr>
          <w:b/>
        </w:rPr>
      </w:pPr>
      <w:r>
        <w:rPr>
          <w:b/>
        </w:rPr>
        <w:t>CERTIFICATION OF PRINCIPAL EXECUTIVE OFFICER</w:t>
      </w:r>
    </w:p>
    <w:p>
      <w:pPr>
        <w:pStyle w:val="TextBody"/>
        <w:spacing w:before="0" w:after="0"/>
        <w:jc w:val="center"/>
        <w:rPr>
          <w:b/>
        </w:rPr>
      </w:pPr>
      <w:r>
        <w:rPr>
          <w:b/>
        </w:rPr>
        <w:t>PURSUANT TO</w:t>
      </w:r>
    </w:p>
    <w:p>
      <w:pPr>
        <w:pStyle w:val="TextBody"/>
        <w:spacing w:before="0" w:after="0"/>
        <w:jc w:val="center"/>
        <w:rPr>
          <w:b/>
        </w:rPr>
      </w:pPr>
      <w:r>
        <w:rPr>
          <w:b/>
        </w:rPr>
        <w:t>SECTION 302 OF THE</w:t>
      </w:r>
    </w:p>
    <w:p>
      <w:pPr>
        <w:pStyle w:val="TextBody"/>
        <w:spacing w:before="0" w:after="0"/>
        <w:jc w:val="center"/>
        <w:rPr>
          <w:b/>
        </w:rPr>
      </w:pPr>
      <w:r>
        <w:rPr>
          <w:b/>
        </w:rPr>
        <w:t>SARBANES-OXLEY ACT OF 2002</w:t>
      </w:r>
    </w:p>
    <w:p>
      <w:pPr>
        <w:pStyle w:val="TextBody"/>
        <w:spacing w:before="0" w:after="0"/>
        <w:rPr/>
      </w:pPr>
      <w:r>
        <w:rPr/>
        <w:t> </w:t>
      </w:r>
    </w:p>
    <w:p>
      <w:pPr>
        <w:pStyle w:val="TextBody"/>
        <w:spacing w:before="0" w:after="0"/>
        <w:rPr/>
      </w:pPr>
      <w:r>
        <w:rPr/>
        <w:t>I, Young-Joon Kim, certify that:</w:t>
      </w:r>
    </w:p>
    <w:p>
      <w:pPr>
        <w:pStyle w:val="TextBody"/>
        <w:spacing w:before="0" w:after="0"/>
        <w:rPr/>
      </w:pPr>
      <w:r>
        <w:rPr/>
        <w:t> </w:t>
      </w:r>
    </w:p>
    <w:p>
      <w:pPr>
        <w:pStyle w:val="TextBody"/>
        <w:spacing w:before="0" w:after="0"/>
        <w:ind w:left="0" w:right="0" w:firstLine="490"/>
        <w:rPr/>
      </w:pPr>
      <w:r>
        <w:rPr/>
        <w:t>1. I have reviewed this quarterly report on Form 10-Q of Magnachip Semiconductor Corporation;</w:t>
      </w:r>
    </w:p>
    <w:p>
      <w:pPr>
        <w:pStyle w:val="TextBody"/>
        <w:spacing w:before="0" w:after="0"/>
        <w:rPr/>
      </w:pPr>
      <w:r>
        <w:rPr/>
        <w:t> </w:t>
      </w:r>
    </w:p>
    <w:p>
      <w:pPr>
        <w:pStyle w:val="TextBody"/>
        <w:spacing w:before="0" w:after="0"/>
        <w:ind w:left="0" w:right="0" w:firstLine="49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t> </w:t>
      </w:r>
    </w:p>
    <w:p>
      <w:pPr>
        <w:pStyle w:val="TextBody"/>
        <w:spacing w:before="0" w:after="0"/>
        <w:ind w:left="0" w:right="0" w:firstLine="49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t> </w:t>
      </w:r>
    </w:p>
    <w:p>
      <w:pPr>
        <w:pStyle w:val="TextBody"/>
        <w:spacing w:before="0" w:after="0"/>
        <w:ind w:left="0" w:right="0" w:firstLine="49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t> </w:t>
      </w:r>
    </w:p>
    <w:p>
      <w:pPr>
        <w:pStyle w:val="TextBody"/>
        <w:spacing w:before="0" w:after="0"/>
        <w:ind w:left="489" w:right="0" w:hanging="0"/>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t> </w:t>
      </w:r>
    </w:p>
    <w:p>
      <w:pPr>
        <w:pStyle w:val="TextBody"/>
        <w:spacing w:before="0" w:after="0"/>
        <w:ind w:left="489" w:right="0" w:hanging="0"/>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t> </w:t>
      </w:r>
    </w:p>
    <w:p>
      <w:pPr>
        <w:pStyle w:val="TextBody"/>
        <w:spacing w:before="0" w:after="0"/>
        <w:ind w:left="489" w:right="0" w:hanging="0"/>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t> </w:t>
      </w:r>
    </w:p>
    <w:p>
      <w:pPr>
        <w:pStyle w:val="TextBody"/>
        <w:spacing w:before="0" w:after="0"/>
        <w:ind w:left="489" w:right="0" w:hanging="0"/>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t> </w:t>
      </w:r>
    </w:p>
    <w:p>
      <w:pPr>
        <w:pStyle w:val="TextBody"/>
        <w:spacing w:before="0" w:after="0"/>
        <w:ind w:left="0" w:right="0" w:firstLine="490"/>
        <w:rPr/>
      </w:pPr>
      <w: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t> </w:t>
      </w:r>
    </w:p>
    <w:p>
      <w:pPr>
        <w:pStyle w:val="TextBody"/>
        <w:spacing w:before="0" w:after="0"/>
        <w:ind w:left="489" w:right="0" w:hanging="0"/>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t> </w:t>
      </w:r>
    </w:p>
    <w:p>
      <w:pPr>
        <w:pStyle w:val="TextBody"/>
        <w:spacing w:before="0" w:after="0"/>
        <w:ind w:left="489" w:right="0" w:hanging="0"/>
        <w:rPr/>
      </w:pPr>
      <w:r>
        <w:rPr/>
        <w:t>(b) Any fraud, whether or not material, that involves management or other employees who have a significant role in the registrant’s internal control over financial reporting.</w:t>
      </w:r>
    </w:p>
    <w:p>
      <w:pPr>
        <w:pStyle w:val="TextBody"/>
        <w:spacing w:before="0" w:after="0"/>
        <w:rPr/>
      </w:pPr>
      <w:r>
        <w:rPr/>
      </w:r>
    </w:p>
    <w:p>
      <w:pPr>
        <w:pStyle w:val="Normal"/>
        <w:spacing w:before="0" w:after="0"/>
        <w:rPr>
          <w:sz w:val="4"/>
          <w:szCs w:val="4"/>
        </w:rPr>
      </w:pPr>
      <w:r>
        <w:rPr>
          <w:sz w:val="4"/>
          <w:szCs w:val="4"/>
        </w:rPr>
      </w:r>
      <w:bookmarkStart w:id="36" w:name="z80ed0b61eab44f5187dd725357a9eb2d"/>
      <w:bookmarkStart w:id="37" w:name="z80ed0b61eab44f5187dd725357a9eb2d"/>
      <w:bookmarkEnd w:id="37"/>
    </w:p>
    <w:tbl>
      <w:tblPr>
        <w:tblW w:w="5765" w:type="dxa"/>
        <w:jc w:val="left"/>
        <w:tblInd w:w="0" w:type="dxa"/>
        <w:tblCellMar>
          <w:top w:w="0" w:type="dxa"/>
          <w:left w:w="0" w:type="dxa"/>
          <w:bottom w:w="0" w:type="dxa"/>
          <w:right w:w="0" w:type="dxa"/>
        </w:tblCellMar>
      </w:tblPr>
      <w:tblGrid>
        <w:gridCol w:w="5690"/>
        <w:gridCol w:w="75"/>
      </w:tblGrid>
      <w:tr>
        <w:trPr/>
        <w:tc>
          <w:tcPr>
            <w:tcW w:w="5690" w:type="dxa"/>
            <w:tcBorders/>
            <w:shd w:fill="auto" w:val="clear"/>
            <w:vAlign w:val="center"/>
          </w:tcPr>
          <w:p>
            <w:pPr>
              <w:pStyle w:val="TableContents"/>
              <w:spacing w:before="0" w:after="0"/>
              <w:rPr/>
            </w:pPr>
            <w:r>
              <w:rPr/>
              <w:t>Dated: May 8, 2023</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690" w:type="dxa"/>
            <w:tcBorders>
              <w:bottom w:val="single" w:sz="12" w:space="0" w:color="000000"/>
            </w:tcBorders>
            <w:shd w:fill="auto" w:val="clear"/>
            <w:tcMar>
              <w:bottom w:w="28" w:type="dxa"/>
            </w:tcMar>
            <w:vAlign w:val="center"/>
          </w:tcPr>
          <w:p>
            <w:pPr>
              <w:pStyle w:val="TableContents"/>
              <w:spacing w:before="0" w:after="0"/>
              <w:rPr/>
            </w:pPr>
            <w:r>
              <w:rPr/>
              <w:t xml:space="preserve">/s/ Young-Joon Kim </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0"/>
              <w:rPr/>
            </w:pPr>
            <w:r>
              <w:rPr/>
              <w:t>Young-Joon Kim</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0"/>
              <w:rPr/>
            </w:pPr>
            <w:r>
              <w:rPr/>
              <w:t>Chief Executive Officer and Interim Chief Financial Officer</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0"/>
              <w:rPr/>
            </w:pPr>
            <w:r>
              <w:rPr/>
              <w:t>(Principal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38" w:name="brhc20051976_ex31-2.htm"/>
      <w:bookmarkStart w:id="39" w:name="ksbrhc20051976_ex312"/>
      <w:bookmarkStart w:id="40" w:name="brhc20051976_ex31-2.htm"/>
      <w:bookmarkStart w:id="41" w:name="ksbrhc20051976_ex312"/>
      <w:bookmarkEnd w:id="40"/>
      <w:bookmarkEnd w:id="41"/>
    </w:p>
    <w:p>
      <w:pPr>
        <w:pStyle w:val="TextBody"/>
        <w:spacing w:before="0" w:after="0"/>
        <w:jc w:val="right"/>
        <w:rPr>
          <w:b/>
        </w:rPr>
      </w:pPr>
      <w:r>
        <w:rPr>
          <w:b/>
        </w:rPr>
        <w:t>Exhibit 31.2</w:t>
      </w:r>
    </w:p>
    <w:p>
      <w:pPr>
        <w:pStyle w:val="TextBody"/>
        <w:spacing w:before="0" w:after="0"/>
        <w:rPr/>
      </w:pPr>
      <w:r>
        <w:rPr/>
        <w:t> </w:t>
      </w:r>
    </w:p>
    <w:p>
      <w:pPr>
        <w:pStyle w:val="TextBody"/>
        <w:spacing w:before="0" w:after="0"/>
        <w:jc w:val="center"/>
        <w:rPr>
          <w:b/>
        </w:rPr>
      </w:pPr>
      <w:r>
        <w:rPr>
          <w:b/>
        </w:rPr>
        <w:t>CERTIFICATION OF PRINCIPAL FINANCIAL OFFICER</w:t>
      </w:r>
    </w:p>
    <w:p>
      <w:pPr>
        <w:pStyle w:val="TextBody"/>
        <w:spacing w:before="0" w:after="0"/>
        <w:jc w:val="center"/>
        <w:rPr>
          <w:b/>
        </w:rPr>
      </w:pPr>
      <w:r>
        <w:rPr>
          <w:b/>
        </w:rPr>
        <w:t>PURSUANT TO</w:t>
      </w:r>
    </w:p>
    <w:p>
      <w:pPr>
        <w:pStyle w:val="TextBody"/>
        <w:spacing w:before="0" w:after="0"/>
        <w:jc w:val="center"/>
        <w:rPr>
          <w:b/>
        </w:rPr>
      </w:pPr>
      <w:r>
        <w:rPr>
          <w:b/>
        </w:rPr>
        <w:t>SECTION 302 OF THE</w:t>
      </w:r>
    </w:p>
    <w:p>
      <w:pPr>
        <w:pStyle w:val="TextBody"/>
        <w:spacing w:before="0" w:after="0"/>
        <w:jc w:val="center"/>
        <w:rPr>
          <w:b/>
        </w:rPr>
      </w:pPr>
      <w:r>
        <w:rPr>
          <w:b/>
        </w:rPr>
        <w:t>SARBANES-OXLEY ACT OF 2002</w:t>
      </w:r>
    </w:p>
    <w:p>
      <w:pPr>
        <w:pStyle w:val="TextBody"/>
        <w:spacing w:before="0" w:after="0"/>
        <w:rPr/>
      </w:pPr>
      <w:r>
        <w:rPr/>
        <w:t> </w:t>
      </w:r>
    </w:p>
    <w:p>
      <w:pPr>
        <w:pStyle w:val="TextBody"/>
        <w:spacing w:before="0" w:after="0"/>
        <w:rPr/>
      </w:pPr>
      <w:r>
        <w:rPr/>
        <w:t>I, Young-Joon Kim, certify that:</w:t>
      </w:r>
    </w:p>
    <w:p>
      <w:pPr>
        <w:pStyle w:val="TextBody"/>
        <w:spacing w:before="0" w:after="0"/>
        <w:rPr/>
      </w:pPr>
      <w:r>
        <w:rPr/>
        <w:t> </w:t>
      </w:r>
    </w:p>
    <w:p>
      <w:pPr>
        <w:pStyle w:val="TextBody"/>
        <w:spacing w:before="0" w:after="0"/>
        <w:ind w:left="0" w:right="0" w:firstLine="490"/>
        <w:rPr/>
      </w:pPr>
      <w:r>
        <w:rPr/>
        <w:t>1. I have reviewed this quarterly report on Form 10-Q of Magnachip Semiconductor Corporation;</w:t>
      </w:r>
    </w:p>
    <w:p>
      <w:pPr>
        <w:pStyle w:val="TextBody"/>
        <w:spacing w:before="0" w:after="0"/>
        <w:rPr/>
      </w:pPr>
      <w:r>
        <w:rPr/>
        <w:t> </w:t>
      </w:r>
    </w:p>
    <w:p>
      <w:pPr>
        <w:pStyle w:val="TextBody"/>
        <w:spacing w:before="0" w:after="0"/>
        <w:ind w:left="0" w:right="0" w:firstLine="49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t> </w:t>
      </w:r>
    </w:p>
    <w:p>
      <w:pPr>
        <w:pStyle w:val="TextBody"/>
        <w:spacing w:before="0" w:after="0"/>
        <w:ind w:left="0" w:right="0" w:firstLine="49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t> </w:t>
      </w:r>
    </w:p>
    <w:p>
      <w:pPr>
        <w:pStyle w:val="TextBody"/>
        <w:spacing w:before="0" w:after="0"/>
        <w:ind w:left="0" w:right="0" w:firstLine="49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t> </w:t>
      </w:r>
    </w:p>
    <w:p>
      <w:pPr>
        <w:pStyle w:val="TextBody"/>
        <w:spacing w:before="0" w:after="0"/>
        <w:ind w:left="489" w:right="0" w:hanging="0"/>
        <w:rPr/>
      </w:pPr>
      <w: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t> </w:t>
      </w:r>
    </w:p>
    <w:p>
      <w:pPr>
        <w:pStyle w:val="TextBody"/>
        <w:spacing w:before="0" w:after="0"/>
        <w:ind w:left="489" w:right="0" w:hanging="0"/>
        <w:rPr/>
      </w:pPr>
      <w: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t> </w:t>
      </w:r>
    </w:p>
    <w:p>
      <w:pPr>
        <w:pStyle w:val="TextBody"/>
        <w:spacing w:before="0" w:after="0"/>
        <w:ind w:left="489" w:right="0" w:hanging="0"/>
        <w:rPr/>
      </w:pPr>
      <w: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t> </w:t>
      </w:r>
    </w:p>
    <w:p>
      <w:pPr>
        <w:pStyle w:val="TextBody"/>
        <w:spacing w:before="0" w:after="0"/>
        <w:ind w:left="489" w:right="0" w:hanging="0"/>
        <w:rPr/>
      </w:pPr>
      <w: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t> </w:t>
      </w:r>
    </w:p>
    <w:p>
      <w:pPr>
        <w:pStyle w:val="TextBody"/>
        <w:spacing w:before="0" w:after="0"/>
        <w:ind w:left="0" w:right="0" w:firstLine="490"/>
        <w:rPr/>
      </w:pPr>
      <w: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t> </w:t>
      </w:r>
    </w:p>
    <w:p>
      <w:pPr>
        <w:pStyle w:val="TextBody"/>
        <w:spacing w:before="0" w:after="0"/>
        <w:ind w:left="489" w:right="0" w:hanging="0"/>
        <w:rPr/>
      </w:pPr>
      <w: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t> </w:t>
      </w:r>
    </w:p>
    <w:p>
      <w:pPr>
        <w:pStyle w:val="TextBody"/>
        <w:spacing w:before="0" w:after="0"/>
        <w:ind w:left="489" w:right="0" w:hanging="0"/>
        <w:rPr/>
      </w:pPr>
      <w:r>
        <w:rPr/>
        <w:t>(b) Any fraud, whether or not material, that involves management or other employees who have a significant role in the registrant’s internal control over financial reporting.</w:t>
      </w:r>
    </w:p>
    <w:p>
      <w:pPr>
        <w:pStyle w:val="TextBody"/>
        <w:spacing w:before="0" w:after="0"/>
        <w:rPr/>
      </w:pPr>
      <w:r>
        <w:rPr/>
      </w:r>
    </w:p>
    <w:p>
      <w:pPr>
        <w:pStyle w:val="Normal"/>
        <w:spacing w:before="0" w:after="0"/>
        <w:rPr>
          <w:sz w:val="4"/>
          <w:szCs w:val="4"/>
        </w:rPr>
      </w:pPr>
      <w:r>
        <w:rPr>
          <w:sz w:val="4"/>
          <w:szCs w:val="4"/>
        </w:rPr>
      </w:r>
      <w:bookmarkStart w:id="42" w:name="z7605bba71c834234bf4def2d841756c2"/>
      <w:bookmarkStart w:id="43" w:name="z7605bba71c834234bf4def2d841756c2"/>
      <w:bookmarkEnd w:id="43"/>
    </w:p>
    <w:tbl>
      <w:tblPr>
        <w:tblW w:w="5765" w:type="dxa"/>
        <w:jc w:val="left"/>
        <w:tblInd w:w="0" w:type="dxa"/>
        <w:tblCellMar>
          <w:top w:w="0" w:type="dxa"/>
          <w:left w:w="0" w:type="dxa"/>
          <w:bottom w:w="0" w:type="dxa"/>
          <w:right w:w="0" w:type="dxa"/>
        </w:tblCellMar>
      </w:tblPr>
      <w:tblGrid>
        <w:gridCol w:w="5690"/>
        <w:gridCol w:w="75"/>
      </w:tblGrid>
      <w:tr>
        <w:trPr/>
        <w:tc>
          <w:tcPr>
            <w:tcW w:w="5690" w:type="dxa"/>
            <w:tcBorders/>
            <w:shd w:fill="auto" w:val="clear"/>
            <w:vAlign w:val="center"/>
          </w:tcPr>
          <w:p>
            <w:pPr>
              <w:pStyle w:val="TableContents"/>
              <w:spacing w:before="0" w:after="0"/>
              <w:rPr/>
            </w:pPr>
            <w:r>
              <w:rPr/>
              <w:t>Dated: May 8, 2023</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690" w:type="dxa"/>
            <w:tcBorders>
              <w:bottom w:val="single" w:sz="12" w:space="0" w:color="000000"/>
            </w:tcBorders>
            <w:shd w:fill="auto" w:val="clear"/>
            <w:tcMar>
              <w:bottom w:w="28" w:type="dxa"/>
            </w:tcMar>
            <w:vAlign w:val="center"/>
          </w:tcPr>
          <w:p>
            <w:pPr>
              <w:pStyle w:val="TableContents"/>
              <w:spacing w:before="0" w:after="0"/>
              <w:rPr/>
            </w:pPr>
            <w:r>
              <w:rPr/>
              <w:t>/s/ Young-Joon Kim</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0"/>
              <w:rPr/>
            </w:pPr>
            <w:r>
              <w:rPr/>
              <w:t>Young-Joon Kim</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0"/>
              <w:rPr/>
            </w:pPr>
            <w:r>
              <w:rPr/>
              <w:t>Chief Executive Officer and Interim Chief Financial Officer</w:t>
            </w:r>
          </w:p>
        </w:tc>
        <w:tc>
          <w:tcPr>
            <w:tcW w:w="75" w:type="dxa"/>
            <w:tcBorders/>
            <w:shd w:fill="auto" w:val="clear"/>
            <w:vAlign w:val="center"/>
          </w:tcPr>
          <w:p>
            <w:pPr>
              <w:pStyle w:val="TableContents"/>
              <w:spacing w:before="0" w:after="283"/>
              <w:rPr/>
            </w:pPr>
            <w:r>
              <w:rPr/>
              <w:t> </w:t>
            </w:r>
          </w:p>
        </w:tc>
      </w:tr>
      <w:tr>
        <w:trPr/>
        <w:tc>
          <w:tcPr>
            <w:tcW w:w="5690" w:type="dxa"/>
            <w:tcBorders/>
            <w:shd w:fill="auto" w:val="clear"/>
            <w:vAlign w:val="center"/>
          </w:tcPr>
          <w:p>
            <w:pPr>
              <w:pStyle w:val="TableContents"/>
              <w:spacing w:before="0" w:after="283"/>
              <w:rPr/>
            </w:pPr>
            <w:r>
              <w:rPr/>
              <w:t>(Principal Financial Officer)</w:t>
            </w:r>
          </w:p>
        </w:tc>
        <w:tc>
          <w:tcPr>
            <w:tcW w:w="7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4" w:name="brhc20051976_ex32-1.htm"/>
      <w:bookmarkStart w:id="45" w:name="ksbrhc20051976_ex321"/>
      <w:bookmarkStart w:id="46" w:name="brhc20051976_ex32-1.htm"/>
      <w:bookmarkStart w:id="47" w:name="ksbrhc20051976_ex321"/>
      <w:bookmarkEnd w:id="46"/>
      <w:bookmarkEnd w:id="47"/>
    </w:p>
    <w:p>
      <w:pPr>
        <w:pStyle w:val="TextBody"/>
        <w:spacing w:before="0" w:after="0"/>
        <w:jc w:val="right"/>
        <w:rPr>
          <w:b/>
        </w:rPr>
      </w:pPr>
      <w:r>
        <w:rPr>
          <w:b/>
        </w:rPr>
        <w:t>Exhibit 32.1</w:t>
      </w:r>
    </w:p>
    <w:p>
      <w:pPr>
        <w:pStyle w:val="TextBody"/>
        <w:spacing w:before="0" w:after="0"/>
        <w:rPr/>
      </w:pPr>
      <w:r>
        <w:rPr/>
        <w:t> </w:t>
      </w:r>
    </w:p>
    <w:p>
      <w:pPr>
        <w:pStyle w:val="TextBody"/>
        <w:spacing w:before="0" w:after="0"/>
        <w:jc w:val="center"/>
        <w:rPr>
          <w:b/>
        </w:rPr>
      </w:pPr>
      <w:r>
        <w:rPr>
          <w:b/>
        </w:rPr>
        <w:t>CERTIFICATION OF PRINCIPAL EXECUTIVE OFFICER</w:t>
      </w:r>
    </w:p>
    <w:p>
      <w:pPr>
        <w:pStyle w:val="TextBody"/>
        <w:spacing w:before="0" w:after="0"/>
        <w:jc w:val="center"/>
        <w:rPr>
          <w:b/>
        </w:rPr>
      </w:pPr>
      <w:r>
        <w:rPr>
          <w:b/>
        </w:rPr>
        <w:t>PURSUANT TO</w:t>
      </w:r>
    </w:p>
    <w:p>
      <w:pPr>
        <w:pStyle w:val="TextBody"/>
        <w:spacing w:before="0" w:after="0"/>
        <w:jc w:val="center"/>
        <w:rPr>
          <w:b/>
        </w:rPr>
      </w:pPr>
      <w:r>
        <w:rPr>
          <w:b/>
        </w:rPr>
        <w:t>18 U.S.C. SECTION 1350,</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rPr/>
      </w:pPr>
      <w:r>
        <w:rPr/>
        <w:t> </w:t>
      </w:r>
    </w:p>
    <w:p>
      <w:pPr>
        <w:pStyle w:val="TextBody"/>
        <w:spacing w:before="0" w:after="0"/>
        <w:ind w:left="0" w:right="0" w:firstLine="490"/>
        <w:rPr/>
      </w:pPr>
      <w:r>
        <w:rPr/>
        <w:t>Pursuant to 18 U.S.C. § 1350, as adopted pursuant to Section 906 of the Sarbanes-Oxley Act of 2002, the undersigned officer of Magnachip Semiconductor Corporation (the “</w:t>
      </w:r>
      <w:r>
        <w:rPr>
          <w:b/>
        </w:rPr>
        <w:t>Company</w:t>
      </w:r>
      <w:r>
        <w:rPr/>
        <w:t>”) hereby certifies, to such officer’s knowledge, that:</w:t>
      </w:r>
    </w:p>
    <w:p>
      <w:pPr>
        <w:pStyle w:val="TextBody"/>
        <w:spacing w:before="0" w:after="0"/>
        <w:rPr/>
      </w:pPr>
      <w:r>
        <w:rPr/>
        <w:t> </w:t>
      </w:r>
    </w:p>
    <w:p>
      <w:pPr>
        <w:pStyle w:val="TextBody"/>
        <w:spacing w:before="0" w:after="0"/>
        <w:ind w:left="0" w:right="0" w:firstLine="490"/>
        <w:rPr/>
      </w:pPr>
      <w:r>
        <w:rPr/>
        <w:t>(i) the Quarterly Report on Form 10-Q of the Company for the quarterly period ended March 31, 2023 as filed with the Securities and Exchange Commission on the date hereof (the “</w:t>
      </w:r>
      <w:r>
        <w:rPr>
          <w:b/>
        </w:rPr>
        <w:t>Report</w:t>
      </w:r>
      <w:r>
        <w:rPr/>
        <w:t>”) fully complies with the requirements of Section 13(a) or Section 15(d), as applicable, of the Securities Exchange Act of 1934, as amended; and</w:t>
      </w:r>
    </w:p>
    <w:p>
      <w:pPr>
        <w:pStyle w:val="TextBody"/>
        <w:spacing w:before="0" w:after="0"/>
        <w:rPr/>
      </w:pPr>
      <w:r>
        <w:rPr/>
        <w:t> </w:t>
      </w:r>
    </w:p>
    <w:p>
      <w:pPr>
        <w:pStyle w:val="TextBody"/>
        <w:spacing w:before="0" w:after="0"/>
        <w:ind w:left="0" w:right="0" w:firstLine="490"/>
        <w:rPr/>
      </w:pPr>
      <w:r>
        <w:rPr/>
        <w:t>(ii) the information contained in the Report fairly presents, in all material respects, the financial condition and results of operations of the Company as of the dates and for the periods expressed in the Report.</w:t>
      </w:r>
    </w:p>
    <w:p>
      <w:pPr>
        <w:pStyle w:val="TextBody"/>
        <w:spacing w:before="0" w:after="0"/>
        <w:rPr/>
      </w:pPr>
      <w:r>
        <w:rPr/>
      </w:r>
    </w:p>
    <w:p>
      <w:pPr>
        <w:pStyle w:val="Normal"/>
        <w:spacing w:before="0" w:after="0"/>
        <w:rPr>
          <w:sz w:val="4"/>
          <w:szCs w:val="4"/>
        </w:rPr>
      </w:pPr>
      <w:r>
        <w:rPr>
          <w:sz w:val="4"/>
          <w:szCs w:val="4"/>
        </w:rPr>
      </w:r>
      <w:bookmarkStart w:id="48" w:name="z1260972c9554409eb1ef2dacb56b9bb9"/>
      <w:bookmarkStart w:id="49" w:name="z1260972c9554409eb1ef2dacb56b9bb9"/>
      <w:bookmarkEnd w:id="49"/>
    </w:p>
    <w:tbl>
      <w:tblPr>
        <w:tblW w:w="7600" w:type="dxa"/>
        <w:jc w:val="left"/>
        <w:tblInd w:w="0" w:type="dxa"/>
        <w:tblCellMar>
          <w:top w:w="0" w:type="dxa"/>
          <w:left w:w="0" w:type="dxa"/>
          <w:bottom w:w="0" w:type="dxa"/>
          <w:right w:w="0" w:type="dxa"/>
        </w:tblCellMar>
      </w:tblPr>
      <w:tblGrid>
        <w:gridCol w:w="1925"/>
        <w:gridCol w:w="5675"/>
      </w:tblGrid>
      <w:tr>
        <w:trPr/>
        <w:tc>
          <w:tcPr>
            <w:tcW w:w="1925" w:type="dxa"/>
            <w:tcBorders/>
            <w:shd w:fill="auto" w:val="clear"/>
            <w:vAlign w:val="center"/>
          </w:tcPr>
          <w:p>
            <w:pPr>
              <w:pStyle w:val="TableContents"/>
              <w:spacing w:before="0" w:after="0"/>
              <w:rPr/>
            </w:pPr>
            <w:r>
              <w:rPr/>
              <w:t>Dated: May 8, 2023</w:t>
            </w:r>
          </w:p>
        </w:tc>
        <w:tc>
          <w:tcPr>
            <w:tcW w:w="5675" w:type="dxa"/>
            <w:tcBorders>
              <w:bottom w:val="single" w:sz="12" w:space="0" w:color="000000"/>
            </w:tcBorders>
            <w:shd w:fill="auto" w:val="clear"/>
            <w:tcMar>
              <w:bottom w:w="28" w:type="dxa"/>
            </w:tcMar>
            <w:vAlign w:val="center"/>
          </w:tcPr>
          <w:p>
            <w:pPr>
              <w:pStyle w:val="TableContents"/>
              <w:spacing w:before="0" w:after="0"/>
              <w:rPr/>
            </w:pPr>
            <w:r>
              <w:rPr/>
              <w:t>/s/ Young-Joon Kim</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Young-Joon Kim</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Chief Executive Officer and Interim Chief Financial Officer</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(Principal Executive Officer)</w:t>
            </w:r>
          </w:p>
        </w:tc>
      </w:tr>
    </w:tbl>
    <w:p>
      <w:pPr>
        <w:pStyle w:val="TextBody"/>
        <w:spacing w:before="0" w:after="0"/>
        <w:rPr/>
      </w:pPr>
      <w:r>
        <w:rPr/>
        <w:t> </w:t>
      </w:r>
    </w:p>
    <w:p>
      <w:pPr>
        <w:pStyle w:val="TextBody"/>
        <w:spacing w:before="0" w:after="0"/>
        <w:ind w:left="0" w:right="0" w:firstLine="490"/>
        <w:rPr/>
      </w:pPr>
      <w:r>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spacing w:before="0" w:after="0"/>
        <w:rPr/>
      </w:pPr>
      <w:r>
        <w:rPr/>
        <w:t> </w:t>
      </w:r>
    </w:p>
    <w:p>
      <w:pPr>
        <w:pStyle w:val="TextBody"/>
        <w:spacing w:before="0" w:after="0"/>
        <w:ind w:left="0" w:right="0" w:firstLine="490"/>
        <w:rPr/>
      </w:pPr>
      <w:r>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50" w:name="brhc20051976_ex32-2.htm"/>
      <w:bookmarkStart w:id="51" w:name="ksbrhc20051976_ex322"/>
      <w:bookmarkStart w:id="52" w:name="brhc20051976_ex32-2.htm"/>
      <w:bookmarkStart w:id="53" w:name="ksbrhc20051976_ex322"/>
      <w:bookmarkEnd w:id="52"/>
      <w:bookmarkEnd w:id="53"/>
    </w:p>
    <w:p>
      <w:pPr>
        <w:pStyle w:val="TextBody"/>
        <w:spacing w:before="0" w:after="0"/>
        <w:jc w:val="right"/>
        <w:rPr>
          <w:b/>
        </w:rPr>
      </w:pPr>
      <w:r>
        <w:rPr>
          <w:b/>
        </w:rPr>
        <w:t>Exhibit 32.2</w:t>
      </w:r>
    </w:p>
    <w:p>
      <w:pPr>
        <w:pStyle w:val="TextBody"/>
        <w:spacing w:before="0" w:after="0"/>
        <w:rPr/>
      </w:pPr>
      <w:r>
        <w:rPr/>
        <w:t> </w:t>
      </w:r>
    </w:p>
    <w:p>
      <w:pPr>
        <w:pStyle w:val="TextBody"/>
        <w:spacing w:before="0" w:after="0"/>
        <w:jc w:val="center"/>
        <w:rPr>
          <w:b/>
        </w:rPr>
      </w:pPr>
      <w:r>
        <w:rPr>
          <w:b/>
        </w:rPr>
        <w:t>CERTIFICATION OF PRINCIPAL FINANCIAL OFFICER</w:t>
      </w:r>
    </w:p>
    <w:p>
      <w:pPr>
        <w:pStyle w:val="TextBody"/>
        <w:spacing w:before="0" w:after="0"/>
        <w:jc w:val="center"/>
        <w:rPr>
          <w:b/>
        </w:rPr>
      </w:pPr>
      <w:r>
        <w:rPr>
          <w:b/>
        </w:rPr>
        <w:t>PURSUANT TO</w:t>
      </w:r>
    </w:p>
    <w:p>
      <w:pPr>
        <w:pStyle w:val="TextBody"/>
        <w:spacing w:before="0" w:after="0"/>
        <w:jc w:val="center"/>
        <w:rPr>
          <w:b/>
        </w:rPr>
      </w:pPr>
      <w:r>
        <w:rPr>
          <w:b/>
        </w:rPr>
        <w:t>18 U.S.C. SECTION 1350,</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rPr/>
      </w:pPr>
      <w:r>
        <w:rPr/>
        <w:t> </w:t>
      </w:r>
    </w:p>
    <w:p>
      <w:pPr>
        <w:pStyle w:val="TextBody"/>
        <w:spacing w:before="0" w:after="0"/>
        <w:ind w:left="0" w:right="0" w:firstLine="490"/>
        <w:rPr/>
      </w:pPr>
      <w:r>
        <w:rPr/>
        <w:t>Pursuant to 18 U.S.C. § 1350, as adopted pursuant to Section 906 of the Sarbanes-Oxley Act of 2002, the undersigned officer of Magnachip Semiconductor Corporation (the “</w:t>
      </w:r>
      <w:r>
        <w:rPr>
          <w:b/>
        </w:rPr>
        <w:t>Company</w:t>
      </w:r>
      <w:r>
        <w:rPr/>
        <w:t>”) hereby certifies, to such officer’s knowledge, that:</w:t>
      </w:r>
    </w:p>
    <w:p>
      <w:pPr>
        <w:pStyle w:val="TextBody"/>
        <w:spacing w:before="0" w:after="0"/>
        <w:rPr/>
      </w:pPr>
      <w:r>
        <w:rPr/>
        <w:t> </w:t>
      </w:r>
    </w:p>
    <w:p>
      <w:pPr>
        <w:pStyle w:val="TextBody"/>
        <w:spacing w:before="0" w:after="0"/>
        <w:ind w:left="0" w:right="0" w:firstLine="490"/>
        <w:rPr/>
      </w:pPr>
      <w:r>
        <w:rPr/>
        <w:t>(i) the Quarterly Report on Form 10-Q of the Company for the quarterly period ended March 31, 2023 as filed with the Securities and Exchange Commission on the date hereof (the “</w:t>
      </w:r>
      <w:r>
        <w:rPr>
          <w:b/>
        </w:rPr>
        <w:t>Report</w:t>
      </w:r>
      <w:r>
        <w:rPr/>
        <w:t>”) fully complies with the requirements of Section 13(a) or Section 15(d), as applicable, of the Securities Exchange Act of 1934, as amended; and</w:t>
      </w:r>
    </w:p>
    <w:p>
      <w:pPr>
        <w:pStyle w:val="TextBody"/>
        <w:spacing w:before="0" w:after="0"/>
        <w:rPr/>
      </w:pPr>
      <w:r>
        <w:rPr/>
        <w:t> </w:t>
      </w:r>
    </w:p>
    <w:p>
      <w:pPr>
        <w:pStyle w:val="TextBody"/>
        <w:spacing w:before="0" w:after="0"/>
        <w:ind w:left="0" w:right="0" w:firstLine="490"/>
        <w:rPr/>
      </w:pPr>
      <w:r>
        <w:rPr/>
        <w:t>(ii) the information contained in the Report fairly presents, in all material respects, the financial condition and results of operations of the Company as of the dates and for the periods expressed in the Report.</w:t>
      </w:r>
    </w:p>
    <w:p>
      <w:pPr>
        <w:pStyle w:val="TextBody"/>
        <w:spacing w:before="0" w:after="0"/>
        <w:rPr/>
      </w:pPr>
      <w:r>
        <w:rPr/>
      </w:r>
    </w:p>
    <w:p>
      <w:pPr>
        <w:pStyle w:val="Normal"/>
        <w:spacing w:before="0" w:after="0"/>
        <w:rPr>
          <w:sz w:val="4"/>
          <w:szCs w:val="4"/>
        </w:rPr>
      </w:pPr>
      <w:r>
        <w:rPr>
          <w:sz w:val="4"/>
          <w:szCs w:val="4"/>
        </w:rPr>
      </w:r>
      <w:bookmarkStart w:id="54" w:name="zd257ef27a1fd4acab2b8d81a9b721266"/>
      <w:bookmarkStart w:id="55" w:name="zd257ef27a1fd4acab2b8d81a9b721266"/>
      <w:bookmarkEnd w:id="55"/>
    </w:p>
    <w:tbl>
      <w:tblPr>
        <w:tblW w:w="7600" w:type="dxa"/>
        <w:jc w:val="left"/>
        <w:tblInd w:w="0" w:type="dxa"/>
        <w:tblCellMar>
          <w:top w:w="0" w:type="dxa"/>
          <w:left w:w="0" w:type="dxa"/>
          <w:bottom w:w="0" w:type="dxa"/>
          <w:right w:w="0" w:type="dxa"/>
        </w:tblCellMar>
      </w:tblPr>
      <w:tblGrid>
        <w:gridCol w:w="1925"/>
        <w:gridCol w:w="5675"/>
      </w:tblGrid>
      <w:tr>
        <w:trPr/>
        <w:tc>
          <w:tcPr>
            <w:tcW w:w="1925" w:type="dxa"/>
            <w:tcBorders/>
            <w:shd w:fill="auto" w:val="clear"/>
            <w:vAlign w:val="center"/>
          </w:tcPr>
          <w:p>
            <w:pPr>
              <w:pStyle w:val="TableContents"/>
              <w:spacing w:before="0" w:after="0"/>
              <w:rPr/>
            </w:pPr>
            <w:r>
              <w:rPr/>
              <w:t>Dated: May 8, 2023</w:t>
            </w:r>
          </w:p>
        </w:tc>
        <w:tc>
          <w:tcPr>
            <w:tcW w:w="5675" w:type="dxa"/>
            <w:tcBorders>
              <w:bottom w:val="single" w:sz="12" w:space="0" w:color="000000"/>
            </w:tcBorders>
            <w:shd w:fill="auto" w:val="clear"/>
            <w:tcMar>
              <w:bottom w:w="28" w:type="dxa"/>
            </w:tcMar>
            <w:vAlign w:val="center"/>
          </w:tcPr>
          <w:p>
            <w:pPr>
              <w:pStyle w:val="TableContents"/>
              <w:spacing w:before="0" w:after="0"/>
              <w:rPr/>
            </w:pPr>
            <w:r>
              <w:rPr/>
              <w:t>/s/ Young-Joon Kim</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Young-Joon Kim</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Chief Executive Officer and Interim Chief Financial Officer</w:t>
            </w:r>
          </w:p>
        </w:tc>
      </w:tr>
      <w:tr>
        <w:trPr/>
        <w:tc>
          <w:tcPr>
            <w:tcW w:w="1925"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rPr/>
            </w:pPr>
            <w:r>
              <w:rPr/>
              <w:t>(Principal Financial Officer)</w:t>
            </w:r>
          </w:p>
        </w:tc>
      </w:tr>
    </w:tbl>
    <w:p>
      <w:pPr>
        <w:pStyle w:val="TextBody"/>
        <w:spacing w:before="0" w:after="0"/>
        <w:rPr/>
      </w:pPr>
      <w:r>
        <w:rPr/>
        <w:t> </w:t>
      </w:r>
    </w:p>
    <w:p>
      <w:pPr>
        <w:pStyle w:val="TextBody"/>
        <w:spacing w:before="0" w:after="0"/>
        <w:ind w:left="0" w:right="0" w:firstLine="490"/>
        <w:rPr/>
      </w:pPr>
      <w:r>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pStyle w:val="TextBody"/>
        <w:spacing w:before="0" w:after="0"/>
        <w:rPr/>
      </w:pPr>
      <w:r>
        <w:rPr/>
        <w:t> </w:t>
      </w:r>
    </w:p>
    <w:p>
      <w:pPr>
        <w:pStyle w:val="TextBody"/>
        <w:spacing w:before="0" w:after="0"/>
        <w:ind w:left="0" w:right="0" w:firstLine="490"/>
        <w:rPr/>
      </w:pPr>
      <w:r>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20272</Words>
  <CharactersWithSpaces>132306</CharactersWithSpaces>
  <Paragraphs>6131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