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57243d8k.htm"/>
      <w:bookmarkStart w:id="1" w:name="ksd557243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November 2,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Magnachip Semiconductor Corporation</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743" w:type="dxa"/>
        <w:jc w:val="left"/>
        <w:tblInd w:w="0" w:type="dxa"/>
        <w:tblLayout w:type="fixed"/>
        <w:tblCellMar>
          <w:top w:w="0" w:type="dxa"/>
          <w:left w:w="0" w:type="dxa"/>
          <w:bottom w:w="0" w:type="dxa"/>
          <w:right w:w="0" w:type="dxa"/>
        </w:tblCellMar>
      </w:tblPr>
      <w:tblGrid>
        <w:gridCol w:w="3321"/>
        <w:gridCol w:w="96"/>
        <w:gridCol w:w="1701"/>
        <w:gridCol w:w="60"/>
        <w:gridCol w:w="1565"/>
      </w:tblGrid>
      <w:tr>
        <w:trPr/>
        <w:tc>
          <w:tcPr>
            <w:tcW w:w="3321"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3321" w:type="dxa"/>
            <w:tcBorders/>
            <w:vAlign w:val="center"/>
          </w:tcPr>
          <w:p>
            <w:pPr>
              <w:pStyle w:val="TableContents"/>
              <w:bidi w:val="0"/>
              <w:spacing w:before="0" w:after="283"/>
              <w:jc w:val="center"/>
              <w:rPr>
                <w:b/>
              </w:rPr>
            </w:pPr>
            <w:r>
              <w:rPr>
                <w:b/>
              </w:rPr>
              <w:t>Delaware</w:t>
            </w:r>
          </w:p>
        </w:tc>
        <w:tc>
          <w:tcPr>
            <w:tcW w:w="96"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center"/>
              <w:rPr>
                <w:b/>
              </w:rPr>
            </w:pPr>
            <w:r>
              <w:rPr>
                <w:b/>
              </w:rPr>
              <w:t>001-34791</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83-0406195</w:t>
            </w:r>
          </w:p>
        </w:tc>
      </w:tr>
      <w:tr>
        <w:trPr/>
        <w:tc>
          <w:tcPr>
            <w:tcW w:w="3321"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96"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625" w:type="dxa"/>
            <w:gridSpan w:val="2"/>
            <w:tcBorders/>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c/o Magnachip Semiconductor, Ltd.</w:t>
            </w:r>
          </w:p>
          <w:p>
            <w:pPr>
              <w:pStyle w:val="TableContents"/>
              <w:bidi w:val="0"/>
              <w:spacing w:before="0" w:after="0"/>
              <w:jc w:val="center"/>
              <w:rPr>
                <w:rFonts w:ascii="Times New Roman" w:hAnsi="Times New Roman"/>
                <w:b/>
                <w:sz w:val="20"/>
              </w:rPr>
            </w:pPr>
            <w:r>
              <w:rPr>
                <w:rFonts w:ascii="Times New Roman" w:hAnsi="Times New Roman"/>
                <w:b/>
                <w:sz w:val="20"/>
              </w:rPr>
              <w:t>15F, 76 Jikji-daero 436beon-gil, Heungdeok-gu</w:t>
            </w:r>
          </w:p>
          <w:p>
            <w:pPr>
              <w:pStyle w:val="TableContents"/>
              <w:bidi w:val="0"/>
              <w:spacing w:before="0" w:after="20"/>
              <w:jc w:val="center"/>
              <w:rPr>
                <w:rFonts w:ascii="Times New Roman" w:hAnsi="Times New Roman"/>
                <w:b/>
                <w:sz w:val="20"/>
              </w:rPr>
            </w:pPr>
            <w:r>
              <w:rPr>
                <w:rFonts w:ascii="Times New Roman" w:hAnsi="Times New Roman"/>
                <w:b/>
                <w:sz w:val="20"/>
              </w:rPr>
              <w:t>Cheongju-si, Chungcheongbuk-do, 28581, Republic of Korea</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Not Applicable</w:t>
            </w:r>
          </w:p>
        </w:tc>
      </w:tr>
      <w:tr>
        <w:trPr/>
        <w:tc>
          <w:tcPr>
            <w:tcW w:w="5118"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+82 (2) 6903-3000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10" w:type="dxa"/>
        <w:jc w:val="left"/>
        <w:tblInd w:w="0" w:type="dxa"/>
        <w:tblLayout w:type="fixed"/>
        <w:tblCellMar>
          <w:top w:w="0" w:type="dxa"/>
          <w:left w:w="0" w:type="dxa"/>
          <w:bottom w:w="0" w:type="dxa"/>
          <w:right w:w="0" w:type="dxa"/>
        </w:tblCellMar>
      </w:tblPr>
      <w:tblGrid>
        <w:gridCol w:w="4025"/>
        <w:gridCol w:w="60"/>
        <w:gridCol w:w="605"/>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MX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005" w:type="dxa"/>
        <w:jc w:val="left"/>
        <w:tblInd w:w="0" w:type="dxa"/>
        <w:tblLayout w:type="fixed"/>
        <w:tblCellMar>
          <w:top w:w="0" w:type="dxa"/>
          <w:left w:w="0" w:type="dxa"/>
          <w:bottom w:w="0" w:type="dxa"/>
          <w:right w:w="0" w:type="dxa"/>
        </w:tblCellMar>
      </w:tblPr>
      <w:tblGrid>
        <w:gridCol w:w="1025"/>
        <w:gridCol w:w="3980"/>
      </w:tblGrid>
      <w:tr>
        <w:trPr/>
        <w:tc>
          <w:tcPr>
            <w:tcW w:w="1025" w:type="dxa"/>
            <w:tcBorders/>
            <w:vAlign w:val="center"/>
          </w:tcPr>
          <w:p>
            <w:pPr>
              <w:pStyle w:val="TableContents"/>
              <w:bidi w:val="0"/>
              <w:spacing w:before="0" w:after="283"/>
              <w:jc w:val="left"/>
              <w:rPr>
                <w:b/>
              </w:rPr>
            </w:pPr>
            <w:r>
              <w:rPr>
                <w:b/>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Results of Operations and Financial Condition.</w:t>
            </w:r>
          </w:p>
        </w:tc>
      </w:tr>
    </w:tbl>
    <w:p>
      <w:pPr>
        <w:pStyle w:val="TextBody"/>
        <w:bidi w:val="0"/>
        <w:spacing w:before="120" w:after="0"/>
        <w:jc w:val="left"/>
        <w:rPr>
          <w:rFonts w:ascii="Times New Roman" w:hAnsi="Times New Roman"/>
          <w:sz w:val="20"/>
        </w:rPr>
      </w:pPr>
      <w:r>
        <w:rPr>
          <w:rFonts w:ascii="Times New Roman" w:hAnsi="Times New Roman"/>
          <w:sz w:val="20"/>
        </w:rPr>
        <w:t>Attached hereto as Exhibit 99.1 and incorporated by reference herein is financial information for Magnachip Semiconductor Corporation and its consolidated subsidiaries for the third quarter ended September 30, 2023, as presented in a press release dated November 2, 2023.</w:t>
      </w:r>
    </w:p>
    <w:p>
      <w:pPr>
        <w:pStyle w:val="TextBody"/>
        <w:bidi w:val="0"/>
        <w:spacing w:before="240" w:after="0"/>
        <w:jc w:val="left"/>
        <w:rPr>
          <w:rFonts w:ascii="Times New Roman" w:hAnsi="Times New Roman"/>
          <w:sz w:val="20"/>
        </w:rPr>
      </w:pPr>
      <w:r>
        <w:rPr>
          <w:rFonts w:ascii="Times New Roman" w:hAnsi="Times New Roman"/>
          <w:sz w:val="20"/>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pPr>
      <w:r>
        <w:rPr/>
        <w:t> </w:t>
      </w:r>
    </w:p>
    <w:tbl>
      <w:tblPr>
        <w:tblW w:w="1105" w:type="dxa"/>
        <w:jc w:val="left"/>
        <w:tblInd w:w="0" w:type="dxa"/>
        <w:tblLayout w:type="fixed"/>
        <w:tblCellMar>
          <w:top w:w="0" w:type="dxa"/>
          <w:left w:w="0" w:type="dxa"/>
          <w:bottom w:w="0" w:type="dxa"/>
          <w:right w:w="0" w:type="dxa"/>
        </w:tblCellMar>
      </w:tblPr>
      <w:tblGrid>
        <w:gridCol w:w="320"/>
        <w:gridCol w:w="785"/>
      </w:tblGrid>
      <w:tr>
        <w:trPr/>
        <w:tc>
          <w:tcPr>
            <w:tcW w:w="320" w:type="dxa"/>
            <w:tcBorders/>
            <w:vAlign w:val="center"/>
          </w:tcPr>
          <w:p>
            <w:pPr>
              <w:pStyle w:val="TableContents"/>
              <w:bidi w:val="0"/>
              <w:spacing w:before="0" w:after="283"/>
              <w:jc w:val="left"/>
              <w:rPr>
                <w:b/>
              </w:rPr>
            </w:pPr>
            <w:r>
              <w:rPr>
                <w:b/>
              </w:rPr>
              <w:t>(d)</w:t>
            </w:r>
          </w:p>
        </w:tc>
        <w:tc>
          <w:tcPr>
            <w:tcW w:w="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Exhibits.</w:t>
            </w:r>
          </w:p>
        </w:tc>
      </w:tr>
    </w:tbl>
    <w:p>
      <w:pPr>
        <w:pStyle w:val="TextBody"/>
        <w:bidi w:val="0"/>
        <w:spacing w:before="240" w:after="0"/>
        <w:jc w:val="left"/>
        <w:rPr>
          <w:rFonts w:ascii="Times New Roman" w:hAnsi="Times New Roman"/>
          <w:sz w:val="20"/>
        </w:rPr>
      </w:pPr>
      <w:r>
        <w:rPr>
          <w:rFonts w:ascii="Times New Roman" w:hAnsi="Times New Roman"/>
          <w:sz w:val="20"/>
        </w:rPr>
        <w:t>The following exhibit is furnished as part of this report: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20"/>
        <w:gridCol w:w="120"/>
        <w:gridCol w:w="9265"/>
      </w:tblGrid>
      <w:tr>
        <w:trPr/>
        <w:tc>
          <w:tcPr>
            <w:tcW w:w="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65" w:type="dxa"/>
            <w:tcBorders/>
            <w:vAlign w:val="center"/>
          </w:tcPr>
          <w:p>
            <w:pPr>
              <w:pStyle w:val="TableContents"/>
              <w:bidi w:val="0"/>
              <w:spacing w:before="0" w:after="283"/>
              <w:jc w:val="left"/>
              <w:rPr>
                <w:sz w:val="4"/>
                <w:szCs w:val="4"/>
              </w:rPr>
            </w:pPr>
            <w:r>
              <w:rPr>
                <w:sz w:val="4"/>
                <w:szCs w:val="4"/>
              </w:rPr>
            </w:r>
          </w:p>
        </w:tc>
      </w:tr>
      <w:tr>
        <w:trPr/>
        <w:tc>
          <w:tcPr>
            <w:tcW w:w="820" w:type="dxa"/>
            <w:tcBorders>
              <w:bottom w:val="single" w:sz="8" w:space="0" w:color="000000"/>
            </w:tcBorders>
            <w:tcMar>
              <w:bottom w:w="28" w:type="dxa"/>
            </w:tcMar>
            <w:vAlign w:val="center"/>
          </w:tcPr>
          <w:p>
            <w:pPr>
              <w:pStyle w:val="TableContents"/>
              <w:bidi w:val="0"/>
              <w:spacing w:before="0" w:after="283"/>
              <w:jc w:val="center"/>
              <w:rPr/>
            </w:pPr>
            <w:r>
              <w:rPr>
                <w:b/>
              </w:rPr>
              <w:t>Exhibit</w:t>
            </w:r>
            <w:r>
              <w:rPr/>
              <w:t xml:space="preserve"> </w:t>
              <w:br/>
            </w:r>
            <w:r>
              <w:rPr>
                <w:b/>
              </w:rPr>
              <w:t>No.</w:t>
            </w:r>
          </w:p>
        </w:tc>
        <w:tc>
          <w:tcPr>
            <w:tcW w:w="120" w:type="dxa"/>
            <w:tcBorders/>
            <w:vAlign w:val="center"/>
          </w:tcPr>
          <w:p>
            <w:pPr>
              <w:pStyle w:val="TableContents"/>
              <w:bidi w:val="0"/>
              <w:spacing w:before="0" w:after="283"/>
              <w:jc w:val="left"/>
              <w:rPr/>
            </w:pPr>
            <w:r>
              <w:rPr/>
              <w:t>  </w:t>
            </w:r>
          </w:p>
        </w:tc>
        <w:tc>
          <w:tcPr>
            <w:tcW w:w="92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820" w:type="dxa"/>
            <w:tcBorders/>
            <w:vAlign w:val="center"/>
          </w:tcPr>
          <w:p>
            <w:pPr>
              <w:pStyle w:val="TableContents"/>
              <w:bidi w:val="0"/>
              <w:spacing w:before="0" w:after="283"/>
              <w:jc w:val="left"/>
              <w:rPr>
                <w:sz w:val="4"/>
                <w:szCs w:val="4"/>
              </w:rPr>
            </w:pPr>
            <w:r>
              <w:rPr>
                <w:sz w:val="4"/>
                <w:szCs w:val="4"/>
              </w:rPr>
            </w:r>
          </w:p>
        </w:tc>
        <w:tc>
          <w:tcPr>
            <w:tcW w:w="9385" w:type="dxa"/>
            <w:gridSpan w:val="2"/>
            <w:tcBorders/>
            <w:vAlign w:val="center"/>
          </w:tcPr>
          <w:p>
            <w:pPr>
              <w:pStyle w:val="TableContents"/>
              <w:bidi w:val="0"/>
              <w:spacing w:before="0" w:after="283"/>
              <w:jc w:val="left"/>
              <w:rPr>
                <w:sz w:val="4"/>
                <w:szCs w:val="4"/>
              </w:rPr>
            </w:pPr>
            <w:r>
              <w:rPr>
                <w:sz w:val="4"/>
                <w:szCs w:val="4"/>
              </w:rPr>
            </w:r>
          </w:p>
        </w:tc>
      </w:tr>
      <w:tr>
        <w:trPr/>
        <w:tc>
          <w:tcPr>
            <w:tcW w:w="8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w:anchor="d557243dex991.htm">
              <w:r>
                <w:rPr>
                  <w:rStyle w:val="InternetLink"/>
                </w:rPr>
                <w:t xml:space="preserve">Press release for Magnachip Semiconductor Corporation dated November 2, 2023, announcing the results for the third quarter ended September 30, 2023. </w:t>
              </w:r>
            </w:hyperlink>
          </w:p>
        </w:tc>
      </w:tr>
      <w:tr>
        <w:trPr/>
        <w:tc>
          <w:tcPr>
            <w:tcW w:w="820" w:type="dxa"/>
            <w:tcBorders/>
            <w:vAlign w:val="center"/>
          </w:tcPr>
          <w:p>
            <w:pPr>
              <w:pStyle w:val="TableContents"/>
              <w:bidi w:val="0"/>
              <w:spacing w:before="0" w:after="283"/>
              <w:jc w:val="left"/>
              <w:rPr>
                <w:sz w:val="4"/>
                <w:szCs w:val="4"/>
              </w:rPr>
            </w:pPr>
            <w:r>
              <w:rPr>
                <w:sz w:val="4"/>
                <w:szCs w:val="4"/>
              </w:rPr>
            </w:r>
          </w:p>
        </w:tc>
        <w:tc>
          <w:tcPr>
            <w:tcW w:w="9385" w:type="dxa"/>
            <w:gridSpan w:val="2"/>
            <w:tcBorders/>
            <w:vAlign w:val="center"/>
          </w:tcPr>
          <w:p>
            <w:pPr>
              <w:pStyle w:val="TableContents"/>
              <w:bidi w:val="0"/>
              <w:spacing w:before="0" w:after="283"/>
              <w:jc w:val="left"/>
              <w:rPr>
                <w:sz w:val="4"/>
                <w:szCs w:val="4"/>
              </w:rPr>
            </w:pPr>
            <w:r>
              <w:rPr>
                <w:sz w:val="4"/>
                <w:szCs w:val="4"/>
              </w:rPr>
            </w:r>
          </w:p>
        </w:tc>
      </w:tr>
      <w:tr>
        <w:trPr/>
        <w:tc>
          <w:tcPr>
            <w:tcW w:w="8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8633"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555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5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80" w:type="dxa"/>
            <w:gridSpan w:val="3"/>
            <w:tcBorders/>
            <w:vAlign w:val="center"/>
          </w:tcPr>
          <w:p>
            <w:pPr>
              <w:pStyle w:val="TableContents"/>
              <w:bidi w:val="0"/>
              <w:spacing w:before="0" w:after="283"/>
              <w:jc w:val="left"/>
              <w:rPr/>
            </w:pPr>
            <w:r>
              <w:rPr/>
              <w:t>MAGNACHIP SEMICONDUCTOR CORPORATION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61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Dated: November 2,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Theodore Kim</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Theodore Kim</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Chief Compliance Officer, General Counsel and Secretary</w:t>
            </w:r>
          </w:p>
        </w:tc>
      </w:tr>
    </w:tbl>
    <w:p>
      <w:pPr>
        <w:pStyle w:val="TextBody"/>
        <w:bidi w:val="0"/>
        <w:spacing w:before="0" w:after="0"/>
        <w:jc w:val="right"/>
        <w:rPr>
          <w:rFonts w:ascii="Times New Roman" w:hAnsi="Times New Roman"/>
          <w:b/>
          <w:sz w:val="20"/>
        </w:rPr>
      </w:pPr>
      <w:bookmarkStart w:id="2" w:name="d557243dex991.htm"/>
      <w:bookmarkStart w:id="3" w:name="ksd55724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4479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7925" cy="5048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Magnachip Reports Results for Third Quarter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of $61.2 million was in-line with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Gross profit margin of 23.6% increased 140 basis points from Q2, mainly driven by higher fab utilization.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GAAP diluted loss per share was $0.13.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Non-GAAP diluted loss per share was $0.04.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Completed $5.4 million of stock buybacks during Q3.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Ended Q3 with a solid balance sheet with $166.6 million cash and no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internal separation of our Display and Power businesses is expected to be completed and be effective on January 1st, 2024. </w:t>
            </w:r>
          </w:p>
        </w:tc>
      </w:tr>
    </w:tbl>
    <w:p>
      <w:pPr>
        <w:pStyle w:val="TextBody"/>
        <w:bidi w:val="0"/>
        <w:spacing w:before="240" w:after="0"/>
        <w:jc w:val="left"/>
        <w:rPr>
          <w:rFonts w:ascii="Times New Roman" w:hAnsi="Times New Roman"/>
          <w:sz w:val="20"/>
        </w:rPr>
      </w:pPr>
      <w:r>
        <w:rPr>
          <w:rFonts w:ascii="Times New Roman" w:hAnsi="Times New Roman"/>
          <w:b/>
          <w:sz w:val="20"/>
        </w:rPr>
        <w:t>SEOUL, South Korea, November</w:t>
      </w:r>
      <w:r>
        <w:rPr>
          <w:rFonts w:ascii="Times New Roman" w:hAnsi="Times New Roman"/>
          <w:sz w:val="20"/>
        </w:rPr>
        <w:t> </w:t>
      </w:r>
      <w:r>
        <w:rPr>
          <w:rFonts w:ascii="Times New Roman" w:hAnsi="Times New Roman"/>
          <w:b/>
          <w:sz w:val="20"/>
        </w:rPr>
        <w:t>2, 2023</w:t>
      </w:r>
      <w:r>
        <w:rPr>
          <w:rFonts w:ascii="Times New Roman" w:hAnsi="Times New Roman"/>
          <w:sz w:val="20"/>
        </w:rPr>
        <w:t xml:space="preserve">  Magnachip Semiconductor Corporation (NYSE: MX) (Magnachip or the Company) today announced financial results for the third quarter 2023. </w:t>
      </w:r>
    </w:p>
    <w:p>
      <w:pPr>
        <w:pStyle w:val="TextBody"/>
        <w:bidi w:val="0"/>
        <w:spacing w:before="240" w:after="0"/>
        <w:jc w:val="left"/>
        <w:rPr>
          <w:rFonts w:ascii="Times New Roman" w:hAnsi="Times New Roman"/>
          <w:sz w:val="20"/>
        </w:rPr>
      </w:pPr>
      <w:r>
        <w:rPr>
          <w:rFonts w:ascii="Times New Roman" w:hAnsi="Times New Roman"/>
          <w:sz w:val="20"/>
        </w:rPr>
        <w:t xml:space="preserve">YJ Kim, Magnachips Chief Executive Officer commented, Our Q3 results were in-line with our guidance. In our Display business, we have completed the qualification of two DDI chips at our new tier 1 panel maker and are going through the qualification process with two smartphone makers. We are now working on additional Driver ICs that cover broader segments of the smartphone market to include mass market smartphones in addition to the premium models. Despite near-term market challenges, our outlook for long-term growth remains positive. Our confidence is driven by our strong belief that our display products offer distinct competitive advantages that position us well for success in the rapidly growing OLED market in Asia. </w:t>
      </w:r>
    </w:p>
    <w:p>
      <w:pPr>
        <w:pStyle w:val="TextBody"/>
        <w:bidi w:val="0"/>
        <w:spacing w:before="240" w:after="0"/>
        <w:jc w:val="left"/>
        <w:rPr>
          <w:rFonts w:ascii="Times New Roman" w:hAnsi="Times New Roman"/>
          <w:sz w:val="20"/>
        </w:rPr>
      </w:pPr>
      <w:r>
        <w:rPr>
          <w:rFonts w:ascii="Times New Roman" w:hAnsi="Times New Roman"/>
          <w:sz w:val="20"/>
        </w:rPr>
        <w:t xml:space="preserve">YJ continued, In our Power business, our product portfolio is getting stronger as we continue to focus on rolling out next-generation power products to maintain our momentum of design-in/wins. Looking ahead, amid heightened global geopolitical and macroeconomic uncertainty, we expect demand to remain soft, driven by normal Q4 seasonality and inventory correction in industrial end markets. </w:t>
      </w:r>
    </w:p>
    <w:p>
      <w:pPr>
        <w:pStyle w:val="TextBody"/>
        <w:bidi w:val="0"/>
        <w:spacing w:before="360" w:after="0"/>
        <w:jc w:val="left"/>
        <w:rPr>
          <w:rFonts w:ascii="Times New Roman" w:hAnsi="Times New Roman"/>
          <w:b/>
          <w:sz w:val="20"/>
        </w:rPr>
      </w:pPr>
      <w:r>
        <w:rPr>
          <w:rFonts w:ascii="Times New Roman" w:hAnsi="Times New Roman"/>
          <w:b/>
          <w:sz w:val="20"/>
        </w:rPr>
        <w:t xml:space="preserve">Q3 2023 Financial Highlights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86"/>
        <w:gridCol w:w="137"/>
        <w:gridCol w:w="69"/>
        <w:gridCol w:w="804"/>
        <w:gridCol w:w="286"/>
        <w:gridCol w:w="79"/>
        <w:gridCol w:w="63"/>
        <w:gridCol w:w="810"/>
        <w:gridCol w:w="286"/>
        <w:gridCol w:w="79"/>
        <w:gridCol w:w="60"/>
        <w:gridCol w:w="582"/>
        <w:gridCol w:w="60"/>
        <w:gridCol w:w="137"/>
        <w:gridCol w:w="59"/>
        <w:gridCol w:w="444"/>
        <w:gridCol w:w="545"/>
        <w:gridCol w:w="79"/>
        <w:gridCol w:w="63"/>
        <w:gridCol w:w="810"/>
        <w:gridCol w:w="286"/>
        <w:gridCol w:w="79"/>
        <w:gridCol w:w="60"/>
        <w:gridCol w:w="582"/>
        <w:gridCol w:w="60"/>
        <w:gridCol w:w="137"/>
        <w:gridCol w:w="60"/>
        <w:gridCol w:w="443"/>
        <w:gridCol w:w="560"/>
      </w:tblGrid>
      <w:tr>
        <w:trPr/>
        <w:tc>
          <w:tcPr>
            <w:tcW w:w="2486"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022" w:type="dxa"/>
            <w:gridSpan w:val="26"/>
            <w:tcBorders>
              <w:bottom w:val="single" w:sz="8" w:space="0" w:color="000000"/>
            </w:tcBorders>
            <w:tcMar>
              <w:bottom w:w="28" w:type="dxa"/>
            </w:tcMar>
            <w:vAlign w:val="bottom"/>
          </w:tcPr>
          <w:p>
            <w:pPr>
              <w:pStyle w:val="TableContents"/>
              <w:bidi w:val="0"/>
              <w:spacing w:before="0" w:after="283"/>
              <w:jc w:val="center"/>
              <w:rPr/>
            </w:pPr>
            <w:r>
              <w:rPr/>
              <w:t>In thousands of U.S. dollars, except share data</w:t>
            </w:r>
          </w:p>
        </w:tc>
        <w:tc>
          <w:tcPr>
            <w:tcW w:w="560" w:type="dxa"/>
            <w:tcBorders/>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022"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560" w:type="dxa"/>
            <w:tcBorders/>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2023</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2023</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Q/Q change</w:t>
            </w:r>
          </w:p>
        </w:tc>
        <w:tc>
          <w:tcPr>
            <w:tcW w:w="54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2022</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Y/Y change</w:t>
            </w:r>
          </w:p>
        </w:tc>
        <w:tc>
          <w:tcPr>
            <w:tcW w:w="560" w:type="dxa"/>
            <w:tcBorders/>
            <w:vAlign w:val="bottom"/>
          </w:tcPr>
          <w:p>
            <w:pPr>
              <w:pStyle w:val="TableContents"/>
              <w:bidi w:val="0"/>
              <w:spacing w:before="0" w:after="283"/>
              <w:jc w:val="left"/>
              <w:rPr/>
            </w:pPr>
            <w:r>
              <w:rPr/>
              <w:t> </w:t>
            </w:r>
          </w:p>
        </w:tc>
      </w:tr>
      <w:tr>
        <w:trPr/>
        <w:tc>
          <w:tcPr>
            <w:tcW w:w="24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3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810"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545"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810"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r>
      <w:tr>
        <w:trPr/>
        <w:tc>
          <w:tcPr>
            <w:tcW w:w="2486" w:type="dxa"/>
            <w:tcBorders/>
          </w:tcPr>
          <w:p>
            <w:pPr>
              <w:pStyle w:val="TableContents"/>
              <w:bidi w:val="0"/>
              <w:spacing w:before="0" w:after="0"/>
              <w:jc w:val="left"/>
              <w:rPr>
                <w:rFonts w:ascii="Times New Roman" w:hAnsi="Times New Roman"/>
                <w:sz w:val="20"/>
              </w:rPr>
            </w:pPr>
            <w:r>
              <w:rPr>
                <w:rFonts w:ascii="Times New Roman" w:hAnsi="Times New Roman"/>
                <w:sz w:val="20"/>
              </w:rPr>
              <w:t>Standard Products Business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810"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810"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Display Solutions</w:t>
            </w:r>
          </w:p>
        </w:tc>
        <w:tc>
          <w:tcPr>
            <w:tcW w:w="13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6,404</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9,657</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down</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33.7</w:t>
            </w:r>
          </w:p>
        </w:tc>
        <w:tc>
          <w:tcPr>
            <w:tcW w:w="54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6,355</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up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right"/>
              <w:rPr/>
            </w:pPr>
            <w:r>
              <w:rPr/>
              <w:t>0.8</w:t>
            </w:r>
          </w:p>
        </w:tc>
        <w:tc>
          <w:tcPr>
            <w:tcW w:w="560" w:type="dxa"/>
            <w:tcBorders/>
            <w:shd w:fill="CCEEFF" w:val="clear"/>
            <w:vAlign w:val="bottom"/>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sz w:val="20"/>
              </w:rPr>
            </w:pPr>
            <w:r>
              <w:rPr>
                <w:rFonts w:ascii="Times New Roman" w:hAnsi="Times New Roman"/>
                <w:sz w:val="20"/>
              </w:rPr>
              <w:t>Power Solutions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45,215</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41,718</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up</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8.4</w:t>
            </w:r>
          </w:p>
        </w:tc>
        <w:tc>
          <w:tcPr>
            <w:tcW w:w="54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56,416</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down</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19.9</w:t>
            </w:r>
          </w:p>
        </w:tc>
        <w:tc>
          <w:tcPr>
            <w:tcW w:w="560" w:type="dxa"/>
            <w:tcBorders/>
            <w:vAlign w:val="bottom"/>
          </w:tcPr>
          <w:p>
            <w:pPr>
              <w:pStyle w:val="TableContents"/>
              <w:bidi w:val="0"/>
              <w:spacing w:before="0" w:after="283"/>
              <w:jc w:val="left"/>
              <w:rPr/>
            </w:pPr>
            <w:r>
              <w:rPr/>
              <w:t>% </w:t>
            </w:r>
          </w:p>
        </w:tc>
      </w:tr>
      <w:tr>
        <w:trPr/>
        <w:tc>
          <w:tcPr>
            <w:tcW w:w="2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services(1)</w:t>
            </w:r>
          </w:p>
        </w:tc>
        <w:tc>
          <w:tcPr>
            <w:tcW w:w="13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9,626</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9,604</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up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0.2</w:t>
            </w:r>
          </w:p>
        </w:tc>
        <w:tc>
          <w:tcPr>
            <w:tcW w:w="54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8,428</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up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right"/>
              <w:rPr/>
            </w:pPr>
            <w:r>
              <w:rPr/>
              <w:t>14.2</w:t>
            </w:r>
          </w:p>
        </w:tc>
        <w:tc>
          <w:tcPr>
            <w:tcW w:w="560" w:type="dxa"/>
            <w:tcBorders/>
            <w:shd w:fill="CCEEFF" w:val="clear"/>
            <w:vAlign w:val="bottom"/>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Profit Margin</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23.6</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22.2</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up</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1.4</w:t>
            </w:r>
          </w:p>
        </w:tc>
        <w:tc>
          <w:tcPr>
            <w:tcW w:w="545" w:type="dxa"/>
            <w:tcBorders/>
            <w:vAlign w:val="bottom"/>
          </w:tcPr>
          <w:p>
            <w:pPr>
              <w:pStyle w:val="TableContents"/>
              <w:bidi w:val="0"/>
              <w:spacing w:before="0" w:after="283"/>
              <w:jc w:val="left"/>
              <w:rPr/>
            </w:pPr>
            <w:r>
              <w:rPr/>
              <w:t>%pts </w:t>
            </w:r>
          </w:p>
        </w:tc>
        <w:tc>
          <w:tcPr>
            <w:tcW w:w="7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24.2</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down</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0.6</w:t>
            </w:r>
          </w:p>
        </w:tc>
        <w:tc>
          <w:tcPr>
            <w:tcW w:w="560" w:type="dxa"/>
            <w:tcBorders/>
            <w:vAlign w:val="bottom"/>
          </w:tcPr>
          <w:p>
            <w:pPr>
              <w:pStyle w:val="TableContents"/>
              <w:bidi w:val="0"/>
              <w:spacing w:before="0" w:after="283"/>
              <w:jc w:val="left"/>
              <w:rPr/>
            </w:pPr>
            <w:r>
              <w:rPr/>
              <w:t>%pts </w:t>
            </w:r>
          </w:p>
        </w:tc>
      </w:tr>
      <w:tr>
        <w:trPr/>
        <w:tc>
          <w:tcPr>
            <w:tcW w:w="24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3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(9,235</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(10,656</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up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n/a</w:t>
            </w:r>
          </w:p>
        </w:tc>
        <w:tc>
          <w:tcPr>
            <w:tcW w:w="54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(10,008</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up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right"/>
              <w:rPr/>
            </w:pPr>
            <w:r>
              <w:rPr/>
              <w:t>n/a</w:t>
            </w:r>
          </w:p>
        </w:tc>
        <w:tc>
          <w:tcPr>
            <w:tcW w:w="560" w:type="dxa"/>
            <w:tcBorders/>
            <w:shd w:fill="CCEEFF" w:val="clear"/>
            <w:vAlign w:val="bottom"/>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(5,165</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(3,947</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down</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n/a</w:t>
            </w:r>
          </w:p>
        </w:tc>
        <w:tc>
          <w:tcPr>
            <w:tcW w:w="54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(17,195</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up</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n/a</w:t>
            </w:r>
          </w:p>
        </w:tc>
        <w:tc>
          <w:tcPr>
            <w:tcW w:w="560" w:type="dxa"/>
            <w:tcBorders/>
            <w:vAlign w:val="bottom"/>
          </w:tcPr>
          <w:p>
            <w:pPr>
              <w:pStyle w:val="TableContents"/>
              <w:bidi w:val="0"/>
              <w:spacing w:before="0" w:after="283"/>
              <w:jc w:val="left"/>
              <w:rPr/>
            </w:pPr>
            <w:r>
              <w:rPr/>
              <w:t> </w:t>
            </w:r>
          </w:p>
        </w:tc>
      </w:tr>
      <w:tr>
        <w:trPr/>
        <w:tc>
          <w:tcPr>
            <w:tcW w:w="24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Loss per Common Share</w:t>
            </w:r>
          </w:p>
        </w:tc>
        <w:tc>
          <w:tcPr>
            <w:tcW w:w="13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(0.13</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(0.09</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down</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n/a</w:t>
            </w:r>
          </w:p>
        </w:tc>
        <w:tc>
          <w:tcPr>
            <w:tcW w:w="54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(0.38</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up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right"/>
              <w:rPr/>
            </w:pPr>
            <w:r>
              <w:rPr/>
              <w:t>n/a</w:t>
            </w:r>
          </w:p>
        </w:tc>
        <w:tc>
          <w:tcPr>
            <w:tcW w:w="560" w:type="dxa"/>
            <w:tcBorders/>
            <w:shd w:fill="CCEEFF" w:val="clear"/>
            <w:vAlign w:val="bottom"/>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b/>
                <w:sz w:val="20"/>
              </w:rPr>
            </w:pPr>
            <w:r>
              <w:rPr>
                <w:rFonts w:ascii="Times New Roman" w:hAnsi="Times New Roman"/>
                <w:b/>
                <w:sz w:val="20"/>
              </w:rPr>
              <w:t>Diluted Loss per Common Share</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(0.13</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(0.09</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down</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n/a</w:t>
            </w:r>
          </w:p>
        </w:tc>
        <w:tc>
          <w:tcPr>
            <w:tcW w:w="54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(0.38</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up</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n/a</w:t>
            </w:r>
          </w:p>
        </w:tc>
        <w:tc>
          <w:tcPr>
            <w:tcW w:w="560" w:type="dxa"/>
            <w:tcBorders/>
            <w:vAlign w:val="bottom"/>
          </w:tcPr>
          <w:p>
            <w:pPr>
              <w:pStyle w:val="TableContents"/>
              <w:bidi w:val="0"/>
              <w:spacing w:before="0" w:after="283"/>
              <w:jc w:val="left"/>
              <w:rPr/>
            </w:pPr>
            <w:r>
              <w:rPr/>
              <w:t> </w:t>
            </w:r>
          </w:p>
        </w:tc>
      </w:tr>
      <w:tr>
        <w:trPr>
          <w:trHeight w:val="240" w:hRule="atLeast"/>
        </w:trPr>
        <w:tc>
          <w:tcPr>
            <w:tcW w:w="2486" w:type="dxa"/>
            <w:tcBorders/>
            <w:vAlign w:val="center"/>
          </w:tcPr>
          <w:p>
            <w:pPr>
              <w:pStyle w:val="TableContents"/>
              <w:bidi w:val="0"/>
              <w:spacing w:before="0" w:after="283"/>
              <w:jc w:val="left"/>
              <w:rPr>
                <w:sz w:val="4"/>
                <w:szCs w:val="4"/>
              </w:rPr>
            </w:pPr>
            <w:r>
              <w:rPr>
                <w:sz w:val="4"/>
                <w:szCs w:val="4"/>
              </w:rPr>
            </w:r>
          </w:p>
        </w:tc>
        <w:tc>
          <w:tcPr>
            <w:tcW w:w="7719" w:type="dxa"/>
            <w:gridSpan w:val="28"/>
            <w:tcBorders/>
            <w:vAlign w:val="center"/>
          </w:tcPr>
          <w:p>
            <w:pPr>
              <w:pStyle w:val="TableContents"/>
              <w:bidi w:val="0"/>
              <w:spacing w:before="0" w:after="283"/>
              <w:jc w:val="left"/>
              <w:rPr>
                <w:sz w:val="4"/>
                <w:szCs w:val="4"/>
              </w:rPr>
            </w:pPr>
            <w:r>
              <w:rPr>
                <w:sz w:val="4"/>
                <w:szCs w:val="4"/>
              </w:rPr>
            </w:r>
          </w:p>
        </w:tc>
      </w:tr>
      <w:tr>
        <w:trPr/>
        <w:tc>
          <w:tcPr>
            <w:tcW w:w="248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022" w:type="dxa"/>
            <w:gridSpan w:val="26"/>
            <w:tcBorders>
              <w:bottom w:val="single" w:sz="8" w:space="0" w:color="000000"/>
            </w:tcBorders>
            <w:tcMar>
              <w:bottom w:w="28" w:type="dxa"/>
            </w:tcMar>
            <w:vAlign w:val="bottom"/>
          </w:tcPr>
          <w:p>
            <w:pPr>
              <w:pStyle w:val="TableContents"/>
              <w:bidi w:val="0"/>
              <w:spacing w:before="0" w:after="283"/>
              <w:jc w:val="center"/>
              <w:rPr/>
            </w:pPr>
            <w:r>
              <w:rPr/>
              <w:t>In thousands of U.S. dollars, except share data</w:t>
            </w:r>
          </w:p>
        </w:tc>
        <w:tc>
          <w:tcPr>
            <w:tcW w:w="560" w:type="dxa"/>
            <w:tcBorders/>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022"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Non-GAAP(2)</w:t>
            </w:r>
          </w:p>
        </w:tc>
        <w:tc>
          <w:tcPr>
            <w:tcW w:w="560" w:type="dxa"/>
            <w:tcBorders/>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2023</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2023</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Q/Q change</w:t>
            </w:r>
          </w:p>
        </w:tc>
        <w:tc>
          <w:tcPr>
            <w:tcW w:w="54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2022</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Y/Y change</w:t>
            </w:r>
          </w:p>
        </w:tc>
        <w:tc>
          <w:tcPr>
            <w:tcW w:w="560" w:type="dxa"/>
            <w:tcBorders/>
            <w:vAlign w:val="bottom"/>
          </w:tcPr>
          <w:p>
            <w:pPr>
              <w:pStyle w:val="TableContents"/>
              <w:bidi w:val="0"/>
              <w:spacing w:before="0" w:after="283"/>
              <w:jc w:val="left"/>
              <w:rPr/>
            </w:pPr>
            <w:r>
              <w:rPr/>
              <w:t> </w:t>
            </w:r>
          </w:p>
        </w:tc>
      </w:tr>
      <w:tr>
        <w:trPr/>
        <w:tc>
          <w:tcPr>
            <w:tcW w:w="24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Operating Loss</w:t>
            </w:r>
          </w:p>
        </w:tc>
        <w:tc>
          <w:tcPr>
            <w:tcW w:w="13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(7,064</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(7,762</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up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n/a</w:t>
            </w:r>
          </w:p>
        </w:tc>
        <w:tc>
          <w:tcPr>
            <w:tcW w:w="54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(6,646</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down</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right"/>
              <w:rPr/>
            </w:pPr>
            <w:r>
              <w:rPr/>
              <w:t>n/a</w:t>
            </w:r>
          </w:p>
        </w:tc>
        <w:tc>
          <w:tcPr>
            <w:tcW w:w="560" w:type="dxa"/>
            <w:tcBorders/>
            <w:shd w:fill="CCEEFF" w:val="clear"/>
            <w:vAlign w:val="bottom"/>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(2,735</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(3,594</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up</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n/a</w:t>
            </w:r>
          </w:p>
        </w:tc>
        <w:tc>
          <w:tcPr>
            <w:tcW w:w="54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(2,995</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up</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n/a</w:t>
            </w:r>
          </w:p>
        </w:tc>
        <w:tc>
          <w:tcPr>
            <w:tcW w:w="560" w:type="dxa"/>
            <w:tcBorders/>
            <w:vAlign w:val="bottom"/>
          </w:tcPr>
          <w:p>
            <w:pPr>
              <w:pStyle w:val="TableContents"/>
              <w:bidi w:val="0"/>
              <w:spacing w:before="0" w:after="283"/>
              <w:jc w:val="left"/>
              <w:rPr/>
            </w:pPr>
            <w:r>
              <w:rPr/>
              <w:t> </w:t>
            </w:r>
          </w:p>
        </w:tc>
      </w:tr>
      <w:tr>
        <w:trPr/>
        <w:tc>
          <w:tcPr>
            <w:tcW w:w="24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Net Income (Loss)</w:t>
            </w:r>
          </w:p>
        </w:tc>
        <w:tc>
          <w:tcPr>
            <w:tcW w:w="13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(1,591</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(2,472</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up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n/a</w:t>
            </w:r>
          </w:p>
        </w:tc>
        <w:tc>
          <w:tcPr>
            <w:tcW w:w="54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1,097</w:t>
            </w:r>
          </w:p>
        </w:tc>
        <w:tc>
          <w:tcPr>
            <w:tcW w:w="28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down</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right"/>
              <w:rPr/>
            </w:pPr>
            <w:r>
              <w:rPr/>
              <w:t>n/a</w:t>
            </w:r>
          </w:p>
        </w:tc>
        <w:tc>
          <w:tcPr>
            <w:tcW w:w="560" w:type="dxa"/>
            <w:tcBorders/>
            <w:shd w:fill="CCEEFF" w:val="clear"/>
            <w:vAlign w:val="bottom"/>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Earnings (Loss) per Common ShareDiluted</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(0.04</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(0.06</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up</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n/a</w:t>
            </w:r>
          </w:p>
        </w:tc>
        <w:tc>
          <w:tcPr>
            <w:tcW w:w="54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0.02</w:t>
            </w:r>
          </w:p>
        </w:tc>
        <w:tc>
          <w:tcPr>
            <w:tcW w:w="28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down</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n/a</w:t>
            </w:r>
          </w:p>
        </w:tc>
        <w:tc>
          <w:tcPr>
            <w:tcW w:w="560"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consummation of the sale of the Foundry Services Group business and Fab 4 in Q3 2020, we provided transitional foundry services to the buyer for foundry products manufactured in our fabrication facility located in Gumi, Korea, known as Fab 3 (Transitional Fab 3 Foundry Services). The contractual obligation to provide the Transitional Fab 3 Foundry Services ended August 31, 2023, and we are planning to wind down these foundry services and convert portions of the idle capacity to Power Solutions standard products beginning around the second half of 2024. Because these foundry services during the wind-down period are still provided to the same buyer by us using our Fab 3 based on mutually agreed terms and conditions, we will continue to report our revenue from providing these foundry services and related cost of sales within the Transitional Fab 3 Foundry Services line in our consolidated statement of operations until such wind down is completed. Management believes that disclosing revenue of Transitional Fab 3 Foundry Services separately from the standard products business allows investors to better understand the results of our core standard products display solutions and power solutions businesses.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income (loss) or as a better indicator of our operating performance than measures that are presented in accordance with GAAP. A reconciliation of GAAP results to non-GAAP results is included in this press release.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6850" cy="30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6850" cy="3048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Q4 2023 Financial Guidance </w:t>
      </w:r>
    </w:p>
    <w:p>
      <w:pPr>
        <w:pStyle w:val="TextBody"/>
        <w:bidi w:val="0"/>
        <w:spacing w:before="120" w:after="0"/>
        <w:jc w:val="left"/>
        <w:rPr>
          <w:rFonts w:ascii="Times New Roman" w:hAnsi="Times New Roman"/>
          <w:sz w:val="20"/>
        </w:rPr>
      </w:pPr>
      <w:r>
        <w:rPr>
          <w:rFonts w:ascii="Times New Roman" w:hAnsi="Times New Roman"/>
          <w:sz w:val="20"/>
        </w:rPr>
        <w:t xml:space="preserve">Amid heightened global geopolitical and macroeconomic uncertainty, we expect Power demand to soften driven by normal Q4 seasonality and inventory correction in industrial end markets. </w:t>
      </w:r>
    </w:p>
    <w:p>
      <w:pPr>
        <w:pStyle w:val="TextBody"/>
        <w:bidi w:val="0"/>
        <w:spacing w:before="240" w:after="0"/>
        <w:jc w:val="left"/>
        <w:rPr>
          <w:rFonts w:ascii="Times New Roman" w:hAnsi="Times New Roman"/>
          <w:sz w:val="20"/>
        </w:rPr>
      </w:pPr>
      <w:r>
        <w:rPr>
          <w:rFonts w:ascii="Times New Roman" w:hAnsi="Times New Roman"/>
          <w:sz w:val="20"/>
        </w:rPr>
        <w:t xml:space="preserve">While actual results may vary, Magnachip currently expects the following for Q4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to be in the range of $50 million to $55 million, including approximately $8 million of Transitional Fab 3 Foundry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margin to be in the range of 22.5% to 24.5%.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Q3 2023 Earnings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Magnachip will host a corresponding conference call at 2:00 p.m. PT / 5:00 p.m. ET on Thursday, November 2, 2023,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earnings release will be accessible from the Investors section of the Companys website at www.magnachip.com. </w:t>
      </w:r>
    </w:p>
    <w:p>
      <w:pPr>
        <w:pStyle w:val="TextBody"/>
        <w:bidi w:val="0"/>
        <w:spacing w:before="240" w:after="0"/>
        <w:jc w:val="left"/>
        <w:rPr>
          <w:rFonts w:ascii="Times New Roman" w:hAnsi="Times New Roman"/>
          <w:sz w:val="20"/>
        </w:rPr>
      </w:pPr>
      <w:r>
        <w:rPr>
          <w:rFonts w:ascii="Times New Roman" w:hAnsi="Times New Roman"/>
          <w:b/>
          <w:sz w:val="20"/>
        </w:rPr>
        <w:t>Online registration:</w:t>
      </w:r>
      <w:r>
        <w:rPr>
          <w:rFonts w:ascii="Times New Roman" w:hAnsi="Times New Roman"/>
          <w:sz w:val="20"/>
        </w:rPr>
        <w:t xml:space="preserve"> </w:t>
      </w:r>
      <w:r>
        <w:rPr>
          <w:rFonts w:ascii="Times New Roman" w:hAnsi="Times New Roman"/>
          <w:sz w:val="20"/>
          <w:u w:val="single"/>
        </w:rPr>
        <w:t>https://register.vevent.com/register/BI9578e24ef24a498a8d8ee6536b08edc</w:t>
      </w:r>
      <w:r>
        <w:rPr>
          <w:rFonts w:ascii="Times New Roman" w:hAnsi="Times New Roman"/>
          <w:sz w:val="20"/>
        </w:rPr>
        <w:t xml:space="preserve">6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for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Information in this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fourth quarter 2023 revenue and gross profit margin expectations, and the impact of market conditions associated with inflation and higher interest rates, remaining effects from the COVID-19 pandemic, geopolitical conflicts between Russia-Ukraine and between Israel-Hamas, escalated trade tensions between the U.S. and China and continuing supply constraints on Magnachips fourth quarter 2023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conditions, including those caused by or related to inflation, potential recessions or other deteriorations, economic instability or civil unrest; remaining effects from the COVID-19 pandemic, the geopolitical conflicts between Russia-Ukraine and between Israel-Hamas, and escalated trade tensions between the U.S. and China; manufacturing capacity constraints or supply chain disruptions that may impact our ability to deliver our products or affect the price of components, which may lead to an increase in our costs and impact demand for our products from customers who are similarly affected by such capacity constraints or disruptions; the impact of competitive products and pricing; timely acceptance of our designs by customers; timely introduction of new products and technologies; our ability to ramp new products into volume production; industry-wide shifts in supply and demand for semiconductor products; overcapacity within the industry or at Magnachip; effective and cost-efficient utilization of manufacturing capacity; financial stability in foreign markets and the impact of foreign exchange rates; unanticipated costs and expenses or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66850"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66850" cy="3048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inability to identify expenses that can be eliminated; compliance with U.S. and international trade and export laws and regulations by us, our customers and our distributors; change to or ratification of local or international laws and regulations, including those related to environment, health and safety; public health issues, including the remaining effects of the COVID-19 pandemic; other business interruptions that could disrupt supply or delivery of, or demand for, Magnachips products; and other risks detailed from time to time in Magnachips filings with the U.S. Securities and Exchange Commission (the SEC), including our Form 10-K filed on February 22, 2023,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About Magnachip Semiconductor </w:t>
      </w:r>
    </w:p>
    <w:p>
      <w:pPr>
        <w:pStyle w:val="TextBody"/>
        <w:bidi w:val="0"/>
        <w:spacing w:before="120" w:after="0"/>
        <w:jc w:val="left"/>
        <w:rPr>
          <w:rFonts w:ascii="Times New Roman" w:hAnsi="Times New Roman"/>
          <w:sz w:val="20"/>
        </w:rPr>
      </w:pPr>
      <w:r>
        <w:rPr>
          <w:rFonts w:ascii="Times New Roman" w:hAnsi="Times New Roman"/>
          <w:sz w:val="20"/>
        </w:rPr>
        <w:t xml:space="preserve">Magnachip is a designer and manufacturer of analog and mixed-signal semiconductor platform solutions for communications, IoT, consumer, computing, industrial and automotive applications. The Company provides a broad range of standard products to customers worldwide. Magnachip, with more than 40 years of operating history, owns a portfolio of approximately 1,100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Yujia Zhai </w:t>
      </w:r>
    </w:p>
    <w:p>
      <w:pPr>
        <w:pStyle w:val="TextBody"/>
        <w:bidi w:val="0"/>
        <w:spacing w:before="0" w:after="0"/>
        <w:jc w:val="left"/>
        <w:rPr>
          <w:rFonts w:ascii="Times New Roman" w:hAnsi="Times New Roman"/>
          <w:sz w:val="20"/>
        </w:rPr>
      </w:pPr>
      <w:r>
        <w:rPr>
          <w:rFonts w:ascii="Times New Roman" w:hAnsi="Times New Roman"/>
          <w:sz w:val="20"/>
        </w:rPr>
        <w:t xml:space="preserve">The Blueshirt Group </w:t>
      </w:r>
    </w:p>
    <w:p>
      <w:pPr>
        <w:pStyle w:val="TextBody"/>
        <w:bidi w:val="0"/>
        <w:spacing w:before="0" w:after="0"/>
        <w:jc w:val="left"/>
        <w:rPr>
          <w:rFonts w:ascii="Times New Roman" w:hAnsi="Times New Roman"/>
          <w:sz w:val="20"/>
        </w:rPr>
      </w:pPr>
      <w:r>
        <w:rPr>
          <w:rFonts w:ascii="Times New Roman" w:hAnsi="Times New Roman"/>
          <w:sz w:val="20"/>
        </w:rPr>
        <w:t xml:space="preserve">Tel. (860) 214-0809 </w:t>
      </w:r>
    </w:p>
    <w:p>
      <w:pPr>
        <w:pStyle w:val="TextBody"/>
        <w:bidi w:val="0"/>
        <w:spacing w:before="0" w:after="0"/>
        <w:jc w:val="left"/>
        <w:rPr>
          <w:rFonts w:ascii="Times New Roman" w:hAnsi="Times New Roman"/>
          <w:sz w:val="20"/>
        </w:rPr>
      </w:pPr>
      <w:r>
        <w:rPr>
          <w:rFonts w:ascii="Times New Roman" w:hAnsi="Times New Roman"/>
          <w:sz w:val="20"/>
        </w:rPr>
        <w:t xml:space="preserve">Yujia@blueshirtgroup.com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66850" cy="304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66850" cy="3048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of U.S. dollars, except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87"/>
        <w:gridCol w:w="127"/>
        <w:gridCol w:w="166"/>
        <w:gridCol w:w="1309"/>
        <w:gridCol w:w="275"/>
        <w:gridCol w:w="67"/>
        <w:gridCol w:w="140"/>
        <w:gridCol w:w="1100"/>
        <w:gridCol w:w="275"/>
        <w:gridCol w:w="67"/>
        <w:gridCol w:w="166"/>
        <w:gridCol w:w="1309"/>
        <w:gridCol w:w="275"/>
        <w:gridCol w:w="67"/>
        <w:gridCol w:w="166"/>
        <w:gridCol w:w="1309"/>
        <w:gridCol w:w="275"/>
        <w:gridCol w:w="67"/>
        <w:gridCol w:w="166"/>
        <w:gridCol w:w="1309"/>
        <w:gridCol w:w="283"/>
      </w:tblGrid>
      <w:tr>
        <w:trPr/>
        <w:tc>
          <w:tcPr>
            <w:tcW w:w="128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28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487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2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r>
          </w:p>
        </w:tc>
        <w:tc>
          <w:tcPr>
            <w:tcW w:w="283" w:type="dxa"/>
            <w:tcBorders/>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2022</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2022</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Net sales  standard products business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51,619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51,375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62,771</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154,508</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248,069</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9,626</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9,604</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8,428</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24,721</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28,599</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61,245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60,979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71,199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179,229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276,668</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  standard products business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36,829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37,867</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45,497</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112,008</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165,197</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9,935</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9,574</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8,477</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27,108</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26,305</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46,764</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47,441</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53,974</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139,116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191,502</w:t>
            </w:r>
          </w:p>
        </w:tc>
        <w:tc>
          <w:tcPr>
            <w:tcW w:w="283" w:type="dxa"/>
            <w:tcBorders/>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14,481</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13,538</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17,225</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40,113</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85,166</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 as a percentage of standard products business net sales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28.7</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26.3</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27.5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27.5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33.4</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 as a percentage of total revenues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23.6</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22.2</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24.2</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22.4</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30.8</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0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0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0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09"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12,089</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12,137</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11,411</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36,391</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38,310</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11,627</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11,255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13,321</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36,180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38,685</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 net</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802</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2,501</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9,251</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3,298</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23,716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24,194</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27,233</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81,822</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80,293</w:t>
            </w:r>
          </w:p>
        </w:tc>
        <w:tc>
          <w:tcPr>
            <w:tcW w:w="283" w:type="dxa"/>
            <w:tcBorders/>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(9,235</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(10,656</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(10,008</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(41,709</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4,873</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2,382</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2,692</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1,784</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7,916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3,560</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(189</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(200</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(278</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(645</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(888</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gain (loss), net</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(2,583</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1,237</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(12,809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(4,776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(20,511</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87</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174</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55</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603</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 expense</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(9,538</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(6,924</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(21,137</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(39,159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(12,363</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(4,373</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(2,977</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(3,942</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(8,577</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(1,356</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(5,165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(3,947</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(17,195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(30,582</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(11,007</w:t>
            </w:r>
          </w:p>
        </w:tc>
        <w:tc>
          <w:tcPr>
            <w:tcW w:w="283" w:type="dxa"/>
            <w:tcBorders/>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0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0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0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09"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loss per common share</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09" w:type="dxa"/>
            <w:tcBorders/>
            <w:shd w:fill="CCEEFF" w:val="clear"/>
            <w:vAlign w:val="bottom"/>
          </w:tcPr>
          <w:p>
            <w:pPr>
              <w:pStyle w:val="TableContents"/>
              <w:bidi w:val="0"/>
              <w:spacing w:before="0" w:after="283"/>
              <w:jc w:val="right"/>
              <w:rPr/>
            </w:pPr>
            <w:r>
              <w:rPr/>
              <w:t>(0.13</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(0.09</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09" w:type="dxa"/>
            <w:tcBorders/>
            <w:shd w:fill="CCEEFF" w:val="clear"/>
            <w:vAlign w:val="bottom"/>
          </w:tcPr>
          <w:p>
            <w:pPr>
              <w:pStyle w:val="TableContents"/>
              <w:bidi w:val="0"/>
              <w:spacing w:before="0" w:after="283"/>
              <w:jc w:val="right"/>
              <w:rPr/>
            </w:pPr>
            <w:r>
              <w:rPr/>
              <w:t>(0.38</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09" w:type="dxa"/>
            <w:tcBorders/>
            <w:shd w:fill="CCEEFF" w:val="clear"/>
            <w:vAlign w:val="bottom"/>
          </w:tcPr>
          <w:p>
            <w:pPr>
              <w:pStyle w:val="TableContents"/>
              <w:bidi w:val="0"/>
              <w:spacing w:before="0" w:after="283"/>
              <w:jc w:val="right"/>
              <w:rPr/>
            </w:pPr>
            <w:r>
              <w:rPr/>
              <w:t>(0.73</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09" w:type="dxa"/>
            <w:tcBorders/>
            <w:shd w:fill="CCEEFF" w:val="clear"/>
            <w:vAlign w:val="bottom"/>
          </w:tcPr>
          <w:p>
            <w:pPr>
              <w:pStyle w:val="TableContents"/>
              <w:bidi w:val="0"/>
              <w:spacing w:before="0" w:after="283"/>
              <w:jc w:val="right"/>
              <w:rPr/>
            </w:pPr>
            <w:r>
              <w:rPr/>
              <w:t>(0.24</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Diluted loss per common share</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(0.13</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(0.09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(0.38</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(0.73</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(0.24</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40,145,290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41,741,310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44,865,266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41,747,255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45,119,214</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40,145,290</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41,741,310</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44,865,266</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41,747,255</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45,119,214</w:t>
            </w:r>
          </w:p>
        </w:tc>
        <w:tc>
          <w:tcPr>
            <w:tcW w:w="283"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6850" cy="304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66850" cy="3048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of U.S. dollars, except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38"/>
        <w:gridCol w:w="280"/>
        <w:gridCol w:w="203"/>
        <w:gridCol w:w="1323"/>
        <w:gridCol w:w="155"/>
        <w:gridCol w:w="233"/>
        <w:gridCol w:w="195"/>
        <w:gridCol w:w="1220"/>
        <w:gridCol w:w="158"/>
      </w:tblGrid>
      <w:tr>
        <w:trPr/>
        <w:tc>
          <w:tcPr>
            <w:tcW w:w="6438"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38"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 30,</w:t>
            </w:r>
            <w:r>
              <w:rPr/>
              <w:br/>
            </w:r>
            <w:r>
              <w:rPr>
                <w:b/>
              </w:rPr>
              <w:t>2023</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2022</w:t>
            </w:r>
          </w:p>
        </w:tc>
        <w:tc>
          <w:tcPr>
            <w:tcW w:w="158" w:type="dxa"/>
            <w:tcBorders/>
            <w:vAlign w:val="bottom"/>
          </w:tcPr>
          <w:p>
            <w:pPr>
              <w:pStyle w:val="TableContents"/>
              <w:bidi w:val="0"/>
              <w:spacing w:before="0" w:after="283"/>
              <w:jc w:val="left"/>
              <w:rPr/>
            </w:pPr>
            <w:r>
              <w:rPr/>
              <w:t> </w:t>
            </w:r>
          </w:p>
        </w:tc>
      </w:tr>
      <w:tr>
        <w:trPr/>
        <w:tc>
          <w:tcPr>
            <w:tcW w:w="64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3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3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323" w:type="dxa"/>
            <w:tcBorders/>
            <w:shd w:fill="CCEEFF" w:val="clear"/>
            <w:vAlign w:val="bottom"/>
          </w:tcPr>
          <w:p>
            <w:pPr>
              <w:pStyle w:val="TableContents"/>
              <w:bidi w:val="0"/>
              <w:spacing w:before="0" w:after="283"/>
              <w:jc w:val="right"/>
              <w:rPr/>
            </w:pPr>
            <w:r>
              <w:rPr/>
              <w:t>166,644</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225,477</w:t>
            </w:r>
          </w:p>
        </w:tc>
        <w:tc>
          <w:tcPr>
            <w:tcW w:w="158" w:type="dxa"/>
            <w:tcBorders/>
            <w:shd w:fill="CCEEFF" w:val="clear"/>
            <w:vAlign w:val="bottom"/>
          </w:tcPr>
          <w:p>
            <w:pPr>
              <w:pStyle w:val="TableContents"/>
              <w:bidi w:val="0"/>
              <w:spacing w:before="0" w:after="283"/>
              <w:jc w:val="left"/>
              <w:rPr/>
            </w:pPr>
            <w:r>
              <w:rPr/>
              <w:t> </w:t>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41,119</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35,380</w:t>
            </w:r>
          </w:p>
        </w:tc>
        <w:tc>
          <w:tcPr>
            <w:tcW w:w="158" w:type="dxa"/>
            <w:tcBorders/>
            <w:vAlign w:val="bottom"/>
          </w:tcPr>
          <w:p>
            <w:pPr>
              <w:pStyle w:val="TableContents"/>
              <w:bidi w:val="0"/>
              <w:spacing w:before="0" w:after="283"/>
              <w:jc w:val="left"/>
              <w:rPr/>
            </w:pPr>
            <w:r>
              <w:rPr/>
              <w:t> </w:t>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30,836</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39,883</w:t>
            </w:r>
          </w:p>
        </w:tc>
        <w:tc>
          <w:tcPr>
            <w:tcW w:w="158" w:type="dxa"/>
            <w:tcBorders/>
            <w:shd w:fill="CCEEFF" w:val="clear"/>
            <w:vAlign w:val="bottom"/>
          </w:tcPr>
          <w:p>
            <w:pPr>
              <w:pStyle w:val="TableContents"/>
              <w:bidi w:val="0"/>
              <w:spacing w:before="0" w:after="283"/>
              <w:jc w:val="left"/>
              <w:rPr/>
            </w:pPr>
            <w:r>
              <w:rPr/>
              <w:t> </w:t>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2,799</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7,847</w:t>
            </w:r>
          </w:p>
        </w:tc>
        <w:tc>
          <w:tcPr>
            <w:tcW w:w="158" w:type="dxa"/>
            <w:tcBorders/>
            <w:vAlign w:val="bottom"/>
          </w:tcPr>
          <w:p>
            <w:pPr>
              <w:pStyle w:val="TableContents"/>
              <w:bidi w:val="0"/>
              <w:spacing w:before="0" w:after="283"/>
              <w:jc w:val="left"/>
              <w:rPr/>
            </w:pPr>
            <w:r>
              <w:rPr/>
              <w:t> </w:t>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9,095</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10,560</w:t>
            </w:r>
          </w:p>
        </w:tc>
        <w:tc>
          <w:tcPr>
            <w:tcW w:w="158" w:type="dxa"/>
            <w:tcBorders/>
            <w:shd w:fill="CCEEFF" w:val="clear"/>
            <w:vAlign w:val="bottom"/>
          </w:tcPr>
          <w:p>
            <w:pPr>
              <w:pStyle w:val="TableContents"/>
              <w:bidi w:val="0"/>
              <w:spacing w:before="0" w:after="283"/>
              <w:jc w:val="left"/>
              <w:rPr/>
            </w:pPr>
            <w:r>
              <w:rPr/>
              <w:t> </w:t>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Hedge collateral</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2,680</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2,940</w:t>
            </w:r>
          </w:p>
        </w:tc>
        <w:tc>
          <w:tcPr>
            <w:tcW w:w="158" w:type="dxa"/>
            <w:tcBorders/>
            <w:vAlign w:val="bottom"/>
          </w:tcPr>
          <w:p>
            <w:pPr>
              <w:pStyle w:val="TableContents"/>
              <w:bidi w:val="0"/>
              <w:spacing w:before="0" w:after="283"/>
              <w:jc w:val="left"/>
              <w:rPr/>
            </w:pPr>
            <w:r>
              <w:rPr/>
              <w:t> </w:t>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24,572</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15,766</w:t>
            </w:r>
          </w:p>
        </w:tc>
        <w:tc>
          <w:tcPr>
            <w:tcW w:w="158" w:type="dxa"/>
            <w:tcBorders/>
            <w:shd w:fill="CCEEFF" w:val="clear"/>
            <w:vAlign w:val="bottom"/>
          </w:tcPr>
          <w:p>
            <w:pPr>
              <w:pStyle w:val="TableContents"/>
              <w:bidi w:val="0"/>
              <w:spacing w:before="0" w:after="283"/>
              <w:jc w:val="left"/>
              <w:rPr/>
            </w:pPr>
            <w:r>
              <w:rPr/>
              <w:t> </w:t>
            </w:r>
          </w:p>
        </w:tc>
      </w:tr>
      <w:tr>
        <w:trPr/>
        <w:tc>
          <w:tcPr>
            <w:tcW w:w="643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277,745</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337,853</w:t>
            </w:r>
          </w:p>
        </w:tc>
        <w:tc>
          <w:tcPr>
            <w:tcW w:w="158" w:type="dxa"/>
            <w:tcBorders/>
            <w:vAlign w:val="bottom"/>
          </w:tcPr>
          <w:p>
            <w:pPr>
              <w:pStyle w:val="TableContents"/>
              <w:bidi w:val="0"/>
              <w:spacing w:before="0" w:after="283"/>
              <w:jc w:val="left"/>
              <w:rPr/>
            </w:pPr>
            <w:r>
              <w:rPr/>
              <w:t> </w:t>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96,141</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110,747</w:t>
            </w:r>
          </w:p>
        </w:tc>
        <w:tc>
          <w:tcPr>
            <w:tcW w:w="158" w:type="dxa"/>
            <w:tcBorders/>
            <w:shd w:fill="CCEEFF" w:val="clear"/>
            <w:vAlign w:val="bottom"/>
          </w:tcPr>
          <w:p>
            <w:pPr>
              <w:pStyle w:val="TableContents"/>
              <w:bidi w:val="0"/>
              <w:spacing w:before="0" w:after="283"/>
              <w:jc w:val="left"/>
              <w:rPr/>
            </w:pPr>
            <w:r>
              <w:rPr/>
              <w:t> </w:t>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4,725</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5,265</w:t>
            </w:r>
          </w:p>
        </w:tc>
        <w:tc>
          <w:tcPr>
            <w:tcW w:w="158" w:type="dxa"/>
            <w:tcBorders/>
            <w:vAlign w:val="bottom"/>
          </w:tcPr>
          <w:p>
            <w:pPr>
              <w:pStyle w:val="TableContents"/>
              <w:bidi w:val="0"/>
              <w:spacing w:before="0" w:after="283"/>
              <w:jc w:val="left"/>
              <w:rPr/>
            </w:pPr>
            <w:r>
              <w:rPr/>
              <w:t> </w:t>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1,583</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1,930</w:t>
            </w:r>
          </w:p>
        </w:tc>
        <w:tc>
          <w:tcPr>
            <w:tcW w:w="158" w:type="dxa"/>
            <w:tcBorders/>
            <w:shd w:fill="CCEEFF" w:val="clear"/>
            <w:vAlign w:val="bottom"/>
          </w:tcPr>
          <w:p>
            <w:pPr>
              <w:pStyle w:val="TableContents"/>
              <w:bidi w:val="0"/>
              <w:spacing w:before="0" w:after="283"/>
              <w:jc w:val="left"/>
              <w:rPr/>
            </w:pPr>
            <w:r>
              <w:rPr/>
              <w:t> </w:t>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prepaid expenses</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6,124</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10,939</w:t>
            </w:r>
          </w:p>
        </w:tc>
        <w:tc>
          <w:tcPr>
            <w:tcW w:w="158" w:type="dxa"/>
            <w:tcBorders/>
            <w:vAlign w:val="bottom"/>
          </w:tcPr>
          <w:p>
            <w:pPr>
              <w:pStyle w:val="TableContents"/>
              <w:bidi w:val="0"/>
              <w:spacing w:before="0" w:after="283"/>
              <w:jc w:val="left"/>
              <w:rPr/>
            </w:pPr>
            <w:r>
              <w:rPr/>
              <w:t> </w:t>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36,358</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38,324</w:t>
            </w:r>
          </w:p>
        </w:tc>
        <w:tc>
          <w:tcPr>
            <w:tcW w:w="158" w:type="dxa"/>
            <w:tcBorders/>
            <w:shd w:fill="CCEEFF" w:val="clear"/>
            <w:vAlign w:val="bottom"/>
          </w:tcPr>
          <w:p>
            <w:pPr>
              <w:pStyle w:val="TableContents"/>
              <w:bidi w:val="0"/>
              <w:spacing w:before="0" w:after="283"/>
              <w:jc w:val="left"/>
              <w:rPr/>
            </w:pPr>
            <w:r>
              <w:rPr/>
              <w:t> </w:t>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11,622</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11,587</w:t>
            </w:r>
          </w:p>
        </w:tc>
        <w:tc>
          <w:tcPr>
            <w:tcW w:w="158" w:type="dxa"/>
            <w:tcBorders/>
            <w:vAlign w:val="bottom"/>
          </w:tcPr>
          <w:p>
            <w:pPr>
              <w:pStyle w:val="TableContents"/>
              <w:bidi w:val="0"/>
              <w:spacing w:before="0" w:after="283"/>
              <w:jc w:val="left"/>
              <w:rPr/>
            </w:pPr>
            <w:r>
              <w:rPr/>
              <w:t> </w:t>
            </w:r>
          </w:p>
        </w:tc>
      </w:tr>
      <w:tr>
        <w:trPr/>
        <w:tc>
          <w:tcPr>
            <w:tcW w:w="643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323" w:type="dxa"/>
            <w:tcBorders/>
            <w:shd w:fill="CCEEFF" w:val="clear"/>
            <w:vAlign w:val="bottom"/>
          </w:tcPr>
          <w:p>
            <w:pPr>
              <w:pStyle w:val="TableContents"/>
              <w:bidi w:val="0"/>
              <w:spacing w:before="0" w:after="283"/>
              <w:jc w:val="right"/>
              <w:rPr/>
            </w:pPr>
            <w:r>
              <w:rPr/>
              <w:t>434,298</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516,645</w:t>
            </w:r>
          </w:p>
        </w:tc>
        <w:tc>
          <w:tcPr>
            <w:tcW w:w="158" w:type="dxa"/>
            <w:tcBorders/>
            <w:shd w:fill="CCEEFF" w:val="clear"/>
            <w:vAlign w:val="bottom"/>
          </w:tcPr>
          <w:p>
            <w:pPr>
              <w:pStyle w:val="TableContents"/>
              <w:bidi w:val="0"/>
              <w:spacing w:before="0" w:after="283"/>
              <w:jc w:val="left"/>
              <w:rPr/>
            </w:pPr>
            <w:r>
              <w:rPr/>
              <w:t> </w:t>
            </w:r>
          </w:p>
        </w:tc>
      </w:tr>
      <w:tr>
        <w:trPr/>
        <w:tc>
          <w:tcPr>
            <w:tcW w:w="643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3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3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3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3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323" w:type="dxa"/>
            <w:tcBorders/>
            <w:vAlign w:val="bottom"/>
          </w:tcPr>
          <w:p>
            <w:pPr>
              <w:pStyle w:val="TableContents"/>
              <w:bidi w:val="0"/>
              <w:spacing w:before="0" w:after="283"/>
              <w:jc w:val="right"/>
              <w:rPr/>
            </w:pPr>
            <w:r>
              <w:rPr/>
              <w:t>23,446</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17,998</w:t>
            </w:r>
          </w:p>
        </w:tc>
        <w:tc>
          <w:tcPr>
            <w:tcW w:w="158" w:type="dxa"/>
            <w:tcBorders/>
            <w:vAlign w:val="bottom"/>
          </w:tcPr>
          <w:p>
            <w:pPr>
              <w:pStyle w:val="TableContents"/>
              <w:bidi w:val="0"/>
              <w:spacing w:before="0" w:after="283"/>
              <w:jc w:val="left"/>
              <w:rPr/>
            </w:pPr>
            <w:r>
              <w:rPr/>
              <w:t> </w:t>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8,025</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9,702</w:t>
            </w:r>
          </w:p>
        </w:tc>
        <w:tc>
          <w:tcPr>
            <w:tcW w:w="158" w:type="dxa"/>
            <w:tcBorders/>
            <w:shd w:fill="CCEEFF" w:val="clear"/>
            <w:vAlign w:val="bottom"/>
          </w:tcPr>
          <w:p>
            <w:pPr>
              <w:pStyle w:val="TableContents"/>
              <w:bidi w:val="0"/>
              <w:spacing w:before="0" w:after="283"/>
              <w:jc w:val="left"/>
              <w:rPr/>
            </w:pPr>
            <w:r>
              <w:rPr/>
              <w:t> </w:t>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9,668</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9,688</w:t>
            </w:r>
          </w:p>
        </w:tc>
        <w:tc>
          <w:tcPr>
            <w:tcW w:w="158" w:type="dxa"/>
            <w:tcBorders/>
            <w:vAlign w:val="bottom"/>
          </w:tcPr>
          <w:p>
            <w:pPr>
              <w:pStyle w:val="TableContents"/>
              <w:bidi w:val="0"/>
              <w:spacing w:before="0" w:after="283"/>
              <w:jc w:val="left"/>
              <w:rPr/>
            </w:pPr>
            <w:r>
              <w:rPr/>
              <w:t> </w:t>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3,154</w:t>
            </w:r>
          </w:p>
        </w:tc>
        <w:tc>
          <w:tcPr>
            <w:tcW w:w="158" w:type="dxa"/>
            <w:tcBorders/>
            <w:shd w:fill="CCEEFF" w:val="clear"/>
            <w:vAlign w:val="bottom"/>
          </w:tcPr>
          <w:p>
            <w:pPr>
              <w:pStyle w:val="TableContents"/>
              <w:bidi w:val="0"/>
              <w:spacing w:before="0" w:after="283"/>
              <w:jc w:val="left"/>
              <w:rPr/>
            </w:pPr>
            <w:r>
              <w:rPr/>
              <w:t> </w:t>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1,735</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1,397</w:t>
            </w:r>
          </w:p>
        </w:tc>
        <w:tc>
          <w:tcPr>
            <w:tcW w:w="158" w:type="dxa"/>
            <w:tcBorders/>
            <w:vAlign w:val="bottom"/>
          </w:tcPr>
          <w:p>
            <w:pPr>
              <w:pStyle w:val="TableContents"/>
              <w:bidi w:val="0"/>
              <w:spacing w:before="0" w:after="283"/>
              <w:jc w:val="left"/>
              <w:rPr/>
            </w:pPr>
            <w:r>
              <w:rPr/>
              <w:t> </w:t>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4,495</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5,306</w:t>
            </w:r>
          </w:p>
        </w:tc>
        <w:tc>
          <w:tcPr>
            <w:tcW w:w="158" w:type="dxa"/>
            <w:tcBorders/>
            <w:shd w:fill="CCEEFF" w:val="clear"/>
            <w:vAlign w:val="bottom"/>
          </w:tcPr>
          <w:p>
            <w:pPr>
              <w:pStyle w:val="TableContents"/>
              <w:bidi w:val="0"/>
              <w:spacing w:before="0" w:after="283"/>
              <w:jc w:val="left"/>
              <w:rPr/>
            </w:pPr>
            <w:r>
              <w:rPr/>
              <w:t> </w:t>
            </w:r>
          </w:p>
        </w:tc>
      </w:tr>
      <w:tr>
        <w:trPr/>
        <w:tc>
          <w:tcPr>
            <w:tcW w:w="643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47,417</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47,245</w:t>
            </w:r>
          </w:p>
        </w:tc>
        <w:tc>
          <w:tcPr>
            <w:tcW w:w="158" w:type="dxa"/>
            <w:tcBorders/>
            <w:vAlign w:val="bottom"/>
          </w:tcPr>
          <w:p>
            <w:pPr>
              <w:pStyle w:val="TableContents"/>
              <w:bidi w:val="0"/>
              <w:spacing w:before="0" w:after="283"/>
              <w:jc w:val="left"/>
              <w:rPr/>
            </w:pPr>
            <w:r>
              <w:rPr/>
              <w:t> </w:t>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severance benefits, net</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20,160</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23,121</w:t>
            </w:r>
          </w:p>
        </w:tc>
        <w:tc>
          <w:tcPr>
            <w:tcW w:w="158" w:type="dxa"/>
            <w:tcBorders/>
            <w:shd w:fill="CCEEFF" w:val="clear"/>
            <w:vAlign w:val="bottom"/>
          </w:tcPr>
          <w:p>
            <w:pPr>
              <w:pStyle w:val="TableContents"/>
              <w:bidi w:val="0"/>
              <w:spacing w:before="0" w:after="283"/>
              <w:jc w:val="left"/>
              <w:rPr/>
            </w:pPr>
            <w:r>
              <w:rPr/>
              <w:t> </w:t>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Non-current operating lease liabilities</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3,167</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4,091</w:t>
            </w:r>
          </w:p>
        </w:tc>
        <w:tc>
          <w:tcPr>
            <w:tcW w:w="158" w:type="dxa"/>
            <w:tcBorders/>
            <w:vAlign w:val="bottom"/>
          </w:tcPr>
          <w:p>
            <w:pPr>
              <w:pStyle w:val="TableContents"/>
              <w:bidi w:val="0"/>
              <w:spacing w:before="0" w:after="283"/>
              <w:jc w:val="left"/>
              <w:rPr/>
            </w:pPr>
            <w:r>
              <w:rPr/>
              <w:t> </w:t>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9,862</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14,035</w:t>
            </w:r>
          </w:p>
        </w:tc>
        <w:tc>
          <w:tcPr>
            <w:tcW w:w="158" w:type="dxa"/>
            <w:tcBorders/>
            <w:shd w:fill="CCEEFF" w:val="clear"/>
            <w:vAlign w:val="bottom"/>
          </w:tcPr>
          <w:p>
            <w:pPr>
              <w:pStyle w:val="TableContents"/>
              <w:bidi w:val="0"/>
              <w:spacing w:before="0" w:after="283"/>
              <w:jc w:val="left"/>
              <w:rPr/>
            </w:pPr>
            <w:r>
              <w:rPr/>
              <w:t> </w:t>
            </w:r>
          </w:p>
        </w:tc>
      </w:tr>
      <w:tr>
        <w:trPr/>
        <w:tc>
          <w:tcPr>
            <w:tcW w:w="643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80,606</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88,492</w:t>
            </w:r>
          </w:p>
        </w:tc>
        <w:tc>
          <w:tcPr>
            <w:tcW w:w="158" w:type="dxa"/>
            <w:tcBorders/>
            <w:vAlign w:val="bottom"/>
          </w:tcPr>
          <w:p>
            <w:pPr>
              <w:pStyle w:val="TableContents"/>
              <w:bidi w:val="0"/>
              <w:spacing w:before="0" w:after="283"/>
              <w:jc w:val="left"/>
              <w:rPr/>
            </w:pPr>
            <w:r>
              <w:rPr/>
              <w:t> </w:t>
            </w:r>
          </w:p>
        </w:tc>
      </w:tr>
      <w:tr>
        <w:trPr/>
        <w:tc>
          <w:tcPr>
            <w:tcW w:w="643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3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3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$0.01 par value, 150,000,000 shares authorized, 56,655,377 shares issued and 39,667,995 outstanding at September 30, 2023 and 56,432,449 shares issued and 43,824,575 outstanding at December 31, 2022</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566</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564</w:t>
            </w:r>
          </w:p>
        </w:tc>
        <w:tc>
          <w:tcPr>
            <w:tcW w:w="158" w:type="dxa"/>
            <w:tcBorders/>
            <w:shd w:fill="CCEEFF" w:val="clear"/>
            <w:vAlign w:val="bottom"/>
          </w:tcPr>
          <w:p>
            <w:pPr>
              <w:pStyle w:val="TableContents"/>
              <w:bidi w:val="0"/>
              <w:spacing w:before="0" w:after="283"/>
              <w:jc w:val="left"/>
              <w:rPr/>
            </w:pPr>
            <w:r>
              <w:rPr/>
              <w:t> </w:t>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271,419</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266,058</w:t>
            </w:r>
          </w:p>
        </w:tc>
        <w:tc>
          <w:tcPr>
            <w:tcW w:w="158" w:type="dxa"/>
            <w:tcBorders/>
            <w:vAlign w:val="bottom"/>
          </w:tcPr>
          <w:p>
            <w:pPr>
              <w:pStyle w:val="TableContents"/>
              <w:bidi w:val="0"/>
              <w:spacing w:before="0" w:after="283"/>
              <w:jc w:val="left"/>
              <w:rPr/>
            </w:pPr>
            <w:r>
              <w:rPr/>
              <w:t> </w:t>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304,924</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335,506</w:t>
            </w:r>
          </w:p>
        </w:tc>
        <w:tc>
          <w:tcPr>
            <w:tcW w:w="158" w:type="dxa"/>
            <w:tcBorders/>
            <w:shd w:fill="CCEEFF" w:val="clear"/>
            <w:vAlign w:val="bottom"/>
          </w:tcPr>
          <w:p>
            <w:pPr>
              <w:pStyle w:val="TableContents"/>
              <w:bidi w:val="0"/>
              <w:spacing w:before="0" w:after="283"/>
              <w:jc w:val="left"/>
              <w:rPr/>
            </w:pPr>
            <w:r>
              <w:rPr/>
              <w:t> </w:t>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Treasury stock, 16,987,382 shares at September 30, 2023 and 12,607,874 shares at December 31, 2022, respectively</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(204,645</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(161,422</w:t>
            </w:r>
          </w:p>
        </w:tc>
        <w:tc>
          <w:tcPr>
            <w:tcW w:w="158" w:type="dxa"/>
            <w:tcBorders/>
            <w:vAlign w:val="bottom"/>
          </w:tcPr>
          <w:p>
            <w:pPr>
              <w:pStyle w:val="TableContents"/>
              <w:bidi w:val="0"/>
              <w:spacing w:before="0" w:after="283"/>
              <w:jc w:val="left"/>
              <w:rPr/>
            </w:pPr>
            <w:r>
              <w:rPr/>
              <w:t>) </w:t>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(18,572</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(12,553</w:t>
            </w:r>
          </w:p>
        </w:tc>
        <w:tc>
          <w:tcPr>
            <w:tcW w:w="158" w:type="dxa"/>
            <w:tcBorders/>
            <w:shd w:fill="CCEEFF" w:val="clear"/>
            <w:vAlign w:val="bottom"/>
          </w:tcPr>
          <w:p>
            <w:pPr>
              <w:pStyle w:val="TableContents"/>
              <w:bidi w:val="0"/>
              <w:spacing w:before="0" w:after="283"/>
              <w:jc w:val="left"/>
              <w:rPr/>
            </w:pPr>
            <w:r>
              <w:rPr/>
              <w:t>) </w:t>
            </w:r>
          </w:p>
        </w:tc>
      </w:tr>
      <w:tr>
        <w:trPr/>
        <w:tc>
          <w:tcPr>
            <w:tcW w:w="643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38"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353,692</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428,153</w:t>
            </w:r>
          </w:p>
        </w:tc>
        <w:tc>
          <w:tcPr>
            <w:tcW w:w="158" w:type="dxa"/>
            <w:tcBorders/>
            <w:vAlign w:val="bottom"/>
          </w:tcPr>
          <w:p>
            <w:pPr>
              <w:pStyle w:val="TableContents"/>
              <w:bidi w:val="0"/>
              <w:spacing w:before="0" w:after="283"/>
              <w:jc w:val="left"/>
              <w:rPr/>
            </w:pPr>
            <w:r>
              <w:rPr/>
              <w:t> </w:t>
            </w:r>
          </w:p>
        </w:tc>
      </w:tr>
      <w:tr>
        <w:trPr/>
        <w:tc>
          <w:tcPr>
            <w:tcW w:w="643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323" w:type="dxa"/>
            <w:tcBorders/>
            <w:shd w:fill="CCEEFF" w:val="clear"/>
            <w:vAlign w:val="bottom"/>
          </w:tcPr>
          <w:p>
            <w:pPr>
              <w:pStyle w:val="TableContents"/>
              <w:bidi w:val="0"/>
              <w:spacing w:before="0" w:after="283"/>
              <w:jc w:val="right"/>
              <w:rPr/>
            </w:pPr>
            <w:r>
              <w:rPr/>
              <w:t>434,298</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516,645</w:t>
            </w:r>
          </w:p>
        </w:tc>
        <w:tc>
          <w:tcPr>
            <w:tcW w:w="158" w:type="dxa"/>
            <w:tcBorders/>
            <w:shd w:fill="CCEEFF" w:val="clear"/>
            <w:vAlign w:val="bottom"/>
          </w:tcPr>
          <w:p>
            <w:pPr>
              <w:pStyle w:val="TableContents"/>
              <w:bidi w:val="0"/>
              <w:spacing w:before="0" w:after="283"/>
              <w:jc w:val="left"/>
              <w:rPr/>
            </w:pPr>
            <w:r>
              <w:rPr/>
              <w:t> </w:t>
            </w:r>
          </w:p>
        </w:tc>
      </w:tr>
      <w:tr>
        <w:trPr/>
        <w:tc>
          <w:tcPr>
            <w:tcW w:w="643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3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6850" cy="304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66850" cy="3048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of U.S. dollars)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05"/>
        <w:gridCol w:w="302"/>
        <w:gridCol w:w="219"/>
        <w:gridCol w:w="1256"/>
        <w:gridCol w:w="155"/>
        <w:gridCol w:w="252"/>
        <w:gridCol w:w="219"/>
        <w:gridCol w:w="1256"/>
        <w:gridCol w:w="155"/>
        <w:gridCol w:w="252"/>
        <w:gridCol w:w="219"/>
        <w:gridCol w:w="1256"/>
        <w:gridCol w:w="159"/>
      </w:tblGrid>
      <w:tr>
        <w:trPr/>
        <w:tc>
          <w:tcPr>
            <w:tcW w:w="450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0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r>
            <w:r>
              <w:rPr/>
              <w:br/>
            </w:r>
            <w:r>
              <w:rPr>
                <w:b/>
              </w:rPr>
              <w:t>Ended</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357"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w:t>
            </w:r>
            <w:r>
              <w:rPr/>
              <w:br/>
            </w:r>
            <w:r>
              <w:rPr>
                <w:b/>
              </w:rPr>
              <w:t>Ended</w:t>
            </w:r>
          </w:p>
        </w:tc>
        <w:tc>
          <w:tcPr>
            <w:tcW w:w="159" w:type="dxa"/>
            <w:tcBorders/>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2022</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(5,165</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(30,582</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(11,007</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provided by (used in) operating activities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4,081</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12,583</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11,225</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severance benefits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1,267</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5,358</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5,163</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Loss on foreign currency, net</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5,415</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14,532</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66,335</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inventory reserves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1,914</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3,035</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7,730</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2,171</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5,383</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4,487</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230</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680</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631</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(6,067</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(6,409</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7,805</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(1,276</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3,635</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(13,208</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586</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4,993</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17,115</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(2,686</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(2,291</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(14,117</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3,186</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6,066</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(14,792</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(250</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(6,738</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(6,215</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(485</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619</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5,866</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(3,014</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(11,483</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(270</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(741</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(1,583</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(279</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523</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severance benefits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(455</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(6,183</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(4,181</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(354</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(841</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(50</w:t>
            </w:r>
          </w:p>
        </w:tc>
        <w:tc>
          <w:tcPr>
            <w:tcW w:w="159" w:type="dxa"/>
            <w:tcBorders/>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operating activities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1,735</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(194</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50,244</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settlement of hedge collateral</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3,335</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2,805</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Payment of hedge collateral</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(568</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(3,154</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(15,282</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property, plant and equipment</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(762</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(2,280</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(11,812</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Payment for intellectual property registration</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(230</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(301</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Collection of guarantee deposits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3,539</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4,984</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242</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Payment of guarantee deposits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(369</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(7,276</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(2,075</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550</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1,773</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(4,621</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(25,873</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1,786</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(6,247</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(43,087</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(5,065</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financing related to water treatment facility arrangement</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(123</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(371</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(381</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principal portion of finance lease liabilities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(69</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(50</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(6,393</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(43,500</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(3,710</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rates on cash and cash equivalents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(3,425</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(10,518</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(49,377</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(6,310</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(58,833</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(28,716</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Beginning of the period</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172,954</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225,477</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279,547</w:t>
            </w:r>
          </w:p>
        </w:tc>
        <w:tc>
          <w:tcPr>
            <w:tcW w:w="159" w:type="dxa"/>
            <w:tcBorders/>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 of the period</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166,644</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166,644</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250,831</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6850" cy="304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66850" cy="3048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OPERATING INCOME (LOSS) TO ADJUSTED OPERATING INCOME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of U.S. dollars)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60"/>
        <w:gridCol w:w="164"/>
        <w:gridCol w:w="266"/>
        <w:gridCol w:w="1224"/>
        <w:gridCol w:w="155"/>
        <w:gridCol w:w="107"/>
        <w:gridCol w:w="140"/>
        <w:gridCol w:w="756"/>
        <w:gridCol w:w="155"/>
        <w:gridCol w:w="107"/>
        <w:gridCol w:w="230"/>
        <w:gridCol w:w="1258"/>
        <w:gridCol w:w="155"/>
        <w:gridCol w:w="107"/>
        <w:gridCol w:w="230"/>
        <w:gridCol w:w="1258"/>
        <w:gridCol w:w="166"/>
        <w:gridCol w:w="111"/>
        <w:gridCol w:w="249"/>
        <w:gridCol w:w="1239"/>
        <w:gridCol w:w="68"/>
      </w:tblGrid>
      <w:tr>
        <w:trPr/>
        <w:tc>
          <w:tcPr>
            <w:tcW w:w="20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439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2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r>
          </w:p>
        </w:tc>
        <w:tc>
          <w:tcPr>
            <w:tcW w:w="68" w:type="dxa"/>
            <w:tcBorders/>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16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2022</w:t>
            </w:r>
          </w:p>
        </w:tc>
        <w:tc>
          <w:tcPr>
            <w:tcW w:w="68"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6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(9,235</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(10,656</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(10,008</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(41,709</w:t>
            </w:r>
          </w:p>
        </w:tc>
        <w:tc>
          <w:tcPr>
            <w:tcW w:w="16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4,873</w:t>
            </w:r>
          </w:p>
        </w:tc>
        <w:tc>
          <w:tcPr>
            <w:tcW w:w="68"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64"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2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258"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3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w:t>
            </w:r>
          </w:p>
        </w:tc>
        <w:tc>
          <w:tcPr>
            <w:tcW w:w="16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2,171</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2,092</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861</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5,383</w:t>
            </w:r>
          </w:p>
        </w:tc>
        <w:tc>
          <w:tcPr>
            <w:tcW w:w="16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4,487</w:t>
            </w:r>
          </w:p>
        </w:tc>
        <w:tc>
          <w:tcPr>
            <w:tcW w:w="68"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 net</w:t>
            </w:r>
          </w:p>
        </w:tc>
        <w:tc>
          <w:tcPr>
            <w:tcW w:w="164"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802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2,501</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9,251</w:t>
            </w:r>
          </w:p>
        </w:tc>
        <w:tc>
          <w:tcPr>
            <w:tcW w:w="16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3,298</w:t>
            </w:r>
          </w:p>
        </w:tc>
        <w:tc>
          <w:tcPr>
            <w:tcW w:w="68" w:type="dxa"/>
            <w:tcBorders/>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Operating Income (Loss)</w:t>
            </w:r>
          </w:p>
        </w:tc>
        <w:tc>
          <w:tcPr>
            <w:tcW w:w="16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(7,064</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(7,762</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(6,646</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(27,075</w:t>
            </w:r>
          </w:p>
        </w:tc>
        <w:tc>
          <w:tcPr>
            <w:tcW w:w="16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12,658</w:t>
            </w:r>
          </w:p>
        </w:tc>
        <w:tc>
          <w:tcPr>
            <w:tcW w:w="68" w:type="dxa"/>
            <w:tcBorders/>
            <w:shd w:fill="CCEEFF" w:val="clear"/>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present Adjusted Operating Income (Loss) as a supplemental measure of our performance. We define Adjusted Operating Income (Loss) for the periods indicated as operating income (loss) adjusted to exclude (i) Equity-based compensation expense and (ii) Early termination and other charges, net. </w:t>
      </w:r>
    </w:p>
    <w:p>
      <w:pPr>
        <w:pStyle w:val="TextBody"/>
        <w:bidi w:val="0"/>
        <w:spacing w:before="240" w:after="0"/>
        <w:jc w:val="left"/>
        <w:rPr>
          <w:rFonts w:ascii="Times New Roman" w:hAnsi="Times New Roman"/>
          <w:sz w:val="20"/>
        </w:rPr>
      </w:pPr>
      <w:r>
        <w:rPr>
          <w:rFonts w:ascii="Times New Roman" w:hAnsi="Times New Roman"/>
          <w:sz w:val="20"/>
        </w:rPr>
        <w:t xml:space="preserve">For the nine months ended September 30, 2023, we recorded in our consolidated statement of operations $8,449 thousand of termination related charges in connection with the voluntary resignation program that we offered to certain employees during the first quarter of 2023. For the three months ended June 30, 2023 and nine months ended September 30, 2023, we recorded $802 thousand of one-time employee incentives, in each period. </w:t>
      </w:r>
    </w:p>
    <w:p>
      <w:pPr>
        <w:pStyle w:val="TextBody"/>
        <w:bidi w:val="0"/>
        <w:spacing w:before="240" w:after="0"/>
        <w:jc w:val="left"/>
        <w:rPr>
          <w:rFonts w:ascii="Times New Roman" w:hAnsi="Times New Roman"/>
          <w:sz w:val="20"/>
        </w:rPr>
      </w:pPr>
      <w:r>
        <w:rPr>
          <w:rFonts w:ascii="Times New Roman" w:hAnsi="Times New Roman"/>
          <w:sz w:val="20"/>
        </w:rPr>
        <w:t xml:space="preserve">For the three and nine months ended September 30, 2022, Early termination and other charges, net includes $2,821 thousand of one-time employee incentives, in each period, and professional service fees and expenses of $217 thousand and $1,014 thousand, respectively, incurred in connection with certain strategic evaluations, both of which were offset in part by a $537 thousand gain on sale of certain legacy equipment of the closed back-end line in our fabrication facility in Gumi.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66850" cy="304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66850" cy="3048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NET LOSS TO ADJUSTED EBITDA AND ADJUSTED NET INCOME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of U.S. dollars, except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95"/>
        <w:gridCol w:w="160"/>
        <w:gridCol w:w="166"/>
        <w:gridCol w:w="1314"/>
        <w:gridCol w:w="155"/>
        <w:gridCol w:w="102"/>
        <w:gridCol w:w="140"/>
        <w:gridCol w:w="1100"/>
        <w:gridCol w:w="155"/>
        <w:gridCol w:w="102"/>
        <w:gridCol w:w="166"/>
        <w:gridCol w:w="1314"/>
        <w:gridCol w:w="155"/>
        <w:gridCol w:w="102"/>
        <w:gridCol w:w="166"/>
        <w:gridCol w:w="1314"/>
        <w:gridCol w:w="155"/>
        <w:gridCol w:w="102"/>
        <w:gridCol w:w="166"/>
        <w:gridCol w:w="1314"/>
        <w:gridCol w:w="162"/>
      </w:tblGrid>
      <w:tr>
        <w:trPr/>
        <w:tc>
          <w:tcPr>
            <w:tcW w:w="169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471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32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r>
          </w:p>
        </w:tc>
        <w:tc>
          <w:tcPr>
            <w:tcW w:w="162" w:type="dxa"/>
            <w:tcBorders/>
            <w:vAlign w:val="bottom"/>
          </w:tcPr>
          <w:p>
            <w:pPr>
              <w:pStyle w:val="TableContents"/>
              <w:bidi w:val="0"/>
              <w:spacing w:before="0" w:after="283"/>
              <w:jc w:val="left"/>
              <w:rPr/>
            </w:pPr>
            <w:r>
              <w:rPr/>
              <w:t> </w:t>
            </w:r>
          </w:p>
        </w:tc>
      </w:tr>
      <w:tr>
        <w:trPr/>
        <w:tc>
          <w:tcPr>
            <w:tcW w:w="169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2022</w:t>
            </w:r>
          </w:p>
        </w:tc>
        <w:tc>
          <w:tcPr>
            <w:tcW w:w="162" w:type="dxa"/>
            <w:tcBorders/>
            <w:vAlign w:val="bottom"/>
          </w:tcPr>
          <w:p>
            <w:pPr>
              <w:pStyle w:val="TableContents"/>
              <w:bidi w:val="0"/>
              <w:spacing w:before="0" w:after="283"/>
              <w:jc w:val="left"/>
              <w:rPr/>
            </w:pPr>
            <w:r>
              <w:rPr/>
              <w:t> </w:t>
            </w:r>
          </w:p>
        </w:tc>
      </w:tr>
      <w:tr>
        <w:trPr/>
        <w:tc>
          <w:tcPr>
            <w:tcW w:w="1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(5,165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(3,947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(17,195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(30,582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(11,007</w:t>
            </w:r>
          </w:p>
        </w:tc>
        <w:tc>
          <w:tcPr>
            <w:tcW w:w="162" w:type="dxa"/>
            <w:tcBorders/>
            <w:shd w:fill="CCEEFF" w:val="clear"/>
            <w:vAlign w:val="bottom"/>
          </w:tcPr>
          <w:p>
            <w:pPr>
              <w:pStyle w:val="TableContents"/>
              <w:bidi w:val="0"/>
              <w:spacing w:before="0" w:after="283"/>
              <w:jc w:val="left"/>
              <w:rPr/>
            </w:pPr>
            <w:r>
              <w:rPr/>
              <w:t>) </w:t>
            </w:r>
          </w:p>
        </w:tc>
      </w:tr>
      <w:tr>
        <w:trPr/>
        <w:tc>
          <w:tcPr>
            <w:tcW w:w="1695" w:type="dxa"/>
            <w:tcBorders/>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14"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1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(2,382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(2,692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(1,784</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(7,916</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(3,560</w:t>
            </w:r>
          </w:p>
        </w:tc>
        <w:tc>
          <w:tcPr>
            <w:tcW w:w="162" w:type="dxa"/>
            <w:tcBorders/>
            <w:shd w:fill="CCEEFF" w:val="clear"/>
            <w:vAlign w:val="bottom"/>
          </w:tcPr>
          <w:p>
            <w:pPr>
              <w:pStyle w:val="TableContents"/>
              <w:bidi w:val="0"/>
              <w:spacing w:before="0" w:after="283"/>
              <w:jc w:val="left"/>
              <w:rPr/>
            </w:pPr>
            <w:r>
              <w:rPr/>
              <w:t>) </w:t>
            </w:r>
          </w:p>
        </w:tc>
      </w:tr>
      <w:tr>
        <w:trPr/>
        <w:tc>
          <w:tcPr>
            <w:tcW w:w="1695"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189</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278</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645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888</w:t>
            </w:r>
          </w:p>
        </w:tc>
        <w:tc>
          <w:tcPr>
            <w:tcW w:w="162" w:type="dxa"/>
            <w:tcBorders/>
            <w:vAlign w:val="bottom"/>
          </w:tcPr>
          <w:p>
            <w:pPr>
              <w:pStyle w:val="TableContents"/>
              <w:bidi w:val="0"/>
              <w:spacing w:before="0" w:after="283"/>
              <w:jc w:val="left"/>
              <w:rPr/>
            </w:pPr>
            <w:r>
              <w:rPr/>
              <w:t> </w:t>
            </w:r>
          </w:p>
        </w:tc>
      </w:tr>
      <w:tr>
        <w:trPr/>
        <w:tc>
          <w:tcPr>
            <w:tcW w:w="1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1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(4,373</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(2,977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(3,942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(8,577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(1,356</w:t>
            </w:r>
          </w:p>
        </w:tc>
        <w:tc>
          <w:tcPr>
            <w:tcW w:w="162" w:type="dxa"/>
            <w:tcBorders/>
            <w:shd w:fill="CCEEFF" w:val="clear"/>
            <w:vAlign w:val="bottom"/>
          </w:tcPr>
          <w:p>
            <w:pPr>
              <w:pStyle w:val="TableContents"/>
              <w:bidi w:val="0"/>
              <w:spacing w:before="0" w:after="283"/>
              <w:jc w:val="left"/>
              <w:rPr/>
            </w:pPr>
            <w:r>
              <w:rPr/>
              <w:t>) </w:t>
            </w:r>
          </w:p>
        </w:tc>
      </w:tr>
      <w:tr>
        <w:trPr/>
        <w:tc>
          <w:tcPr>
            <w:tcW w:w="169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4,081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4,145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3,623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12,583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11,225</w:t>
            </w:r>
          </w:p>
        </w:tc>
        <w:tc>
          <w:tcPr>
            <w:tcW w:w="162" w:type="dxa"/>
            <w:tcBorders/>
            <w:vAlign w:val="bottom"/>
          </w:tcPr>
          <w:p>
            <w:pPr>
              <w:pStyle w:val="TableContents"/>
              <w:bidi w:val="0"/>
              <w:spacing w:before="0" w:after="283"/>
              <w:jc w:val="left"/>
              <w:rPr/>
            </w:pPr>
            <w:r>
              <w:rPr/>
              <w:t> </w:t>
            </w:r>
          </w:p>
        </w:tc>
      </w:tr>
      <w:tr>
        <w:trPr/>
        <w:tc>
          <w:tcPr>
            <w:tcW w:w="169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(7,650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(5,271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(19,020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(33,847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(3,810</w:t>
            </w:r>
          </w:p>
        </w:tc>
        <w:tc>
          <w:tcPr>
            <w:tcW w:w="162" w:type="dxa"/>
            <w:tcBorders/>
            <w:shd w:fill="CCEEFF" w:val="clear"/>
            <w:vAlign w:val="bottom"/>
          </w:tcPr>
          <w:p>
            <w:pPr>
              <w:pStyle w:val="TableContents"/>
              <w:bidi w:val="0"/>
              <w:spacing w:before="0" w:after="283"/>
              <w:jc w:val="left"/>
              <w:rPr/>
            </w:pPr>
            <w:r>
              <w:rPr/>
              <w:t>) </w:t>
            </w:r>
          </w:p>
        </w:tc>
      </w:tr>
      <w:tr>
        <w:trPr/>
        <w:tc>
          <w:tcPr>
            <w:tcW w:w="1695" w:type="dxa"/>
            <w:tcBorders/>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w:t>
            </w:r>
          </w:p>
        </w:tc>
        <w:tc>
          <w:tcPr>
            <w:tcW w:w="1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2,171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2,092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861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5,383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4,487</w:t>
            </w:r>
          </w:p>
        </w:tc>
        <w:tc>
          <w:tcPr>
            <w:tcW w:w="162" w:type="dxa"/>
            <w:tcBorders/>
            <w:vAlign w:val="bottom"/>
          </w:tcPr>
          <w:p>
            <w:pPr>
              <w:pStyle w:val="TableContents"/>
              <w:bidi w:val="0"/>
              <w:spacing w:before="0" w:after="283"/>
              <w:jc w:val="left"/>
              <w:rPr/>
            </w:pPr>
            <w:r>
              <w:rPr/>
              <w:t> </w:t>
            </w:r>
          </w:p>
        </w:tc>
      </w:tr>
      <w:tr>
        <w:trPr/>
        <w:tc>
          <w:tcPr>
            <w:tcW w:w="1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loss (gain), net</w:t>
            </w:r>
          </w:p>
        </w:tc>
        <w:tc>
          <w:tcPr>
            <w:tcW w:w="1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2,583</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12,809</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4,776</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20,511</w:t>
            </w:r>
          </w:p>
        </w:tc>
        <w:tc>
          <w:tcPr>
            <w:tcW w:w="162" w:type="dxa"/>
            <w:tcBorders/>
            <w:shd w:fill="CCEEFF" w:val="clear"/>
            <w:vAlign w:val="bottom"/>
          </w:tcPr>
          <w:p>
            <w:pPr>
              <w:pStyle w:val="TableContents"/>
              <w:bidi w:val="0"/>
              <w:spacing w:before="0" w:after="283"/>
              <w:jc w:val="left"/>
              <w:rPr/>
            </w:pPr>
            <w:r>
              <w:rPr/>
              <w:t> </w:t>
            </w:r>
          </w:p>
        </w:tc>
      </w:tr>
      <w:tr>
        <w:trPr/>
        <w:tc>
          <w:tcPr>
            <w:tcW w:w="1695" w:type="dxa"/>
            <w:tcBorders/>
          </w:tcPr>
          <w:p>
            <w:pPr>
              <w:pStyle w:val="TableContents"/>
              <w:bidi w:val="0"/>
              <w:spacing w:before="0" w:after="0"/>
              <w:jc w:val="left"/>
              <w:rPr>
                <w:rFonts w:ascii="Times New Roman" w:hAnsi="Times New Roman"/>
                <w:sz w:val="20"/>
              </w:rPr>
            </w:pPr>
            <w:r>
              <w:rPr>
                <w:rFonts w:ascii="Times New Roman" w:hAnsi="Times New Roman"/>
                <w:sz w:val="20"/>
              </w:rPr>
              <w:t>Derivative valuation loss (gain), net</w:t>
            </w:r>
          </w:p>
        </w:tc>
        <w:tc>
          <w:tcPr>
            <w:tcW w:w="1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161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(146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(201</w:t>
            </w:r>
          </w:p>
        </w:tc>
        <w:tc>
          <w:tcPr>
            <w:tcW w:w="162" w:type="dxa"/>
            <w:tcBorders/>
            <w:vAlign w:val="bottom"/>
          </w:tcPr>
          <w:p>
            <w:pPr>
              <w:pStyle w:val="TableContents"/>
              <w:bidi w:val="0"/>
              <w:spacing w:before="0" w:after="283"/>
              <w:jc w:val="left"/>
              <w:rPr/>
            </w:pPr>
            <w:r>
              <w:rPr/>
              <w:t>) </w:t>
            </w:r>
          </w:p>
        </w:tc>
      </w:tr>
      <w:tr>
        <w:trPr/>
        <w:tc>
          <w:tcPr>
            <w:tcW w:w="1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 net</w:t>
            </w:r>
          </w:p>
        </w:tc>
        <w:tc>
          <w:tcPr>
            <w:tcW w:w="1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802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2,501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9,251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3,298</w:t>
            </w:r>
          </w:p>
        </w:tc>
        <w:tc>
          <w:tcPr>
            <w:tcW w:w="162" w:type="dxa"/>
            <w:tcBorders/>
            <w:shd w:fill="CCEEFF" w:val="clear"/>
            <w:vAlign w:val="bottom"/>
          </w:tcPr>
          <w:p>
            <w:pPr>
              <w:pStyle w:val="TableContents"/>
              <w:bidi w:val="0"/>
              <w:spacing w:before="0" w:after="283"/>
              <w:jc w:val="left"/>
              <w:rPr/>
            </w:pPr>
            <w:r>
              <w:rPr/>
              <w:t> </w:t>
            </w:r>
          </w:p>
        </w:tc>
      </w:tr>
      <w:tr>
        <w:trPr/>
        <w:tc>
          <w:tcPr>
            <w:tcW w:w="169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695"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4" w:type="dxa"/>
            <w:tcBorders/>
            <w:vAlign w:val="bottom"/>
          </w:tcPr>
          <w:p>
            <w:pPr>
              <w:pStyle w:val="TableContents"/>
              <w:bidi w:val="0"/>
              <w:spacing w:before="0" w:after="283"/>
              <w:jc w:val="right"/>
              <w:rPr/>
            </w:pPr>
            <w:r>
              <w:rPr/>
              <w:t>(2,735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(3,594</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4" w:type="dxa"/>
            <w:tcBorders/>
            <w:vAlign w:val="bottom"/>
          </w:tcPr>
          <w:p>
            <w:pPr>
              <w:pStyle w:val="TableContents"/>
              <w:bidi w:val="0"/>
              <w:spacing w:before="0" w:after="283"/>
              <w:jc w:val="right"/>
              <w:rPr/>
            </w:pPr>
            <w:r>
              <w:rPr/>
              <w:t>(2,995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4" w:type="dxa"/>
            <w:tcBorders/>
            <w:vAlign w:val="bottom"/>
          </w:tcPr>
          <w:p>
            <w:pPr>
              <w:pStyle w:val="TableContents"/>
              <w:bidi w:val="0"/>
              <w:spacing w:before="0" w:after="283"/>
              <w:jc w:val="right"/>
              <w:rPr/>
            </w:pPr>
            <w:r>
              <w:rPr/>
              <w:t>(14,202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4" w:type="dxa"/>
            <w:tcBorders/>
            <w:vAlign w:val="bottom"/>
          </w:tcPr>
          <w:p>
            <w:pPr>
              <w:pStyle w:val="TableContents"/>
              <w:bidi w:val="0"/>
              <w:spacing w:before="0" w:after="283"/>
              <w:jc w:val="right"/>
              <w:rPr/>
            </w:pPr>
            <w:r>
              <w:rPr/>
              <w:t>24,285</w:t>
            </w:r>
          </w:p>
        </w:tc>
        <w:tc>
          <w:tcPr>
            <w:tcW w:w="162" w:type="dxa"/>
            <w:tcBorders/>
            <w:vAlign w:val="bottom"/>
          </w:tcPr>
          <w:p>
            <w:pPr>
              <w:pStyle w:val="TableContents"/>
              <w:bidi w:val="0"/>
              <w:spacing w:before="0" w:after="283"/>
              <w:jc w:val="left"/>
              <w:rPr/>
            </w:pPr>
            <w:r>
              <w:rPr/>
              <w:t> </w:t>
            </w:r>
          </w:p>
        </w:tc>
      </w:tr>
      <w:tr>
        <w:trPr/>
        <w:tc>
          <w:tcPr>
            <w:tcW w:w="169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4"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(5,165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(3,947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(17,195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(30,582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(11,007</w:t>
            </w:r>
          </w:p>
        </w:tc>
        <w:tc>
          <w:tcPr>
            <w:tcW w:w="162" w:type="dxa"/>
            <w:tcBorders/>
            <w:shd w:fill="CCEEFF" w:val="clear"/>
            <w:vAlign w:val="bottom"/>
          </w:tcPr>
          <w:p>
            <w:pPr>
              <w:pStyle w:val="TableContents"/>
              <w:bidi w:val="0"/>
              <w:spacing w:before="0" w:after="283"/>
              <w:jc w:val="left"/>
              <w:rPr/>
            </w:pPr>
            <w:r>
              <w:rPr/>
              <w:t>) </w:t>
            </w:r>
          </w:p>
        </w:tc>
      </w:tr>
      <w:tr>
        <w:trPr/>
        <w:tc>
          <w:tcPr>
            <w:tcW w:w="1695" w:type="dxa"/>
            <w:tcBorders/>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14"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1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w:t>
            </w:r>
          </w:p>
        </w:tc>
        <w:tc>
          <w:tcPr>
            <w:tcW w:w="1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2,171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2,092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861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5,383</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4,487</w:t>
            </w:r>
          </w:p>
        </w:tc>
        <w:tc>
          <w:tcPr>
            <w:tcW w:w="162" w:type="dxa"/>
            <w:tcBorders/>
            <w:shd w:fill="CCEEFF" w:val="clear"/>
            <w:vAlign w:val="bottom"/>
          </w:tcPr>
          <w:p>
            <w:pPr>
              <w:pStyle w:val="TableContents"/>
              <w:bidi w:val="0"/>
              <w:spacing w:before="0" w:after="283"/>
              <w:jc w:val="left"/>
              <w:rPr/>
            </w:pPr>
            <w:r>
              <w:rPr/>
              <w:t> </w:t>
            </w:r>
          </w:p>
        </w:tc>
      </w:tr>
      <w:tr>
        <w:trPr/>
        <w:tc>
          <w:tcPr>
            <w:tcW w:w="1695"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loss (gain), net</w:t>
            </w:r>
          </w:p>
        </w:tc>
        <w:tc>
          <w:tcPr>
            <w:tcW w:w="1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2,583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(1,237</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12,809</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4,776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20,511</w:t>
            </w:r>
          </w:p>
        </w:tc>
        <w:tc>
          <w:tcPr>
            <w:tcW w:w="162" w:type="dxa"/>
            <w:tcBorders/>
            <w:vAlign w:val="bottom"/>
          </w:tcPr>
          <w:p>
            <w:pPr>
              <w:pStyle w:val="TableContents"/>
              <w:bidi w:val="0"/>
              <w:spacing w:before="0" w:after="283"/>
              <w:jc w:val="left"/>
              <w:rPr/>
            </w:pPr>
            <w:r>
              <w:rPr/>
              <w:t> </w:t>
            </w:r>
          </w:p>
        </w:tc>
      </w:tr>
      <w:tr>
        <w:trPr/>
        <w:tc>
          <w:tcPr>
            <w:tcW w:w="1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 valuation loss (gain), net</w:t>
            </w:r>
          </w:p>
        </w:tc>
        <w:tc>
          <w:tcPr>
            <w:tcW w:w="1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161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(146</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235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(201</w:t>
            </w:r>
          </w:p>
        </w:tc>
        <w:tc>
          <w:tcPr>
            <w:tcW w:w="162" w:type="dxa"/>
            <w:tcBorders/>
            <w:shd w:fill="CCEEFF" w:val="clear"/>
            <w:vAlign w:val="bottom"/>
          </w:tcPr>
          <w:p>
            <w:pPr>
              <w:pStyle w:val="TableContents"/>
              <w:bidi w:val="0"/>
              <w:spacing w:before="0" w:after="283"/>
              <w:jc w:val="left"/>
              <w:rPr/>
            </w:pPr>
            <w:r>
              <w:rPr/>
              <w:t>) </w:t>
            </w:r>
          </w:p>
        </w:tc>
      </w:tr>
      <w:tr>
        <w:trPr/>
        <w:tc>
          <w:tcPr>
            <w:tcW w:w="1695" w:type="dxa"/>
            <w:tcBorders/>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 net</w:t>
            </w:r>
          </w:p>
        </w:tc>
        <w:tc>
          <w:tcPr>
            <w:tcW w:w="1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802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2,501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9,251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3,298</w:t>
            </w:r>
          </w:p>
        </w:tc>
        <w:tc>
          <w:tcPr>
            <w:tcW w:w="162" w:type="dxa"/>
            <w:tcBorders/>
            <w:vAlign w:val="bottom"/>
          </w:tcPr>
          <w:p>
            <w:pPr>
              <w:pStyle w:val="TableContents"/>
              <w:bidi w:val="0"/>
              <w:spacing w:before="0" w:after="283"/>
              <w:jc w:val="left"/>
              <w:rPr/>
            </w:pPr>
            <w:r>
              <w:rPr/>
              <w:t> </w:t>
            </w:r>
          </w:p>
        </w:tc>
      </w:tr>
      <w:tr>
        <w:trPr/>
        <w:tc>
          <w:tcPr>
            <w:tcW w:w="1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effect on non-GAAP adjustments</w:t>
            </w:r>
          </w:p>
        </w:tc>
        <w:tc>
          <w:tcPr>
            <w:tcW w:w="1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(1,341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2,267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(3,493</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7,512</w:t>
            </w:r>
          </w:p>
        </w:tc>
        <w:tc>
          <w:tcPr>
            <w:tcW w:w="162" w:type="dxa"/>
            <w:tcBorders/>
            <w:shd w:fill="CCEEFF" w:val="clear"/>
            <w:vAlign w:val="bottom"/>
          </w:tcPr>
          <w:p>
            <w:pPr>
              <w:pStyle w:val="TableContents"/>
              <w:bidi w:val="0"/>
              <w:spacing w:before="0" w:after="283"/>
              <w:jc w:val="left"/>
              <w:rPr/>
            </w:pPr>
            <w:r>
              <w:rPr/>
              <w:t> </w:t>
            </w:r>
          </w:p>
        </w:tc>
      </w:tr>
      <w:tr>
        <w:trPr/>
        <w:tc>
          <w:tcPr>
            <w:tcW w:w="169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695"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Income (Loss)</w:t>
            </w:r>
          </w:p>
        </w:tc>
        <w:tc>
          <w:tcPr>
            <w:tcW w:w="1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4" w:type="dxa"/>
            <w:tcBorders/>
            <w:vAlign w:val="bottom"/>
          </w:tcPr>
          <w:p>
            <w:pPr>
              <w:pStyle w:val="TableContents"/>
              <w:bidi w:val="0"/>
              <w:spacing w:before="0" w:after="283"/>
              <w:jc w:val="right"/>
              <w:rPr/>
            </w:pPr>
            <w:r>
              <w:rPr/>
              <w:t>(1,591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(2,472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4" w:type="dxa"/>
            <w:tcBorders/>
            <w:vAlign w:val="bottom"/>
          </w:tcPr>
          <w:p>
            <w:pPr>
              <w:pStyle w:val="TableContents"/>
              <w:bidi w:val="0"/>
              <w:spacing w:before="0" w:after="283"/>
              <w:jc w:val="right"/>
              <w:rPr/>
            </w:pPr>
            <w:r>
              <w:rPr/>
              <w:t>1,097</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4" w:type="dxa"/>
            <w:tcBorders/>
            <w:vAlign w:val="bottom"/>
          </w:tcPr>
          <w:p>
            <w:pPr>
              <w:pStyle w:val="TableContents"/>
              <w:bidi w:val="0"/>
              <w:spacing w:before="0" w:after="283"/>
              <w:jc w:val="right"/>
              <w:rPr/>
            </w:pPr>
            <w:r>
              <w:rPr/>
              <w:t>(14,430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4" w:type="dxa"/>
            <w:tcBorders/>
            <w:vAlign w:val="bottom"/>
          </w:tcPr>
          <w:p>
            <w:pPr>
              <w:pStyle w:val="TableContents"/>
              <w:bidi w:val="0"/>
              <w:spacing w:before="0" w:after="283"/>
              <w:jc w:val="right"/>
              <w:rPr/>
            </w:pPr>
            <w:r>
              <w:rPr/>
              <w:t>24,600</w:t>
            </w:r>
          </w:p>
        </w:tc>
        <w:tc>
          <w:tcPr>
            <w:tcW w:w="162" w:type="dxa"/>
            <w:tcBorders/>
            <w:vAlign w:val="bottom"/>
          </w:tcPr>
          <w:p>
            <w:pPr>
              <w:pStyle w:val="TableContents"/>
              <w:bidi w:val="0"/>
              <w:spacing w:before="0" w:after="283"/>
              <w:jc w:val="left"/>
              <w:rPr/>
            </w:pPr>
            <w:r>
              <w:rPr/>
              <w:t> </w:t>
            </w:r>
          </w:p>
        </w:tc>
      </w:tr>
      <w:tr>
        <w:trPr/>
        <w:tc>
          <w:tcPr>
            <w:tcW w:w="169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4"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Income (Loss) per common share</w:t>
            </w:r>
          </w:p>
        </w:tc>
        <w:tc>
          <w:tcPr>
            <w:tcW w:w="1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14"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1695" w:type="dxa"/>
            <w:tcBorders/>
          </w:tcPr>
          <w:p>
            <w:pPr>
              <w:pStyle w:val="TableContents"/>
              <w:bidi w:val="0"/>
              <w:spacing w:before="0" w:after="0"/>
              <w:jc w:val="left"/>
              <w:rPr>
                <w:rFonts w:ascii="Times New Roman" w:hAnsi="Times New Roman"/>
                <w:sz w:val="20"/>
              </w:rPr>
            </w:pPr>
            <w:r>
              <w:rPr>
                <w:rFonts w:ascii="Times New Roman" w:hAnsi="Times New Roman"/>
                <w:sz w:val="20"/>
              </w:rPr>
              <w:t>- Basic</w:t>
            </w:r>
          </w:p>
        </w:tc>
        <w:tc>
          <w:tcPr>
            <w:tcW w:w="1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4" w:type="dxa"/>
            <w:tcBorders/>
            <w:vAlign w:val="bottom"/>
          </w:tcPr>
          <w:p>
            <w:pPr>
              <w:pStyle w:val="TableContents"/>
              <w:bidi w:val="0"/>
              <w:spacing w:before="0" w:after="283"/>
              <w:jc w:val="right"/>
              <w:rPr/>
            </w:pPr>
            <w:r>
              <w:rPr/>
              <w:t>(0.04</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(0.06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4" w:type="dxa"/>
            <w:tcBorders/>
            <w:vAlign w:val="bottom"/>
          </w:tcPr>
          <w:p>
            <w:pPr>
              <w:pStyle w:val="TableContents"/>
              <w:bidi w:val="0"/>
              <w:spacing w:before="0" w:after="283"/>
              <w:jc w:val="right"/>
              <w:rPr/>
            </w:pPr>
            <w:r>
              <w:rPr/>
              <w:t>0.02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4" w:type="dxa"/>
            <w:tcBorders/>
            <w:vAlign w:val="bottom"/>
          </w:tcPr>
          <w:p>
            <w:pPr>
              <w:pStyle w:val="TableContents"/>
              <w:bidi w:val="0"/>
              <w:spacing w:before="0" w:after="283"/>
              <w:jc w:val="right"/>
              <w:rPr/>
            </w:pPr>
            <w:r>
              <w:rPr/>
              <w:t>(0.35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4" w:type="dxa"/>
            <w:tcBorders/>
            <w:vAlign w:val="bottom"/>
          </w:tcPr>
          <w:p>
            <w:pPr>
              <w:pStyle w:val="TableContents"/>
              <w:bidi w:val="0"/>
              <w:spacing w:before="0" w:after="283"/>
              <w:jc w:val="right"/>
              <w:rPr/>
            </w:pPr>
            <w:r>
              <w:rPr/>
              <w:t>0.55</w:t>
            </w:r>
          </w:p>
        </w:tc>
        <w:tc>
          <w:tcPr>
            <w:tcW w:w="162" w:type="dxa"/>
            <w:tcBorders/>
            <w:vAlign w:val="bottom"/>
          </w:tcPr>
          <w:p>
            <w:pPr>
              <w:pStyle w:val="TableContents"/>
              <w:bidi w:val="0"/>
              <w:spacing w:before="0" w:after="283"/>
              <w:jc w:val="left"/>
              <w:rPr/>
            </w:pPr>
            <w:r>
              <w:rPr/>
              <w:t> </w:t>
            </w:r>
          </w:p>
        </w:tc>
      </w:tr>
      <w:tr>
        <w:trPr/>
        <w:tc>
          <w:tcPr>
            <w:tcW w:w="1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Diluted</w:t>
            </w:r>
          </w:p>
        </w:tc>
        <w:tc>
          <w:tcPr>
            <w:tcW w:w="1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(0.04</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(0.06</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0.02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(0.35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0.53</w:t>
            </w:r>
          </w:p>
        </w:tc>
        <w:tc>
          <w:tcPr>
            <w:tcW w:w="162" w:type="dxa"/>
            <w:tcBorders/>
            <w:shd w:fill="CCEEFF" w:val="clear"/>
            <w:vAlign w:val="bottom"/>
          </w:tcPr>
          <w:p>
            <w:pPr>
              <w:pStyle w:val="TableContents"/>
              <w:bidi w:val="0"/>
              <w:spacing w:before="0" w:after="283"/>
              <w:jc w:val="left"/>
              <w:rPr/>
            </w:pPr>
            <w:r>
              <w:rPr/>
              <w:t> </w:t>
            </w:r>
          </w:p>
        </w:tc>
      </w:tr>
      <w:tr>
        <w:trPr/>
        <w:tc>
          <w:tcPr>
            <w:tcW w:w="169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basic</w:t>
            </w:r>
          </w:p>
        </w:tc>
        <w:tc>
          <w:tcPr>
            <w:tcW w:w="1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40,145,290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41,741,310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44,865,266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41,747,255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45,119,214</w:t>
            </w:r>
          </w:p>
        </w:tc>
        <w:tc>
          <w:tcPr>
            <w:tcW w:w="162" w:type="dxa"/>
            <w:tcBorders/>
            <w:vAlign w:val="bottom"/>
          </w:tcPr>
          <w:p>
            <w:pPr>
              <w:pStyle w:val="TableContents"/>
              <w:bidi w:val="0"/>
              <w:spacing w:before="0" w:after="283"/>
              <w:jc w:val="left"/>
              <w:rPr/>
            </w:pPr>
            <w:r>
              <w:rPr/>
              <w:t> </w:t>
            </w:r>
          </w:p>
        </w:tc>
      </w:tr>
      <w:tr>
        <w:trPr/>
        <w:tc>
          <w:tcPr>
            <w:tcW w:w="1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diluted</w:t>
            </w:r>
          </w:p>
        </w:tc>
        <w:tc>
          <w:tcPr>
            <w:tcW w:w="1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40,145,290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41,741,310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45,747,255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41,747,255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46,134,231</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present Adjusted EBITDA and Adjusted Net Income (Loss) as supplemental measures of our performance. We define Adjusted EBITDA for the periods indicated as EBITDA (as defined below), adjusted to exclude (i) Equity-based compensation expense, (ii) Foreign currency loss (gain), net, (iii) Derivative valuation loss (gain), net and (iv) Early termination and other charges, net. EBITDA for the periods indicated is defined as net loss before interest income, interest expense, income tax benefit and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We prepare Adjusted Net Income (Loss) by adjusting net loss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define Adjusted Net Income (Loss) for the periods as net loss, adjusted to exclude (i) Equity-based compensation expense, (ii) Foreign currency loss (gain), net, (iii) Derivative valuation loss (gain), net, (iv) Early termination and other charges, net and (v) Income tax effect on non-GAAP adjustments. </w:t>
      </w:r>
    </w:p>
    <w:p>
      <w:pPr>
        <w:pStyle w:val="TextBody"/>
        <w:bidi w:val="0"/>
        <w:spacing w:before="240" w:after="0"/>
        <w:jc w:val="left"/>
        <w:rPr>
          <w:rFonts w:ascii="Times New Roman" w:hAnsi="Times New Roman"/>
          <w:sz w:val="20"/>
        </w:rPr>
      </w:pPr>
      <w:r>
        <w:rPr>
          <w:rFonts w:ascii="Times New Roman" w:hAnsi="Times New Roman"/>
          <w:sz w:val="20"/>
        </w:rPr>
        <w:t xml:space="preserve">For the nine months ended September 30, 2023, we recorded in our consolidated statement of operations $8,449 thousand of termination related charges in connection with the voluntary resignation program that we offered to certain employees during the first quarter of 2023. For the three months ended June 30, 2023 and nine months ended September 30, 2023, we recorded $802 thousand of one-time employee incentives, in each period. </w:t>
      </w:r>
    </w:p>
    <w:p>
      <w:pPr>
        <w:pStyle w:val="TextBody"/>
        <w:bidi w:val="0"/>
        <w:spacing w:before="240" w:after="0"/>
        <w:jc w:val="left"/>
        <w:rPr>
          <w:rFonts w:ascii="Times New Roman" w:hAnsi="Times New Roman"/>
          <w:sz w:val="20"/>
        </w:rPr>
      </w:pPr>
      <w:r>
        <w:rPr>
          <w:rFonts w:ascii="Times New Roman" w:hAnsi="Times New Roman"/>
          <w:sz w:val="20"/>
        </w:rPr>
        <w:t xml:space="preserve">For the three and nine months ended September 30, 2022, Early termination and other charges, net includes $2,821 thousand of one-time employee incentives, in each period, and professional service fees and expenses of $217 thousand and $1,014 thousand, respectively, incurred in connection with certain strategic evaluations, both of which were offset in part by a $537 thousand gain on sale of certain legacy equipment of the closed back-end line in our fabrication facility in Gumi.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4078</Words>
  <Characters>21958</Characters>
  <CharactersWithSpaces>27364</CharactersWithSpaces>
  <Paragraphs>3126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