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left="4" w:right="640"/>
        <w:spacing w:after="0" w:line="342" w:lineRule="auto"/>
        <w:rPr>
          <w:sz w:val="20"/>
          <w:szCs w:val="20"/>
          <w:color w:val="auto"/>
        </w:rPr>
      </w:pPr>
      <w:r>
        <w:rPr>
          <w:rFonts w:ascii="Arial" w:cs="Arial" w:eastAsia="Arial" w:hAnsi="Arial"/>
          <w:sz w:val="16"/>
          <w:szCs w:val="16"/>
          <w:color w:val="auto"/>
        </w:rPr>
        <w:t>Attached hereto as Exhibit 99.1 and incorporated by reference herein is financial information for Magnachip Semiconductor Corporation and its consolidated subsidiaries for the fourth quarter and full year ended December 31, 2021, as presented in a press release dated February 16, 2022.</w:t>
      </w:r>
    </w:p>
    <w:p>
      <w:pPr>
        <w:spacing w:after="0" w:line="124"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20" w:type="dxa"/>
            <w:vAlign w:val="bottom"/>
            <w:gridSpan w:val="2"/>
            <w:vMerge w:val="restart"/>
          </w:tcPr>
          <w:p>
            <w:pPr>
              <w:ind w:left="2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8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2"/>
                <w:szCs w:val="22"/>
                <w:color w:val="auto"/>
              </w:rPr>
            </w:pPr>
          </w:p>
        </w:tc>
        <w:tc>
          <w:tcPr>
            <w:tcW w:w="10140" w:type="dxa"/>
            <w:vAlign w:val="bottom"/>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for Magnachip Semiconductor Corporation dated February 16, 2022, announcing the results for the fourth quarter and full year</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December 31, 2021.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February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0281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Fourth Quarter and Year 2021</w:t>
      </w:r>
    </w:p>
    <w:p>
      <w:pPr>
        <w:spacing w:after="0" w:line="131" w:lineRule="exact"/>
        <w:rPr>
          <w:sz w:val="20"/>
          <w:szCs w:val="20"/>
          <w:color w:val="auto"/>
        </w:rPr>
      </w:pPr>
    </w:p>
    <w:p>
      <w:pPr>
        <w:ind w:left="960" w:right="60" w:hanging="424"/>
        <w:spacing w:after="0" w:line="261"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Fourth quarter revenue of $110.3 million was down 13.1% sequentially and down 22.8% year-over-year (YoY) due mainly to severe supply shortages especially for 28nm 12” OLED wafers; Full-year revenue of $474.2 million decreased 6.5% YoY due primarily to a revenue decrease in our OLED business due to wafer supply shortages, offset in part by strong growth in our Power business.</w:t>
      </w:r>
    </w:p>
    <w:p>
      <w:pPr>
        <w:spacing w:after="0" w:line="85" w:lineRule="exact"/>
        <w:rPr>
          <w:rFonts w:ascii="Arial" w:cs="Arial" w:eastAsia="Arial" w:hAnsi="Arial"/>
          <w:sz w:val="18"/>
          <w:szCs w:val="18"/>
          <w:b w:val="1"/>
          <w:bCs w:val="1"/>
          <w:color w:val="auto"/>
        </w:rPr>
      </w:pPr>
    </w:p>
    <w:p>
      <w:pPr>
        <w:ind w:left="960" w:right="60" w:hanging="424"/>
        <w:spacing w:after="0" w:line="266"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gross profit margin for the fourth quarter was 35.0%, down 170 bps sequentially and up 810 bps YoY; Full-year GAAP gross profit margin of 32.4% was an increase of 710 bps YoY due mainly to improved product mix, increased average selling price, and a higher utilization rate.</w:t>
      </w:r>
    </w:p>
    <w:p>
      <w:pPr>
        <w:spacing w:after="0" w:line="81"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earnings per share (EPS) for the fourth quarter was $1.12; Full-year GAAP diluted EPS was $1.21.</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diluted EPS for the fourth quarter was $0.31; Full-year non-GAAP diluted EPS was $1.09.</w:t>
      </w:r>
    </w:p>
    <w:p>
      <w:pPr>
        <w:spacing w:after="0" w:line="225"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SEOUL, South Korea, February 16, 2022 </w:t>
      </w:r>
      <w:r>
        <w:rPr>
          <w:rFonts w:ascii="Arial" w:cs="Arial" w:eastAsia="Arial" w:hAnsi="Arial"/>
          <w:sz w:val="18"/>
          <w:szCs w:val="18"/>
          <w:color w:val="auto"/>
        </w:rPr>
        <w:t>— Magnachip Semiconductor Corporation (NYSE: MX) (“Magnachip” or the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fourth quarter and full-year 2021.</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Commenting on the results for the fourth quarter of 2021, YJ Kim, Magnachip’s chief executive officer stated, “For the fourth quarter, the demand and signals from our customers remained strong across the board. However, severe supply constraints continued to significantly limit our OLED revenue potential, which was partially offset by strong Power business. We reported $110.3 million in revenue and 31 cents in non-GAAP diluted EPS for the fourth quarter.”</w:t>
      </w:r>
    </w:p>
    <w:p>
      <w:pPr>
        <w:spacing w:after="0" w:line="18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Commenting on the full-year, YJ stated, “While our 2021 revenue was negatively impacted by continuing supply shortages, especially for 28nm 12” OLED wafers, we delivered higher profitability in all of our key measures in 2021 compared to 2020. In addition, our team at Magnachip achieved critical milestones to fuel future growth; we broadened our customer base, further penetrated new applications, and enhanced our supply chain for additional manufacturing capacity, which is expected to come online in the later part of 2022. While our near-term outlook is still being challenged by persisting supply constraints, these developments reinforce our confidence and optimism about our long-term growth.”</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183515</wp:posOffset>
            </wp:positionV>
            <wp:extent cx="1405890"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300"/>
                    </a:xfrm>
                    <a:prstGeom prst="rect">
                      <a:avLst/>
                    </a:prstGeom>
                    <a:noFill/>
                  </pic:spPr>
                </pic:pic>
              </a:graphicData>
            </a:graphic>
          </wp:anchor>
        </w:drawing>
        <w:t>Q4 and 2021 Financial Highlights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5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2"/>
          </w:tcPr>
          <w:p>
            <w:pPr>
              <w:jc w:val="center"/>
              <w:ind w:left="235"/>
              <w:spacing w:after="0"/>
              <w:rPr>
                <w:sz w:val="20"/>
                <w:szCs w:val="20"/>
                <w:color w:val="auto"/>
              </w:rPr>
            </w:pPr>
            <w:r>
              <w:rPr>
                <w:rFonts w:ascii="Arial" w:cs="Arial" w:eastAsia="Arial" w:hAnsi="Arial"/>
                <w:sz w:val="14"/>
                <w:szCs w:val="14"/>
                <w:color w:val="auto"/>
                <w:w w:val="91"/>
              </w:rPr>
              <w:t>In thousands of U.S dollars, except share data</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8"/>
              </w:rPr>
              <w:t>GAAP</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548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Q4 2021</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Q3 2021</w:t>
            </w:r>
          </w:p>
        </w:tc>
        <w:tc>
          <w:tcPr>
            <w:tcW w:w="1320" w:type="dxa"/>
            <w:vAlign w:val="bottom"/>
            <w:gridSpan w:val="6"/>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Q/Q change</w:t>
            </w:r>
          </w:p>
        </w:tc>
        <w:tc>
          <w:tcPr>
            <w:tcW w:w="220" w:type="dxa"/>
            <w:vAlign w:val="bottom"/>
          </w:tcPr>
          <w:p>
            <w:pPr>
              <w:spacing w:after="0"/>
              <w:rPr>
                <w:sz w:val="12"/>
                <w:szCs w:val="12"/>
                <w:color w:val="auto"/>
              </w:rPr>
            </w:pPr>
          </w:p>
        </w:tc>
        <w:tc>
          <w:tcPr>
            <w:tcW w:w="76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Q4 2020</w:t>
            </w:r>
          </w:p>
        </w:tc>
        <w:tc>
          <w:tcPr>
            <w:tcW w:w="80" w:type="dxa"/>
            <w:vAlign w:val="bottom"/>
          </w:tcPr>
          <w:p>
            <w:pPr>
              <w:spacing w:after="0"/>
              <w:rPr>
                <w:sz w:val="12"/>
                <w:szCs w:val="12"/>
                <w:color w:val="auto"/>
              </w:rPr>
            </w:pPr>
          </w:p>
        </w:tc>
        <w:tc>
          <w:tcPr>
            <w:tcW w:w="10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Y/Y change</w:t>
            </w:r>
          </w:p>
        </w:tc>
        <w:tc>
          <w:tcPr>
            <w:tcW w:w="380" w:type="dxa"/>
            <w:vAlign w:val="bottom"/>
          </w:tcPr>
          <w:p>
            <w:pPr>
              <w:spacing w:after="0"/>
              <w:rPr>
                <w:sz w:val="12"/>
                <w:szCs w:val="12"/>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Standard Products Business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41,298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58,528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82,705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Power Solutions</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58,212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58,887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down</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46,861</w:t>
            </w:r>
          </w:p>
        </w:tc>
        <w:tc>
          <w:tcPr>
            <w:tcW w:w="8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up</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Transitional Fab 3 foundry services</w:t>
            </w:r>
            <w:r>
              <w:rPr>
                <w:rFonts w:ascii="Arial" w:cs="Arial" w:eastAsia="Arial" w:hAnsi="Arial"/>
                <w:sz w:val="15"/>
                <w:szCs w:val="15"/>
                <w:color w:val="auto"/>
              </w:rPr>
              <w:t>(1)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10,825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13,379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down</w:t>
            </w:r>
          </w:p>
        </w:tc>
        <w:tc>
          <w:tcPr>
            <w:tcW w:w="1080" w:type="dxa"/>
            <w:vAlign w:val="bottom"/>
            <w:gridSpan w:val="5"/>
          </w:tcPr>
          <w:p>
            <w:pPr>
              <w:jc w:val="right"/>
              <w:ind w:right="15"/>
              <w:spacing w:after="0"/>
              <w:rPr>
                <w:sz w:val="20"/>
                <w:szCs w:val="20"/>
                <w:color w:val="auto"/>
              </w:rPr>
            </w:pPr>
            <w:r>
              <w:rPr>
                <w:rFonts w:ascii="Arial" w:cs="Arial" w:eastAsia="Arial" w:hAnsi="Arial"/>
                <w:sz w:val="18"/>
                <w:szCs w:val="18"/>
                <w:color w:val="auto"/>
              </w:rPr>
              <w:t>1.7%pts</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Arial" w:cs="Arial" w:eastAsia="Arial" w:hAnsi="Arial"/>
                <w:sz w:val="18"/>
                <w:szCs w:val="18"/>
                <w:color w:val="auto"/>
              </w:rPr>
              <w:t>up</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8.1%pts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63,870</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20,001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9,206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up</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593.8%</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53,611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10,768</w:t>
            </w: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up</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66,581</w:t>
            </w: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up</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387.0%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r>
      <w:tr>
        <w:trPr>
          <w:trHeight w:val="346"/>
        </w:trPr>
        <w:tc>
          <w:tcPr>
            <w:tcW w:w="54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2"/>
          </w:tcPr>
          <w:p>
            <w:pPr>
              <w:jc w:val="center"/>
              <w:ind w:left="235"/>
              <w:spacing w:after="0"/>
              <w:rPr>
                <w:sz w:val="20"/>
                <w:szCs w:val="20"/>
                <w:color w:val="auto"/>
              </w:rPr>
            </w:pPr>
            <w:r>
              <w:rPr>
                <w:rFonts w:ascii="Arial" w:cs="Arial" w:eastAsia="Arial" w:hAnsi="Arial"/>
                <w:sz w:val="14"/>
                <w:szCs w:val="14"/>
                <w:color w:val="auto"/>
                <w:w w:val="91"/>
              </w:rPr>
              <w:t>In thousands of U.S dollars, except share data</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142"/>
        </w:trPr>
        <w:tc>
          <w:tcPr>
            <w:tcW w:w="54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6"/>
              </w:rPr>
              <w:t>Non-GAAP</w:t>
            </w:r>
            <w:r>
              <w:rPr>
                <w:rFonts w:ascii="Arial" w:cs="Arial" w:eastAsia="Arial" w:hAnsi="Arial"/>
                <w:sz w:val="12"/>
                <w:szCs w:val="12"/>
                <w:b w:val="1"/>
                <w:bCs w:val="1"/>
                <w:color w:val="auto"/>
                <w:w w:val="96"/>
              </w:rPr>
              <w:t>(4)</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Q4 2021</w:t>
            </w: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Q3 2021</w:t>
            </w:r>
          </w:p>
        </w:tc>
        <w:tc>
          <w:tcPr>
            <w:tcW w:w="3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Q/Q change</w:t>
            </w:r>
          </w:p>
        </w:tc>
        <w:tc>
          <w:tcPr>
            <w:tcW w:w="240" w:type="dxa"/>
            <w:vAlign w:val="bottom"/>
            <w:tcBorders>
              <w:bottom w:val="single" w:sz="8" w:color="CCEEFF"/>
            </w:tcBorders>
            <w:gridSpan w:val="2"/>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Q4 2020</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Y/Y change</w:t>
            </w:r>
          </w:p>
        </w:tc>
        <w:tc>
          <w:tcPr>
            <w:tcW w:w="38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22,691</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15,355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18,144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26,361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down</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18,582</w:t>
            </w: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14,606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20,073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17,268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0.31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0.42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down</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down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r>
      <w:tr>
        <w:trPr>
          <w:trHeight w:val="373"/>
        </w:trPr>
        <w:tc>
          <w:tcPr>
            <w:tcW w:w="5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12"/>
          </w:tcPr>
          <w:p>
            <w:pPr>
              <w:jc w:val="center"/>
              <w:ind w:right="6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GAAP</w:t>
            </w: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Y/Y Change</w:t>
            </w:r>
          </w:p>
        </w:tc>
        <w:tc>
          <w:tcPr>
            <w:tcW w:w="380" w:type="dxa"/>
            <w:vAlign w:val="bottom"/>
            <w:tcBorders>
              <w:bottom w:val="single" w:sz="8" w:color="CCEEFF"/>
            </w:tcBorders>
          </w:tcPr>
          <w:p>
            <w:pPr>
              <w:spacing w:after="0"/>
              <w:rPr>
                <w:sz w:val="12"/>
                <w:szCs w:val="12"/>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Standard Products Business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205,322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299,057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Power Solutions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227,777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166,462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up</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Transitional Fab 3 foundry services</w:t>
            </w:r>
            <w:r>
              <w:rPr>
                <w:rFonts w:ascii="Arial" w:cs="Arial" w:eastAsia="Arial" w:hAnsi="Arial"/>
                <w:sz w:val="15"/>
                <w:szCs w:val="15"/>
                <w:color w:val="auto"/>
              </w:rPr>
              <w:t>(1)</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41,131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41,540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up</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7.1%pts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5"/>
                <w:szCs w:val="15"/>
                <w:b w:val="1"/>
                <w:bCs w:val="1"/>
                <w:color w:val="auto"/>
              </w:rPr>
              <w:t>(2)</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83,407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up</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208.7%</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15"/>
                <w:szCs w:val="15"/>
                <w:b w:val="1"/>
                <w:bCs w:val="1"/>
                <w:color w:val="auto"/>
              </w:rPr>
              <w:t>(3)</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56,708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w w:val="86"/>
              </w:rPr>
              <w:t>344,965</w:t>
            </w:r>
          </w:p>
        </w:tc>
        <w:tc>
          <w:tcPr>
            <w:tcW w:w="20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down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9.80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w:t>
            </w:r>
          </w:p>
        </w:tc>
      </w:t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7.54</w:t>
            </w:r>
          </w:p>
        </w:tc>
        <w:tc>
          <w:tcPr>
            <w:tcW w:w="20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down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r>
      <w:tr>
        <w:trPr>
          <w:trHeight w:val="346"/>
        </w:trPr>
        <w:tc>
          <w:tcPr>
            <w:tcW w:w="5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12"/>
          </w:tcPr>
          <w:p>
            <w:pPr>
              <w:jc w:val="center"/>
              <w:ind w:right="620"/>
              <w:spacing w:after="0"/>
              <w:rPr>
                <w:sz w:val="20"/>
                <w:szCs w:val="20"/>
                <w:color w:val="auto"/>
              </w:rPr>
            </w:pPr>
            <w:r>
              <w:rPr>
                <w:rFonts w:ascii="Arial" w:cs="Arial" w:eastAsia="Arial" w:hAnsi="Arial"/>
                <w:sz w:val="14"/>
                <w:szCs w:val="14"/>
                <w:color w:val="auto"/>
                <w:w w:val="91"/>
              </w:rPr>
              <w:t>In thousands of U.S dollars, except share data</w:t>
            </w:r>
          </w:p>
        </w:tc>
      </w:tr>
      <w:tr>
        <w:trPr>
          <w:trHeight w:val="142"/>
        </w:trPr>
        <w:tc>
          <w:tcPr>
            <w:tcW w:w="5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6"/>
              </w:rPr>
              <w:t>Non-GAAP</w:t>
            </w:r>
            <w:r>
              <w:rPr>
                <w:rFonts w:ascii="Arial" w:cs="Arial" w:eastAsia="Arial" w:hAnsi="Arial"/>
                <w:sz w:val="12"/>
                <w:szCs w:val="12"/>
                <w:b w:val="1"/>
                <w:bCs w:val="1"/>
                <w:color w:val="auto"/>
                <w:w w:val="96"/>
              </w:rPr>
              <w:t>(4)</w:t>
            </w: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Y/Y Change</w:t>
            </w:r>
          </w:p>
        </w:tc>
        <w:tc>
          <w:tcPr>
            <w:tcW w:w="380" w:type="dxa"/>
            <w:vAlign w:val="bottom"/>
            <w:tcBorders>
              <w:bottom w:val="single" w:sz="8" w:color="CCEEFF"/>
            </w:tcBorders>
          </w:tcPr>
          <w:p>
            <w:pPr>
              <w:spacing w:after="0"/>
              <w:rPr>
                <w:sz w:val="12"/>
                <w:szCs w:val="12"/>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up</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70,701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52,919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up</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51,059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up</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0.73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up</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424" w:right="60" w:hanging="424"/>
        <w:spacing w:after="0" w:line="286"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p>
      <w:pPr>
        <w:spacing w:after="0" w:line="1" w:lineRule="exact"/>
        <w:rPr>
          <w:rFonts w:ascii="Arial" w:cs="Arial" w:eastAsia="Arial" w:hAnsi="Arial"/>
          <w:sz w:val="16"/>
          <w:szCs w:val="16"/>
          <w:color w:val="auto"/>
        </w:rPr>
      </w:pPr>
    </w:p>
    <w:p>
      <w:pPr>
        <w:ind w:left="424" w:right="320" w:hanging="424"/>
        <w:spacing w:after="0" w:line="25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year ended December 31, 2021, operating income of $83.4 million included net gain of $35.5 million that represented $70.2 million income from the recognition of a reverse termination fee, net of professional service fees and expenses of $34.7 million incurred in connection with the contemplated merger transaction.</w:t>
      </w:r>
    </w:p>
    <w:p>
      <w:pPr>
        <w:spacing w:after="0" w:line="1" w:lineRule="exact"/>
        <w:rPr>
          <w:rFonts w:ascii="Arial" w:cs="Arial" w:eastAsia="Arial" w:hAnsi="Arial"/>
          <w:sz w:val="18"/>
          <w:szCs w:val="18"/>
          <w:color w:val="auto"/>
        </w:rPr>
      </w:pPr>
    </w:p>
    <w:p>
      <w:pPr>
        <w:ind w:left="424" w:right="100" w:hanging="424"/>
        <w:spacing w:after="0" w:line="281"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year ended December 31,2020, net income of $345.0 million included income from discontinued operations, net of tax, of $287.9 million, primarily attributable to the recognition of $287.1 million as gain on sale of the Foundry Services Group business and Fab 4. It also included income tax benefits of $46.2 million, mainly attributable to the recognition of differences between GAAP and cash tax expense of $43.9 million.</w:t>
      </w:r>
    </w:p>
    <w:p>
      <w:pPr>
        <w:spacing w:after="0" w:line="1" w:lineRule="exact"/>
        <w:rPr>
          <w:rFonts w:ascii="Arial" w:cs="Arial" w:eastAsia="Arial" w:hAnsi="Arial"/>
          <w:sz w:val="16"/>
          <w:szCs w:val="16"/>
          <w:color w:val="auto"/>
        </w:rPr>
      </w:pPr>
    </w:p>
    <w:p>
      <w:pPr>
        <w:ind w:left="424" w:right="180" w:hanging="424"/>
        <w:spacing w:after="0" w:line="292"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financial measures are calculated based on the results from continuing operations. 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99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182880</wp:posOffset>
            </wp:positionV>
            <wp:extent cx="1405890"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300"/>
                    </a:xfrm>
                    <a:prstGeom prst="rect">
                      <a:avLst/>
                    </a:prstGeom>
                    <a:noFill/>
                  </pic:spPr>
                </pic:pic>
              </a:graphicData>
            </a:graphic>
          </wp:anchor>
        </w:drawing>
        <w:t>Q1 2022 Financial Guidance</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near-term outlook is still being challenged by persisting supply constraints especially for 28nm 12” wafers. While actual results may vary, looking into the next quarter, which typically presents seasonal softness, Magnachip anticipates Q1 2022 to be the bottom and currently expects:</w:t>
      </w:r>
    </w:p>
    <w:p>
      <w:pPr>
        <w:spacing w:after="0" w:line="29"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 to be in the range of $102 million to $108 million, including about $9 million of the Transitional Fab 3 Foundry Services.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34.5% to 36.5%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2021 Earnings Conference Call</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Magnachip will host a conference call at 5 p.m. Eastern Time on February 16, 2022. The conference call will be webcast live and also is available by dialing toll-free at </w:t>
      </w:r>
      <w:r>
        <w:rPr>
          <w:rFonts w:ascii="Arial" w:cs="Arial" w:eastAsia="Arial" w:hAnsi="Arial"/>
          <w:sz w:val="17"/>
          <w:szCs w:val="17"/>
          <w:b w:val="1"/>
          <w:bCs w:val="1"/>
          <w:color w:val="auto"/>
        </w:rPr>
        <w:t>1-844-536-5472</w:t>
      </w:r>
      <w:r>
        <w:rPr>
          <w:rFonts w:ascii="Arial" w:cs="Arial" w:eastAsia="Arial" w:hAnsi="Arial"/>
          <w:sz w:val="17"/>
          <w:szCs w:val="17"/>
          <w:color w:val="auto"/>
        </w:rPr>
        <w:t xml:space="preserve">. International call-in participants can dial </w:t>
      </w:r>
      <w:r>
        <w:rPr>
          <w:rFonts w:ascii="Arial" w:cs="Arial" w:eastAsia="Arial" w:hAnsi="Arial"/>
          <w:sz w:val="17"/>
          <w:szCs w:val="17"/>
          <w:b w:val="1"/>
          <w:bCs w:val="1"/>
          <w:color w:val="auto"/>
        </w:rPr>
        <w:t>1-614-999-9318</w:t>
      </w:r>
      <w:r>
        <w:rPr>
          <w:rFonts w:ascii="Arial" w:cs="Arial" w:eastAsia="Arial" w:hAnsi="Arial"/>
          <w:sz w:val="17"/>
          <w:szCs w:val="17"/>
          <w:color w:val="auto"/>
        </w:rPr>
        <w:t xml:space="preserve">. The conference ID number is </w:t>
      </w:r>
      <w:r>
        <w:rPr>
          <w:rFonts w:ascii="Arial" w:cs="Arial" w:eastAsia="Arial" w:hAnsi="Arial"/>
          <w:sz w:val="17"/>
          <w:szCs w:val="17"/>
          <w:b w:val="1"/>
          <w:bCs w:val="1"/>
          <w:color w:val="auto"/>
        </w:rPr>
        <w:t>1582546.</w:t>
      </w:r>
      <w:r>
        <w:rPr>
          <w:rFonts w:ascii="Arial" w:cs="Arial" w:eastAsia="Arial" w:hAnsi="Arial"/>
          <w:sz w:val="17"/>
          <w:szCs w:val="17"/>
          <w:color w:val="auto"/>
        </w:rPr>
        <w:t xml:space="preserve"> Participants are encouraged to initiate their calls at least 10 minutes in advance of the 5 p.m. Eastern Time start time to ensure a timely connection. The webcast and earnings release will be accessible at www.magnachip.com. A replay of the conference call will be available the same day and will run for 72 hours. The replay dial-in numbers are </w:t>
      </w:r>
      <w:r>
        <w:rPr>
          <w:rFonts w:ascii="Arial" w:cs="Arial" w:eastAsia="Arial" w:hAnsi="Arial"/>
          <w:sz w:val="17"/>
          <w:szCs w:val="17"/>
          <w:b w:val="1"/>
          <w:bCs w:val="1"/>
          <w:color w:val="auto"/>
        </w:rPr>
        <w:t>1-404-537-3406</w:t>
      </w:r>
      <w:r>
        <w:rPr>
          <w:rFonts w:ascii="Arial" w:cs="Arial" w:eastAsia="Arial" w:hAnsi="Arial"/>
          <w:sz w:val="17"/>
          <w:szCs w:val="17"/>
          <w:color w:val="auto"/>
        </w:rPr>
        <w:t xml:space="preserve"> or toll-free at </w:t>
      </w:r>
      <w:r>
        <w:rPr>
          <w:rFonts w:ascii="Arial" w:cs="Arial" w:eastAsia="Arial" w:hAnsi="Arial"/>
          <w:sz w:val="17"/>
          <w:szCs w:val="17"/>
          <w:b w:val="1"/>
          <w:bCs w:val="1"/>
          <w:color w:val="auto"/>
        </w:rPr>
        <w:t>1-855-859-2056</w:t>
      </w:r>
      <w:r>
        <w:rPr>
          <w:rFonts w:ascii="Arial" w:cs="Arial" w:eastAsia="Arial" w:hAnsi="Arial"/>
          <w:sz w:val="17"/>
          <w:szCs w:val="17"/>
          <w:color w:val="auto"/>
        </w:rPr>
        <w:t xml:space="preserve">. The access code is </w:t>
      </w:r>
      <w:r>
        <w:rPr>
          <w:rFonts w:ascii="Arial" w:cs="Arial" w:eastAsia="Arial" w:hAnsi="Arial"/>
          <w:sz w:val="17"/>
          <w:szCs w:val="17"/>
          <w:b w:val="1"/>
          <w:bCs w:val="1"/>
          <w:color w:val="auto"/>
        </w:rPr>
        <w:t>1582546.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first quarter 2022 revenue and gross profit margin expectations, and the impact of the COVID-19 pandemic or the emergence of various variants of the virus, escalated trade tensions and supply constraints on Magnachip’s first quarter 2022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and/or general economic conditions, including those caused by or related to the COVID-19 pandemic or the emergence of various variants of the virus, other outbreaks of disease, recessions, economic instability or civil unrest; manufacturing capacity constraints or supply chain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our customers and our distributors;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U.S. Securities and Exchange Commission (the “SEC”), including our Form 10-K filed on March 9, 2021 (amended on April 30, 2021), our Form 10-Qs filed on May 10, 2021, August 6, 2021 and November 5, 2021 (including that the impact of the COVID-19 pandemic, trade tensions and supply constraints may also exacerbate the risks discussed therein)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99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182880</wp:posOffset>
            </wp:positionV>
            <wp:extent cx="1405890"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300"/>
                    </a:xfrm>
                    <a:prstGeom prst="rect">
                      <a:avLst/>
                    </a:prstGeom>
                    <a:noFill/>
                  </pic:spPr>
                </pic:pic>
              </a:graphicData>
            </a:graphic>
          </wp:anchor>
        </w:drawing>
        <w:t>About Magnachip Semiconductor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1,150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Jeong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999" w:right="47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182880</wp:posOffset>
            </wp:positionV>
            <wp:extent cx="1405890"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30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428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151"/>
              <w:spacing w:after="0" w:line="119" w:lineRule="exact"/>
              <w:rPr>
                <w:sz w:val="20"/>
                <w:szCs w:val="20"/>
                <w:color w:val="auto"/>
              </w:rPr>
            </w:pPr>
            <w:r>
              <w:rPr>
                <w:rFonts w:ascii="Arial" w:cs="Arial" w:eastAsia="Arial" w:hAnsi="Arial"/>
                <w:sz w:val="13"/>
                <w:szCs w:val="13"/>
                <w:b w:val="1"/>
                <w:bCs w:val="1"/>
                <w:color w:val="auto"/>
              </w:rPr>
              <w:t>December 31,</w:t>
            </w:r>
          </w:p>
        </w:tc>
        <w:tc>
          <w:tcPr>
            <w:tcW w:w="154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September 30,</w:t>
            </w:r>
          </w:p>
        </w:tc>
        <w:tc>
          <w:tcPr>
            <w:tcW w:w="1060" w:type="dxa"/>
            <w:vAlign w:val="bottom"/>
            <w:tcBorders>
              <w:top w:val="single" w:sz="8" w:color="auto"/>
            </w:tcBorders>
            <w:gridSpan w:val="2"/>
          </w:tcPr>
          <w:p>
            <w:pPr>
              <w:jc w:val="center"/>
              <w:ind w:left="73"/>
              <w:spacing w:after="0" w:line="119" w:lineRule="exact"/>
              <w:rPr>
                <w:sz w:val="20"/>
                <w:szCs w:val="20"/>
                <w:color w:val="auto"/>
              </w:rPr>
            </w:pPr>
            <w:r>
              <w:rPr>
                <w:rFonts w:ascii="Arial" w:cs="Arial" w:eastAsia="Arial" w:hAnsi="Arial"/>
                <w:sz w:val="13"/>
                <w:szCs w:val="13"/>
                <w:b w:val="1"/>
                <w:bCs w:val="1"/>
                <w:color w:val="auto"/>
                <w:w w:val="96"/>
              </w:rPr>
              <w:t>December 31,</w:t>
            </w:r>
          </w:p>
        </w:tc>
        <w:tc>
          <w:tcPr>
            <w:tcW w:w="50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271"/>
              <w:spacing w:after="0" w:line="119" w:lineRule="exact"/>
              <w:rPr>
                <w:sz w:val="20"/>
                <w:szCs w:val="20"/>
                <w:color w:val="auto"/>
              </w:rPr>
            </w:pPr>
            <w:r>
              <w:rPr>
                <w:rFonts w:ascii="Arial" w:cs="Arial" w:eastAsia="Arial" w:hAnsi="Arial"/>
                <w:sz w:val="13"/>
                <w:szCs w:val="13"/>
                <w:b w:val="1"/>
                <w:bCs w:val="1"/>
                <w:color w:val="auto"/>
              </w:rPr>
              <w:t>December 31,</w:t>
            </w:r>
          </w:p>
        </w:tc>
        <w:tc>
          <w:tcPr>
            <w:tcW w:w="10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160" w:type="dxa"/>
            <w:vAlign w:val="bottom"/>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99,510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117,415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129,566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433,099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465,519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10,825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9,585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13,379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41,131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41,540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110,335</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127,000</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142,945</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474,230</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507,059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62,206</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71,641</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92,503</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283,503</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338,420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9,525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8,772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11,981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37,184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40,322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cost of sales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71,731</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80,413</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104,484</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320,687</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378,742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38,604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46,587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38,461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153,543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128,317</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13,255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12,550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12,576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52,440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49,974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12,197</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12,270</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51,212</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45,698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costs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(49,369)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(35,527)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Early termination and other charges, net</w:t>
            </w:r>
          </w:p>
        </w:tc>
        <w:tc>
          <w:tcPr>
            <w:tcW w:w="10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(1,349)</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4,976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(25,266)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26,586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29,255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70,136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101,301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63,870</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20,001</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9,206</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83,407</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27,016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(1,371)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(18,147)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(7,579)</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18"/>
                <w:szCs w:val="18"/>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(11,853)</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borrowings,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947</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1,608</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3,786</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3,110</w:t>
            </w: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 tax</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64,832</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13,917</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20,838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73,969</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11,221</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3,149</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(47,064)</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17,261</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(46,228)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53,611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10,768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67,902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56,708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57,059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9"/>
              </w:rPr>
              <w:t>Income (loss) from discontinued operations, net of tax</w:t>
            </w:r>
          </w:p>
        </w:tc>
        <w:tc>
          <w:tcPr>
            <w:tcW w:w="1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287,906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53,611</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10,768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66,581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56,708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344,965</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8"/>
              </w:rPr>
              <w:t>Basic earnings (loss) per common share— Continuing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1.16</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1.16</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Weighted average number of shares— Basic</w:t>
            </w:r>
          </w:p>
        </w:tc>
        <w:tc>
          <w:tcPr>
            <w:tcW w:w="10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w w:val="88"/>
              </w:rPr>
              <w:t>46,369,520</w:t>
            </w:r>
          </w:p>
        </w:tc>
        <w:tc>
          <w:tcPr>
            <w:tcW w:w="38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w w:val="88"/>
              </w:rPr>
              <w:t>46,449,234</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35,582,966</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w w:val="86"/>
              </w:rPr>
              <w:t>44,879,412</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35,213,525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8"/>
              </w:rPr>
              <w:t>47,691,816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8"/>
              </w:rPr>
              <w:t>47,808,457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47,062,903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6"/>
              </w:rPr>
              <w:t>47,709,373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46,503,586</w:t>
            </w:r>
          </w:p>
        </w:tc>
      </w:tr>
      <w:tr>
        <w:trPr>
          <w:trHeight w:val="365"/>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999" w:right="439" w:bottom="1440" w:gutter="0" w:footer="0" w:header="0"/>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182880</wp:posOffset>
            </wp:positionV>
            <wp:extent cx="1405890"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30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279,547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279,940</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64,390</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39,039</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25,895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7,332</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9,321</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409,120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409,610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107,882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4,058</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9,739</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583,654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571,690</w:t>
            </w: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37,593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52,164</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16,241</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83,479</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4,595</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173,618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33,064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40,462</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9,588</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130,892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226,090</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10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$0.01 par value, 150,000,000 shares authorized, 55,905,320 shares issued and 45,659,304 outstanding</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100" w:type="dxa"/>
            <w:vAlign w:val="bottom"/>
          </w:tcPr>
          <w:p>
            <w:pPr>
              <w:ind w:left="540"/>
              <w:spacing w:after="0"/>
              <w:rPr>
                <w:sz w:val="20"/>
                <w:szCs w:val="20"/>
                <w:color w:val="auto"/>
              </w:rPr>
            </w:pPr>
            <w:r>
              <w:rPr>
                <w:rFonts w:ascii="Arial" w:cs="Arial" w:eastAsia="Arial" w:hAnsi="Arial"/>
                <w:sz w:val="18"/>
                <w:szCs w:val="18"/>
                <w:color w:val="auto"/>
              </w:rPr>
              <w:t>at December 31, 2021 and 44,943,854 shares issued and 35,783,347 outstanding at December 31, 2020</w:t>
            </w: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241,197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163,010</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343,542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286,834</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Treasury stock, 10,246,016 shares at December 31, 2021 and 9,160,507 shares at December 31, 2020, respectively</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(130,306)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(108,397)</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452,762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345,600</w:t>
            </w: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583,654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571,690</w:t>
            </w:r>
          </w:p>
        </w:tc>
      </w:tr>
      <w:tr>
        <w:trPr>
          <w:trHeight w:val="350"/>
        </w:trPr>
        <w:tc>
          <w:tcPr>
            <w:tcW w:w="9100" w:type="dxa"/>
            <w:vAlign w:val="bottom"/>
          </w:tcPr>
          <w:p>
            <w:pPr>
              <w:ind w:left="54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999"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182880</wp:posOffset>
            </wp:positionV>
            <wp:extent cx="1405890" cy="368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30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51"/>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r>
      <w:tr>
        <w:trPr>
          <w:trHeight w:val="171"/>
        </w:trPr>
        <w:tc>
          <w:tcPr>
            <w:tcW w:w="6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53,611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56,708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344,965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3,663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14,239</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16,481</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8,282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16,743</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2,220</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32,432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(23,233)</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3,502</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 (income),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(12,142)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Provision for inventory reserves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2,244</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3,695</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7,704</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6,699</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Loss on early extinguishment of borrowings,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766</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discontinued operations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(287,117)</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Deferred income tax assets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918</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(44,441)</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(613)</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7,505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(19,268)</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Unbilled accounts receivable,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14,260</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(5,939)</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(2,338)</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6,954</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12,397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13,561</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4,755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(11,437)</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3,960</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(7,813)</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(2,406)</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(29,116)</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10,825</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2,174</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1,445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(1,398)</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3,521</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to severance insurance deposit accounts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(5,688)</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(11,921)</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(6,679)</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(12,076)</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57,727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87,743</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7,470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5,214</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13,762</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(3,349)</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(8,839)</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Proceeds from disposal of property, plant and equipment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1,446</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(32,212)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(36,100)</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 of guarantee deposits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3,192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Payment of guarantee deposits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(5,001)</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(1,236)</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discontinued operations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350,553</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(31,438)</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318,482</w:t>
            </w:r>
          </w:p>
        </w:tc>
      </w:tr>
      <w:tr>
        <w:trPr>
          <w:trHeight w:val="216"/>
        </w:trPr>
        <w:tc>
          <w:tcPr>
            <w:tcW w:w="6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long-term borrowings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(224,250)</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4,279</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3,918</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(1,653)</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Acquisition of stock under accelerated stock repurchase agreement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(20,073)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(20,073)</w:t>
            </w: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under accelerated stock repurchase agreement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(17,427)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(563)</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(37,335)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(35,544)</w:t>
            </w:r>
          </w:p>
        </w:tc>
        <w:tc>
          <w:tcPr>
            <w:tcW w:w="3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(222,281)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(21,154)</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24,612</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3,246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128,283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276,301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279,940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279,547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1"/>
              <w:spacing w:after="0"/>
              <w:rPr>
                <w:sz w:val="20"/>
                <w:szCs w:val="20"/>
                <w:color w:val="auto"/>
              </w:rPr>
            </w:pPr>
            <w:r>
              <w:rPr>
                <w:rFonts w:ascii="Arial" w:cs="Arial" w:eastAsia="Arial" w:hAnsi="Arial"/>
                <w:sz w:val="18"/>
                <w:szCs w:val="18"/>
                <w:color w:val="auto"/>
              </w:rPr>
              <w:t>279,547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279,940</w:t>
            </w:r>
          </w:p>
        </w:tc>
      </w:tr>
      <w:tr>
        <w:trPr>
          <w:trHeight w:val="350"/>
        </w:trPr>
        <w:tc>
          <w:tcPr>
            <w:tcW w:w="6300" w:type="dxa"/>
            <w:vAlign w:val="bottom"/>
          </w:tcPr>
          <w:p>
            <w:pPr>
              <w:ind w:left="546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999"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183515</wp:posOffset>
            </wp:positionV>
            <wp:extent cx="1405890" cy="36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9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OPERATING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6"/>
              </w:rPr>
              <w:t>Year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2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2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September 30,</w:t>
            </w:r>
          </w:p>
        </w:tc>
        <w:tc>
          <w:tcPr>
            <w:tcW w:w="9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360" w:type="dxa"/>
            <w:vAlign w:val="bottom"/>
          </w:tcPr>
          <w:p>
            <w:pPr>
              <w:spacing w:after="0"/>
              <w:rPr>
                <w:sz w:val="10"/>
                <w:szCs w:val="10"/>
                <w:color w:val="auto"/>
              </w:rPr>
            </w:pP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63,870</w:t>
            </w: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20,001</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83,407</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27,016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1,648</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7,704</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6,311</w:t>
            </w:r>
          </w:p>
        </w:tc>
      </w:tr>
      <w:tr>
        <w:trPr>
          <w:trHeight w:val="202"/>
        </w:trPr>
        <w:tc>
          <w:tcPr>
            <w:tcW w:w="5260" w:type="dxa"/>
            <w:vAlign w:val="bottom"/>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 downstream</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260" w:type="dxa"/>
            <w:vAlign w:val="bottom"/>
          </w:tcPr>
          <w:p>
            <w:pPr>
              <w:ind w:left="540"/>
              <w:spacing w:after="0"/>
              <w:rPr>
                <w:sz w:val="20"/>
                <w:szCs w:val="20"/>
                <w:color w:val="auto"/>
              </w:rPr>
            </w:pPr>
            <w:r>
              <w:rPr>
                <w:rFonts w:ascii="Arial" w:cs="Arial" w:eastAsia="Arial" w:hAnsi="Arial"/>
                <w:sz w:val="18"/>
                <w:szCs w:val="18"/>
                <w:color w:val="auto"/>
              </w:rPr>
              <w:t>trade restrictions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w:t>
            </w:r>
          </w:p>
        </w:tc>
        <w:tc>
          <w:tcPr>
            <w:tcW w:w="46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20"/>
                <w:szCs w:val="20"/>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(1,460)</w:t>
            </w:r>
          </w:p>
        </w:tc>
        <w:tc>
          <w:tcPr>
            <w:tcW w:w="3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1,460</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Merger-related costs (income),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(49,369)</w:t>
            </w:r>
          </w:p>
        </w:tc>
        <w:tc>
          <w:tcPr>
            <w:tcW w:w="460" w:type="dxa"/>
            <w:vAlign w:val="bottom"/>
          </w:tcPr>
          <w:p>
            <w:pPr>
              <w:spacing w:after="0"/>
              <w:rPr>
                <w:sz w:val="18"/>
                <w:szCs w:val="18"/>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1,552</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(35,527)</w:t>
            </w:r>
          </w:p>
        </w:tc>
        <w:tc>
          <w:tcPr>
            <w:tcW w:w="3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653</w:t>
            </w: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and other charges,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4,422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2,011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14,421</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22,691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15,355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56,135</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41,584</w:t>
            </w:r>
          </w:p>
        </w:tc>
      </w:tr>
    </w:tbl>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present Adjusted Operating Income as a supplemental measure of our performance. We define Adjusted Operating Income for the periods indicated as operating income adjusted to exclude (i) Equity-based compensation expense, (ii) Inventory reserve related to Huawei impact of downstream trade restrictions, (iii) Expenses related to Fab 3 power outage, (iv) Merger-related costs (income), net and (v) Early termination and other charges, net.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2021, we recorded in our consolidated statement of operations net gain of $35,527 thousand that represented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$70,200 thousand from the recognition of a reverse termination fee, net of professional service fees and expenses of $34,673 thousand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contemplated merger transaction of the Company that was terminated in December 2021. For the same period, we also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$3,430 thousand of non-recurring professional service fees and expenses incurred in connection with the regulatory requests, partially offset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$1,419 thousand gain on sale of certain legacy equipment of the closed back-end line in our fabrication facility in Gumi (which was closed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2018).</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 ended December 31, 2020, we recorded in our consolidated statement of operations $4,422 thousand of early termination and other charges, net, in connection with the headcount reduction program offered and paid to the employees during the fourth quarter of 2020. During the same period, we also recorded $554 thousand of non-recurring professional service fees and expenses incurred in connection with certain treasury and finance initiatives.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999"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183515</wp:posOffset>
            </wp:positionV>
            <wp:extent cx="1405890" cy="36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9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4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91"/>
              <w:spacing w:after="0" w:line="119" w:lineRule="exact"/>
              <w:rPr>
                <w:sz w:val="20"/>
                <w:szCs w:val="20"/>
                <w:color w:val="auto"/>
              </w:rPr>
            </w:pPr>
            <w:r>
              <w:rPr>
                <w:rFonts w:ascii="Arial" w:cs="Arial" w:eastAsia="Arial" w:hAnsi="Arial"/>
                <w:sz w:val="13"/>
                <w:szCs w:val="13"/>
                <w:b w:val="1"/>
                <w:bCs w:val="1"/>
                <w:color w:val="auto"/>
              </w:rPr>
              <w:t>December 31,</w:t>
            </w:r>
          </w:p>
        </w:tc>
        <w:tc>
          <w:tcPr>
            <w:tcW w:w="1480" w:type="dxa"/>
            <w:vAlign w:val="bottom"/>
            <w:tcBorders>
              <w:top w:val="single" w:sz="8" w:color="auto"/>
            </w:tcBorders>
            <w:gridSpan w:val="2"/>
          </w:tcPr>
          <w:p>
            <w:pPr>
              <w:ind w:left="28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1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r>
      <w:tr>
        <w:trPr>
          <w:trHeight w:val="17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53,611</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10,768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56,708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57,059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(1,238)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11,221</w:t>
            </w:r>
          </w:p>
        </w:tc>
        <w:tc>
          <w:tcPr>
            <w:tcW w:w="3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3,149</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(47,064)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17,261</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(46,228)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3,663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3,578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14,239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EBITDA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67,769</w:t>
            </w:r>
          </w:p>
        </w:tc>
        <w:tc>
          <w:tcPr>
            <w:tcW w:w="3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17,056</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24,849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86,970</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37,351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1,648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7,704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Foreign currency loss (gain),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7,579</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(13,256)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11,853</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Derivative valuation loss (gain),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Loss on early extinguishment of borrowings,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766</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Inventory reserve related to Huawei impact of downstream</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restrictions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(1,460)</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Expenses related to Fab 3 power outage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costs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1,552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(35,527)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Early termination and other charges,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w:t>
            </w:r>
          </w:p>
        </w:tc>
        <w:tc>
          <w:tcPr>
            <w:tcW w:w="36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1,284</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4,976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18,144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26,361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70,701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52,919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53,611</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10,768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67,902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56,708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57,059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1,648</w:t>
            </w:r>
          </w:p>
        </w:tc>
        <w:tc>
          <w:tcPr>
            <w:tcW w:w="3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7,704</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6,311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(gain),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7,579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11,853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Derivative valuation loss (gain),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borrowings,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5"/>
              </w:rPr>
              <w:t>Inventory reserve related to Huawei impact of downstream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trade restrictions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360" w:type="dxa"/>
            <w:vAlign w:val="bottom"/>
          </w:tcPr>
          <w:p>
            <w:pPr>
              <w:spacing w:after="0"/>
              <w:rPr>
                <w:sz w:val="20"/>
                <w:szCs w:val="20"/>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(1,460)</w:t>
            </w:r>
          </w:p>
        </w:tc>
        <w:tc>
          <w:tcPr>
            <w:tcW w:w="2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Fab 3 power outage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Merger-related costs (income),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(49,369)</w:t>
            </w:r>
          </w:p>
        </w:tc>
        <w:tc>
          <w:tcPr>
            <w:tcW w:w="3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(35,527)</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and other charges,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GAAP and cash tax expense difference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907</w:t>
            </w:r>
          </w:p>
        </w:tc>
        <w:tc>
          <w:tcPr>
            <w:tcW w:w="3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(43,874)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907</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(43,874)</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non-GAAP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9,713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9,713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Adjusted 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14,606</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20,073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17,268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51,059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28,260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 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0.31</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0.43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88"/>
              </w:rPr>
              <w:t>46,369,520</w:t>
            </w:r>
          </w:p>
        </w:tc>
        <w:tc>
          <w:tcPr>
            <w:tcW w:w="3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w w:val="88"/>
              </w:rPr>
              <w:t>46,449,234</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35,582,966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w w:val="88"/>
              </w:rPr>
              <w:t>44,879,412</w:t>
            </w: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35,213,525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8"/>
              </w:rPr>
              <w:t>47,691,816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8"/>
              </w:rPr>
              <w:t>47,808,457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47,062,903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8"/>
              </w:rPr>
              <w:t>47,709,373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46,503,586</w:t>
            </w:r>
          </w:p>
        </w:tc>
      </w:tr>
    </w:tbl>
    <w:p>
      <w:pPr>
        <w:spacing w:after="0" w:line="202" w:lineRule="exact"/>
        <w:rPr>
          <w:sz w:val="20"/>
          <w:szCs w:val="20"/>
          <w:color w:val="auto"/>
        </w:rPr>
      </w:pPr>
    </w:p>
    <w:p>
      <w:pPr>
        <w:ind w:left="4" w:right="280"/>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(gain), net,</w:t>
      </w:r>
    </w:p>
    <w:p>
      <w:pPr>
        <w:ind w:left="4" w:right="380" w:hanging="4"/>
        <w:spacing w:after="0" w:line="255"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valuation loss (gain), net, (iv) Loss on early extinguishment of borrowings, net, (v) Inventory reserve related to Huawei impact of downstream trade restrictions, (vi) Expenses related to Fab 3 power outage, (vii) Merger-related costs (income), net and (viii) Early termination and other charges, net.</w:t>
      </w:r>
    </w:p>
    <w:p>
      <w:pPr>
        <w:spacing w:after="0" w:line="190" w:lineRule="exact"/>
        <w:rPr>
          <w:sz w:val="20"/>
          <w:szCs w:val="20"/>
          <w:color w:val="auto"/>
        </w:rPr>
      </w:pPr>
    </w:p>
    <w:p>
      <w:pPr>
        <w:ind w:left="4" w:right="100"/>
        <w:spacing w:after="0" w:line="253" w:lineRule="auto"/>
        <w:rPr>
          <w:sz w:val="20"/>
          <w:szCs w:val="20"/>
          <w:color w:val="auto"/>
        </w:rPr>
      </w:pPr>
      <w:r>
        <w:rPr>
          <w:rFonts w:ascii="Arial" w:cs="Arial" w:eastAsia="Arial" w:hAnsi="Arial"/>
          <w:sz w:val="18"/>
          <w:szCs w:val="18"/>
          <w:color w:val="auto"/>
        </w:rPr>
        <w:t>EBITDA for the periods indicated is defined as Income from continuing operations before interest expense, net, income tax expense (benefit) and depreciation and amortization. We prepare Adjusted Net Income by adjusting income from continuing operations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income from continuing operations, adjusted to exclude (i) Equity-based compensation expense, (ii) Foreign currency loss (gain), net, (iii) Derivative valuation loss (gain), net, (iv) Loss on early extinguishment of borrowings, net, (v) Inventory reserve related to Huawei impact of downstream trade restrictions, (vi) Expenses related to Fab 3 power outage, (vii) Merger-related costs (income), net, (viii) Early termination and other charges, net, (ix) GAAP and cash tax expense difference and (x) Income tax effect on non-GAAP adjustments.</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999" w:right="4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183515</wp:posOffset>
            </wp:positionV>
            <wp:extent cx="1405890" cy="36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05890" cy="368935"/>
                    </a:xfrm>
                    <a:prstGeom prst="rect">
                      <a:avLst/>
                    </a:prstGeom>
                    <a:noFill/>
                  </pic:spPr>
                </pic:pic>
              </a:graphicData>
            </a:graphic>
          </wp:anchor>
        </w:drawing>
        <w:t>For the year ended December 31, 2021, we recorded in our consolidated statement of operations net gain of $35,527 thousand that represented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$70,200 thousand from the recognition of a reverse termination fee, net of professional service fees and expenses of $34,673 thousand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contemplated merger transaction of the Company that was terminated in December 2021. For the same period, we also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$3,430 thousand of non-recurring professional service fees and expenses incurred in connection with the regulatory requests, partially offset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$1,419 thousand gain on sale of certain legacy equipment of the closed back-end line in our fabrication facility in Gumi (which was closed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2018 and $727 thousand legal settlement gain related to certain expenses incurred in prior periods in connection with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legacy Fab 4 (which was sold during the year ended December 31, 2020) and awarded in the third quarter of 2021.</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2020, we recorded in our consolidated statement of operations $4,422 thousand of early termination and other charges, net in connection with the headcount reduction program offered and paid to the employees during the fourth quarter of 2020. During the same period, we also recorded $554 thousand of non-recurring professional service fees and expenses incurred in connection with certain treasury and finance initiatives.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sectPr>
      <w:pgSz w:w="11900" w:h="16838" w:orient="portrait"/>
      <w:cols w:equalWidth="0" w:num="1">
        <w:col w:w="10980"/>
      </w:cols>
      <w:pgMar w:left="440" w:top="100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2022-02-16T15:20:05Z</dcterms:created>
  <dcterms:modified xsi:type="dcterms:W3CDTF">2022-02-16T15:20:05Z</dcterms:modified>
</cp:coreProperties>
</file>