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9)</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MagnaChip Semiconductor Corporation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$0.01 par value per share</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55933J203</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GLENN W. WELLING</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ENGAGED CAPITAL, LLC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610 Newport Center Drive, Suite 250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Newport Beach, California 92660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(949) 734-7900</w:t>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STEVE WOLOSKY, ESQ.</w:t>
      </w:r>
    </w:p>
    <w:p>
      <w:pPr>
        <w:jc w:val="center"/>
        <w:ind w:right="-159"/>
        <w:spacing w:after="0" w:line="238" w:lineRule="auto"/>
        <w:rPr>
          <w:sz w:val="20"/>
          <w:szCs w:val="20"/>
          <w:color w:val="auto"/>
        </w:rPr>
      </w:pPr>
      <w:r>
        <w:rPr>
          <w:rFonts w:ascii="Arial" w:cs="Arial" w:eastAsia="Arial" w:hAnsi="Arial"/>
          <w:sz w:val="22"/>
          <w:szCs w:val="22"/>
          <w:color w:val="auto"/>
        </w:rPr>
        <w:t>OLSHAN FROME WOLOSKY LLP</w:t>
      </w:r>
    </w:p>
    <w:p>
      <w:pPr>
        <w:jc w:val="center"/>
        <w:ind w:right="-159"/>
        <w:spacing w:after="0" w:line="230" w:lineRule="auto"/>
        <w:rPr>
          <w:sz w:val="20"/>
          <w:szCs w:val="20"/>
          <w:color w:val="auto"/>
        </w:rPr>
      </w:pPr>
      <w:r>
        <w:rPr>
          <w:rFonts w:ascii="Arial" w:cs="Arial" w:eastAsia="Arial" w:hAnsi="Arial"/>
          <w:sz w:val="22"/>
          <w:szCs w:val="22"/>
          <w:color w:val="auto"/>
        </w:rPr>
        <w:t>1325 Avenue of the Americas</w:t>
      </w:r>
    </w:p>
    <w:p>
      <w:pPr>
        <w:jc w:val="center"/>
        <w:ind w:right="-159"/>
        <w:spacing w:after="0" w:line="231" w:lineRule="auto"/>
        <w:rPr>
          <w:sz w:val="20"/>
          <w:szCs w:val="20"/>
          <w:color w:val="auto"/>
        </w:rPr>
      </w:pPr>
      <w:r>
        <w:rPr>
          <w:rFonts w:ascii="Arial" w:cs="Arial" w:eastAsia="Arial" w:hAnsi="Arial"/>
          <w:sz w:val="22"/>
          <w:szCs w:val="22"/>
          <w:color w:val="auto"/>
        </w:rPr>
        <w:t>New York, New York 10019</w:t>
      </w:r>
    </w:p>
    <w:p>
      <w:pPr>
        <w:jc w:val="center"/>
        <w:ind w:right="-159"/>
        <w:spacing w:after="0" w:line="231" w:lineRule="auto"/>
        <w:rPr>
          <w:sz w:val="20"/>
          <w:szCs w:val="20"/>
          <w:color w:val="auto"/>
        </w:rPr>
      </w:pPr>
      <w:r>
        <w:rPr>
          <w:rFonts w:ascii="Arial" w:cs="Arial" w:eastAsia="Arial" w:hAnsi="Arial"/>
          <w:sz w:val="22"/>
          <w:szCs w:val="22"/>
          <w:u w:val="single" w:color="auto"/>
          <w:color w:val="auto"/>
        </w:rPr>
        <w:t>(212) 451-2300</w:t>
      </w:r>
    </w:p>
    <w:p>
      <w:pPr>
        <w:jc w:val="center"/>
        <w:ind w:right="-159"/>
        <w:spacing w:after="0" w:line="230"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November 3, 2017</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55933J203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Engaged Capital Flagship Master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 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CAYMAN ISLANDS</w:t>
            </w: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1,529,451*</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1,529,451*</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1,529,451*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60" w:right="4140" w:hanging="5652"/>
        <w:spacing w:after="0" w:line="524" w:lineRule="auto"/>
        <w:tabs>
          <w:tab w:leader="none" w:pos="119"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Includes 166,334 Shares issuable upon the conversion of the Convertible Notes (as defined below).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55933J203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Engaged Capital Flagship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1,529,451*</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1,529,451*</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1,529,451*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60" w:right="5540" w:hanging="5652"/>
        <w:spacing w:after="0" w:line="615" w:lineRule="auto"/>
        <w:tabs>
          <w:tab w:leader="none" w:pos="119"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Includes 166,334 Shares issuable upon the conversion of the Convertible Notes.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55933J203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Engaged Capital Flagship Fund,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CAYMAN ISLANDS</w:t>
            </w: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1,529,451*</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1,529,451*</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1,529,451*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60" w:right="5540" w:hanging="5652"/>
        <w:spacing w:after="0" w:line="615" w:lineRule="auto"/>
        <w:tabs>
          <w:tab w:leader="none" w:pos="119"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Includes 166,334 Shares issuable upon the conversion of the Convertible Notes.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55933J203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Engaged Capital,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1,662,932*</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1,662,932*</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1,662,932*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60" w:right="5540" w:hanging="5652"/>
        <w:spacing w:after="0" w:line="650" w:lineRule="auto"/>
        <w:tabs>
          <w:tab w:leader="none" w:pos="119"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Includes 181,707 Shares issuable upon the conversion of the Convertible Notes.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55933J203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Engaged Capital Holdings,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1,662,932*</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1,662,932*</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1,662,932*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60" w:right="5540" w:hanging="5652"/>
        <w:spacing w:after="0" w:line="650" w:lineRule="auto"/>
        <w:tabs>
          <w:tab w:leader="none" w:pos="119"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Includes 181,707 Shares issuable upon the conversion of the Convertible Notes.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Glenn W. Welling</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1,662,932*</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1,662,932*</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1,662,932*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660" w:right="5540" w:hanging="5661"/>
        <w:spacing w:after="0" w:line="713" w:lineRule="auto"/>
        <w:rPr>
          <w:rFonts w:ascii="Arial" w:cs="Arial" w:eastAsia="Arial" w:hAnsi="Arial"/>
          <w:sz w:val="18"/>
          <w:szCs w:val="18"/>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Includes 181,707 Shares issuable upon the conversion of the Convertible Notes.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-1722120</wp:posOffset>
            </wp:positionV>
            <wp:extent cx="360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-1439545</wp:posOffset>
            </wp:positionV>
            <wp:extent cx="889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-1439545</wp:posOffset>
            </wp:positionV>
            <wp:extent cx="889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-1439545</wp:posOffset>
            </wp:positionV>
            <wp:extent cx="36004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-933450</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55933J203</w:t>
      </w:r>
    </w:p>
    <w:p>
      <w:pPr>
        <w:spacing w:after="0" w:line="34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following constitutes Amendment No. 9 to the Schedule 13D filed by the undersigned (“Amendment No. 9”). This Amendment No. 9 amends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to read as follows: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securities owned by Engaged Capital Flagship Master and held in the Engaged Capital Account were purchased with working capital (which may, at any given time, include margin loans made by brokerage firms in the ordinary course of business) in open market purchases, except as has been otherwise noted. The aggregate purchase price of the 1,363,117 Shares directly beneficially owned by Engaged Capital Flagship Master is approximately $7,598,263, including brokerage commissions. The aggregate purchase price of the 118,108 Shares held in the Engaged Capital Account is approximately $650,881, including brokerage commissions.</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Engaged Capital Flagship Master purchased $1,373,094 principal amount of the Issuer’s 5.00% Exchangeable Senior Notes due 2021 (the “Convertible Notes”) that are convertible to 166,334 Shares. The Engaged Capital Account purchased $126,906 principal amount of the Convertible Notes that are convertible to 15,373 Shares. The Convertible Notes have an exercise price of approximately $8.2550 per Share, subject to adjustment in certain circumstances, and will expire on March 1, 2021.</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is hereby amended and restated to read as follows:</w:t>
      </w:r>
    </w:p>
    <w:p>
      <w:pPr>
        <w:spacing w:after="0" w:line="225" w:lineRule="exact"/>
        <w:rPr>
          <w:sz w:val="20"/>
          <w:szCs w:val="20"/>
          <w:color w:val="auto"/>
        </w:rPr>
      </w:pPr>
    </w:p>
    <w:p>
      <w:pPr>
        <w:jc w:val="both"/>
        <w:ind w:firstLine="1305"/>
        <w:spacing w:after="0" w:line="264" w:lineRule="auto"/>
        <w:tabs>
          <w:tab w:leader="none" w:pos="181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percentage of Shares reported owned by each person named herein is based upon 34,036,978 Shares outstanding as of July 31, 2017, which is the total number of Shares outstanding as reported in the Issuer’s quarterly report on Form 10-Q filed with the Securities and Exchange Commission on August 4, 2017.</w:t>
      </w:r>
    </w:p>
    <w:p>
      <w:pPr>
        <w:spacing w:after="0" w:line="18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As of the close of business on November 6, 2017, Engaged Capital Flagship Master beneficially owned 1,529,451 Shares, including 166,334 Shares issuable upon the conversion of the Convertible Notes, constituting approximately 4.5% of the Shares outstanding. Each of Engaged Capital Fund and Engaged Capital Offshore, as feeder funds of Engaged Capital Flagship Master, may be deemed to beneficially own the 1,529,451 Shares beneficially owned directly by Engaged Capital Flagship Master, constituting approximately 4.5% of the Shares outstanding.</w:t>
      </w:r>
    </w:p>
    <w:p>
      <w:pPr>
        <w:spacing w:after="0" w:line="17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As of the close of business on November 6, 2017, 133,481 Shares were held in the Engaged Capital Account, including 15,373 Shares issuable upon the conversion of the Convertible Notes, constituting less than 1% of the Shares outstanding.</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Engaged Capital Flagship Master and the Engaged Capital Account own Convertible Notes convertible into 166,334 Shares and 15,373 Shares, respectively. The Convertible Notes are subject to a blocker provision that precludes the holders from converting the Convertible Notes to the extent that the holder and its affiliates would beneficially own (as determined in accordance with Section 13(d) of the Securities Exchange Act of 1934, as amended (the “Exchange Act”)) in excess of 9.99% of the Shares outstanding immediately after giving effect to such conversion. The Reporting Persons’ aggregate beneficial ownership is under 9.99% and accordingly includes all 181,707 Shares underlying the Convertible Notes.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55933J203</w:t>
      </w:r>
    </w:p>
    <w:p>
      <w:pPr>
        <w:spacing w:after="0" w:line="213"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Engaged Capital, as the general partner and investment adviser of Engaged Capital Flagship Master and the investment adviser of the Engaged Capital Account, may be deemed to beneficially own the 1,662,932 Shares directly beneficially owned in the aggregate by Engaged Capital Flagship Master and held in the Engaged Capital Account, constituting approximately 4.9% of the Shares outstanding. Engaged Holdings, as the managing member of Engaged Capital, may be deemed to beneficially own the 1,662,932 Shares directly beneficially owned in the aggregate by Engaged Capital Flagship Master and held in the Engaged Capital Account, constituting approximately 4.9% of the Shares outstanding. Mr. Welling, as the Founder and CIO of Engaged Capital and sole member of Engaged Holdings, may be deemed to beneficially own the 1,662,932 Shares directly beneficially owned in the aggregate by Engaged Capital Flagship Master and held in the Engaged Capital Account, constituting approximately 4.9% of the Shares outstanding.</w:t>
      </w:r>
    </w:p>
    <w:p>
      <w:pPr>
        <w:spacing w:after="0" w:line="16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Each of the Reporting Persons, as a member of a “group” with the other Reporting Persons for purposes of the Exchange Act, may be deemed to beneficially own the securities of the Issuer beneficially owned by the other Reporting Persons. The filing of this Schedule 13D shall not be deemed an admission that the Reporting Persons are, for purposes of Section 13(d) of the Exchange Act, the beneficial owners of any securities of the Issuer he or it does not directly own. Each of the Reporting Persons specifically disclaims beneficial ownership of the securities reported herein that he or it does not directly own.</w:t>
      </w:r>
    </w:p>
    <w:p>
      <w:pPr>
        <w:spacing w:after="0" w:line="188" w:lineRule="exact"/>
        <w:rPr>
          <w:sz w:val="20"/>
          <w:szCs w:val="20"/>
          <w:color w:val="auto"/>
        </w:rPr>
      </w:pPr>
    </w:p>
    <w:p>
      <w:pPr>
        <w:jc w:val="both"/>
        <w:ind w:firstLine="1305"/>
        <w:spacing w:after="0" w:line="264" w:lineRule="auto"/>
        <w:tabs>
          <w:tab w:leader="none" w:pos="19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virtue of their respective positions with Engaged Capital Flagship Master, each of Engaged Capital Fund, Engaged Capital Offshore, Engaged Capital, Engaged Holdings and Mr. Welling may be deemed to have sole power to vote and dispose of the Shares reported owned by Engaged Capital Flagship Master.</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By virtue of their respective positions with the Engaged Capital Account, each of Engaged Capital, Engaged Holdings and Mr. Welling may be deemed to have sole power to vote and dispose of the Shares held in the Engaged Capital Account.</w:t>
      </w:r>
    </w:p>
    <w:p>
      <w:pPr>
        <w:spacing w:after="0" w:line="170" w:lineRule="exact"/>
        <w:rPr>
          <w:sz w:val="20"/>
          <w:szCs w:val="20"/>
          <w:color w:val="auto"/>
        </w:rPr>
      </w:pPr>
    </w:p>
    <w:p>
      <w:pPr>
        <w:jc w:val="both"/>
        <w:ind w:firstLine="1305"/>
        <w:spacing w:after="0" w:line="255" w:lineRule="auto"/>
        <w:tabs>
          <w:tab w:leader="none" w:pos="1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set forth in this paragraph, there were no transactions in the securities of the Issuer by the Reporting Persons during the past 60 days. On November 2, 2017, Engaged Capital Flagship Master and the Engaged Capital Account sold, at $47.2783 above the stated price, $1,292,500 principal amount and $207,500 principal amount, respectively, of the Convertible Notes, which are convertible to 156,571 Shares and 25,136 Shares, respectively. On November 3, 2017, Engaged Capital Flagship Master and the Engaged Capital Account sold, at $44.1702 above the stated price, $1,830,694 principal amount and $169,306 principal amount, respectively, of the Convertible Notes, which are convertible to 221,767 Shares and 20,509 Shares, respectively. The Convertible Notes have an exercise price of approximately $8.2550 per Share, subject to adjustment in certain circumstances, and will expire on March 1, 2021.</w:t>
      </w:r>
    </w:p>
    <w:p>
      <w:pPr>
        <w:spacing w:after="0" w:line="189" w:lineRule="exact"/>
        <w:rPr>
          <w:rFonts w:ascii="Arial" w:cs="Arial" w:eastAsia="Arial" w:hAnsi="Arial"/>
          <w:sz w:val="18"/>
          <w:szCs w:val="18"/>
          <w:color w:val="auto"/>
        </w:rPr>
      </w:pPr>
    </w:p>
    <w:p>
      <w:pPr>
        <w:ind w:firstLine="1305"/>
        <w:spacing w:after="0" w:line="277" w:lineRule="auto"/>
        <w:tabs>
          <w:tab w:leader="none" w:pos="19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proceeds from the sale of, the Shares.</w:t>
      </w:r>
    </w:p>
    <w:p>
      <w:pPr>
        <w:spacing w:after="0" w:line="170" w:lineRule="exact"/>
        <w:rPr>
          <w:rFonts w:ascii="Arial" w:cs="Arial" w:eastAsia="Arial" w:hAnsi="Arial"/>
          <w:sz w:val="18"/>
          <w:szCs w:val="18"/>
          <w:color w:val="auto"/>
        </w:rPr>
      </w:pPr>
    </w:p>
    <w:p>
      <w:pPr>
        <w:ind w:left="1800" w:hanging="495"/>
        <w:spacing w:after="0"/>
        <w:tabs>
          <w:tab w:leader="none" w:pos="1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of November 3, 2017, the Reporting Persons ceased to be the beneficial owners of more than 5% of the Shares of the Issuer.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55933J203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2017</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Engaged Capital Flagship Master Fund,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Engaged Capital, LLC</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Glenn W. Welling</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Glenn W. Welling</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Founder and Chief Investment Officer</w:t>
            </w:r>
          </w:p>
        </w:tc>
      </w:tr>
      <w:tr>
        <w:trPr>
          <w:trHeight w:val="648"/>
        </w:trPr>
        <w:tc>
          <w:tcPr>
            <w:tcW w:w="5480" w:type="dxa"/>
            <w:vAlign w:val="bottom"/>
            <w:gridSpan w:val="3"/>
          </w:tcPr>
          <w:p>
            <w:pPr>
              <w:spacing w:after="0"/>
              <w:rPr>
                <w:sz w:val="20"/>
                <w:szCs w:val="20"/>
                <w:color w:val="auto"/>
              </w:rPr>
            </w:pPr>
            <w:r>
              <w:rPr>
                <w:rFonts w:ascii="Arial" w:cs="Arial" w:eastAsia="Arial" w:hAnsi="Arial"/>
                <w:sz w:val="18"/>
                <w:szCs w:val="18"/>
                <w:color w:val="auto"/>
              </w:rPr>
              <w:t>Engaged Capital Flagship Fund, LP</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Engaged Capital, LLC</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Glenn W. Welling</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Glenn W. Welling</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Founder and Chief Investment Officer</w:t>
            </w:r>
          </w:p>
        </w:tc>
      </w:tr>
      <w:tr>
        <w:trPr>
          <w:trHeight w:val="864"/>
        </w:trPr>
        <w:tc>
          <w:tcPr>
            <w:tcW w:w="5480" w:type="dxa"/>
            <w:vAlign w:val="bottom"/>
            <w:gridSpan w:val="3"/>
          </w:tcPr>
          <w:p>
            <w:pPr>
              <w:spacing w:after="0"/>
              <w:rPr>
                <w:sz w:val="20"/>
                <w:szCs w:val="20"/>
                <w:color w:val="auto"/>
              </w:rPr>
            </w:pPr>
            <w:r>
              <w:rPr>
                <w:rFonts w:ascii="Arial" w:cs="Arial" w:eastAsia="Arial" w:hAnsi="Arial"/>
                <w:sz w:val="18"/>
                <w:szCs w:val="18"/>
                <w:color w:val="auto"/>
              </w:rPr>
              <w:t>Engaged Capital Flagship Fund, Ltd.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Glenn W. Welling</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Glenn W. Welling</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648"/>
        </w:trPr>
        <w:tc>
          <w:tcPr>
            <w:tcW w:w="5480" w:type="dxa"/>
            <w:vAlign w:val="bottom"/>
            <w:gridSpan w:val="3"/>
          </w:tcPr>
          <w:p>
            <w:pPr>
              <w:spacing w:after="0"/>
              <w:rPr>
                <w:sz w:val="20"/>
                <w:szCs w:val="20"/>
                <w:color w:val="auto"/>
              </w:rPr>
            </w:pPr>
            <w:r>
              <w:rPr>
                <w:rFonts w:ascii="Arial" w:cs="Arial" w:eastAsia="Arial" w:hAnsi="Arial"/>
                <w:sz w:val="18"/>
                <w:szCs w:val="18"/>
                <w:color w:val="auto"/>
              </w:rPr>
              <w:t>Engaged Capital, LLC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Glenn W. Welling</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Glenn W. Welling</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Founder and Chief Investment Officer</w:t>
            </w:r>
          </w:p>
        </w:tc>
      </w:tr>
      <w:tr>
        <w:trPr>
          <w:trHeight w:val="864"/>
        </w:trPr>
        <w:tc>
          <w:tcPr>
            <w:tcW w:w="5480" w:type="dxa"/>
            <w:vAlign w:val="bottom"/>
            <w:gridSpan w:val="3"/>
          </w:tcPr>
          <w:p>
            <w:pPr>
              <w:spacing w:after="0"/>
              <w:rPr>
                <w:sz w:val="20"/>
                <w:szCs w:val="20"/>
                <w:color w:val="auto"/>
              </w:rPr>
            </w:pPr>
            <w:r>
              <w:rPr>
                <w:rFonts w:ascii="Arial" w:cs="Arial" w:eastAsia="Arial" w:hAnsi="Arial"/>
                <w:sz w:val="18"/>
                <w:szCs w:val="18"/>
                <w:color w:val="auto"/>
              </w:rPr>
              <w:t>Engaged Capital Holdings, LLC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Glenn W. Welling</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Glenn W. Welling</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Sole Member</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Glenn W. Welling</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Glenn W. 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lvl w:ilvl="1">
      <w:lvlJc w:val="left"/>
      <w:lvlText w:val="%2"/>
      <w:numFmt w:val="decimal"/>
      <w:start w:val="1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2019-12-06T23:47:45Z</dcterms:created>
  <dcterms:modified xsi:type="dcterms:W3CDTF">2019-12-06T23:47:45Z</dcterms:modified>
</cp:coreProperties>
</file>