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6904d8k.htm"/>
      <w:bookmarkStart w:id="1" w:name="ksd3690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November 3,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Magnachip Semiconductor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43" w:type="dxa"/>
        <w:jc w:val="left"/>
        <w:tblInd w:w="0" w:type="dxa"/>
        <w:tblLayout w:type="fixed"/>
        <w:tblCellMar>
          <w:top w:w="0" w:type="dxa"/>
          <w:left w:w="0" w:type="dxa"/>
          <w:bottom w:w="0" w:type="dxa"/>
          <w:right w:w="0" w:type="dxa"/>
        </w:tblCellMar>
      </w:tblPr>
      <w:tblGrid>
        <w:gridCol w:w="3321"/>
        <w:gridCol w:w="96"/>
        <w:gridCol w:w="1701"/>
        <w:gridCol w:w="60"/>
        <w:gridCol w:w="1565"/>
      </w:tblGrid>
      <w:tr>
        <w:trPr/>
        <w:tc>
          <w:tcPr>
            <w:tcW w:w="332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21" w:type="dxa"/>
            <w:tcBorders/>
            <w:vAlign w:val="center"/>
          </w:tcPr>
          <w:p>
            <w:pPr>
              <w:pStyle w:val="TableContents"/>
              <w:bidi w:val="0"/>
              <w:spacing w:before="0" w:after="283"/>
              <w:jc w:val="center"/>
              <w:rPr>
                <w:b/>
              </w:rPr>
            </w:pPr>
            <w:r>
              <w:rPr>
                <w:b/>
              </w:rPr>
              <w:t>Delaware</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center"/>
              <w:rPr>
                <w:b/>
              </w:rPr>
            </w:pPr>
            <w:r>
              <w:rPr>
                <w:b/>
              </w:rPr>
              <w:t>001-34791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83-0406195</w:t>
            </w:r>
          </w:p>
        </w:tc>
      </w:tr>
      <w:tr>
        <w:trPr/>
        <w:tc>
          <w:tcPr>
            <w:tcW w:w="332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96"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5118" w:type="dxa"/>
            <w:gridSpan w:val="3"/>
            <w:tcBorders/>
            <w:vAlign w:val="center"/>
          </w:tcPr>
          <w:p>
            <w:pPr>
              <w:pStyle w:val="TableContents"/>
              <w:bidi w:val="0"/>
              <w:spacing w:before="0" w:after="283"/>
              <w:jc w:val="left"/>
              <w:rPr>
                <w:sz w:val="4"/>
                <w:szCs w:val="4"/>
              </w:rPr>
            </w:pPr>
            <w:r>
              <w:rPr>
                <w:sz w:val="4"/>
                <w:szCs w:val="4"/>
              </w:rPr>
            </w:r>
          </w:p>
        </w:tc>
        <w:tc>
          <w:tcPr>
            <w:tcW w:w="1625" w:type="dxa"/>
            <w:gridSpan w:val="2"/>
            <w:tcBorders/>
            <w:vAlign w:val="center"/>
          </w:tcPr>
          <w:p>
            <w:pPr>
              <w:pStyle w:val="TableContents"/>
              <w:bidi w:val="0"/>
              <w:spacing w:before="0" w:after="283"/>
              <w:jc w:val="left"/>
              <w:rPr>
                <w:sz w:val="4"/>
                <w:szCs w:val="4"/>
              </w:rPr>
            </w:pPr>
            <w:r>
              <w:rPr>
                <w:sz w:val="4"/>
                <w:szCs w:val="4"/>
              </w:rPr>
            </w:r>
          </w:p>
        </w:tc>
      </w:tr>
      <w:tr>
        <w:trPr/>
        <w:tc>
          <w:tcPr>
            <w:tcW w:w="5118" w:type="dxa"/>
            <w:gridSpan w:val="3"/>
            <w:tcBorders/>
            <w:vAlign w:val="center"/>
          </w:tcPr>
          <w:p>
            <w:pPr>
              <w:pStyle w:val="TableContents"/>
              <w:bidi w:val="0"/>
              <w:spacing w:before="0" w:after="0"/>
              <w:jc w:val="center"/>
              <w:rPr>
                <w:rFonts w:ascii="Times New Roman" w:hAnsi="Times New Roman"/>
                <w:b/>
                <w:sz w:val="20"/>
              </w:rPr>
            </w:pPr>
            <w:bookmarkStart w:id="2" w:name="Fact_2"/>
            <w:bookmarkEnd w:id="2"/>
            <w:r>
              <w:rPr>
                <w:rFonts w:ascii="Times New Roman" w:hAnsi="Times New Roman"/>
                <w:b/>
                <w:sz w:val="20"/>
              </w:rPr>
              <w:t>c/o Magnachip Semiconductor, Ltd.</w:t>
            </w:r>
          </w:p>
          <w:p>
            <w:pPr>
              <w:pStyle w:val="TableContents"/>
              <w:bidi w:val="0"/>
              <w:spacing w:before="0" w:after="0"/>
              <w:jc w:val="center"/>
              <w:rPr>
                <w:rFonts w:ascii="Times New Roman" w:hAnsi="Times New Roman"/>
                <w:b/>
                <w:sz w:val="20"/>
              </w:rPr>
            </w:pPr>
            <w:r>
              <w:rPr>
                <w:rFonts w:ascii="Times New Roman" w:hAnsi="Times New Roman"/>
                <w:b/>
                <w:sz w:val="20"/>
              </w:rPr>
              <w:t>15F, 76 Jikji-daero 436beon-gil, Heungdeok-gu</w:t>
            </w:r>
          </w:p>
          <w:p>
            <w:pPr>
              <w:pStyle w:val="TableContents"/>
              <w:bidi w:val="0"/>
              <w:spacing w:before="0" w:after="20"/>
              <w:jc w:val="center"/>
              <w:rPr>
                <w:rFonts w:ascii="Times New Roman" w:hAnsi="Times New Roman"/>
                <w:b/>
                <w:sz w:val="20"/>
              </w:rPr>
            </w:pPr>
            <w:r>
              <w:rPr>
                <w:rFonts w:ascii="Times New Roman" w:hAnsi="Times New Roman"/>
                <w:b/>
                <w:sz w:val="20"/>
              </w:rPr>
              <w:t>Cheongju-si, Chungcheongbuk-do, 28581, Republic of Korea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Not Applicable</w:t>
            </w:r>
          </w:p>
        </w:tc>
      </w:tr>
      <w:tr>
        <w:trPr/>
        <w:tc>
          <w:tcPr>
            <w:tcW w:w="511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+82 (2) 6903-3000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10" w:type="dxa"/>
        <w:jc w:val="left"/>
        <w:tblInd w:w="0" w:type="dxa"/>
        <w:tblLayout w:type="fixed"/>
        <w:tblCellMar>
          <w:top w:w="0" w:type="dxa"/>
          <w:left w:w="0" w:type="dxa"/>
          <w:bottom w:w="0" w:type="dxa"/>
          <w:right w:w="0" w:type="dxa"/>
        </w:tblCellMar>
      </w:tblPr>
      <w:tblGrid>
        <w:gridCol w:w="4025"/>
        <w:gridCol w:w="60"/>
        <w:gridCol w:w="605"/>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6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MX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05" w:type="dxa"/>
        <w:jc w:val="left"/>
        <w:tblInd w:w="0" w:type="dxa"/>
        <w:tblLayout w:type="fixed"/>
        <w:tblCellMar>
          <w:top w:w="0" w:type="dxa"/>
          <w:left w:w="0" w:type="dxa"/>
          <w:bottom w:w="0" w:type="dxa"/>
          <w:right w:w="0" w:type="dxa"/>
        </w:tblCellMar>
      </w:tblPr>
      <w:tblGrid>
        <w:gridCol w:w="1025"/>
        <w:gridCol w:w="3980"/>
      </w:tblGrid>
      <w:tr>
        <w:trPr/>
        <w:tc>
          <w:tcPr>
            <w:tcW w:w="1025" w:type="dxa"/>
            <w:tcBorders/>
            <w:vAlign w:val="center"/>
          </w:tcPr>
          <w:p>
            <w:pPr>
              <w:pStyle w:val="TableContents"/>
              <w:bidi w:val="0"/>
              <w:spacing w:before="0" w:after="283"/>
              <w:jc w:val="left"/>
              <w:rPr>
                <w:b/>
              </w:rPr>
            </w:pPr>
            <w:r>
              <w:rPr>
                <w:b/>
              </w:rPr>
              <w:t>Item 2.02.</w:t>
            </w:r>
          </w:p>
        </w:tc>
        <w:tc>
          <w:tcPr>
            <w:tcW w:w="3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120" w:after="0"/>
        <w:jc w:val="left"/>
        <w:rPr>
          <w:rFonts w:ascii="Times New Roman" w:hAnsi="Times New Roman"/>
          <w:sz w:val="20"/>
        </w:rPr>
      </w:pPr>
      <w:r>
        <w:rPr>
          <w:rFonts w:ascii="Times New Roman" w:hAnsi="Times New Roman"/>
          <w:sz w:val="20"/>
        </w:rPr>
        <w:t>Attached hereto as Exhibit 99.1 and incorporated by reference herein is financial information for Magnachip Semiconductor Corporation and its consolidated subsidiaries for the third quarter ended September 30, 2025, as presented in a press release dated November 3, 2025.</w:t>
      </w:r>
    </w:p>
    <w:p>
      <w:pPr>
        <w:pStyle w:val="TextBody"/>
        <w:bidi w:val="0"/>
        <w:spacing w:before="240" w:after="0"/>
        <w:jc w:val="left"/>
        <w:rPr>
          <w:rFonts w:ascii="Times New Roman" w:hAnsi="Times New Roman"/>
          <w:sz w:val="20"/>
        </w:rPr>
      </w:pPr>
      <w:r>
        <w:rPr>
          <w:rFonts w:ascii="Times New Roman" w:hAnsi="Times New Roman"/>
          <w:sz w:val="20"/>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t> </w:t>
      </w:r>
    </w:p>
    <w:tbl>
      <w:tblPr>
        <w:tblW w:w="1105" w:type="dxa"/>
        <w:jc w:val="left"/>
        <w:tblInd w:w="0" w:type="dxa"/>
        <w:tblLayout w:type="fixed"/>
        <w:tblCellMar>
          <w:top w:w="0" w:type="dxa"/>
          <w:left w:w="0" w:type="dxa"/>
          <w:bottom w:w="0" w:type="dxa"/>
          <w:right w:w="0" w:type="dxa"/>
        </w:tblCellMar>
      </w:tblPr>
      <w:tblGrid>
        <w:gridCol w:w="320"/>
        <w:gridCol w:w="785"/>
      </w:tblGrid>
      <w:tr>
        <w:trPr/>
        <w:tc>
          <w:tcPr>
            <w:tcW w:w="320" w:type="dxa"/>
            <w:tcBorders/>
            <w:vAlign w:val="center"/>
          </w:tcPr>
          <w:p>
            <w:pPr>
              <w:pStyle w:val="TableContents"/>
              <w:bidi w:val="0"/>
              <w:spacing w:before="0" w:after="283"/>
              <w:jc w:val="left"/>
              <w:rPr>
                <w:b/>
              </w:rPr>
            </w:pPr>
            <w:r>
              <w:rPr>
                <w:b/>
              </w:rPr>
              <w:t>(d)</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Exhibits.</w:t>
            </w:r>
          </w:p>
        </w:tc>
      </w:tr>
    </w:tbl>
    <w:p>
      <w:pPr>
        <w:pStyle w:val="TextBody"/>
        <w:bidi w:val="0"/>
        <w:spacing w:before="240" w:after="0"/>
        <w:jc w:val="left"/>
        <w:rPr>
          <w:rFonts w:ascii="Times New Roman" w:hAnsi="Times New Roman"/>
          <w:sz w:val="20"/>
        </w:rPr>
      </w:pPr>
      <w:r>
        <w:rPr>
          <w:rFonts w:ascii="Times New Roman" w:hAnsi="Times New Roman"/>
          <w:sz w:val="20"/>
        </w:rPr>
        <w:t>The following exhibit is furnished as part of this report: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1"/>
        <w:gridCol w:w="120"/>
        <w:gridCol w:w="9444"/>
      </w:tblGrid>
      <w:tr>
        <w:trPr/>
        <w:tc>
          <w:tcPr>
            <w:tcW w:w="6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44" w:type="dxa"/>
            <w:tcBorders/>
            <w:vAlign w:val="center"/>
          </w:tcPr>
          <w:p>
            <w:pPr>
              <w:pStyle w:val="TableContents"/>
              <w:bidi w:val="0"/>
              <w:spacing w:before="0" w:after="283"/>
              <w:jc w:val="left"/>
              <w:rPr>
                <w:sz w:val="4"/>
                <w:szCs w:val="4"/>
              </w:rPr>
            </w:pPr>
            <w:r>
              <w:rPr>
                <w:sz w:val="4"/>
                <w:szCs w:val="4"/>
              </w:rPr>
            </w:r>
          </w:p>
        </w:tc>
      </w:tr>
      <w:tr>
        <w:trPr/>
        <w:tc>
          <w:tcPr>
            <w:tcW w:w="641"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pPr>
            <w:r>
              <w:rPr/>
              <w:t> </w:t>
            </w: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9444"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41" w:type="dxa"/>
            <w:tcBorders/>
            <w:vAlign w:val="center"/>
          </w:tcPr>
          <w:p>
            <w:pPr>
              <w:pStyle w:val="TableContents"/>
              <w:bidi w:val="0"/>
              <w:spacing w:before="0" w:after="283"/>
              <w:jc w:val="left"/>
              <w:rPr>
                <w:sz w:val="4"/>
                <w:szCs w:val="4"/>
              </w:rPr>
            </w:pPr>
            <w:r>
              <w:rPr>
                <w:sz w:val="4"/>
                <w:szCs w:val="4"/>
              </w:rPr>
            </w:r>
          </w:p>
        </w:tc>
        <w:tc>
          <w:tcPr>
            <w:tcW w:w="9564" w:type="dxa"/>
            <w:gridSpan w:val="2"/>
            <w:tcBorders/>
            <w:vAlign w:val="center"/>
          </w:tcPr>
          <w:p>
            <w:pPr>
              <w:pStyle w:val="TableContents"/>
              <w:bidi w:val="0"/>
              <w:spacing w:before="0" w:after="283"/>
              <w:jc w:val="left"/>
              <w:rPr>
                <w:sz w:val="4"/>
                <w:szCs w:val="4"/>
              </w:rPr>
            </w:pPr>
            <w:r>
              <w:rPr>
                <w:sz w:val="4"/>
                <w:szCs w:val="4"/>
              </w:rPr>
            </w:r>
          </w:p>
        </w:tc>
      </w:tr>
      <w:tr>
        <w:trPr/>
        <w:tc>
          <w:tcPr>
            <w:tcW w:w="641"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44" w:type="dxa"/>
            <w:tcBorders/>
            <w:vAlign w:val="center"/>
          </w:tcPr>
          <w:p>
            <w:pPr>
              <w:pStyle w:val="TableContents"/>
              <w:bidi w:val="0"/>
              <w:spacing w:before="0" w:after="283"/>
              <w:jc w:val="left"/>
              <w:rPr/>
            </w:pPr>
            <w:hyperlink w:anchor="d36904dex991.htm">
              <w:r>
                <w:rPr>
                  <w:rStyle w:val="InternetLink"/>
                </w:rPr>
                <w:t xml:space="preserve">Press release for Magnachip Semiconductor Corporation dated November 3, 2025, announcing the results for the third quarter ended September 30, 2025. </w:t>
              </w:r>
            </w:hyperlink>
          </w:p>
        </w:tc>
      </w:tr>
      <w:tr>
        <w:trPr/>
        <w:tc>
          <w:tcPr>
            <w:tcW w:w="641" w:type="dxa"/>
            <w:tcBorders/>
            <w:vAlign w:val="center"/>
          </w:tcPr>
          <w:p>
            <w:pPr>
              <w:pStyle w:val="TableContents"/>
              <w:bidi w:val="0"/>
              <w:spacing w:before="0" w:after="283"/>
              <w:jc w:val="left"/>
              <w:rPr>
                <w:sz w:val="4"/>
                <w:szCs w:val="4"/>
              </w:rPr>
            </w:pPr>
            <w:r>
              <w:rPr>
                <w:sz w:val="4"/>
                <w:szCs w:val="4"/>
              </w:rPr>
            </w:r>
          </w:p>
        </w:tc>
        <w:tc>
          <w:tcPr>
            <w:tcW w:w="9564" w:type="dxa"/>
            <w:gridSpan w:val="2"/>
            <w:tcBorders/>
            <w:vAlign w:val="center"/>
          </w:tcPr>
          <w:p>
            <w:pPr>
              <w:pStyle w:val="TableContents"/>
              <w:bidi w:val="0"/>
              <w:spacing w:before="0" w:after="283"/>
              <w:jc w:val="left"/>
              <w:rPr>
                <w:sz w:val="4"/>
                <w:szCs w:val="4"/>
              </w:rPr>
            </w:pPr>
            <w:r>
              <w:rPr>
                <w:sz w:val="4"/>
                <w:szCs w:val="4"/>
              </w:rPr>
            </w:r>
          </w:p>
        </w:tc>
      </w:tr>
      <w:tr>
        <w:trPr/>
        <w:tc>
          <w:tcPr>
            <w:tcW w:w="641"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44"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929" w:type="dxa"/>
        <w:jc w:val="left"/>
        <w:tblInd w:w="0" w:type="dxa"/>
        <w:tblLayout w:type="fixed"/>
        <w:tblCellMar>
          <w:top w:w="0" w:type="dxa"/>
          <w:left w:w="0" w:type="dxa"/>
          <w:bottom w:w="0" w:type="dxa"/>
          <w:right w:w="0" w:type="dxa"/>
        </w:tblCellMar>
      </w:tblPr>
      <w:tblGrid>
        <w:gridCol w:w="38"/>
        <w:gridCol w:w="60"/>
        <w:gridCol w:w="23"/>
        <w:gridCol w:w="60"/>
        <w:gridCol w:w="1572"/>
        <w:gridCol w:w="1572"/>
        <w:gridCol w:w="2604"/>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48" w:type="dxa"/>
            <w:gridSpan w:val="3"/>
            <w:tcBorders/>
            <w:vAlign w:val="center"/>
          </w:tcPr>
          <w:p>
            <w:pPr>
              <w:pStyle w:val="TableContents"/>
              <w:bidi w:val="0"/>
              <w:spacing w:before="0" w:after="283"/>
              <w:jc w:val="left"/>
              <w:rPr/>
            </w:pPr>
            <w:r>
              <w:rPr/>
              <w:t> </w:t>
            </w:r>
            <w:r>
              <w:rPr/>
              <w:t>MAGNACHIP SEMICONDUCTOR CORPORATION</w:t>
            </w:r>
          </w:p>
        </w:tc>
      </w:tr>
    </w:tbl>
    <w:tbl>
      <w:tblPr>
        <w:tblW w:w="530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2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Dated: November 3,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Shin Young Park</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3" w:name="d36904dex991.htm"/>
      <w:bookmarkStart w:id="4" w:name="ksd36904dex991"/>
      <w:bookmarkEnd w:id="3"/>
      <w:bookmarkEnd w:id="4"/>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24288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28875" cy="5143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Magnachip Reports Results for Third Quarter 2025 </w:t>
      </w:r>
    </w:p>
    <w:p>
      <w:pPr>
        <w:pStyle w:val="TextBody"/>
        <w:bidi w:val="0"/>
        <w:spacing w:before="240" w:after="0"/>
        <w:jc w:val="left"/>
        <w:rPr>
          <w:rFonts w:ascii="Times New Roman" w:hAnsi="Times New Roman"/>
          <w:b/>
          <w:sz w:val="20"/>
        </w:rPr>
      </w:pPr>
      <w:r>
        <w:rPr>
          <w:rFonts w:ascii="Times New Roman" w:hAnsi="Times New Roman"/>
          <w:b/>
          <w:sz w:val="20"/>
        </w:rPr>
        <w:t xml:space="preserve">Q3 Results Summary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 from continuing operations (which includes Power Analog Solutions (“PAS”) and Power IC (“PIC”) businesses) was $45.9 million, approximately at the mid-point of our guidance range of $44.0 to $48.0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gross profit margin from continuing operations of 18.6% was at the low end of our guidance range of 18.5% to 20.5%.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Product revenue from our Communications segment grew 34% sequentially and 95% year over year.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Recent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Executed multiple operating expense cost reduction programs, including a headcount reduction program, which are expected to generate approximately $2.5 million in annualized savings.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Implemented a plan to reduce the capital expenditure investments for the Gumi fab upgrade by more than 50% over the next two years, compared to the previously expected range of $65 to $70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Launched 30 new-generation PAS products in the first nine months of 2025, with plans to launch at least additional 20 new-generation products in fourth quarter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a strategic agreement to expand our industrial business based on a jointly developed IGBT technology with Hyundai Mobis. </w:t>
            </w:r>
          </w:p>
        </w:tc>
      </w:tr>
    </w:tbl>
    <w:p>
      <w:pPr>
        <w:pStyle w:val="TextBody"/>
        <w:bidi w:val="0"/>
        <w:spacing w:before="240" w:after="0"/>
        <w:jc w:val="left"/>
        <w:rPr>
          <w:rFonts w:ascii="Times New Roman" w:hAnsi="Times New Roman"/>
          <w:sz w:val="20"/>
        </w:rPr>
      </w:pPr>
      <w:r>
        <w:rPr>
          <w:rFonts w:ascii="Times New Roman" w:hAnsi="Times New Roman"/>
          <w:b/>
          <w:sz w:val="20"/>
        </w:rPr>
        <w:t>SEOUL, South Korea, Nov. 3, 2025</w:t>
      </w:r>
      <w:r>
        <w:rPr>
          <w:rFonts w:ascii="Times New Roman" w:hAnsi="Times New Roman"/>
          <w:sz w:val="20"/>
        </w:rPr>
        <w:t xml:space="preserve"> – Magnachip Semiconductor Corporation (NYSE: MX) (“Magnachip” or the “Company”) today announced financial results for the third quarter 2025. </w:t>
      </w:r>
    </w:p>
    <w:p>
      <w:pPr>
        <w:pStyle w:val="TextBody"/>
        <w:bidi w:val="0"/>
        <w:spacing w:before="240" w:after="0"/>
        <w:jc w:val="left"/>
        <w:rPr>
          <w:rFonts w:ascii="Times New Roman" w:hAnsi="Times New Roman"/>
          <w:sz w:val="20"/>
        </w:rPr>
      </w:pPr>
      <w:r>
        <w:rPr>
          <w:rFonts w:ascii="Times New Roman" w:hAnsi="Times New Roman"/>
          <w:sz w:val="20"/>
        </w:rPr>
        <w:t xml:space="preserve">Camillo Martino, Magnachip’s CEO said, “Our top priority is to stabilize our financial position and establish a solid foundation for business recovery. At the same time, we have restructured our go-to-market organization and we are revitalizing our product portfolio to enhance our competitiveness, particularly in China. In the first three quarters of 2025, we launched 30 new-generation products, compared to only two in the first three quarters of 2024. We currently plan to launch at least another 20 new-generation products in the fourth quarter of 2025, bringing the total for 2025 to at least 50 new-generation products, in comparison to only four in all of 2024.” </w:t>
      </w:r>
    </w:p>
    <w:p>
      <w:pPr>
        <w:pStyle w:val="TextBody"/>
        <w:bidi w:val="0"/>
        <w:spacing w:before="240" w:after="0"/>
        <w:jc w:val="left"/>
        <w:rPr>
          <w:rFonts w:ascii="Times New Roman" w:hAnsi="Times New Roman"/>
          <w:sz w:val="20"/>
        </w:rPr>
      </w:pPr>
      <w:r>
        <w:rPr>
          <w:rFonts w:ascii="Times New Roman" w:hAnsi="Times New Roman"/>
          <w:sz w:val="20"/>
        </w:rPr>
        <w:t>Mr. Martino added, “We recognize that we are entering a challenging period ahead as we right-size as a pure-play power products company. However, we believe that we are moving in the right direction and are committed to exploring all strategic options to position Magnachip for success.”</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763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Q3 2025 Financial Highlights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94"/>
        <w:gridCol w:w="157"/>
        <w:gridCol w:w="63"/>
        <w:gridCol w:w="809"/>
        <w:gridCol w:w="275"/>
        <w:gridCol w:w="99"/>
        <w:gridCol w:w="75"/>
        <w:gridCol w:w="891"/>
        <w:gridCol w:w="275"/>
        <w:gridCol w:w="99"/>
        <w:gridCol w:w="560"/>
        <w:gridCol w:w="157"/>
        <w:gridCol w:w="60"/>
        <w:gridCol w:w="444"/>
        <w:gridCol w:w="544"/>
        <w:gridCol w:w="99"/>
        <w:gridCol w:w="75"/>
        <w:gridCol w:w="891"/>
        <w:gridCol w:w="358"/>
        <w:gridCol w:w="99"/>
        <w:gridCol w:w="560"/>
        <w:gridCol w:w="157"/>
        <w:gridCol w:w="60"/>
        <w:gridCol w:w="444"/>
        <w:gridCol w:w="560"/>
      </w:tblGrid>
      <w:tr>
        <w:trPr/>
        <w:tc>
          <w:tcPr>
            <w:tcW w:w="2394"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094" w:type="dxa"/>
            <w:gridSpan w:val="22"/>
            <w:tcBorders>
              <w:bottom w:val="single" w:sz="8" w:space="0" w:color="000000"/>
            </w:tcBorders>
            <w:tcMar>
              <w:bottom w:w="28" w:type="dxa"/>
            </w:tcMar>
            <w:vAlign w:val="bottom"/>
          </w:tcPr>
          <w:p>
            <w:pPr>
              <w:pStyle w:val="TableContents"/>
              <w:bidi w:val="0"/>
              <w:spacing w:before="0" w:after="283"/>
              <w:jc w:val="center"/>
              <w:rPr/>
            </w:pPr>
            <w:r>
              <w:rPr/>
              <w:t>In thousands of U.S. dollars, except share data</w:t>
            </w:r>
          </w:p>
        </w:tc>
        <w:tc>
          <w:tcPr>
            <w:tcW w:w="560" w:type="dxa"/>
            <w:tcBorders/>
            <w:vAlign w:val="bottom"/>
          </w:tcPr>
          <w:p>
            <w:pPr>
              <w:pStyle w:val="TableContents"/>
              <w:bidi w:val="0"/>
              <w:spacing w:before="0" w:after="283"/>
              <w:jc w:val="left"/>
              <w:rPr/>
            </w:pPr>
            <w:r>
              <w:rPr/>
              <w:t> </w:t>
            </w:r>
          </w:p>
        </w:tc>
      </w:tr>
      <w:tr>
        <w:trPr/>
        <w:tc>
          <w:tcPr>
            <w:tcW w:w="239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09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GAAP(1)</w:t>
            </w:r>
          </w:p>
        </w:tc>
        <w:tc>
          <w:tcPr>
            <w:tcW w:w="560" w:type="dxa"/>
            <w:tcBorders/>
            <w:vAlign w:val="bottom"/>
          </w:tcPr>
          <w:p>
            <w:pPr>
              <w:pStyle w:val="TableContents"/>
              <w:bidi w:val="0"/>
              <w:spacing w:before="0" w:after="283"/>
              <w:jc w:val="left"/>
              <w:rPr/>
            </w:pPr>
            <w:r>
              <w:rPr/>
              <w:t> </w:t>
            </w:r>
          </w:p>
        </w:tc>
      </w:tr>
      <w:tr>
        <w:trPr/>
        <w:tc>
          <w:tcPr>
            <w:tcW w:w="239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2025</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2025(1)</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21" w:type="dxa"/>
            <w:gridSpan w:val="4"/>
            <w:tcBorders>
              <w:bottom w:val="single" w:sz="8" w:space="0" w:color="000000"/>
            </w:tcBorders>
            <w:tcMar>
              <w:bottom w:w="28" w:type="dxa"/>
            </w:tcMar>
            <w:vAlign w:val="bottom"/>
          </w:tcPr>
          <w:p>
            <w:pPr>
              <w:pStyle w:val="TableContents"/>
              <w:bidi w:val="0"/>
              <w:spacing w:before="0" w:after="283"/>
              <w:jc w:val="center"/>
              <w:rPr>
                <w:b/>
              </w:rPr>
            </w:pPr>
            <w:r>
              <w:rPr>
                <w:b/>
              </w:rPr>
              <w:t>Q/Q change</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2024(1)</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21" w:type="dxa"/>
            <w:gridSpan w:val="4"/>
            <w:tcBorders>
              <w:bottom w:val="single" w:sz="8" w:space="0" w:color="000000"/>
            </w:tcBorders>
            <w:tcMar>
              <w:bottom w:w="28" w:type="dxa"/>
            </w:tcMar>
            <w:vAlign w:val="bottom"/>
          </w:tcPr>
          <w:p>
            <w:pPr>
              <w:pStyle w:val="TableContents"/>
              <w:bidi w:val="0"/>
              <w:spacing w:before="0" w:after="283"/>
              <w:jc w:val="center"/>
              <w:rPr>
                <w:b/>
              </w:rPr>
            </w:pPr>
            <w:r>
              <w:rPr>
                <w:b/>
              </w:rPr>
              <w:t>Y/Y change</w:t>
            </w:r>
          </w:p>
        </w:tc>
        <w:tc>
          <w:tcPr>
            <w:tcW w:w="560" w:type="dxa"/>
            <w:tcBorders/>
            <w:vAlign w:val="bottom"/>
          </w:tcPr>
          <w:p>
            <w:pPr>
              <w:pStyle w:val="TableContents"/>
              <w:bidi w:val="0"/>
              <w:spacing w:before="0" w:after="283"/>
              <w:jc w:val="left"/>
              <w:rPr/>
            </w:pPr>
            <w:r>
              <w:rPr/>
              <w:t> </w:t>
            </w:r>
          </w:p>
        </w:tc>
      </w:tr>
      <w:tr>
        <w:trPr/>
        <w:tc>
          <w:tcPr>
            <w:tcW w:w="23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Consolidated Revenues</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45,946</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47,622</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3.5</w:t>
            </w:r>
          </w:p>
        </w:tc>
        <w:tc>
          <w:tcPr>
            <w:tcW w:w="54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55,434</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17.1</w:t>
            </w:r>
          </w:p>
        </w:tc>
        <w:tc>
          <w:tcPr>
            <w:tcW w:w="560" w:type="dxa"/>
            <w:tcBorders/>
            <w:shd w:fill="CCEEFF" w:val="clear"/>
            <w:vAlign w:val="bottom"/>
          </w:tcPr>
          <w:p>
            <w:pPr>
              <w:pStyle w:val="TableContents"/>
              <w:bidi w:val="0"/>
              <w:spacing w:before="0" w:after="283"/>
              <w:jc w:val="left"/>
              <w:rPr/>
            </w:pPr>
            <w:r>
              <w:rPr/>
              <w:t>% </w:t>
            </w:r>
          </w:p>
        </w:tc>
      </w:tr>
      <w:tr>
        <w:trPr/>
        <w:tc>
          <w:tcPr>
            <w:tcW w:w="2394" w:type="dxa"/>
            <w:tcBorders/>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45,946</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47,622</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3.5</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52,994</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13.3</w:t>
            </w:r>
          </w:p>
        </w:tc>
        <w:tc>
          <w:tcPr>
            <w:tcW w:w="560" w:type="dxa"/>
            <w:tcBorders/>
            <w:vAlign w:val="bottom"/>
          </w:tcPr>
          <w:p>
            <w:pPr>
              <w:pStyle w:val="TableContents"/>
              <w:bidi w:val="0"/>
              <w:spacing w:before="0" w:after="283"/>
              <w:jc w:val="left"/>
              <w:rPr/>
            </w:pPr>
            <w:r>
              <w:rPr/>
              <w:t>% </w:t>
            </w:r>
          </w:p>
        </w:tc>
      </w:tr>
      <w:tr>
        <w:trPr/>
        <w:tc>
          <w:tcPr>
            <w:tcW w:w="2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41,548</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42,261</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1.7</w:t>
            </w:r>
          </w:p>
        </w:tc>
        <w:tc>
          <w:tcPr>
            <w:tcW w:w="54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47,574</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12.7</w:t>
            </w:r>
          </w:p>
        </w:tc>
        <w:tc>
          <w:tcPr>
            <w:tcW w:w="560" w:type="dxa"/>
            <w:tcBorders/>
            <w:shd w:fill="CCEEFF" w:val="clear"/>
            <w:vAlign w:val="bottom"/>
          </w:tcPr>
          <w:p>
            <w:pPr>
              <w:pStyle w:val="TableContents"/>
              <w:bidi w:val="0"/>
              <w:spacing w:before="0" w:after="283"/>
              <w:jc w:val="left"/>
              <w:rPr/>
            </w:pPr>
            <w:r>
              <w:rPr/>
              <w:t>% </w:t>
            </w:r>
          </w:p>
        </w:tc>
      </w:tr>
      <w:tr>
        <w:trPr/>
        <w:tc>
          <w:tcPr>
            <w:tcW w:w="2394" w:type="dxa"/>
            <w:tcBorders/>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4,398</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5,361</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18.0</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5,420</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18.9</w:t>
            </w:r>
          </w:p>
        </w:tc>
        <w:tc>
          <w:tcPr>
            <w:tcW w:w="560" w:type="dxa"/>
            <w:tcBorders/>
            <w:vAlign w:val="bottom"/>
          </w:tcPr>
          <w:p>
            <w:pPr>
              <w:pStyle w:val="TableContents"/>
              <w:bidi w:val="0"/>
              <w:spacing w:before="0" w:after="283"/>
              <w:jc w:val="left"/>
              <w:rPr/>
            </w:pPr>
            <w:r>
              <w:rPr/>
              <w:t>% </w:t>
            </w:r>
          </w:p>
        </w:tc>
      </w:tr>
      <w:tr>
        <w:trPr/>
        <w:tc>
          <w:tcPr>
            <w:tcW w:w="2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services(2)</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n/a</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— </w:t>
            </w:r>
          </w:p>
        </w:tc>
        <w:tc>
          <w:tcPr>
            <w:tcW w:w="54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2,440</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n/a</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— </w:t>
            </w:r>
          </w:p>
        </w:tc>
        <w:tc>
          <w:tcPr>
            <w:tcW w:w="560" w:type="dxa"/>
            <w:tcBorders/>
            <w:shd w:fill="CCEEFF" w:val="clear"/>
            <w:vAlign w:val="bottom"/>
          </w:tcPr>
          <w:p>
            <w:pPr>
              <w:pStyle w:val="TableContents"/>
              <w:bidi w:val="0"/>
              <w:spacing w:before="0" w:after="283"/>
              <w:jc w:val="left"/>
              <w:rPr/>
            </w:pPr>
            <w:r>
              <w:rPr/>
              <w:t> </w:t>
            </w:r>
          </w:p>
        </w:tc>
      </w:tr>
      <w:tr>
        <w:trPr/>
        <w:tc>
          <w:tcPr>
            <w:tcW w:w="2394" w:type="dxa"/>
            <w:tcBorders/>
          </w:tcPr>
          <w:p>
            <w:pPr>
              <w:pStyle w:val="TableContents"/>
              <w:bidi w:val="0"/>
              <w:spacing w:before="0" w:after="0"/>
              <w:jc w:val="left"/>
              <w:rPr>
                <w:rFonts w:ascii="Times New Roman" w:hAnsi="Times New Roman"/>
                <w:b/>
                <w:sz w:val="20"/>
              </w:rPr>
            </w:pPr>
            <w:r>
              <w:rPr>
                <w:rFonts w:ascii="Times New Roman" w:hAnsi="Times New Roman"/>
                <w:b/>
                <w:sz w:val="20"/>
              </w:rPr>
              <w:t>Consolidated Gross Profit Margin</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18.6</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20.4</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1.8</w:t>
            </w:r>
          </w:p>
        </w:tc>
        <w:tc>
          <w:tcPr>
            <w:tcW w:w="544" w:type="dxa"/>
            <w:tcBorders/>
            <w:vAlign w:val="bottom"/>
          </w:tcPr>
          <w:p>
            <w:pPr>
              <w:pStyle w:val="TableContents"/>
              <w:bidi w:val="0"/>
              <w:spacing w:before="0" w:after="283"/>
              <w:jc w:val="left"/>
              <w:rPr/>
            </w:pPr>
            <w:r>
              <w:rPr/>
              <w:t>%pts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20.8</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2.2</w:t>
            </w:r>
          </w:p>
        </w:tc>
        <w:tc>
          <w:tcPr>
            <w:tcW w:w="560" w:type="dxa"/>
            <w:tcBorders/>
            <w:vAlign w:val="bottom"/>
          </w:tcPr>
          <w:p>
            <w:pPr>
              <w:pStyle w:val="TableContents"/>
              <w:bidi w:val="0"/>
              <w:spacing w:before="0" w:after="283"/>
              <w:jc w:val="left"/>
              <w:rPr/>
            </w:pPr>
            <w:r>
              <w:rPr/>
              <w:t>%pts </w:t>
            </w:r>
          </w:p>
        </w:tc>
      </w:tr>
      <w:tr>
        <w:trPr/>
        <w:tc>
          <w:tcPr>
            <w:tcW w:w="2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Power solutions business</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20.4</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1.8</w:t>
            </w:r>
          </w:p>
        </w:tc>
        <w:tc>
          <w:tcPr>
            <w:tcW w:w="544" w:type="dxa"/>
            <w:tcBorders/>
            <w:shd w:fill="CCEEFF" w:val="clear"/>
            <w:vAlign w:val="bottom"/>
          </w:tcPr>
          <w:p>
            <w:pPr>
              <w:pStyle w:val="TableContents"/>
              <w:bidi w:val="0"/>
              <w:spacing w:before="0" w:after="283"/>
              <w:jc w:val="left"/>
              <w:rPr/>
            </w:pPr>
            <w:r>
              <w:rPr/>
              <w:t>%pts</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22.0</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3.4</w:t>
            </w:r>
          </w:p>
        </w:tc>
        <w:tc>
          <w:tcPr>
            <w:tcW w:w="560" w:type="dxa"/>
            <w:tcBorders/>
            <w:shd w:fill="CCEEFF" w:val="clear"/>
            <w:vAlign w:val="bottom"/>
          </w:tcPr>
          <w:p>
            <w:pPr>
              <w:pStyle w:val="TableContents"/>
              <w:bidi w:val="0"/>
              <w:spacing w:before="0" w:after="283"/>
              <w:jc w:val="left"/>
              <w:rPr/>
            </w:pPr>
            <w:r>
              <w:rPr/>
              <w:t>%pts</w:t>
            </w:r>
          </w:p>
        </w:tc>
      </w:tr>
      <w:tr>
        <w:trPr/>
        <w:tc>
          <w:tcPr>
            <w:tcW w:w="2394" w:type="dxa"/>
            <w:tcBorders/>
          </w:tcPr>
          <w:p>
            <w:pPr>
              <w:pStyle w:val="TableContents"/>
              <w:bidi w:val="0"/>
              <w:spacing w:before="0" w:after="0"/>
              <w:jc w:val="left"/>
              <w:rPr>
                <w:rFonts w:ascii="Times New Roman" w:hAnsi="Times New Roman"/>
                <w:sz w:val="20"/>
              </w:rPr>
            </w:pPr>
            <w:r>
              <w:rPr>
                <w:rFonts w:ascii="Times New Roman" w:hAnsi="Times New Roman"/>
                <w:sz w:val="20"/>
              </w:rPr>
              <w:t>Power Analog Solutions</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16.0</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18.2</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2.2</w:t>
            </w:r>
          </w:p>
        </w:tc>
        <w:tc>
          <w:tcPr>
            <w:tcW w:w="544" w:type="dxa"/>
            <w:tcBorders/>
            <w:vAlign w:val="bottom"/>
          </w:tcPr>
          <w:p>
            <w:pPr>
              <w:pStyle w:val="TableContents"/>
              <w:bidi w:val="0"/>
              <w:spacing w:before="0" w:after="283"/>
              <w:jc w:val="left"/>
              <w:rPr/>
            </w:pPr>
            <w:r>
              <w:rPr/>
              <w:t>%pts</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19.4</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3.4</w:t>
            </w:r>
          </w:p>
        </w:tc>
        <w:tc>
          <w:tcPr>
            <w:tcW w:w="560" w:type="dxa"/>
            <w:tcBorders/>
            <w:vAlign w:val="bottom"/>
          </w:tcPr>
          <w:p>
            <w:pPr>
              <w:pStyle w:val="TableContents"/>
              <w:bidi w:val="0"/>
              <w:spacing w:before="0" w:after="283"/>
              <w:jc w:val="left"/>
              <w:rPr/>
            </w:pPr>
            <w:r>
              <w:rPr/>
              <w:t>%pts</w:t>
            </w:r>
          </w:p>
        </w:tc>
      </w:tr>
      <w:tr>
        <w:trPr/>
        <w:tc>
          <w:tcPr>
            <w:tcW w:w="23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Power IC</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43.2</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37.4</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up</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5.8</w:t>
            </w:r>
          </w:p>
        </w:tc>
        <w:tc>
          <w:tcPr>
            <w:tcW w:w="544" w:type="dxa"/>
            <w:tcBorders/>
            <w:shd w:fill="CCEEFF" w:val="clear"/>
            <w:vAlign w:val="bottom"/>
          </w:tcPr>
          <w:p>
            <w:pPr>
              <w:pStyle w:val="TableContents"/>
              <w:bidi w:val="0"/>
              <w:spacing w:before="0" w:after="283"/>
              <w:jc w:val="left"/>
              <w:rPr/>
            </w:pPr>
            <w:r>
              <w:rPr/>
              <w:t>%pts</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44.6</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1.4</w:t>
            </w:r>
          </w:p>
        </w:tc>
        <w:tc>
          <w:tcPr>
            <w:tcW w:w="560" w:type="dxa"/>
            <w:tcBorders/>
            <w:shd w:fill="CCEEFF" w:val="clear"/>
            <w:vAlign w:val="bottom"/>
          </w:tcPr>
          <w:p>
            <w:pPr>
              <w:pStyle w:val="TableContents"/>
              <w:bidi w:val="0"/>
              <w:spacing w:before="0" w:after="283"/>
              <w:jc w:val="left"/>
              <w:rPr/>
            </w:pPr>
            <w:r>
              <w:rPr/>
              <w:t>%pts</w:t>
            </w:r>
          </w:p>
        </w:tc>
      </w:tr>
      <w:tr>
        <w:trPr/>
        <w:tc>
          <w:tcPr>
            <w:tcW w:w="2394" w:type="dxa"/>
            <w:tcBorders/>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services(2)</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n/a</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— </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(6.5</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n/a</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— </w:t>
            </w:r>
          </w:p>
        </w:tc>
        <w:tc>
          <w:tcPr>
            <w:tcW w:w="560" w:type="dxa"/>
            <w:tcBorders/>
            <w:vAlign w:val="bottom"/>
          </w:tcPr>
          <w:p>
            <w:pPr>
              <w:pStyle w:val="TableContents"/>
              <w:bidi w:val="0"/>
              <w:spacing w:before="0" w:after="283"/>
              <w:jc w:val="left"/>
              <w:rPr/>
            </w:pPr>
            <w:r>
              <w:rPr/>
              <w:t> </w:t>
            </w:r>
          </w:p>
        </w:tc>
      </w:tr>
      <w:tr>
        <w:trPr/>
        <w:tc>
          <w:tcPr>
            <w:tcW w:w="23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(11,538</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(6,598</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(4,487</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394"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from continuing operations</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(10,609</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9,203</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(3,921</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r>
        <w:trPr/>
        <w:tc>
          <w:tcPr>
            <w:tcW w:w="23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Basic Earnings (Loss) per Common Share</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(0.29</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0.26</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(0.11</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394" w:type="dxa"/>
            <w:tcBorders/>
          </w:tcPr>
          <w:p>
            <w:pPr>
              <w:pStyle w:val="TableContents"/>
              <w:bidi w:val="0"/>
              <w:spacing w:before="0" w:after="0"/>
              <w:jc w:val="left"/>
              <w:rPr>
                <w:rFonts w:ascii="Times New Roman" w:hAnsi="Times New Roman"/>
                <w:b/>
                <w:sz w:val="20"/>
              </w:rPr>
            </w:pPr>
            <w:r>
              <w:rPr>
                <w:rFonts w:ascii="Times New Roman" w:hAnsi="Times New Roman"/>
                <w:b/>
                <w:sz w:val="20"/>
              </w:rPr>
              <w:t>Diluted Earnings (Loss) per Common Share</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(0.29</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0.25</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(0.11</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r>
        <w:trPr>
          <w:trHeight w:val="240" w:hRule="atLeast"/>
        </w:trPr>
        <w:tc>
          <w:tcPr>
            <w:tcW w:w="2394" w:type="dxa"/>
            <w:tcBorders/>
            <w:vAlign w:val="center"/>
          </w:tcPr>
          <w:p>
            <w:pPr>
              <w:pStyle w:val="TableContents"/>
              <w:bidi w:val="0"/>
              <w:spacing w:before="0" w:after="283"/>
              <w:jc w:val="left"/>
              <w:rPr>
                <w:sz w:val="4"/>
                <w:szCs w:val="4"/>
              </w:rPr>
            </w:pPr>
            <w:r>
              <w:rPr>
                <w:sz w:val="4"/>
                <w:szCs w:val="4"/>
              </w:rPr>
            </w:r>
          </w:p>
        </w:tc>
        <w:tc>
          <w:tcPr>
            <w:tcW w:w="7811" w:type="dxa"/>
            <w:gridSpan w:val="24"/>
            <w:tcBorders/>
            <w:vAlign w:val="center"/>
          </w:tcPr>
          <w:p>
            <w:pPr>
              <w:pStyle w:val="TableContents"/>
              <w:bidi w:val="0"/>
              <w:spacing w:before="0" w:after="283"/>
              <w:jc w:val="left"/>
              <w:rPr>
                <w:sz w:val="4"/>
                <w:szCs w:val="4"/>
              </w:rPr>
            </w:pPr>
            <w:r>
              <w:rPr>
                <w:sz w:val="4"/>
                <w:szCs w:val="4"/>
              </w:rPr>
            </w:r>
          </w:p>
        </w:tc>
      </w:tr>
      <w:tr>
        <w:trPr/>
        <w:tc>
          <w:tcPr>
            <w:tcW w:w="239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094" w:type="dxa"/>
            <w:gridSpan w:val="22"/>
            <w:tcBorders>
              <w:bottom w:val="single" w:sz="8" w:space="0" w:color="000000"/>
            </w:tcBorders>
            <w:tcMar>
              <w:bottom w:w="28" w:type="dxa"/>
            </w:tcMar>
            <w:vAlign w:val="bottom"/>
          </w:tcPr>
          <w:p>
            <w:pPr>
              <w:pStyle w:val="TableContents"/>
              <w:bidi w:val="0"/>
              <w:spacing w:before="0" w:after="283"/>
              <w:jc w:val="center"/>
              <w:rPr/>
            </w:pPr>
            <w:r>
              <w:rPr/>
              <w:t>In thousands of U.S. dollars, except share data</w:t>
            </w:r>
          </w:p>
        </w:tc>
        <w:tc>
          <w:tcPr>
            <w:tcW w:w="560" w:type="dxa"/>
            <w:tcBorders/>
            <w:vAlign w:val="bottom"/>
          </w:tcPr>
          <w:p>
            <w:pPr>
              <w:pStyle w:val="TableContents"/>
              <w:bidi w:val="0"/>
              <w:spacing w:before="0" w:after="283"/>
              <w:jc w:val="left"/>
              <w:rPr/>
            </w:pPr>
            <w:r>
              <w:rPr/>
              <w:t> </w:t>
            </w:r>
          </w:p>
        </w:tc>
      </w:tr>
      <w:tr>
        <w:trPr/>
        <w:tc>
          <w:tcPr>
            <w:tcW w:w="239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09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Non-GAAP(1)(3)</w:t>
            </w:r>
          </w:p>
        </w:tc>
        <w:tc>
          <w:tcPr>
            <w:tcW w:w="560" w:type="dxa"/>
            <w:tcBorders/>
            <w:vAlign w:val="bottom"/>
          </w:tcPr>
          <w:p>
            <w:pPr>
              <w:pStyle w:val="TableContents"/>
              <w:bidi w:val="0"/>
              <w:spacing w:before="0" w:after="283"/>
              <w:jc w:val="left"/>
              <w:rPr/>
            </w:pPr>
            <w:r>
              <w:rPr/>
              <w:t> </w:t>
            </w:r>
          </w:p>
        </w:tc>
      </w:tr>
      <w:tr>
        <w:trPr/>
        <w:tc>
          <w:tcPr>
            <w:tcW w:w="239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2025</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 2025(1)</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21" w:type="dxa"/>
            <w:gridSpan w:val="4"/>
            <w:tcBorders>
              <w:bottom w:val="single" w:sz="8" w:space="0" w:color="000000"/>
            </w:tcBorders>
            <w:tcMar>
              <w:bottom w:w="28" w:type="dxa"/>
            </w:tcMar>
            <w:vAlign w:val="bottom"/>
          </w:tcPr>
          <w:p>
            <w:pPr>
              <w:pStyle w:val="TableContents"/>
              <w:bidi w:val="0"/>
              <w:spacing w:before="0" w:after="283"/>
              <w:jc w:val="center"/>
              <w:rPr>
                <w:b/>
              </w:rPr>
            </w:pPr>
            <w:r>
              <w:rPr>
                <w:b/>
              </w:rPr>
              <w:t>Q/Q change</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Q3 2024(1)</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221" w:type="dxa"/>
            <w:gridSpan w:val="4"/>
            <w:tcBorders>
              <w:bottom w:val="single" w:sz="8" w:space="0" w:color="000000"/>
            </w:tcBorders>
            <w:tcMar>
              <w:bottom w:w="28" w:type="dxa"/>
            </w:tcMar>
            <w:vAlign w:val="bottom"/>
          </w:tcPr>
          <w:p>
            <w:pPr>
              <w:pStyle w:val="TableContents"/>
              <w:bidi w:val="0"/>
              <w:spacing w:before="0" w:after="283"/>
              <w:jc w:val="center"/>
              <w:rPr>
                <w:b/>
              </w:rPr>
            </w:pPr>
            <w:r>
              <w:rPr>
                <w:b/>
              </w:rPr>
              <w:t>Y/Y change</w:t>
            </w:r>
          </w:p>
        </w:tc>
        <w:tc>
          <w:tcPr>
            <w:tcW w:w="560" w:type="dxa"/>
            <w:tcBorders/>
            <w:vAlign w:val="bottom"/>
          </w:tcPr>
          <w:p>
            <w:pPr>
              <w:pStyle w:val="TableContents"/>
              <w:bidi w:val="0"/>
              <w:spacing w:before="0" w:after="283"/>
              <w:jc w:val="left"/>
              <w:rPr/>
            </w:pPr>
            <w:r>
              <w:rPr/>
              <w:t> </w:t>
            </w:r>
          </w:p>
        </w:tc>
      </w:tr>
      <w:tr>
        <w:trPr/>
        <w:tc>
          <w:tcPr>
            <w:tcW w:w="23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Operating Loss</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(7,421</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(4,776</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(2,851</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down</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394"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(3,964</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(1,542</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779</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down</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r>
        <w:trPr/>
        <w:tc>
          <w:tcPr>
            <w:tcW w:w="239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Loss</w:t>
            </w:r>
          </w:p>
        </w:tc>
        <w:tc>
          <w:tcPr>
            <w:tcW w:w="15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(390</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(1,978</w:t>
            </w:r>
          </w:p>
        </w:tc>
        <w:tc>
          <w:tcPr>
            <w:tcW w:w="275"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up</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44"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(7,623</w:t>
            </w:r>
          </w:p>
        </w:tc>
        <w:tc>
          <w:tcPr>
            <w:tcW w:w="358"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left"/>
              <w:rPr/>
            </w:pPr>
            <w:r>
              <w:rPr/>
              <w:t>up</w:t>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n/a</w:t>
            </w:r>
          </w:p>
        </w:tc>
        <w:tc>
          <w:tcPr>
            <w:tcW w:w="560" w:type="dxa"/>
            <w:tcBorders/>
            <w:shd w:fill="CCEEFF" w:val="clear"/>
            <w:vAlign w:val="bottom"/>
          </w:tcPr>
          <w:p>
            <w:pPr>
              <w:pStyle w:val="TableContents"/>
              <w:bidi w:val="0"/>
              <w:spacing w:before="0" w:after="283"/>
              <w:jc w:val="left"/>
              <w:rPr/>
            </w:pPr>
            <w:r>
              <w:rPr/>
              <w:t> </w:t>
            </w:r>
          </w:p>
        </w:tc>
      </w:tr>
      <w:tr>
        <w:trPr/>
        <w:tc>
          <w:tcPr>
            <w:tcW w:w="2394" w:type="dxa"/>
            <w:tcBorders/>
          </w:tcPr>
          <w:p>
            <w:pPr>
              <w:pStyle w:val="TableContents"/>
              <w:bidi w:val="0"/>
              <w:spacing w:before="0" w:after="0"/>
              <w:jc w:val="left"/>
              <w:rPr>
                <w:rFonts w:ascii="Times New Roman" w:hAnsi="Times New Roman"/>
                <w:b/>
                <w:sz w:val="20"/>
              </w:rPr>
            </w:pPr>
            <w:r>
              <w:rPr>
                <w:rFonts w:ascii="Times New Roman" w:hAnsi="Times New Roman"/>
                <w:b/>
                <w:sz w:val="20"/>
              </w:rPr>
              <w:t>Adjusted Loss per Common Share—Diluted</w:t>
            </w:r>
          </w:p>
        </w:tc>
        <w:tc>
          <w:tcPr>
            <w:tcW w:w="15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xml:space="preserve">(0.01 </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(0.05</w:t>
            </w:r>
          </w:p>
        </w:tc>
        <w:tc>
          <w:tcPr>
            <w:tcW w:w="275"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up</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44"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(0.20</w:t>
            </w:r>
          </w:p>
        </w:tc>
        <w:tc>
          <w:tcPr>
            <w:tcW w:w="358"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left"/>
              <w:rPr/>
            </w:pPr>
            <w:r>
              <w:rPr/>
              <w:t>up</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4" w:type="dxa"/>
            <w:tcBorders/>
            <w:vAlign w:val="bottom"/>
          </w:tcPr>
          <w:p>
            <w:pPr>
              <w:pStyle w:val="TableContents"/>
              <w:bidi w:val="0"/>
              <w:spacing w:before="0" w:after="283"/>
              <w:jc w:val="right"/>
              <w:rPr/>
            </w:pPr>
            <w:r>
              <w:rPr/>
              <w:t>n/a</w:t>
            </w:r>
          </w:p>
        </w:tc>
        <w:tc>
          <w:tcPr>
            <w:tcW w:w="5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GAAP and non-GAAP metrics summarized herein do not include any amounts relating to the Display business, which has been classified as discontinued operations from Q1 2025, and we have reclassified certain prior year amounts to conform to the current year’s presentation.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consummation of the sale of the Foundry Services Group business and Fab 4 in Q3 2020, we provided transitional foundry services to the buyer for foundry products manufactured in our fabrication facility located in Gumi, Korea, known as “Fab 3” (“Transitional Fab 3 Foundry Services”). The contractual obligation to provide the Transitional Fab 3 Foundry Services ended August 31, 2023, and we had wound down these foundry services by the end of 2024. Because these foundry services during the wind-down period had still been provided to the same buyer by us using our Fab 3 based on mutually agreed terms and conditions, we continued to report our revenue from providing these foundry services and related cost of sales within the Transitional Fab 3 Foundry Services line in our consolidated statement of operations until such wind down was completed. Management believes that disclosing revenue of Transitional Fab 3 Foundry Services separately from the Power solutions business allows investors to better understand the results of our core PAS and Power IC businesses.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believes that non-GAAP financial measures, when viewed in conjunction with GAAP results, can provide a meaningful understanding of the factors and trends affecting our business and operations and assist in evaluating our core operating performance. However, such non-GAAP financial measures have limitations and should not be considered as a substitute for net loss or as a better indicator of our operating performance than measures that are presented in accordance with GAAP. A reconciliation of historical GAAP results to non-GAAP results is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Q4 and Full-year 2025 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While actual results may vary, Magnachip currently expects the following: </w:t>
      </w:r>
    </w:p>
    <w:p>
      <w:pPr>
        <w:pStyle w:val="TextBody"/>
        <w:bidi w:val="0"/>
        <w:spacing w:before="120" w:after="0"/>
        <w:jc w:val="left"/>
        <w:rPr>
          <w:rFonts w:ascii="Times New Roman" w:hAnsi="Times New Roman"/>
          <w:b/>
          <w:sz w:val="20"/>
        </w:rPr>
      </w:pPr>
      <w:r>
        <w:rPr>
          <w:rFonts w:ascii="Times New Roman" w:hAnsi="Times New Roman"/>
          <w:b/>
          <w:sz w:val="20"/>
        </w:rPr>
        <w:t xml:space="preserve">For Q4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 from continuing operations (which includes Power Analog Solutions and Power IC businesses) to be in the range of $38.5 to $42.5 million, down 11.9% sequentially and down 17.1% year-over-year at the mid-point on an equivalent basis due in part to a one-time $2.5 million incentive program we expect to execute in Q4 to reduce higher levels of inventory in the channel. This compares with equivalent revenue of $45.9 million in Q3 2025 and $48.9 million in Q4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gross profit margin from continuing operations to be in the range of 8% to 10% due to the above-described one-time incentive as well as a lower fab utilization rate. We expect this incentive program to be a 600 basis point negative impact. This compares with equivalent gross profit margin of 18.6% in Q3 2025 and 23.2% in Q4 2024.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76375"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For the full-year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revenue from continuing operations is expected to be down by 3.8% year-over-year at the mid-point of Q4 revenue guidance on an equivalent basis. The equivalent revenue in 2024 was $185.8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Consolidated gross profit margin from continuing operations is expected to be between 17% to 18% and the above-described one-time incentive in Q4 is expected to have an about 100 basis point negative impact in the full-year consolidated gross profit margin. The equivalent gross profit margin was 21.5% in 2024.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Q3 2025 Earnings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Magnachip will host a corresponding conference call at 2:00 p.m. PT / 5:00 p.m. ET on Monday, November 3, 2025, to discuss its financial results. In advance of the conference call, all participants must use the following link to complete the online registration process. Upon registering, each participant will receive access details for this event including the dial-in numbers, a PIN number, and an e-mail with detailed instructions to join the conference call. A live and archived webcast of the conference call and a copy of earnings release will be accessible from the ‘Investors’ section of the Company’s website at </w:t>
      </w:r>
      <w:r>
        <w:rPr>
          <w:rFonts w:ascii="Times New Roman" w:hAnsi="Times New Roman"/>
          <w:sz w:val="20"/>
          <w:u w:val="single"/>
        </w:rPr>
        <w:t>www.magnachip.com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Online registration:</w:t>
      </w:r>
      <w:r>
        <w:rPr>
          <w:rFonts w:ascii="Times New Roman" w:hAnsi="Times New Roman"/>
          <w:sz w:val="20"/>
        </w:rPr>
        <w:t xml:space="preserve"> https://register-conf.media-server.com/register/BI60394e1855934e79b00744c413a48403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for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about estimated historical or future operating results and financial performance, outlook and business plans, including fourth quarter and full year 2025 revenue and gross profit margin expectations, future growth and revenue opportunities from new and existing products and customers, the timing and extent of future revenue contributions by our products and businesses, and the impact of market conditions associated with inflation and higher interest rates, geopolitical conflicts including between Russia-Ukraine and between Israel-Hamas and Iran, sustained military action and conflict in the Red Sea, global macroeconomic conditions resulting from trade and tariff actions instituted between the U.S. and other countries on Magnachip’s future operating results and financial performance, and the potential impacts of emerging technologies such as artificial intelligence on industry dynamics, customer demand, supply chain operations, and regulatory environments.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impact of changes in macroeconomic conditions, including those caused by or related to recent trade and tariff actions announced by the U.S. globally and the related retaliatory tariffs and disruptions in supply chains and global trade as a result thereof, inflation, potential recessions or other deteriorations, economic instability or civil unrest; geopolitical conflicts, including between Russia-Ukraine and between Israel-Hamas and Iran and sustained military action and conflict in the Red Sea; disruptions or economic impact resulting from the United States government shutdown, including disruptions at U.S. government agencies caused by reduction in staffing, operations, funding shortages or other concerns that may prevent new products and services from being developed or commercialized in a timely manner or otherwise prevent those agencies from performing normal business functions on which the operation of our customer’s businesses may rely; manufacturing capacity constraints or supply chain disruptions that may impact our ability to deliver our products or affect the price of components, which may lead to an increase in our costs and impact demand for our products from customers who are similarly affected by such capacity constraints or disruptions; the impact of competitive products and pricing; timely acceptance of our designs by customers; timely introduction of new products and technologies; the potential impact of emerging technologies such as artificial intelligence on industry dynamics, customer demand, supply chain operations, and regulatory environments; our ability to ramp new products into volume production; industry-wide shifts in supply and demand for semiconductor products; overcapacity within the industry or at Magnachip; effective and cost-efficient utilization of manufacturing capacity; financial stability in foreign markets and the impact of foreign exchange rates; unanticipated costs and expenses or the inability to identify expenses that can be eliminated; compliance with U.S. and international trade and export laws and regulations by us, our customers and our distributors; change to or ratification of local or international laws and regulations, including those related to environment, health and safety; public health issues; other business interruptions that could disrupt supply or delivery of, or demand for, Magnachip’s products; and other risks detailed from time to time in Magnachip’s filings with the SEC, including our Form 10-K filed on March 14, 2025,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76375"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Magnachip Semiconductor </w:t>
      </w:r>
    </w:p>
    <w:p>
      <w:pPr>
        <w:pStyle w:val="TextBody"/>
        <w:bidi w:val="0"/>
        <w:spacing w:before="120" w:after="0"/>
        <w:jc w:val="left"/>
        <w:rPr>
          <w:rFonts w:ascii="Times New Roman" w:hAnsi="Times New Roman"/>
          <w:sz w:val="20"/>
        </w:rPr>
      </w:pPr>
      <w:r>
        <w:rPr>
          <w:rFonts w:ascii="Times New Roman" w:hAnsi="Times New Roman"/>
          <w:sz w:val="20"/>
        </w:rPr>
        <w:t xml:space="preserve">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portfolio of approximately 1,000 registered patents and pending applications, and has extensive engineering, design and manufacturing process expertise. For more information, please visit www.magnachip.com. Information on or accessible through Magnachip’s website is not a part of, and is not incorporated into, this release. </w:t>
      </w:r>
    </w:p>
    <w:p>
      <w:pPr>
        <w:pStyle w:val="TextBody"/>
        <w:bidi w:val="0"/>
        <w:spacing w:before="24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Mike Bishop </w:t>
      </w:r>
    </w:p>
    <w:p>
      <w:pPr>
        <w:pStyle w:val="TextBody"/>
        <w:bidi w:val="0"/>
        <w:spacing w:before="0" w:after="0"/>
        <w:jc w:val="left"/>
        <w:rPr>
          <w:rFonts w:ascii="Times New Roman" w:hAnsi="Times New Roman"/>
          <w:sz w:val="20"/>
        </w:rPr>
      </w:pPr>
      <w:r>
        <w:rPr>
          <w:rFonts w:ascii="Times New Roman" w:hAnsi="Times New Roman"/>
          <w:sz w:val="20"/>
        </w:rPr>
        <w:t xml:space="preserve">Bishop IR, LLC </w:t>
      </w:r>
    </w:p>
    <w:p>
      <w:pPr>
        <w:pStyle w:val="TextBody"/>
        <w:bidi w:val="0"/>
        <w:spacing w:before="0" w:after="0"/>
        <w:jc w:val="left"/>
        <w:rPr>
          <w:rFonts w:ascii="Times New Roman" w:hAnsi="Times New Roman"/>
          <w:sz w:val="20"/>
        </w:rPr>
      </w:pPr>
      <w:r>
        <w:rPr>
          <w:rFonts w:ascii="Times New Roman" w:hAnsi="Times New Roman"/>
          <w:sz w:val="20"/>
        </w:rPr>
        <w:t xml:space="preserve">Tel. +1 (415) 891-9633 </w:t>
      </w:r>
    </w:p>
    <w:p>
      <w:pPr>
        <w:pStyle w:val="TextBody"/>
        <w:bidi w:val="0"/>
        <w:spacing w:before="0" w:after="0"/>
        <w:jc w:val="left"/>
        <w:rPr>
          <w:rFonts w:ascii="Times New Roman" w:hAnsi="Times New Roman"/>
          <w:sz w:val="20"/>
        </w:rPr>
      </w:pPr>
      <w:r>
        <w:rPr>
          <w:rFonts w:ascii="Times New Roman" w:hAnsi="Times New Roman"/>
          <w:sz w:val="20"/>
        </w:rPr>
        <w:t xml:space="preserve">mike@bishopir.com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76375"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87"/>
        <w:gridCol w:w="127"/>
        <w:gridCol w:w="166"/>
        <w:gridCol w:w="1309"/>
        <w:gridCol w:w="275"/>
        <w:gridCol w:w="67"/>
        <w:gridCol w:w="140"/>
        <w:gridCol w:w="1100"/>
        <w:gridCol w:w="275"/>
        <w:gridCol w:w="67"/>
        <w:gridCol w:w="166"/>
        <w:gridCol w:w="1309"/>
        <w:gridCol w:w="275"/>
        <w:gridCol w:w="67"/>
        <w:gridCol w:w="166"/>
        <w:gridCol w:w="1309"/>
        <w:gridCol w:w="275"/>
        <w:gridCol w:w="67"/>
        <w:gridCol w:w="166"/>
        <w:gridCol w:w="1309"/>
        <w:gridCol w:w="283"/>
      </w:tblGrid>
      <w:tr>
        <w:trPr/>
        <w:tc>
          <w:tcPr>
            <w:tcW w:w="1287"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28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87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32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2024(1)</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Net sales – Power solutions business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45,946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47,622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52,994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138,290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136,970</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2,440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8,302</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45,946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47,622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55,434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138,290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145,272</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 – Power solutions business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37,405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37,910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41,329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110,675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108,354</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2,599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9,267</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37,405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37,910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43,928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110,675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117,621</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8,541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9,712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11,506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27,615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27,651</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 as a percentage of Power solutions business net sales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18.6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20.4</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22.0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20.0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20.9</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 as a percentage of total revenues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18.6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20.8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19.0</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09"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8,312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8,976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9,521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26,491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28,341</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7,773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6,488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6,472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19,698</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18,455</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3,994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846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4,840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20,079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16,310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15,993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51,029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46,796</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(11,538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(6,598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(4,487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(23,414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(19,145</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1,255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1,322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1,939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4,117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6,214</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(469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(472</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(1,265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(1,143</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gain (loss), net</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(4,280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10,797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5,247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6,112</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(3,388</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(loss), net</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253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(83</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284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121</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 before income tax expense (benefit), net</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(14,779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5,065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2,196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(14,166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(17,341</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(4,170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(4,138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6,117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(8,709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2,267</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(10,609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9,203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(3,921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(5,457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(19,608</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from discontinued operations, net of tax</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(2,481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(8,880</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(5,696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(16,188</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(18,423</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09"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(13,090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323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(9,617</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(21,645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(38,031</w:t>
            </w:r>
          </w:p>
        </w:tc>
        <w:tc>
          <w:tcPr>
            <w:tcW w:w="283" w:type="dxa"/>
            <w:tcBorders/>
            <w:vAlign w:val="bottom"/>
          </w:tcPr>
          <w:p>
            <w:pPr>
              <w:pStyle w:val="TableContents"/>
              <w:bidi w:val="0"/>
              <w:spacing w:before="0" w:after="283"/>
              <w:jc w:val="left"/>
              <w:rPr/>
            </w:pPr>
            <w:r>
              <w:rPr/>
              <w:t>) </w:t>
            </w:r>
          </w:p>
        </w:tc>
      </w:tr>
      <w:tr>
        <w:trPr/>
        <w:tc>
          <w:tcPr>
            <w:tcW w:w="1287"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09"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earnings (loss) per common share—</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(0.29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0.26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(0.11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(0.15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(0.52</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Discontinuing operations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(0.07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(0.25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(0.15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(0.45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(0.48</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(0.36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0.01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(0.26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(0.60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(1.00</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(loss) per common share—</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Continuing operations</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(0.29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 </w:t>
            </w:r>
            <w:r>
              <w:rPr/>
              <w:t>0.25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(0.11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(0.15</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(0.52</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Discontinuing operations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(0.07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(0.24</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(0.15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(0.45</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(0.48</w:t>
            </w:r>
          </w:p>
        </w:tc>
        <w:tc>
          <w:tcPr>
            <w:tcW w:w="283" w:type="dxa"/>
            <w:tcBorders/>
            <w:shd w:fill="CCEEFF" w:val="clear"/>
            <w:vAlign w:val="bottom"/>
          </w:tcPr>
          <w:p>
            <w:pPr>
              <w:pStyle w:val="TableContents"/>
              <w:bidi w:val="0"/>
              <w:spacing w:before="0" w:after="283"/>
              <w:jc w:val="left"/>
              <w:rPr/>
            </w:pPr>
            <w:r>
              <w:rPr/>
              <w:t>) </w:t>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(0.36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 </w:t>
            </w:r>
            <w:r>
              <w:rPr/>
              <w:t>0.01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(0.26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(0.60</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09" w:type="dxa"/>
            <w:tcBorders/>
            <w:vAlign w:val="bottom"/>
          </w:tcPr>
          <w:p>
            <w:pPr>
              <w:pStyle w:val="TableContents"/>
              <w:bidi w:val="0"/>
              <w:spacing w:before="0" w:after="283"/>
              <w:jc w:val="right"/>
              <w:rPr/>
            </w:pPr>
            <w:r>
              <w:rPr/>
              <w:t>(1.00</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09"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1287"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35,934,406</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36,083,703</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37,468,849</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36,298,491</w:t>
            </w:r>
          </w:p>
        </w:tc>
        <w:tc>
          <w:tcPr>
            <w:tcW w:w="27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09" w:type="dxa"/>
            <w:tcBorders/>
            <w:vAlign w:val="bottom"/>
          </w:tcPr>
          <w:p>
            <w:pPr>
              <w:pStyle w:val="TableContents"/>
              <w:bidi w:val="0"/>
              <w:spacing w:before="0" w:after="283"/>
              <w:jc w:val="right"/>
              <w:rPr/>
            </w:pPr>
            <w:r>
              <w:rPr/>
              <w:t>38,060,682</w:t>
            </w:r>
          </w:p>
        </w:tc>
        <w:tc>
          <w:tcPr>
            <w:tcW w:w="283" w:type="dxa"/>
            <w:tcBorders/>
            <w:vAlign w:val="bottom"/>
          </w:tcPr>
          <w:p>
            <w:pPr>
              <w:pStyle w:val="TableContents"/>
              <w:bidi w:val="0"/>
              <w:spacing w:before="0" w:after="283"/>
              <w:jc w:val="left"/>
              <w:rPr/>
            </w:pPr>
            <w:r>
              <w:rPr/>
              <w:t> </w:t>
            </w:r>
          </w:p>
        </w:tc>
      </w:tr>
      <w:tr>
        <w:trPr/>
        <w:tc>
          <w:tcPr>
            <w:tcW w:w="128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35,934,406</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36,768,647</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37,468,849</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36,298,491</w:t>
            </w:r>
          </w:p>
        </w:tc>
        <w:tc>
          <w:tcPr>
            <w:tcW w:w="27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09" w:type="dxa"/>
            <w:tcBorders/>
            <w:shd w:fill="CCEEFF" w:val="clear"/>
            <w:vAlign w:val="bottom"/>
          </w:tcPr>
          <w:p>
            <w:pPr>
              <w:pStyle w:val="TableContents"/>
              <w:bidi w:val="0"/>
              <w:spacing w:before="0" w:after="283"/>
              <w:jc w:val="right"/>
              <w:rPr/>
            </w:pPr>
            <w:r>
              <w:rPr/>
              <w:t>38,060,682</w:t>
            </w:r>
          </w:p>
        </w:tc>
        <w:tc>
          <w:tcPr>
            <w:tcW w:w="283"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reclassified prior period financial information to conform to the current year presentation that reflects the classification of the Display business as discontinued operations from Q1 2025.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76375" cy="342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88"/>
        <w:gridCol w:w="217"/>
        <w:gridCol w:w="203"/>
        <w:gridCol w:w="1277"/>
        <w:gridCol w:w="155"/>
        <w:gridCol w:w="172"/>
        <w:gridCol w:w="195"/>
        <w:gridCol w:w="1238"/>
        <w:gridCol w:w="160"/>
      </w:tblGrid>
      <w:tr>
        <w:trPr/>
        <w:tc>
          <w:tcPr>
            <w:tcW w:w="6588"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88"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pPr>
            <w:r>
              <w:rPr>
                <w:b/>
              </w:rPr>
              <w:t>September 30,</w:t>
            </w:r>
            <w:r>
              <w:rPr/>
              <w:br/>
            </w:r>
            <w:r>
              <w:rPr>
                <w:b/>
              </w:rPr>
              <w:t>2025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433"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2024</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108,005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138,610</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31,431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28,402</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37,375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30,535</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4,155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4,444</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6,022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10,379</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Hedge collateral</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2,080</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10,375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4,779</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197,363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219,229</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94,918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81,463</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2,423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3,107</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498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507</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prepaid expenses, net</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590</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165</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55,573</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52,889</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8,241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21,956</w:t>
            </w:r>
          </w:p>
        </w:tc>
        <w:tc>
          <w:tcPr>
            <w:tcW w:w="160" w:type="dxa"/>
            <w:tcBorders/>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277" w:type="dxa"/>
            <w:tcBorders/>
            <w:shd w:fill="CCEEFF" w:val="clear"/>
            <w:vAlign w:val="bottom"/>
          </w:tcPr>
          <w:p>
            <w:pPr>
              <w:pStyle w:val="TableContents"/>
              <w:bidi w:val="0"/>
              <w:spacing w:before="0" w:after="283"/>
              <w:jc w:val="right"/>
              <w:rPr/>
            </w:pPr>
            <w:r>
              <w:rPr/>
              <w:t>359,606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238" w:type="dxa"/>
            <w:tcBorders/>
            <w:shd w:fill="CCEEFF" w:val="clear"/>
            <w:vAlign w:val="bottom"/>
          </w:tcPr>
          <w:p>
            <w:pPr>
              <w:pStyle w:val="TableContents"/>
              <w:bidi w:val="0"/>
              <w:spacing w:before="0" w:after="283"/>
              <w:jc w:val="right"/>
              <w:rPr/>
            </w:pPr>
            <w:r>
              <w:rPr/>
              <w:t>379,316</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17,546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21,642</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12,334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10,764</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12,019</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8,648</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44</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56</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1,428</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1,393</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2,308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3,765</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45,679</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46,268</w:t>
            </w:r>
          </w:p>
        </w:tc>
        <w:tc>
          <w:tcPr>
            <w:tcW w:w="160" w:type="dxa"/>
            <w:tcBorders/>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borrowings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38,935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27,211</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14,213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17,094</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operating lease liabilities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1,018</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1,823</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4,412</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10,123</w:t>
            </w:r>
          </w:p>
        </w:tc>
        <w:tc>
          <w:tcPr>
            <w:tcW w:w="160" w:type="dxa"/>
            <w:tcBorders/>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104,257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102,519</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127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sz w:val="4"/>
                <w:szCs w:val="4"/>
              </w:rPr>
            </w:pPr>
            <w:r>
              <w:rPr>
                <w:sz w:val="4"/>
                <w:szCs w:val="4"/>
              </w:rPr>
            </w:r>
          </w:p>
        </w:tc>
        <w:tc>
          <w:tcPr>
            <w:tcW w:w="1238"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127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sz w:val="4"/>
                <w:szCs w:val="4"/>
              </w:rPr>
            </w:pPr>
            <w:r>
              <w:rPr>
                <w:sz w:val="4"/>
                <w:szCs w:val="4"/>
              </w:rPr>
            </w:r>
          </w:p>
        </w:tc>
        <w:tc>
          <w:tcPr>
            <w:tcW w:w="1238"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57,674,256 shares issued and 35,948,422 outstanding at September 30, 2025 and 57,498,507 shares issued and 36,912,118 outstanding at December 31, 2024</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576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574</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280,975</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279,423</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222,931</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244,576</w:t>
            </w:r>
          </w:p>
        </w:tc>
        <w:tc>
          <w:tcPr>
            <w:tcW w:w="160" w:type="dxa"/>
            <w:tcBorders/>
            <w:vAlign w:val="bottom"/>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stock, 21,725,834 shares at September 30, 2025 and 20,586,389 shares at December 31, 2024, respectively</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(229,700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(225,883</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77" w:type="dxa"/>
            <w:tcBorders/>
            <w:vAlign w:val="bottom"/>
          </w:tcPr>
          <w:p>
            <w:pPr>
              <w:pStyle w:val="TableContents"/>
              <w:bidi w:val="0"/>
              <w:spacing w:before="0" w:after="283"/>
              <w:jc w:val="right"/>
              <w:rPr/>
            </w:pPr>
            <w:r>
              <w:rPr/>
              <w:t>(19,433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(21,893</w:t>
            </w:r>
          </w:p>
        </w:tc>
        <w:tc>
          <w:tcPr>
            <w:tcW w:w="160" w:type="dxa"/>
            <w:tcBorders/>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17"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277" w:type="dxa"/>
            <w:tcBorders/>
            <w:shd w:fill="CCEEFF" w:val="clear"/>
            <w:vAlign w:val="bottom"/>
          </w:tcPr>
          <w:p>
            <w:pPr>
              <w:pStyle w:val="TableContents"/>
              <w:bidi w:val="0"/>
              <w:spacing w:before="0" w:after="283"/>
              <w:jc w:val="right"/>
              <w:rPr/>
            </w:pPr>
            <w:r>
              <w:rPr/>
              <w:t>255,349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276,797</w:t>
            </w:r>
          </w:p>
        </w:tc>
        <w:tc>
          <w:tcPr>
            <w:tcW w:w="160" w:type="dxa"/>
            <w:tcBorders/>
            <w:shd w:fill="CCEEFF" w:val="clear"/>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12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single" w:sz="2" w:space="1" w:color="000000"/>
              </w:pBdr>
              <w:bidi w:val="0"/>
              <w:spacing w:before="0" w:after="0"/>
              <w:jc w:val="left"/>
              <w:rPr/>
            </w:pPr>
            <w:r>
              <w:rPr/>
              <w:t> </w:t>
            </w:r>
          </w:p>
        </w:tc>
        <w:tc>
          <w:tcPr>
            <w:tcW w:w="1238"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588"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277" w:type="dxa"/>
            <w:tcBorders/>
            <w:vAlign w:val="bottom"/>
          </w:tcPr>
          <w:p>
            <w:pPr>
              <w:pStyle w:val="TableContents"/>
              <w:bidi w:val="0"/>
              <w:spacing w:before="0" w:after="283"/>
              <w:jc w:val="right"/>
              <w:rPr/>
            </w:pPr>
            <w:r>
              <w:rPr/>
              <w:t>359,606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238" w:type="dxa"/>
            <w:tcBorders/>
            <w:vAlign w:val="bottom"/>
          </w:tcPr>
          <w:p>
            <w:pPr>
              <w:pStyle w:val="TableContents"/>
              <w:bidi w:val="0"/>
              <w:spacing w:before="0" w:after="283"/>
              <w:jc w:val="right"/>
              <w:rPr/>
            </w:pPr>
            <w:r>
              <w:rPr/>
              <w:t>379,316</w:t>
            </w:r>
          </w:p>
        </w:tc>
        <w:tc>
          <w:tcPr>
            <w:tcW w:w="160" w:type="dxa"/>
            <w:tcBorders/>
            <w:vAlign w:val="bottom"/>
          </w:tcPr>
          <w:p>
            <w:pPr>
              <w:pStyle w:val="TableContents"/>
              <w:bidi w:val="0"/>
              <w:spacing w:before="0" w:after="283"/>
              <w:jc w:val="left"/>
              <w:rPr/>
            </w:pPr>
            <w:r>
              <w:rPr/>
              <w:t> </w:t>
            </w:r>
          </w:p>
        </w:tc>
      </w:tr>
      <w:tr>
        <w:trPr/>
        <w:tc>
          <w:tcPr>
            <w:tcW w:w="6588" w:type="dxa"/>
            <w:tcBorders/>
            <w:vAlign w:val="bottom"/>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127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95" w:type="dxa"/>
            <w:tcBorders/>
            <w:vAlign w:val="bottom"/>
          </w:tcPr>
          <w:p>
            <w:pPr>
              <w:pStyle w:val="TableContents"/>
              <w:pBdr>
                <w:top w:val="double" w:sz="6" w:space="1" w:color="000000"/>
              </w:pBdr>
              <w:bidi w:val="0"/>
              <w:spacing w:before="0" w:after="0"/>
              <w:jc w:val="left"/>
              <w:rPr/>
            </w:pPr>
            <w:r>
              <w:rPr/>
              <w:t> </w:t>
            </w:r>
          </w:p>
        </w:tc>
        <w:tc>
          <w:tcPr>
            <w:tcW w:w="1238"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76375" cy="342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05"/>
        <w:gridCol w:w="302"/>
        <w:gridCol w:w="219"/>
        <w:gridCol w:w="1256"/>
        <w:gridCol w:w="155"/>
        <w:gridCol w:w="252"/>
        <w:gridCol w:w="219"/>
        <w:gridCol w:w="1256"/>
        <w:gridCol w:w="155"/>
        <w:gridCol w:w="252"/>
        <w:gridCol w:w="219"/>
        <w:gridCol w:w="1256"/>
        <w:gridCol w:w="159"/>
      </w:tblGrid>
      <w:tr>
        <w:trPr/>
        <w:tc>
          <w:tcPr>
            <w:tcW w:w="4505"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3357" w:type="dxa"/>
            <w:gridSpan w:val="6"/>
            <w:tcBorders>
              <w:bottom w:val="single" w:sz="8" w:space="0" w:color="000000"/>
            </w:tcBorders>
            <w:tcMar>
              <w:bottom w:w="28" w:type="dxa"/>
            </w:tcMar>
            <w:vAlign w:val="bottom"/>
          </w:tcPr>
          <w:p>
            <w:pPr>
              <w:pStyle w:val="TableContents"/>
              <w:bidi w:val="0"/>
              <w:spacing w:before="0" w:after="283"/>
              <w:jc w:val="center"/>
              <w:rPr/>
            </w:pPr>
            <w:r>
              <w:rPr>
                <w:b/>
              </w:rPr>
              <w:t>Nine Months</w:t>
            </w:r>
            <w:r>
              <w:rPr/>
              <w:br/>
            </w:r>
            <w:r>
              <w:rPr>
                <w:b/>
              </w:rPr>
              <w:t>Ended</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(13,090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(21,645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(38,031</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(used in) operating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3,277</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9,938</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12,171</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693</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2,868</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4,552</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Loss (gain) on foreign currency, net</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7,473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(10,612</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6,140</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(reversal) for inventory reserves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1,074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1,919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(1,615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1,615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4,093</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Impairment charges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5,062</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12,424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assets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(569</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3,111</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(256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552</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(3,010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(7,610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3,560</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(2,152</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(7,131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(2,365</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4,548</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(1,287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(1,030</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704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5,325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5,645</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(3,922</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(3,247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1,155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(1,918</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641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619</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(1,831</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(6,803</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(10,197</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3,947</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1,925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(1,339</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(1,459</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(323</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(240</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(48</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(345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(826</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(10,669</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(1,889</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3,446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(1,077</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(29,639</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(17,989</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2,237</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627</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(612</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disposal of plant, property and equipment</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554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554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(7,656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(19,739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(4,175</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(263</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1,938</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4,274</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1,153</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(58</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(355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(2,090</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 of short-term financial instruments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(30,000</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Others, net</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180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(5,319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(13,031</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(35,397</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long-term borrowings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3,647</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10,611</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30,059</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(320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(4,340</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(9,507</w:t>
            </w:r>
          </w:p>
        </w:tc>
        <w:tc>
          <w:tcPr>
            <w:tcW w:w="159" w:type="dxa"/>
            <w:tcBorders/>
            <w:vAlign w:val="bottom"/>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(341</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(357</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(41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(121</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(104</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3,170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5,809</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20,091</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(3,334</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6,256</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(3,702</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(5,321</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(30,605</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(36,997</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5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of the period</w:t>
            </w:r>
          </w:p>
        </w:tc>
        <w:tc>
          <w:tcPr>
            <w:tcW w:w="30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113,326</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138,610</w:t>
            </w:r>
          </w:p>
        </w:tc>
        <w:tc>
          <w:tcPr>
            <w:tcW w:w="155"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158,092</w:t>
            </w:r>
          </w:p>
        </w:tc>
        <w:tc>
          <w:tcPr>
            <w:tcW w:w="159" w:type="dxa"/>
            <w:tcBorders/>
            <w:shd w:fill="CCEEFF" w:val="clear"/>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05" w:type="dxa"/>
            <w:tcBorders/>
          </w:tcPr>
          <w:p>
            <w:pPr>
              <w:pStyle w:val="TableContents"/>
              <w:bidi w:val="0"/>
              <w:spacing w:before="0" w:after="0"/>
              <w:jc w:val="left"/>
              <w:rPr>
                <w:rFonts w:ascii="Times New Roman" w:hAnsi="Times New Roman"/>
                <w:sz w:val="20"/>
              </w:rPr>
            </w:pPr>
            <w:r>
              <w:rPr>
                <w:rFonts w:ascii="Times New Roman" w:hAnsi="Times New Roman"/>
                <w:sz w:val="20"/>
              </w:rPr>
              <w:t>End of the period</w:t>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108,005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108,005</w:t>
            </w:r>
          </w:p>
        </w:tc>
        <w:tc>
          <w:tcPr>
            <w:tcW w:w="155"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121,095</w:t>
            </w:r>
          </w:p>
        </w:tc>
        <w:tc>
          <w:tcPr>
            <w:tcW w:w="159" w:type="dxa"/>
            <w:tcBorders/>
            <w:vAlign w:val="bottom"/>
          </w:tcPr>
          <w:p>
            <w:pPr>
              <w:pStyle w:val="TableContents"/>
              <w:bidi w:val="0"/>
              <w:spacing w:before="0" w:after="283"/>
              <w:jc w:val="left"/>
              <w:rPr/>
            </w:pPr>
            <w:r>
              <w:rPr/>
              <w:t> </w:t>
            </w:r>
          </w:p>
        </w:tc>
      </w:tr>
      <w:tr>
        <w:trPr/>
        <w:tc>
          <w:tcPr>
            <w:tcW w:w="4505"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pPr>
      <w:r>
        <w:rPr/>
        <w:drawing>
          <wp:inline distT="0" distB="0" distL="0" distR="0">
            <wp:extent cx="1476375" cy="342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LOSS FROM CONTINUING OPERATIONS TO ADJUSTED OPERATING LOSS FROM CONTINUING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23"/>
        <w:gridCol w:w="162"/>
        <w:gridCol w:w="230"/>
        <w:gridCol w:w="1254"/>
        <w:gridCol w:w="155"/>
        <w:gridCol w:w="105"/>
        <w:gridCol w:w="158"/>
        <w:gridCol w:w="717"/>
        <w:gridCol w:w="155"/>
        <w:gridCol w:w="105"/>
        <w:gridCol w:w="266"/>
        <w:gridCol w:w="1219"/>
        <w:gridCol w:w="155"/>
        <w:gridCol w:w="105"/>
        <w:gridCol w:w="229"/>
        <w:gridCol w:w="1255"/>
        <w:gridCol w:w="160"/>
        <w:gridCol w:w="106"/>
        <w:gridCol w:w="228"/>
        <w:gridCol w:w="1256"/>
        <w:gridCol w:w="162"/>
      </w:tblGrid>
      <w:tr>
        <w:trPr/>
        <w:tc>
          <w:tcPr>
            <w:tcW w:w="2023"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2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36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32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162" w:type="dxa"/>
            <w:tcBorders/>
            <w:vAlign w:val="bottom"/>
          </w:tcPr>
          <w:p>
            <w:pPr>
              <w:pStyle w:val="TableContents"/>
              <w:bidi w:val="0"/>
              <w:spacing w:before="0" w:after="283"/>
              <w:jc w:val="left"/>
              <w:rPr/>
            </w:pPr>
            <w:r>
              <w:rPr/>
              <w:t> </w:t>
            </w:r>
          </w:p>
        </w:tc>
      </w:tr>
      <w:tr>
        <w:trPr/>
        <w:tc>
          <w:tcPr>
            <w:tcW w:w="2023"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2024(1)</w:t>
            </w:r>
          </w:p>
        </w:tc>
        <w:tc>
          <w:tcPr>
            <w:tcW w:w="162" w:type="dxa"/>
            <w:tcBorders/>
            <w:vAlign w:val="bottom"/>
          </w:tcPr>
          <w:p>
            <w:pPr>
              <w:pStyle w:val="TableContents"/>
              <w:bidi w:val="0"/>
              <w:spacing w:before="0" w:after="283"/>
              <w:jc w:val="left"/>
              <w:rPr/>
            </w:pPr>
            <w:r>
              <w:rPr/>
              <w:t> </w:t>
            </w:r>
          </w:p>
        </w:tc>
      </w:tr>
      <w:tr>
        <w:trPr/>
        <w:tc>
          <w:tcPr>
            <w:tcW w:w="2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loss</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(11,538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(6,598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(4,487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(23,414</w:t>
            </w:r>
          </w:p>
        </w:tc>
        <w:tc>
          <w:tcPr>
            <w:tcW w:w="1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(19,145</w:t>
            </w:r>
          </w:p>
        </w:tc>
        <w:tc>
          <w:tcPr>
            <w:tcW w:w="162" w:type="dxa"/>
            <w:tcBorders/>
            <w:shd w:fill="CCEEFF" w:val="clear"/>
            <w:vAlign w:val="bottom"/>
          </w:tcPr>
          <w:p>
            <w:pPr>
              <w:pStyle w:val="TableContents"/>
              <w:bidi w:val="0"/>
              <w:spacing w:before="0" w:after="283"/>
              <w:jc w:val="left"/>
              <w:rPr/>
            </w:pPr>
            <w:r>
              <w:rPr/>
              <w:t>) </w:t>
            </w:r>
          </w:p>
        </w:tc>
      </w:tr>
      <w:tr>
        <w:trPr/>
        <w:tc>
          <w:tcPr>
            <w:tcW w:w="2023"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sz w:val="4"/>
                <w:szCs w:val="4"/>
              </w:rPr>
            </w:pPr>
            <w:r>
              <w:rPr>
                <w:sz w:val="4"/>
                <w:szCs w:val="4"/>
              </w:rPr>
            </w:r>
          </w:p>
        </w:tc>
        <w:tc>
          <w:tcPr>
            <w:tcW w:w="121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sz w:val="4"/>
                <w:szCs w:val="4"/>
              </w:rPr>
            </w:pPr>
            <w:r>
              <w:rPr>
                <w:sz w:val="4"/>
                <w:szCs w:val="4"/>
              </w:rPr>
            </w:r>
          </w:p>
        </w:tc>
        <w:tc>
          <w:tcPr>
            <w:tcW w:w="1255"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2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976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19" w:type="dxa"/>
            <w:tcBorders/>
            <w:shd w:fill="CCEEFF" w:val="clear"/>
            <w:vAlign w:val="bottom"/>
          </w:tcPr>
          <w:p>
            <w:pPr>
              <w:pStyle w:val="TableContents"/>
              <w:bidi w:val="0"/>
              <w:spacing w:before="0" w:after="283"/>
              <w:jc w:val="right"/>
              <w:rPr/>
            </w:pPr>
            <w:r>
              <w:rPr/>
              <w:t>1,636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255" w:type="dxa"/>
            <w:tcBorders/>
            <w:shd w:fill="CCEEFF" w:val="clear"/>
            <w:vAlign w:val="bottom"/>
          </w:tcPr>
          <w:p>
            <w:pPr>
              <w:pStyle w:val="TableContents"/>
              <w:bidi w:val="0"/>
              <w:spacing w:before="0" w:after="283"/>
              <w:jc w:val="right"/>
              <w:rPr/>
            </w:pPr>
            <w:r>
              <w:rPr/>
              <w:t>1,967</w:t>
            </w:r>
          </w:p>
        </w:tc>
        <w:tc>
          <w:tcPr>
            <w:tcW w:w="1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3,517</w:t>
            </w:r>
          </w:p>
        </w:tc>
        <w:tc>
          <w:tcPr>
            <w:tcW w:w="162" w:type="dxa"/>
            <w:tcBorders/>
            <w:shd w:fill="CCEEFF" w:val="clear"/>
            <w:vAlign w:val="bottom"/>
          </w:tcPr>
          <w:p>
            <w:pPr>
              <w:pStyle w:val="TableContents"/>
              <w:bidi w:val="0"/>
              <w:spacing w:before="0" w:after="283"/>
              <w:jc w:val="left"/>
              <w:rPr/>
            </w:pPr>
            <w:r>
              <w:rPr/>
              <w:t> </w:t>
            </w:r>
          </w:p>
        </w:tc>
      </w:tr>
      <w:tr>
        <w:trPr/>
        <w:tc>
          <w:tcPr>
            <w:tcW w:w="2023"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3,994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846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1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55" w:type="dxa"/>
            <w:tcBorders/>
            <w:vAlign w:val="bottom"/>
          </w:tcPr>
          <w:p>
            <w:pPr>
              <w:pStyle w:val="TableContents"/>
              <w:bidi w:val="0"/>
              <w:spacing w:before="0" w:after="283"/>
              <w:jc w:val="right"/>
              <w:rPr/>
            </w:pPr>
            <w:r>
              <w:rPr/>
              <w:t>4,840</w:t>
            </w:r>
          </w:p>
        </w:tc>
        <w:tc>
          <w:tcPr>
            <w:tcW w:w="1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r>
      <w:tr>
        <w:trPr/>
        <w:tc>
          <w:tcPr>
            <w:tcW w:w="202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single" w:sz="2" w:space="1" w:color="000000"/>
              </w:pBdr>
              <w:bidi w:val="0"/>
              <w:spacing w:before="0" w:after="0"/>
              <w:jc w:val="left"/>
              <w:rPr/>
            </w:pPr>
            <w:r>
              <w:rPr/>
              <w:t> </w:t>
            </w:r>
          </w:p>
        </w:tc>
        <w:tc>
          <w:tcPr>
            <w:tcW w:w="71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single" w:sz="2" w:space="1" w:color="000000"/>
              </w:pBdr>
              <w:bidi w:val="0"/>
              <w:spacing w:before="0" w:after="0"/>
              <w:jc w:val="left"/>
              <w:rPr/>
            </w:pPr>
            <w:r>
              <w:rPr/>
              <w:t> </w:t>
            </w:r>
          </w:p>
        </w:tc>
        <w:tc>
          <w:tcPr>
            <w:tcW w:w="125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02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162"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(7,421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w:t>
            </w:r>
          </w:p>
        </w:tc>
        <w:tc>
          <w:tcPr>
            <w:tcW w:w="717" w:type="dxa"/>
            <w:tcBorders/>
            <w:shd w:fill="CCEEFF" w:val="clear"/>
            <w:vAlign w:val="bottom"/>
          </w:tcPr>
          <w:p>
            <w:pPr>
              <w:pStyle w:val="TableContents"/>
              <w:bidi w:val="0"/>
              <w:spacing w:before="0" w:after="283"/>
              <w:jc w:val="right"/>
              <w:rPr/>
            </w:pPr>
            <w:r>
              <w:rPr/>
              <w:t>(4,776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19" w:type="dxa"/>
            <w:tcBorders/>
            <w:shd w:fill="CCEEFF" w:val="clear"/>
            <w:vAlign w:val="bottom"/>
          </w:tcPr>
          <w:p>
            <w:pPr>
              <w:pStyle w:val="TableContents"/>
              <w:bidi w:val="0"/>
              <w:spacing w:before="0" w:after="283"/>
              <w:jc w:val="right"/>
              <w:rPr/>
            </w:pPr>
            <w:r>
              <w:rPr/>
              <w:t>(2,851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w:t>
            </w:r>
          </w:p>
        </w:tc>
        <w:tc>
          <w:tcPr>
            <w:tcW w:w="1255" w:type="dxa"/>
            <w:tcBorders/>
            <w:shd w:fill="CCEEFF" w:val="clear"/>
            <w:vAlign w:val="bottom"/>
          </w:tcPr>
          <w:p>
            <w:pPr>
              <w:pStyle w:val="TableContents"/>
              <w:bidi w:val="0"/>
              <w:spacing w:before="0" w:after="283"/>
              <w:jc w:val="right"/>
              <w:rPr/>
            </w:pPr>
            <w:r>
              <w:rPr/>
              <w:t>(16,607</w:t>
            </w:r>
          </w:p>
        </w:tc>
        <w:tc>
          <w:tcPr>
            <w:tcW w:w="1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(15,628</w:t>
            </w:r>
          </w:p>
        </w:tc>
        <w:tc>
          <w:tcPr>
            <w:tcW w:w="162" w:type="dxa"/>
            <w:tcBorders/>
            <w:shd w:fill="CCEEFF" w:val="clear"/>
            <w:vAlign w:val="bottom"/>
          </w:tcPr>
          <w:p>
            <w:pPr>
              <w:pStyle w:val="TableContents"/>
              <w:bidi w:val="0"/>
              <w:spacing w:before="0" w:after="283"/>
              <w:jc w:val="left"/>
              <w:rPr/>
            </w:pPr>
            <w:r>
              <w:rPr/>
              <w:t>) </w:t>
            </w:r>
          </w:p>
        </w:tc>
      </w:tr>
      <w:tr>
        <w:trPr/>
        <w:tc>
          <w:tcPr>
            <w:tcW w:w="202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58" w:type="dxa"/>
            <w:tcBorders/>
            <w:vAlign w:val="bottom"/>
          </w:tcPr>
          <w:p>
            <w:pPr>
              <w:pStyle w:val="TableContents"/>
              <w:pBdr>
                <w:top w:val="double" w:sz="6" w:space="1" w:color="000000"/>
              </w:pBdr>
              <w:bidi w:val="0"/>
              <w:spacing w:before="0" w:after="0"/>
              <w:jc w:val="left"/>
              <w:rPr/>
            </w:pPr>
            <w:r>
              <w:rPr/>
              <w:t> </w:t>
            </w:r>
          </w:p>
        </w:tc>
        <w:tc>
          <w:tcPr>
            <w:tcW w:w="71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2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229" w:type="dxa"/>
            <w:tcBorders/>
            <w:vAlign w:val="bottom"/>
          </w:tcPr>
          <w:p>
            <w:pPr>
              <w:pStyle w:val="TableContents"/>
              <w:pBdr>
                <w:top w:val="double" w:sz="6" w:space="1" w:color="000000"/>
              </w:pBdr>
              <w:bidi w:val="0"/>
              <w:spacing w:before="0" w:after="0"/>
              <w:jc w:val="left"/>
              <w:rPr/>
            </w:pPr>
            <w:r>
              <w:rPr/>
              <w:t> </w:t>
            </w:r>
          </w:p>
        </w:tc>
        <w:tc>
          <w:tcPr>
            <w:tcW w:w="125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228"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reclassified prior period financial information to conform to the current year presentation that reflects the classification of the Display business as discontinued operations from Q1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present Adjusted Operating Loss from continuing operations as a supplemental measure of our performance. We define Adjusted Operating Loss from continuing operations for the periods indicated as operating loss from continuing operations adjusted to exclude (i) Equity-based compensation expense and (ii) Early termination and other charges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September 30, 2025, we recorded in our consolidated statement of operations $2,599 thousand in expenses of termination related charges in connection with the voluntary resignation program executed during the third quarter of 2025. For that same period, we also recorded $1,395 thousand in expenses of certain executive separation benefits.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2025, we recorded $496 thousand of one-time employee incentives and $350 thousand of certain executive separation benefits.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76375" cy="3429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76375"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INCOME (LOSS) FROM CONTINUING OPERATIONS TO ADJUSTED EBITDA FROM CONTINUING OPERATIONS AND ADJUSTED LOSS FROM CONTINUING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of U.S. dollars, except share data)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92"/>
        <w:gridCol w:w="162"/>
        <w:gridCol w:w="166"/>
        <w:gridCol w:w="1312"/>
        <w:gridCol w:w="155"/>
        <w:gridCol w:w="105"/>
        <w:gridCol w:w="140"/>
        <w:gridCol w:w="1100"/>
        <w:gridCol w:w="155"/>
        <w:gridCol w:w="105"/>
        <w:gridCol w:w="166"/>
        <w:gridCol w:w="1312"/>
        <w:gridCol w:w="155"/>
        <w:gridCol w:w="105"/>
        <w:gridCol w:w="166"/>
        <w:gridCol w:w="1312"/>
        <w:gridCol w:w="155"/>
        <w:gridCol w:w="105"/>
        <w:gridCol w:w="166"/>
        <w:gridCol w:w="1312"/>
        <w:gridCol w:w="159"/>
      </w:tblGrid>
      <w:tr>
        <w:trPr/>
        <w:tc>
          <w:tcPr>
            <w:tcW w:w="1692"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471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32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r>
          </w:p>
        </w:tc>
        <w:tc>
          <w:tcPr>
            <w:tcW w:w="159" w:type="dxa"/>
            <w:tcBorders/>
            <w:vAlign w:val="bottom"/>
          </w:tcPr>
          <w:p>
            <w:pPr>
              <w:pStyle w:val="TableContents"/>
              <w:bidi w:val="0"/>
              <w:spacing w:before="0" w:after="283"/>
              <w:jc w:val="left"/>
              <w:rPr/>
            </w:pPr>
            <w:r>
              <w:rPr/>
              <w:t> </w:t>
            </w:r>
          </w:p>
        </w:tc>
      </w:tr>
      <w:tr>
        <w:trPr/>
        <w:tc>
          <w:tcPr>
            <w:tcW w:w="1692"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br/>
              <w:t>2025(1)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2024(1)</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(10,609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9,203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(3,921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(5,457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(19,608</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(1,255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(1,322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(1,939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(4,117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(6,214</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373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472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1,265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1,143</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 (benefit), net</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(4,170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(4,138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6,117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(8,709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2,267</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3,204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3,237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3,609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9,561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10,987</w:t>
            </w:r>
          </w:p>
        </w:tc>
        <w:tc>
          <w:tcPr>
            <w:tcW w:w="159" w:type="dxa"/>
            <w:tcBorders/>
            <w:vAlign w:val="bottom"/>
          </w:tcPr>
          <w:p>
            <w:pPr>
              <w:pStyle w:val="TableContents"/>
              <w:bidi w:val="0"/>
              <w:spacing w:before="0" w:after="283"/>
              <w:jc w:val="left"/>
              <w:rPr/>
            </w:pPr>
            <w:r>
              <w:rPr/>
              <w:t> </w:t>
            </w:r>
          </w:p>
        </w:tc>
      </w:tr>
      <w:tr>
        <w:trPr/>
        <w:tc>
          <w:tcPr>
            <w:tcW w:w="169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 – continuing operations</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(12,361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7,353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4,338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(7,457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(11,425</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976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1,636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1,967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3,517</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loss (gain), net</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4,280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(10,797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(5,247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(6,112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3,388</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52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(58</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3,994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846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4,840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 continuing operations</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(3,964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(1,542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779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(6,711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(4,578</w:t>
            </w:r>
          </w:p>
        </w:tc>
        <w:tc>
          <w:tcPr>
            <w:tcW w:w="159" w:type="dxa"/>
            <w:tcBorders/>
            <w:vAlign w:val="bottom"/>
          </w:tcPr>
          <w:p>
            <w:pPr>
              <w:pStyle w:val="TableContents"/>
              <w:bidi w:val="0"/>
              <w:spacing w:before="0" w:after="283"/>
              <w:jc w:val="left"/>
              <w:rPr/>
            </w:pPr>
            <w:r>
              <w:rPr/>
              <w:t>) </w:t>
            </w:r>
          </w:p>
        </w:tc>
      </w:tr>
      <w:tr>
        <w:trPr/>
        <w:tc>
          <w:tcPr>
            <w:tcW w:w="169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from continuing operations</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(10,609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9,203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(3,921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(5,457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(19,608</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31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Equity-based compensation expense</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976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1,636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1,967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3,517</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loss (gain), net</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4,280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(10,797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(5,247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(6,112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3,388</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Derivative valuation loss (gain), net</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52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(58</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3,994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846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4,840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effect on non-GAAP adjustments</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1,822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(2,286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(143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(441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(1,311</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31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Adjusted Loss – continuing operations</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(390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(1,978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(7,623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(5,152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(14,072</w:t>
            </w:r>
          </w:p>
        </w:tc>
        <w:tc>
          <w:tcPr>
            <w:tcW w:w="159" w:type="dxa"/>
            <w:tcBorders/>
            <w:vAlign w:val="bottom"/>
          </w:tcPr>
          <w:p>
            <w:pPr>
              <w:pStyle w:val="TableContents"/>
              <w:bidi w:val="0"/>
              <w:spacing w:before="0" w:after="283"/>
              <w:jc w:val="left"/>
              <w:rPr/>
            </w:pPr>
            <w:r>
              <w:rPr/>
              <w:t>) </w:t>
            </w:r>
          </w:p>
        </w:tc>
      </w:tr>
      <w:tr>
        <w:trPr/>
        <w:tc>
          <w:tcPr>
            <w:tcW w:w="1692"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31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Loss – continuing operations per common</w:t>
              <w:br/>
              <w:t>share—</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31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 Basic</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(0.01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(0.05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(0.20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(0.14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w:t>
            </w:r>
          </w:p>
        </w:tc>
        <w:tc>
          <w:tcPr>
            <w:tcW w:w="1312" w:type="dxa"/>
            <w:tcBorders/>
            <w:vAlign w:val="bottom"/>
          </w:tcPr>
          <w:p>
            <w:pPr>
              <w:pStyle w:val="TableContents"/>
              <w:bidi w:val="0"/>
              <w:spacing w:before="0" w:after="283"/>
              <w:jc w:val="right"/>
              <w:rPr/>
            </w:pPr>
            <w:r>
              <w:rPr/>
              <w:t>(0.37</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Diluted</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(0.01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(0.05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(0.20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(0.14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312" w:type="dxa"/>
            <w:tcBorders/>
            <w:shd w:fill="CCEEFF" w:val="clear"/>
            <w:vAlign w:val="bottom"/>
          </w:tcPr>
          <w:p>
            <w:pPr>
              <w:pStyle w:val="TableContents"/>
              <w:bidi w:val="0"/>
              <w:spacing w:before="0" w:after="283"/>
              <w:jc w:val="right"/>
              <w:rPr/>
            </w:pPr>
            <w:r>
              <w:rPr/>
              <w:t>(0.37</w:t>
            </w:r>
          </w:p>
        </w:tc>
        <w:tc>
          <w:tcPr>
            <w:tcW w:w="159" w:type="dxa"/>
            <w:tcBorders/>
            <w:shd w:fill="CCEEFF" w:val="clear"/>
            <w:vAlign w:val="bottom"/>
          </w:tcPr>
          <w:p>
            <w:pPr>
              <w:pStyle w:val="TableContents"/>
              <w:bidi w:val="0"/>
              <w:spacing w:before="0" w:after="283"/>
              <w:jc w:val="left"/>
              <w:rPr/>
            </w:pPr>
            <w:r>
              <w:rPr/>
              <w:t>) </w:t>
            </w:r>
          </w:p>
        </w:tc>
      </w:tr>
      <w:tr>
        <w:trPr/>
        <w:tc>
          <w:tcPr>
            <w:tcW w:w="1692"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basic</w:t>
            </w:r>
          </w:p>
        </w:tc>
        <w:tc>
          <w:tcPr>
            <w:tcW w:w="16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35,934,406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36,083,703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37,468,849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36,298,491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312" w:type="dxa"/>
            <w:tcBorders/>
            <w:vAlign w:val="bottom"/>
          </w:tcPr>
          <w:p>
            <w:pPr>
              <w:pStyle w:val="TableContents"/>
              <w:bidi w:val="0"/>
              <w:spacing w:before="0" w:after="283"/>
              <w:jc w:val="right"/>
              <w:rPr/>
            </w:pPr>
            <w:r>
              <w:rPr/>
              <w:t>38,060,682</w:t>
            </w:r>
          </w:p>
        </w:tc>
        <w:tc>
          <w:tcPr>
            <w:tcW w:w="159" w:type="dxa"/>
            <w:tcBorders/>
            <w:vAlign w:val="bottom"/>
          </w:tcPr>
          <w:p>
            <w:pPr>
              <w:pStyle w:val="TableContents"/>
              <w:bidi w:val="0"/>
              <w:spacing w:before="0" w:after="283"/>
              <w:jc w:val="left"/>
              <w:rPr/>
            </w:pPr>
            <w:r>
              <w:rPr/>
              <w:t> </w:t>
            </w:r>
          </w:p>
        </w:tc>
      </w:tr>
      <w:tr>
        <w:trPr/>
        <w:tc>
          <w:tcPr>
            <w:tcW w:w="1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 – diluted</w:t>
            </w:r>
          </w:p>
        </w:tc>
        <w:tc>
          <w:tcPr>
            <w:tcW w:w="16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35,934,406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36,083,703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37,468,849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36,298,491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312" w:type="dxa"/>
            <w:tcBorders/>
            <w:shd w:fill="CCEEFF" w:val="clear"/>
            <w:vAlign w:val="bottom"/>
          </w:tcPr>
          <w:p>
            <w:pPr>
              <w:pStyle w:val="TableContents"/>
              <w:bidi w:val="0"/>
              <w:spacing w:before="0" w:after="283"/>
              <w:jc w:val="right"/>
              <w:rPr/>
            </w:pPr>
            <w:r>
              <w:rPr/>
              <w:t>38,060,682</w:t>
            </w:r>
          </w:p>
        </w:tc>
        <w:tc>
          <w:tcPr>
            <w:tcW w:w="15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reclassified prior period financial information to conform to the current year presentation that reflects the classification of the Display business as discontinued operations from Q1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present Adjusted EBITDA from continuing operations and Adjusted Loss from continuing operations as supplemental measures of our performance. We define Adjusted EBITDA from continuing operations for the periods indicated as EBITDA – continuing operations (as defined below), adjusted to exclude (i) Equity-based compensation expense, (ii) Foreign currency loss (gain), net, (iii) Derivative valuation loss (gain), net and (iv) Other charges. EBITDA – continuing operations for the periods indicated is defined as income (loss) from continuing operations before interest income, interest expense, income tax expense (benefit), net and depreciation and amortization. </w:t>
      </w:r>
    </w:p>
    <w:p>
      <w:pPr>
        <w:pStyle w:val="TextBody"/>
        <w:bidi w:val="0"/>
        <w:spacing w:before="240" w:after="0"/>
        <w:jc w:val="left"/>
        <w:rPr>
          <w:rFonts w:ascii="Times New Roman" w:hAnsi="Times New Roman"/>
          <w:sz w:val="20"/>
        </w:rPr>
      </w:pPr>
      <w:r>
        <w:rPr>
          <w:rFonts w:ascii="Times New Roman" w:hAnsi="Times New Roman"/>
          <w:sz w:val="20"/>
        </w:rPr>
        <w:t xml:space="preserve">We prepare Adjusted Loss from continuing operations by adjusting income (loss) from continuing operations to eliminate the impact of a number of non-cash expenses and other items that may be either one time or recurring that we do not consider to be indicative of our core ongoing operating performance. We believe that Adjusted Loss from continuing operations is particularly useful because it reflects the impact of our asset base and capital structure on our operating performance. We define Adjusted Loss from continuing operations for the periods as net income (loss), adjusted to exclude (i) Equity-based compensation expense, (ii) Foreign currency loss (gain), net, (iii) Derivative valuation loss (gain), net, (iv) Early termination and other charges, and (v) Income tax effect on non-GAAP adjustments.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September 30, 2025, we recorded in our consolidated statement of operations $2,599 thousand in expenses of termination related charges in connection with the voluntary resignation program executed during the third quarter of 2025. For that same period, we also recorded $1,395 thousand in expenses of certain executive separation benefits.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2025, we recorded $496 thousand of one-time employee incentives and $350 thousand of certain executive separation benefits.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4633</Words>
  <Characters>25527</Characters>
  <CharactersWithSpaces>31679</CharactersWithSpaces>
  <Paragraphs>3480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