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448310</wp:posOffset>
                </wp:positionH>
                <wp:positionV relativeFrom="page">
                  <wp:posOffset>652145</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3pt,51.35pt" to="575.3pt,51.35pt" o:allowincell="f" strokecolor="#000000" strokeweight="2pt">
                <w10:wrap anchorx="page" anchory="page"/>
              </v:line>
            </w:pict>
          </mc:Fallback>
        </mc:AlternateContent>
        <mc:AlternateContent>
          <mc:Choice Requires="wps">
            <w:drawing>
              <wp:anchor simplePos="0" relativeHeight="251657728" behindDoc="1" locked="0" layoutInCell="0" allowOverlap="1">
                <wp:simplePos x="0" y="0"/>
                <wp:positionH relativeFrom="page">
                  <wp:posOffset>448310</wp:posOffset>
                </wp:positionH>
                <wp:positionV relativeFrom="page">
                  <wp:posOffset>696595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3pt,54.85pt" to="575.3pt,54.85pt" o:allowincell="f" strokecolor="#000000" strokeweight="1pt">
                <w10:wrap anchorx="page" anchory="page"/>
              </v:line>
            </w:pict>
          </mc:Fallback>
        </mc:AlternateContent>
        <w:t>UNITED STATES</w:t>
      </w:r>
    </w:p>
    <w:p>
      <w:pPr>
        <w:jc w:val="center"/>
        <w:ind w:right="-19"/>
        <w:spacing w:after="0" w:line="216"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9"/>
        <w:spacing w:after="0" w:line="21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2823210</wp:posOffset>
                </wp:positionH>
                <wp:positionV relativeFrom="paragraph">
                  <wp:posOffset>66040</wp:posOffset>
                </wp:positionV>
                <wp:extent cx="12192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3pt,5.2pt" to="318.3pt,5.2pt" o:allowincell="f" strokecolor="#000000" strokeweight="1pt"/>
            </w:pict>
          </mc:Fallback>
        </mc:AlternateConten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2823210</wp:posOffset>
                </wp:positionH>
                <wp:positionV relativeFrom="paragraph">
                  <wp:posOffset>70485</wp:posOffset>
                </wp:positionV>
                <wp:extent cx="12192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3pt,5.55pt" to="318.3pt,5.55pt" o:allowincell="f" strokecolor="#000000" strokeweight="1pt"/>
            </w:pict>
          </mc:Fallback>
        </mc:AlternateConten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03" w:lineRule="exact"/>
        <w:rPr>
          <w:sz w:val="24"/>
          <w:szCs w:val="24"/>
          <w:color w:val="auto"/>
        </w:rPr>
      </w:pP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b w:val="1"/>
          <w:bCs w:val="1"/>
          <w:color w:val="auto"/>
        </w:rPr>
        <w:t xml:space="preserve">  ANNUAL REPORT PURSUANT TO SECTION 13 OR 15(d) OF THE SECURITIES EXCHANGE ACT OF 1934</w:t>
      </w:r>
    </w:p>
    <w:p>
      <w:pPr>
        <w:spacing w:after="0" w:line="6" w:lineRule="exact"/>
        <w:rPr>
          <w:sz w:val="24"/>
          <w:szCs w:val="24"/>
          <w:color w:val="auto"/>
        </w:rPr>
      </w:pPr>
    </w:p>
    <w:p>
      <w:pPr>
        <w:ind w:left="3740"/>
        <w:spacing w:after="0"/>
        <w:rPr>
          <w:sz w:val="24"/>
          <w:szCs w:val="24"/>
          <w:color w:val="auto"/>
        </w:rPr>
      </w:pPr>
      <w:r>
        <w:rPr>
          <w:rFonts w:ascii="Times New Roman" w:cs="Times New Roman" w:eastAsia="Times New Roman" w:hAnsi="Times New Roman"/>
          <w:sz w:val="17"/>
          <w:szCs w:val="17"/>
          <w:b w:val="1"/>
          <w:bCs w:val="1"/>
          <w:color w:val="auto"/>
        </w:rPr>
        <w:t>For the fiscal year ended December 31, 2022</w:t>
      </w:r>
    </w:p>
    <w:p>
      <w:pPr>
        <w:jc w:val="center"/>
        <w:ind w:right="-19"/>
        <w:spacing w:after="0" w:line="224" w:lineRule="auto"/>
        <w:rPr>
          <w:sz w:val="20"/>
          <w:szCs w:val="20"/>
          <w:color w:val="auto"/>
        </w:rPr>
      </w:pPr>
      <w:r>
        <w:rPr>
          <w:rFonts w:ascii="Times New Roman" w:cs="Times New Roman" w:eastAsia="Times New Roman" w:hAnsi="Times New Roman"/>
          <w:sz w:val="17"/>
          <w:szCs w:val="17"/>
          <w:b w:val="1"/>
          <w:bCs w:val="1"/>
          <w:color w:val="auto"/>
        </w:rPr>
        <w:t>or</w:t>
      </w:r>
    </w:p>
    <w:p>
      <w:pPr>
        <w:spacing w:after="0" w:line="6" w:lineRule="exact"/>
        <w:rPr>
          <w:sz w:val="24"/>
          <w:szCs w:val="24"/>
          <w:color w:val="auto"/>
        </w:rPr>
      </w:pPr>
    </w:p>
    <w:p>
      <w:pPr>
        <w:ind w:left="400" w:hanging="389"/>
        <w:spacing w:after="0"/>
        <w:tabs>
          <w:tab w:leader="none" w:pos="400"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6" w:lineRule="exact"/>
        <w:rPr>
          <w:sz w:val="24"/>
          <w:szCs w:val="24"/>
          <w:color w:val="auto"/>
        </w:rPr>
      </w:pPr>
    </w:p>
    <w:p>
      <w:pPr>
        <w:ind w:left="3420"/>
        <w:spacing w:after="0"/>
        <w:tabs>
          <w:tab w:leader="none" w:pos="648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3655060</wp:posOffset>
                </wp:positionH>
                <wp:positionV relativeFrom="paragraph">
                  <wp:posOffset>5715</wp:posOffset>
                </wp:positionV>
                <wp:extent cx="43688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8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8pt,0.45pt" to="322.2pt,0.4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4255770</wp:posOffset>
                </wp:positionH>
                <wp:positionV relativeFrom="paragraph">
                  <wp:posOffset>5715</wp:posOffset>
                </wp:positionV>
                <wp:extent cx="43688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8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1pt,0.45pt" to="369.5pt,0.45pt" o:allowincell="f" strokecolor="#000000" strokeweight="0.5pt"/>
            </w:pict>
          </mc:Fallback>
        </mc:AlternateConten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001-34791</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2823210</wp:posOffset>
                </wp:positionH>
                <wp:positionV relativeFrom="paragraph">
                  <wp:posOffset>60960</wp:posOffset>
                </wp:positionV>
                <wp:extent cx="12192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3pt,4.8pt" to="318.3pt,4.8pt" o:allowincell="f" strokecolor="#000000" strokeweight="1pt"/>
            </w:pict>
          </mc:Fallback>
        </mc:AlternateContent>
        <w:drawing>
          <wp:anchor simplePos="0" relativeHeight="251657728" behindDoc="1" locked="0" layoutInCell="0" allowOverlap="1">
            <wp:simplePos x="0" y="0"/>
            <wp:positionH relativeFrom="column">
              <wp:posOffset>2397125</wp:posOffset>
            </wp:positionH>
            <wp:positionV relativeFrom="paragraph">
              <wp:posOffset>120015</wp:posOffset>
            </wp:positionV>
            <wp:extent cx="2066925" cy="456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extLst>
                    </a:blip>
                    <a:srcRect/>
                    <a:stretch>
                      <a:fillRect/>
                    </a:stretch>
                  </pic:blipFill>
                  <pic:spPr bwMode="auto">
                    <a:xfrm>
                      <a:off x="0" y="0"/>
                      <a:ext cx="2066925" cy="4565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Magnachip Semiconductor Corporation</w:t>
      </w:r>
    </w:p>
    <w:p>
      <w:pPr>
        <w:jc w:val="center"/>
        <w:ind w:right="-19"/>
        <w:spacing w:after="0" w:line="237"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2823210</wp:posOffset>
                </wp:positionH>
                <wp:positionV relativeFrom="paragraph">
                  <wp:posOffset>61595</wp:posOffset>
                </wp:positionV>
                <wp:extent cx="12192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3pt,4.85pt" to="318.3pt,4.85pt" o:allowincell="f" strokecolor="#000000" strokeweight="1pt"/>
            </w:pict>
          </mc:Fallback>
        </mc:AlternateContent>
      </w:r>
    </w:p>
    <w:p>
      <w:pPr>
        <w:spacing w:after="0" w:line="187" w:lineRule="exact"/>
        <w:rPr>
          <w:sz w:val="24"/>
          <w:szCs w:val="24"/>
          <w:color w:val="auto"/>
        </w:rPr>
      </w:pPr>
    </w:p>
    <w:tbl>
      <w:tblPr>
        <w:tblLayout w:type="fixed"/>
        <w:tblInd w:w="1480" w:type="dxa"/>
        <w:tblCellMar>
          <w:top w:w="0" w:type="dxa"/>
          <w:left w:w="0" w:type="dxa"/>
          <w:bottom w:w="0" w:type="dxa"/>
          <w:right w:w="0" w:type="dxa"/>
        </w:tblCellMar>
      </w:tblPr>
      <w:tr>
        <w:trPr>
          <w:trHeight w:val="195"/>
        </w:trPr>
        <w:tc>
          <w:tcPr>
            <w:tcW w:w="246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4900" w:type="dxa"/>
            <w:vAlign w:val="bottom"/>
          </w:tcPr>
          <w:p>
            <w:pPr>
              <w:jc w:val="center"/>
              <w:ind w:left="3474"/>
              <w:spacing w:after="0"/>
              <w:rPr>
                <w:sz w:val="20"/>
                <w:szCs w:val="20"/>
                <w:color w:val="auto"/>
              </w:rPr>
            </w:pPr>
            <w:r>
              <w:rPr>
                <w:rFonts w:ascii="Times New Roman" w:cs="Times New Roman" w:eastAsia="Times New Roman" w:hAnsi="Times New Roman"/>
                <w:sz w:val="17"/>
                <w:szCs w:val="17"/>
                <w:b w:val="1"/>
                <w:bCs w:val="1"/>
                <w:color w:val="auto"/>
                <w:w w:val="99"/>
              </w:rPr>
              <w:t>83-0406195</w:t>
            </w:r>
          </w:p>
        </w:tc>
      </w:tr>
      <w:tr>
        <w:trPr>
          <w:trHeight w:val="172"/>
        </w:trPr>
        <w:tc>
          <w:tcPr>
            <w:tcW w:w="2460" w:type="dxa"/>
            <w:vAlign w:val="bottom"/>
          </w:tcPr>
          <w:p>
            <w:pPr>
              <w:jc w:val="center"/>
              <w:ind w:right="54"/>
              <w:spacing w:after="0" w:line="172" w:lineRule="exact"/>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4900" w:type="dxa"/>
            <w:vAlign w:val="bottom"/>
          </w:tcPr>
          <w:p>
            <w:pPr>
              <w:jc w:val="center"/>
              <w:ind w:left="3474"/>
              <w:spacing w:after="0" w:line="172" w:lineRule="exact"/>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196"/>
        </w:trPr>
        <w:tc>
          <w:tcPr>
            <w:tcW w:w="246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4900" w:type="dxa"/>
            <w:vAlign w:val="bottom"/>
          </w:tcPr>
          <w:p>
            <w:pPr>
              <w:jc w:val="center"/>
              <w:ind w:left="3454"/>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215"/>
        </w:trPr>
        <w:tc>
          <w:tcPr>
            <w:tcW w:w="246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c/o Magnachip Semiconductor, Ltd.</w:t>
            </w:r>
          </w:p>
        </w:tc>
      </w:tr>
    </w:tbl>
    <w:p>
      <w:pPr>
        <w:jc w:val="center"/>
        <w:ind w:right="-19"/>
        <w:spacing w:after="0" w:line="211" w:lineRule="auto"/>
        <w:rPr>
          <w:sz w:val="20"/>
          <w:szCs w:val="20"/>
          <w:color w:val="auto"/>
        </w:rPr>
      </w:pPr>
      <w:r>
        <w:rPr>
          <w:rFonts w:ascii="Times New Roman" w:cs="Times New Roman" w:eastAsia="Times New Roman" w:hAnsi="Times New Roman"/>
          <w:sz w:val="17"/>
          <w:szCs w:val="17"/>
          <w:b w:val="1"/>
          <w:bCs w:val="1"/>
          <w:color w:val="auto"/>
        </w:rPr>
        <w:t>15F, 76 Jikji-daero 436beon-gil, Heungdeok-gu</w:t>
      </w:r>
    </w:p>
    <w:p>
      <w:pPr>
        <w:jc w:val="center"/>
        <w:ind w:right="-19"/>
        <w:spacing w:after="0" w:line="211" w:lineRule="auto"/>
        <w:rPr>
          <w:sz w:val="20"/>
          <w:szCs w:val="20"/>
          <w:color w:val="auto"/>
        </w:rPr>
      </w:pPr>
      <w:r>
        <w:rPr>
          <w:rFonts w:ascii="Times New Roman" w:cs="Times New Roman" w:eastAsia="Times New Roman" w:hAnsi="Times New Roman"/>
          <w:sz w:val="17"/>
          <w:szCs w:val="17"/>
          <w:b w:val="1"/>
          <w:bCs w:val="1"/>
          <w:color w:val="auto"/>
        </w:rPr>
        <w:t>Cheongju-si, Chungcheongbuk-do, Republic of Korea 28581</w:t>
      </w:r>
    </w:p>
    <w:p>
      <w:pPr>
        <w:jc w:val="center"/>
        <w:ind w:right="-19"/>
        <w:spacing w:after="0" w:line="211" w:lineRule="auto"/>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jc w:val="center"/>
        <w:ind w:right="-19"/>
        <w:spacing w:after="0" w:line="211" w:lineRule="auto"/>
        <w:rPr>
          <w:sz w:val="20"/>
          <w:szCs w:val="20"/>
          <w:color w:val="auto"/>
        </w:rPr>
      </w:pPr>
      <w:r>
        <w:rPr>
          <w:rFonts w:ascii="Times New Roman" w:cs="Times New Roman" w:eastAsia="Times New Roman" w:hAnsi="Times New Roman"/>
          <w:sz w:val="17"/>
          <w:szCs w:val="17"/>
          <w:b w:val="1"/>
          <w:bCs w:val="1"/>
          <w:color w:val="auto"/>
        </w:rPr>
        <w:t>Registrant’s telephone number, including area code: +82 (2) 6903-3000</w:t>
      </w:r>
    </w:p>
    <w:p>
      <w:pPr>
        <w:jc w:val="center"/>
        <w:ind w:right="-19"/>
        <w:spacing w:after="0" w:line="211" w:lineRule="auto"/>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4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240" w:type="dxa"/>
            <w:vAlign w:val="bottom"/>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23"/>
        </w:trPr>
        <w:tc>
          <w:tcPr>
            <w:tcW w:w="4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tc>
        <w:tc>
          <w:tcPr>
            <w:tcW w:w="24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MX</w:t>
            </w:r>
          </w:p>
        </w:tc>
        <w:tc>
          <w:tcPr>
            <w:tcW w:w="240" w:type="dxa"/>
            <w:vAlign w:val="bottom"/>
          </w:tcPr>
          <w:p>
            <w:pPr>
              <w:spacing w:after="0"/>
              <w:rPr>
                <w:sz w:val="19"/>
                <w:szCs w:val="19"/>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2823210</wp:posOffset>
                </wp:positionH>
                <wp:positionV relativeFrom="paragraph">
                  <wp:posOffset>54610</wp:posOffset>
                </wp:positionV>
                <wp:extent cx="12192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3pt,4.3pt" to="318.3pt,4.3pt" o:allowincell="f" strokecolor="#000000" strokeweight="1pt"/>
            </w:pict>
          </mc:Fallback>
        </mc:AlternateContent>
      </w:r>
    </w:p>
    <w:p>
      <w:pPr>
        <w:spacing w:after="0" w:line="142" w:lineRule="exact"/>
        <w:rPr>
          <w:sz w:val="24"/>
          <w:szCs w:val="24"/>
          <w:color w:val="auto"/>
        </w:rPr>
      </w:pPr>
    </w:p>
    <w:p>
      <w:pPr>
        <w:ind w:right="1240"/>
        <w:spacing w:after="0" w:line="191"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 Indicate by check mark if the registrant is not required to file reports pursuant to Section 13 or Section 15(d) of the Act.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w:t>
      </w:r>
    </w:p>
    <w:p>
      <w:pPr>
        <w:spacing w:after="0" w:line="2"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Yes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No</w:t>
      </w:r>
    </w:p>
    <w:p>
      <w:pPr>
        <w:spacing w:after="0" w:line="2" w:lineRule="exact"/>
        <w:rPr>
          <w:sz w:val="24"/>
          <w:szCs w:val="24"/>
          <w:color w:val="auto"/>
        </w:rPr>
      </w:pPr>
    </w:p>
    <w:p>
      <w:pPr>
        <w:ind w:right="60"/>
        <w:spacing w:after="0" w:line="17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Yes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No</w:t>
      </w:r>
    </w:p>
    <w:p>
      <w:pPr>
        <w:spacing w:after="0" w:line="4" w:lineRule="exact"/>
        <w:rPr>
          <w:sz w:val="24"/>
          <w:szCs w:val="24"/>
          <w:color w:val="auto"/>
        </w:rPr>
      </w:pPr>
    </w:p>
    <w:p>
      <w:pPr>
        <w:ind w:right="20"/>
        <w:spacing w:after="0" w:line="218"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020" w:type="dxa"/>
            <w:vAlign w:val="bottom"/>
          </w:tcPr>
          <w:p>
            <w:pPr>
              <w:ind w:left="1680"/>
              <w:spacing w:after="0" w:line="228" w:lineRule="exact"/>
              <w:rPr>
                <w:sz w:val="20"/>
                <w:szCs w:val="20"/>
                <w:color w:val="auto"/>
              </w:rPr>
            </w:pPr>
            <w:r>
              <w:rPr>
                <w:rFonts w:ascii="Arial Unicode MS" w:cs="Arial Unicode MS" w:eastAsia="Arial Unicode MS" w:hAnsi="Arial Unicode MS"/>
                <w:sz w:val="17"/>
                <w:szCs w:val="17"/>
                <w:color w:val="auto"/>
              </w:rPr>
              <w:t>☒</w:t>
            </w:r>
          </w:p>
        </w:tc>
        <w:tc>
          <w:tcPr>
            <w:tcW w:w="3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Accelerated Filer</w:t>
            </w:r>
          </w:p>
        </w:tc>
        <w:tc>
          <w:tcPr>
            <w:tcW w:w="1660" w:type="dxa"/>
            <w:vAlign w:val="bottom"/>
          </w:tcPr>
          <w:p>
            <w:pPr>
              <w:ind w:left="1520"/>
              <w:spacing w:after="0"/>
              <w:rPr>
                <w:sz w:val="20"/>
                <w:szCs w:val="20"/>
                <w:color w:val="auto"/>
              </w:rPr>
            </w:pPr>
            <w:r>
              <w:rPr>
                <w:rFonts w:ascii="Arial" w:cs="Arial" w:eastAsia="Arial" w:hAnsi="Arial"/>
                <w:sz w:val="17"/>
                <w:szCs w:val="17"/>
                <w:color w:val="auto"/>
              </w:rPr>
              <w:t>□</w:t>
            </w:r>
          </w:p>
        </w:tc>
      </w:tr>
      <w:tr>
        <w:trPr>
          <w:trHeight w:val="195"/>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020" w:type="dxa"/>
            <w:vAlign w:val="bottom"/>
          </w:tcPr>
          <w:p>
            <w:pPr>
              <w:ind w:left="1700"/>
              <w:spacing w:after="0" w:line="191" w:lineRule="exact"/>
              <w:rPr>
                <w:sz w:val="20"/>
                <w:szCs w:val="20"/>
                <w:color w:val="auto"/>
              </w:rPr>
            </w:pPr>
            <w:r>
              <w:rPr>
                <w:rFonts w:ascii="Arial" w:cs="Arial" w:eastAsia="Arial" w:hAnsi="Arial"/>
                <w:sz w:val="17"/>
                <w:szCs w:val="17"/>
                <w:color w:val="auto"/>
              </w:rPr>
              <w:t>□</w:t>
            </w:r>
          </w:p>
        </w:tc>
        <w:tc>
          <w:tcPr>
            <w:tcW w:w="3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660" w:type="dxa"/>
            <w:vAlign w:val="bottom"/>
          </w:tcPr>
          <w:p>
            <w:pPr>
              <w:ind w:left="1520"/>
              <w:spacing w:after="0" w:line="191" w:lineRule="exact"/>
              <w:rPr>
                <w:sz w:val="20"/>
                <w:szCs w:val="20"/>
                <w:color w:val="auto"/>
              </w:rPr>
            </w:pPr>
            <w:r>
              <w:rPr>
                <w:rFonts w:ascii="Arial" w:cs="Arial" w:eastAsia="Arial" w:hAnsi="Arial"/>
                <w:sz w:val="17"/>
                <w:szCs w:val="17"/>
                <w:color w:val="auto"/>
              </w:rPr>
              <w:t>□</w:t>
            </w:r>
          </w:p>
        </w:tc>
      </w:tr>
      <w:tr>
        <w:trPr>
          <w:trHeight w:val="195"/>
        </w:trPr>
        <w:tc>
          <w:tcPr>
            <w:tcW w:w="3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Emerging growth company</w:t>
            </w:r>
          </w:p>
        </w:tc>
        <w:tc>
          <w:tcPr>
            <w:tcW w:w="1660" w:type="dxa"/>
            <w:vAlign w:val="bottom"/>
          </w:tcPr>
          <w:p>
            <w:pPr>
              <w:ind w:left="1520"/>
              <w:spacing w:after="0" w:line="191" w:lineRule="exact"/>
              <w:rPr>
                <w:sz w:val="20"/>
                <w:szCs w:val="20"/>
                <w:color w:val="auto"/>
              </w:rPr>
            </w:pPr>
            <w:r>
              <w:rPr>
                <w:rFonts w:ascii="Arial" w:cs="Arial" w:eastAsia="Arial" w:hAnsi="Arial"/>
                <w:sz w:val="17"/>
                <w:szCs w:val="17"/>
                <w:color w:val="auto"/>
              </w:rPr>
              <w:t>□</w:t>
            </w:r>
          </w:p>
        </w:tc>
      </w:tr>
    </w:tbl>
    <w:p>
      <w:pPr>
        <w:spacing w:after="0" w:line="65" w:lineRule="exact"/>
        <w:rPr>
          <w:sz w:val="24"/>
          <w:szCs w:val="24"/>
          <w:color w:val="auto"/>
        </w:rPr>
      </w:pPr>
    </w:p>
    <w:p>
      <w:pPr>
        <w:ind w:right="200"/>
        <w:spacing w:after="0" w:line="221"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w:t>
      </w:r>
    </w:p>
    <w:p>
      <w:pPr>
        <w:spacing w:after="0" w:line="3" w:lineRule="exact"/>
        <w:rPr>
          <w:sz w:val="24"/>
          <w:szCs w:val="24"/>
          <w:color w:val="auto"/>
        </w:rPr>
      </w:pPr>
    </w:p>
    <w:p>
      <w:pPr>
        <w:ind w:right="280"/>
        <w:spacing w:after="0" w:line="17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7"/>
          <w:szCs w:val="17"/>
          <w:color w:val="auto"/>
        </w:rPr>
        <w:t>☒</w:t>
      </w:r>
    </w:p>
    <w:p>
      <w:pPr>
        <w:spacing w:after="0" w:line="2" w:lineRule="exact"/>
        <w:rPr>
          <w:sz w:val="24"/>
          <w:szCs w:val="24"/>
          <w:color w:val="auto"/>
        </w:rPr>
      </w:pPr>
    </w:p>
    <w:p>
      <w:pPr>
        <w:ind w:right="20"/>
        <w:spacing w:after="0" w:line="221"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7"/>
          <w:szCs w:val="17"/>
          <w:color w:val="auto"/>
        </w:rPr>
        <w:t>□</w:t>
      </w:r>
    </w:p>
    <w:p>
      <w:pPr>
        <w:spacing w:after="0" w:line="3" w:lineRule="exact"/>
        <w:rPr>
          <w:sz w:val="24"/>
          <w:szCs w:val="24"/>
          <w:color w:val="auto"/>
        </w:rPr>
      </w:pPr>
    </w:p>
    <w:p>
      <w:pPr>
        <w:ind w:right="500"/>
        <w:spacing w:after="0" w:line="221"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7"/>
          <w:szCs w:val="17"/>
          <w:color w:val="auto"/>
        </w:rPr>
        <w:t>□</w:t>
      </w:r>
    </w:p>
    <w:p>
      <w:pPr>
        <w:spacing w:after="0" w:line="19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w:t>
      </w:r>
    </w:p>
    <w:p>
      <w:pPr>
        <w:spacing w:after="0" w:line="3" w:lineRule="exact"/>
        <w:rPr>
          <w:sz w:val="24"/>
          <w:szCs w:val="24"/>
          <w:color w:val="auto"/>
        </w:rPr>
      </w:pPr>
    </w:p>
    <w:p>
      <w:pPr>
        <w:jc w:val="both"/>
        <w:ind w:right="240"/>
        <w:spacing w:after="0" w:line="218" w:lineRule="auto"/>
        <w:rPr>
          <w:sz w:val="20"/>
          <w:szCs w:val="20"/>
          <w:color w:val="auto"/>
        </w:rPr>
      </w:pPr>
      <w:r>
        <w:rPr>
          <w:rFonts w:ascii="Times New Roman" w:cs="Times New Roman" w:eastAsia="Times New Roman" w:hAnsi="Times New Roman"/>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$643,221,377.</w:t>
      </w:r>
    </w:p>
    <w:p>
      <w:pPr>
        <w:spacing w:after="0" w:line="237" w:lineRule="auto"/>
        <w:rPr>
          <w:sz w:val="20"/>
          <w:szCs w:val="20"/>
          <w:color w:val="auto"/>
        </w:rPr>
      </w:pPr>
      <w:r>
        <w:rPr>
          <w:rFonts w:ascii="Times New Roman" w:cs="Times New Roman" w:eastAsia="Times New Roman" w:hAnsi="Times New Roman"/>
          <w:sz w:val="17"/>
          <w:szCs w:val="17"/>
          <w:color w:val="auto"/>
        </w:rPr>
        <w:t>As of February 10, 2023, the registrant had 43,536,977 shares of common stock outstanding.</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2823210</wp:posOffset>
                </wp:positionH>
                <wp:positionV relativeFrom="paragraph">
                  <wp:posOffset>92710</wp:posOffset>
                </wp:positionV>
                <wp:extent cx="12192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3pt,7.3pt" to="318.3pt,7.3pt" o:allowincell="f" strokecolor="#000000" strokeweight="1pt"/>
            </w:pict>
          </mc:Fallback>
        </mc:AlternateContent>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ectPr>
          <w:pgSz w:w="12240" w:h="15840" w:orient="portrait"/>
          <w:cols w:equalWidth="0" w:num="1">
            <w:col w:w="10800"/>
          </w:cols>
          <w:pgMar w:left="700" w:top="1230" w:right="740" w:bottom="522" w:gutter="0" w:footer="0" w:header="0"/>
        </w:sectPr>
      </w:pPr>
    </w:p>
    <w:p>
      <w:pPr>
        <w:spacing w:after="0" w:line="24" w:lineRule="exact"/>
        <w:rPr>
          <w:sz w:val="24"/>
          <w:szCs w:val="24"/>
          <w:color w:val="auto"/>
        </w:rPr>
      </w:pPr>
    </w:p>
    <w:p>
      <w:pPr>
        <w:ind w:right="100"/>
        <w:spacing w:after="0"/>
        <w:rPr>
          <w:sz w:val="20"/>
          <w:szCs w:val="20"/>
          <w:color w:val="auto"/>
        </w:rPr>
      </w:pPr>
      <w:r>
        <w:rPr>
          <w:rFonts w:ascii="Times New Roman" w:cs="Times New Roman" w:eastAsia="Times New Roman" w:hAnsi="Times New Roman"/>
          <w:sz w:val="17"/>
          <w:szCs w:val="17"/>
          <w:color w:val="auto"/>
        </w:rPr>
        <w:t>Portions of the registrant’s definitive proxy statement relating to its 2023 annual meeting of stockholders will be incorporated by reference into Part III of this Annual Report on Form 10-K or included by amendment to this report within 120 days after the end of the fiscal year to which this report relates.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154305</wp:posOffset>
                </wp:positionV>
                <wp:extent cx="68580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2.15pt" to="540.3pt,12.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211455</wp:posOffset>
                </wp:positionV>
                <wp:extent cx="68580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6.65pt" to="540.3pt,16.65pt" o:allowincell="f" strokecolor="#000000" strokeweight="2pt"/>
            </w:pict>
          </mc:Fallback>
        </mc:AlternateContent>
      </w:r>
    </w:p>
    <w:p>
      <w:pPr>
        <w:sectPr>
          <w:pgSz w:w="12240" w:h="15840" w:orient="portrait"/>
          <w:cols w:equalWidth="0" w:num="1">
            <w:col w:w="10800"/>
          </w:cols>
          <w:pgMar w:left="700" w:top="1230" w:right="740" w:bottom="522" w:gutter="0" w:footer="0" w:header="0"/>
          <w:type w:val="continuous"/>
        </w:sectPr>
      </w:pPr>
    </w:p>
    <w:bookmarkStart w:id="1" w:name="page2"/>
    <w:bookmarkEnd w:id="1"/>
    <w:p>
      <w:pPr>
        <w:ind w:left="134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ind w:left="1960"/>
        <w:spacing w:after="0"/>
        <w:rPr>
          <w:sz w:val="20"/>
          <w:szCs w:val="20"/>
          <w:color w:val="auto"/>
        </w:rPr>
      </w:pPr>
      <w:r>
        <w:rPr>
          <w:rFonts w:ascii="Times New Roman" w:cs="Times New Roman" w:eastAsia="Times New Roman" w:hAnsi="Times New Roman"/>
          <w:sz w:val="20"/>
          <w:szCs w:val="20"/>
          <w:b w:val="1"/>
          <w:bCs w:val="1"/>
          <w:color w:val="auto"/>
        </w:rPr>
        <w:t>FORM 10-K FOR THE YEAR ENDED DECEMBER 31, 2022</w:t>
      </w:r>
    </w:p>
    <w:p>
      <w:pPr>
        <w:ind w:left="360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98"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5642610</wp:posOffset>
                </wp:positionH>
                <wp:positionV relativeFrom="paragraph">
                  <wp:posOffset>6350</wp:posOffset>
                </wp:positionV>
                <wp:extent cx="3048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3pt,0.5pt" to="468.3pt,0.5pt" o:allowincell="f" strokecolor="#000000" strokeweight="0.5pt"/>
            </w:pict>
          </mc:Fallback>
        </mc:AlternateConten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 w:lineRule="exact"/>
        <w:rPr>
          <w:sz w:val="20"/>
          <w:szCs w:val="20"/>
          <w:color w:val="auto"/>
        </w:rPr>
      </w:pPr>
    </w:p>
    <w:p>
      <w:pPr>
        <w:ind w:left="600"/>
        <w:spacing w:after="0"/>
        <w:tabs>
          <w:tab w:leader="none" w:pos="1660" w:val="left"/>
          <w:tab w:leader="none" w:pos="924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 . . . . . . . . . . . . . . . . . . . . . . . . . . . . . . . . . . . . . . . . . . . . . . . . . . . . . . . . . . . .</w:t>
      </w:r>
      <w:r>
        <w:rPr>
          <w:sz w:val="20"/>
          <w:szCs w:val="20"/>
          <w:color w:val="auto"/>
        </w:rPr>
        <w:tab/>
      </w:r>
      <w:r>
        <w:rPr>
          <w:rFonts w:ascii="Times New Roman" w:cs="Times New Roman" w:eastAsia="Times New Roman" w:hAnsi="Times New Roman"/>
          <w:sz w:val="20"/>
          <w:szCs w:val="20"/>
          <w:color w:val="auto"/>
        </w:rPr>
        <w:t>18</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 . . . . . . . . . . . . . . . . . . . . . . . . . . . . . . . . . . . . . . . . . . . . . . . .</w:t>
      </w:r>
      <w:r>
        <w:rPr>
          <w:sz w:val="20"/>
          <w:szCs w:val="20"/>
          <w:color w:val="auto"/>
        </w:rPr>
        <w:tab/>
      </w:r>
      <w:r>
        <w:rPr>
          <w:rFonts w:ascii="Times New Roman" w:cs="Times New Roman" w:eastAsia="Times New Roman" w:hAnsi="Times New Roman"/>
          <w:sz w:val="20"/>
          <w:szCs w:val="20"/>
          <w:color w:val="auto"/>
        </w:rPr>
        <w:t>35</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35</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w:t>
      </w:r>
      <w:r>
        <w:rPr>
          <w:sz w:val="20"/>
          <w:szCs w:val="20"/>
          <w:color w:val="auto"/>
        </w:rPr>
        <w:tab/>
      </w:r>
      <w:r>
        <w:rPr>
          <w:rFonts w:ascii="Times New Roman" w:cs="Times New Roman" w:eastAsia="Times New Roman" w:hAnsi="Times New Roman"/>
          <w:sz w:val="20"/>
          <w:szCs w:val="20"/>
          <w:color w:val="auto"/>
        </w:rPr>
        <w:t>35</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w:t>
      </w:r>
      <w:r>
        <w:rPr>
          <w:sz w:val="20"/>
          <w:szCs w:val="20"/>
          <w:color w:val="auto"/>
        </w:rPr>
        <w:tab/>
      </w:r>
      <w:r>
        <w:rPr>
          <w:rFonts w:ascii="Times New Roman" w:cs="Times New Roman" w:eastAsia="Times New Roman" w:hAnsi="Times New Roman"/>
          <w:sz w:val="20"/>
          <w:szCs w:val="20"/>
          <w:color w:val="auto"/>
        </w:rPr>
        <w:t>35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 w:lineRule="exact"/>
        <w:rPr>
          <w:sz w:val="20"/>
          <w:szCs w:val="20"/>
          <w:color w:val="auto"/>
        </w:rPr>
      </w:pPr>
    </w:p>
    <w:p>
      <w:pPr>
        <w:ind w:left="600"/>
        <w:spacing w:after="0"/>
        <w:tabs>
          <w:tab w:leader="none" w:pos="16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 Stockholder Matters and Issuer</w:t>
      </w:r>
    </w:p>
    <w:p>
      <w:pPr>
        <w:spacing w:after="0" w:line="10" w:lineRule="exact"/>
        <w:rPr>
          <w:sz w:val="20"/>
          <w:szCs w:val="20"/>
          <w:color w:val="auto"/>
        </w:rPr>
      </w:pPr>
    </w:p>
    <w:p>
      <w:pPr>
        <w:jc w:val="right"/>
        <w:ind w:right="20"/>
        <w:spacing w:after="0"/>
        <w:tabs>
          <w:tab w:leader="none" w:pos="18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 .</w:t>
      </w:r>
      <w:r>
        <w:rPr>
          <w:sz w:val="20"/>
          <w:szCs w:val="20"/>
          <w:color w:val="auto"/>
        </w:rPr>
        <w:tab/>
      </w:r>
      <w:r>
        <w:rPr>
          <w:rFonts w:ascii="Times New Roman" w:cs="Times New Roman" w:eastAsia="Times New Roman" w:hAnsi="Times New Roman"/>
          <w:sz w:val="20"/>
          <w:szCs w:val="20"/>
          <w:color w:val="auto"/>
        </w:rPr>
        <w:t>36</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37</w:t>
      </w:r>
    </w:p>
    <w:p>
      <w:pPr>
        <w:spacing w:after="0" w:line="25" w:lineRule="exact"/>
        <w:rPr>
          <w:sz w:val="20"/>
          <w:szCs w:val="20"/>
          <w:color w:val="auto"/>
        </w:rPr>
      </w:pPr>
    </w:p>
    <w:p>
      <w:pPr>
        <w:ind w:left="600"/>
        <w:spacing w:after="0"/>
        <w:tabs>
          <w:tab w:leader="none" w:pos="16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w:t>
      </w:r>
    </w:p>
    <w:p>
      <w:pPr>
        <w:spacing w:after="0" w:line="10" w:lineRule="exact"/>
        <w:rPr>
          <w:sz w:val="20"/>
          <w:szCs w:val="20"/>
          <w:color w:val="auto"/>
        </w:rPr>
      </w:pPr>
    </w:p>
    <w:p>
      <w:pPr>
        <w:ind w:left="1880"/>
        <w:spacing w:after="0"/>
        <w:tabs>
          <w:tab w:leader="none" w:pos="9140" w:val="left"/>
        </w:tabs>
        <w:rPr>
          <w:sz w:val="20"/>
          <w:szCs w:val="20"/>
          <w:color w:val="auto"/>
        </w:rPr>
      </w:pPr>
      <w:r>
        <w:rPr>
          <w:rFonts w:ascii="Times New Roman" w:cs="Times New Roman" w:eastAsia="Times New Roman" w:hAnsi="Times New Roman"/>
          <w:sz w:val="20"/>
          <w:szCs w:val="20"/>
          <w:color w:val="auto"/>
        </w:rPr>
        <w:t>Operations . . . . . . . . . . . . . . . . . . . . . . . . . . . . . . . . . . . . . . . . . . . . . . . . . . . . . . . . . . . .</w:t>
      </w:r>
      <w:r>
        <w:rPr>
          <w:sz w:val="20"/>
          <w:szCs w:val="20"/>
          <w:color w:val="auto"/>
        </w:rPr>
        <w:tab/>
      </w:r>
      <w:r>
        <w:rPr>
          <w:rFonts w:ascii="Times New Roman" w:cs="Times New Roman" w:eastAsia="Times New Roman" w:hAnsi="Times New Roman"/>
          <w:sz w:val="20"/>
          <w:szCs w:val="20"/>
          <w:color w:val="auto"/>
        </w:rPr>
        <w:t>38</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 . . . . . . . . . . . . . . . . . . . . .</w:t>
      </w:r>
      <w:r>
        <w:rPr>
          <w:sz w:val="20"/>
          <w:szCs w:val="20"/>
          <w:color w:val="auto"/>
        </w:rPr>
        <w:tab/>
      </w:r>
      <w:r>
        <w:rPr>
          <w:rFonts w:ascii="Times New Roman" w:cs="Times New Roman" w:eastAsia="Times New Roman" w:hAnsi="Times New Roman"/>
          <w:sz w:val="20"/>
          <w:szCs w:val="20"/>
          <w:color w:val="auto"/>
        </w:rPr>
        <w:t>55</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w:t>
      </w:r>
      <w:r>
        <w:rPr>
          <w:sz w:val="20"/>
          <w:szCs w:val="20"/>
          <w:color w:val="auto"/>
        </w:rPr>
        <w:tab/>
      </w:r>
      <w:r>
        <w:rPr>
          <w:rFonts w:ascii="Times New Roman" w:cs="Times New Roman" w:eastAsia="Times New Roman" w:hAnsi="Times New Roman"/>
          <w:sz w:val="20"/>
          <w:szCs w:val="20"/>
          <w:color w:val="auto"/>
        </w:rPr>
        <w:t>57</w:t>
      </w:r>
    </w:p>
    <w:p>
      <w:pPr>
        <w:spacing w:after="0" w:line="25" w:lineRule="exact"/>
        <w:rPr>
          <w:sz w:val="20"/>
          <w:szCs w:val="20"/>
          <w:color w:val="auto"/>
        </w:rPr>
      </w:pPr>
    </w:p>
    <w:p>
      <w:pPr>
        <w:ind w:left="600"/>
        <w:spacing w:after="0"/>
        <w:tabs>
          <w:tab w:leader="none" w:pos="16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w:t>
      </w:r>
    </w:p>
    <w:p>
      <w:pPr>
        <w:spacing w:after="0" w:line="10" w:lineRule="exact"/>
        <w:rPr>
          <w:sz w:val="20"/>
          <w:szCs w:val="20"/>
          <w:color w:val="auto"/>
        </w:rPr>
      </w:pPr>
    </w:p>
    <w:p>
      <w:pPr>
        <w:ind w:left="1880"/>
        <w:spacing w:after="0"/>
        <w:tabs>
          <w:tab w:leader="none" w:pos="9140" w:val="left"/>
        </w:tabs>
        <w:rPr>
          <w:sz w:val="20"/>
          <w:szCs w:val="20"/>
          <w:color w:val="auto"/>
        </w:rPr>
      </w:pPr>
      <w:r>
        <w:rPr>
          <w:rFonts w:ascii="Times New Roman" w:cs="Times New Roman" w:eastAsia="Times New Roman" w:hAnsi="Times New Roman"/>
          <w:sz w:val="20"/>
          <w:szCs w:val="20"/>
          <w:color w:val="auto"/>
        </w:rPr>
        <w:t>Disclosure . . . . . . . . . . . . . . . . . . . . . . . . . . . . . . . . . . . . . . . . . . . . . . . . . . . . . . . . . . . .</w:t>
      </w:r>
      <w:r>
        <w:rPr>
          <w:sz w:val="20"/>
          <w:szCs w:val="20"/>
          <w:color w:val="auto"/>
        </w:rPr>
        <w:tab/>
      </w:r>
      <w:r>
        <w:rPr>
          <w:rFonts w:ascii="Times New Roman" w:cs="Times New Roman" w:eastAsia="Times New Roman" w:hAnsi="Times New Roman"/>
          <w:sz w:val="20"/>
          <w:szCs w:val="20"/>
          <w:color w:val="auto"/>
        </w:rPr>
        <w:t>96</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 . . . . . . . . . . . . . . . . . . . . . . . . . . . . . . . . . . . . . . . . . . . . . . . . . . .</w:t>
      </w:r>
      <w:r>
        <w:rPr>
          <w:sz w:val="20"/>
          <w:szCs w:val="20"/>
          <w:color w:val="auto"/>
        </w:rPr>
        <w:tab/>
      </w:r>
      <w:r>
        <w:rPr>
          <w:rFonts w:ascii="Times New Roman" w:cs="Times New Roman" w:eastAsia="Times New Roman" w:hAnsi="Times New Roman"/>
          <w:sz w:val="20"/>
          <w:szCs w:val="20"/>
          <w:color w:val="auto"/>
        </w:rPr>
        <w:t>96</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 . . . . . . . . . . . . . . . . . . . . . . . . . . . . . . . . . . . . . . . . . . . . . . . . . . . . . . . .</w:t>
      </w:r>
      <w:r>
        <w:rPr>
          <w:sz w:val="20"/>
          <w:szCs w:val="20"/>
          <w:color w:val="auto"/>
        </w:rPr>
        <w:tab/>
      </w:r>
      <w:r>
        <w:rPr>
          <w:rFonts w:ascii="Times New Roman" w:cs="Times New Roman" w:eastAsia="Times New Roman" w:hAnsi="Times New Roman"/>
          <w:sz w:val="20"/>
          <w:szCs w:val="20"/>
          <w:color w:val="auto"/>
        </w:rPr>
        <w:t>96</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 . . . . . . . . . . . . . . .</w:t>
      </w:r>
      <w:r>
        <w:rPr>
          <w:sz w:val="20"/>
          <w:szCs w:val="20"/>
          <w:color w:val="auto"/>
        </w:rPr>
        <w:tab/>
      </w:r>
      <w:r>
        <w:rPr>
          <w:rFonts w:ascii="Times New Roman" w:cs="Times New Roman" w:eastAsia="Times New Roman" w:hAnsi="Times New Roman"/>
          <w:sz w:val="20"/>
          <w:szCs w:val="20"/>
          <w:color w:val="auto"/>
        </w:rPr>
        <w:t>96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w:t>
      </w:r>
      <w:r>
        <w:rPr>
          <w:sz w:val="20"/>
          <w:szCs w:val="20"/>
          <w:color w:val="auto"/>
        </w:rPr>
        <w:tab/>
      </w:r>
      <w:r>
        <w:rPr>
          <w:rFonts w:ascii="Times New Roman" w:cs="Times New Roman" w:eastAsia="Times New Roman" w:hAnsi="Times New Roman"/>
          <w:sz w:val="20"/>
          <w:szCs w:val="20"/>
          <w:color w:val="auto"/>
        </w:rPr>
        <w:t>97</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w:t>
      </w:r>
      <w:r>
        <w:rPr>
          <w:sz w:val="20"/>
          <w:szCs w:val="20"/>
          <w:color w:val="auto"/>
        </w:rPr>
        <w:tab/>
      </w:r>
      <w:r>
        <w:rPr>
          <w:rFonts w:ascii="Times New Roman" w:cs="Times New Roman" w:eastAsia="Times New Roman" w:hAnsi="Times New Roman"/>
          <w:sz w:val="20"/>
          <w:szCs w:val="20"/>
          <w:color w:val="auto"/>
        </w:rPr>
        <w:t>97</w:t>
      </w:r>
    </w:p>
    <w:p>
      <w:pPr>
        <w:spacing w:after="0" w:line="25" w:lineRule="exact"/>
        <w:rPr>
          <w:sz w:val="20"/>
          <w:szCs w:val="20"/>
          <w:color w:val="auto"/>
        </w:rPr>
      </w:pPr>
    </w:p>
    <w:p>
      <w:pPr>
        <w:ind w:left="600"/>
        <w:spacing w:after="0"/>
        <w:tabs>
          <w:tab w:leader="none" w:pos="166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w:t>
      </w:r>
    </w:p>
    <w:p>
      <w:pPr>
        <w:spacing w:after="0" w:line="10" w:lineRule="exact"/>
        <w:rPr>
          <w:sz w:val="20"/>
          <w:szCs w:val="20"/>
          <w:color w:val="auto"/>
        </w:rPr>
      </w:pPr>
    </w:p>
    <w:p>
      <w:pPr>
        <w:ind w:left="1880"/>
        <w:spacing w:after="0"/>
        <w:tabs>
          <w:tab w:leader="none" w:pos="914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w:t>
      </w:r>
      <w:r>
        <w:rPr>
          <w:sz w:val="20"/>
          <w:szCs w:val="20"/>
          <w:color w:val="auto"/>
        </w:rPr>
        <w:tab/>
      </w:r>
      <w:r>
        <w:rPr>
          <w:rFonts w:ascii="Times New Roman" w:cs="Times New Roman" w:eastAsia="Times New Roman" w:hAnsi="Times New Roman"/>
          <w:sz w:val="20"/>
          <w:szCs w:val="20"/>
          <w:color w:val="auto"/>
        </w:rPr>
        <w:t>97</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w:t>
      </w:r>
      <w:r>
        <w:rPr>
          <w:sz w:val="20"/>
          <w:szCs w:val="20"/>
          <w:color w:val="auto"/>
        </w:rPr>
        <w:tab/>
      </w:r>
      <w:r>
        <w:rPr>
          <w:rFonts w:ascii="Times New Roman" w:cs="Times New Roman" w:eastAsia="Times New Roman" w:hAnsi="Times New Roman"/>
          <w:sz w:val="20"/>
          <w:szCs w:val="20"/>
          <w:color w:val="auto"/>
        </w:rPr>
        <w:t>97</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Accounting Fees and Services . . . . . . . . . . . . . . . . . . . . . . . . . . . . . . . . . . . . . .</w:t>
      </w:r>
      <w:r>
        <w:rPr>
          <w:sz w:val="20"/>
          <w:szCs w:val="20"/>
          <w:color w:val="auto"/>
        </w:rPr>
        <w:tab/>
      </w:r>
      <w:r>
        <w:rPr>
          <w:rFonts w:ascii="Times New Roman" w:cs="Times New Roman" w:eastAsia="Times New Roman" w:hAnsi="Times New Roman"/>
          <w:sz w:val="20"/>
          <w:szCs w:val="20"/>
          <w:color w:val="auto"/>
        </w:rPr>
        <w:t>97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 w:lineRule="exact"/>
        <w:rPr>
          <w:sz w:val="20"/>
          <w:szCs w:val="20"/>
          <w:color w:val="auto"/>
        </w:rPr>
      </w:pPr>
    </w:p>
    <w:p>
      <w:pPr>
        <w:ind w:left="600"/>
        <w:spacing w:after="0"/>
        <w:tabs>
          <w:tab w:leader="none" w:pos="1660" w:val="left"/>
          <w:tab w:leader="none" w:pos="914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 . . . . . . . . . . . . . . . . . . . . . . . . . . . . . . . . . . .</w:t>
      </w:r>
      <w:r>
        <w:rPr>
          <w:sz w:val="20"/>
          <w:szCs w:val="20"/>
          <w:color w:val="auto"/>
        </w:rPr>
        <w:tab/>
      </w:r>
      <w:r>
        <w:rPr>
          <w:rFonts w:ascii="Times New Roman" w:cs="Times New Roman" w:eastAsia="Times New Roman" w:hAnsi="Times New Roman"/>
          <w:sz w:val="20"/>
          <w:szCs w:val="20"/>
          <w:color w:val="auto"/>
        </w:rPr>
        <w:t>98</w:t>
      </w:r>
    </w:p>
    <w:p>
      <w:pPr>
        <w:spacing w:after="0" w:line="25" w:lineRule="exact"/>
        <w:rPr>
          <w:sz w:val="20"/>
          <w:szCs w:val="20"/>
          <w:color w:val="auto"/>
        </w:rPr>
      </w:pPr>
    </w:p>
    <w:p>
      <w:pPr>
        <w:ind w:left="600"/>
        <w:spacing w:after="0"/>
        <w:tabs>
          <w:tab w:leader="none" w:pos="1660" w:val="left"/>
          <w:tab w:leader="none" w:pos="904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10-K Summary . . . . . . . . . . . . . . . . . . . . . . . . . . . . . . . . . . . . . . . . . . . . . . . . . . . . . . . . . .</w:t>
      </w:r>
      <w:r>
        <w:rPr>
          <w:sz w:val="20"/>
          <w:szCs w:val="20"/>
          <w:color w:val="auto"/>
        </w:rPr>
        <w:tab/>
      </w:r>
      <w:r>
        <w:rPr>
          <w:rFonts w:ascii="Times New Roman" w:cs="Times New Roman" w:eastAsia="Times New Roman" w:hAnsi="Times New Roman"/>
          <w:sz w:val="20"/>
          <w:szCs w:val="20"/>
          <w:color w:val="auto"/>
        </w:rPr>
        <w:t>103</w:t>
      </w:r>
    </w:p>
    <w:p>
      <w:pPr>
        <w:spacing w:after="0" w:line="272" w:lineRule="exact"/>
        <w:rPr>
          <w:sz w:val="20"/>
          <w:szCs w:val="20"/>
          <w:color w:val="auto"/>
        </w:rPr>
      </w:pPr>
    </w:p>
    <w:p>
      <w:pPr>
        <w:spacing w:after="0"/>
        <w:tabs>
          <w:tab w:leader="none" w:pos="9040" w:val="left"/>
        </w:tabs>
        <w:rPr>
          <w:sz w:val="20"/>
          <w:szCs w:val="20"/>
          <w:color w:val="auto"/>
        </w:rPr>
      </w:pPr>
      <w:r>
        <w:rPr>
          <w:rFonts w:ascii="Times New Roman" w:cs="Times New Roman" w:eastAsia="Times New Roman" w:hAnsi="Times New Roman"/>
          <w:sz w:val="20"/>
          <w:szCs w:val="20"/>
          <w:b w:val="1"/>
          <w:bCs w:val="1"/>
          <w:color w:val="auto"/>
        </w:rPr>
        <w:t xml:space="preserve">SIGNATURES </w:t>
      </w:r>
      <w:r>
        <w:rPr>
          <w:rFonts w:ascii="Times New Roman" w:cs="Times New Roman" w:eastAsia="Times New Roman" w:hAnsi="Times New Roman"/>
          <w:sz w:val="20"/>
          <w:szCs w:val="20"/>
          <w:color w:val="auto"/>
        </w:rPr>
        <w:t>.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104</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9380"/>
          </w:cols>
          <w:pgMar w:left="1420" w:top="889" w:right="1440" w:bottom="182"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INDUSTRY AND MARKET DATA</w:t>
      </w:r>
    </w:p>
    <w:p>
      <w:pPr>
        <w:spacing w:after="0" w:line="120" w:lineRule="exact"/>
        <w:rPr>
          <w:sz w:val="20"/>
          <w:szCs w:val="20"/>
          <w:color w:val="auto"/>
        </w:rPr>
      </w:pPr>
    </w:p>
    <w:p>
      <w:pPr>
        <w:ind w:right="120" w:firstLine="400"/>
        <w:spacing w:after="0" w:line="247" w:lineRule="auto"/>
        <w:rPr>
          <w:sz w:val="20"/>
          <w:szCs w:val="20"/>
          <w:color w:val="auto"/>
        </w:rPr>
      </w:pPr>
      <w:r>
        <w:rPr>
          <w:rFonts w:ascii="Times New Roman" w:cs="Times New Roman" w:eastAsia="Times New Roman" w:hAnsi="Times New Roman"/>
          <w:sz w:val="20"/>
          <w:szCs w:val="20"/>
          <w:color w:val="auto"/>
        </w:rPr>
        <w:t>We have made statements in this Annual Report on Form 10-K for the year ended December 31, 2022 (this ‘‘Report’’) regarding our industry and our position in the industry based on our experience in the industry and our own views of market conditions, but we have not independently verified those statements. We do not have any obligation to announce or otherwise make publicly available updates or revisions to forecasts contained in these documents.</w:t>
      </w:r>
    </w:p>
    <w:p>
      <w:pPr>
        <w:spacing w:after="0" w:line="137" w:lineRule="exact"/>
        <w:rPr>
          <w:sz w:val="20"/>
          <w:szCs w:val="20"/>
          <w:color w:val="auto"/>
        </w:rPr>
      </w:pPr>
    </w:p>
    <w:p>
      <w:pPr>
        <w:ind w:right="260" w:firstLine="400"/>
        <w:spacing w:after="0" w:line="248" w:lineRule="auto"/>
        <w:rPr>
          <w:sz w:val="20"/>
          <w:szCs w:val="20"/>
          <w:color w:val="auto"/>
        </w:rPr>
      </w:pPr>
      <w:r>
        <w:rPr>
          <w:rFonts w:ascii="Times New Roman" w:cs="Times New Roman" w:eastAsia="Times New Roman" w:hAnsi="Times New Roman"/>
          <w:sz w:val="20"/>
          <w:szCs w:val="20"/>
          <w:color w:val="auto"/>
        </w:rPr>
        <w:t>Statements made in this Report, unless the context otherwise requires, include the use of the terms ‘‘us,’’ ‘‘we,’’ ‘‘our,’’ the ‘‘Company’’ and ‘‘Magnachip’’ to refer to Magnachip Semiconductor Corporation and its consolidated subsidiaries. The term ‘‘Korea’’ refers to the Republic of Korea or South Korea. On September 1, 2020, we completed the sale of our Foundry Services Group business and our fabrication facility located in Cheongju, Korea to Key Foundry Co., Ltd. Unless otherwise noted herein, historical operational metrics presented herein do not include those of the Foundry Services Group.</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120"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We have made certain ‘‘forward-looking’’ statements in this Report within the meaning of Section 21E of the Securities Exchange Act of 1934, as amended (the ‘‘Exchange Act’’), and Section 27A of the Securities Act of 1933, as amended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374"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Report.</w:t>
      </w:r>
    </w:p>
    <w:p>
      <w:pPr>
        <w:spacing w:after="0" w:line="137" w:lineRule="exact"/>
        <w:rPr>
          <w:sz w:val="20"/>
          <w:szCs w:val="20"/>
          <w:color w:val="auto"/>
        </w:rPr>
      </w:pPr>
    </w:p>
    <w:p>
      <w:pPr>
        <w:ind w:right="40" w:firstLine="400"/>
        <w:spacing w:after="0" w:line="246" w:lineRule="auto"/>
        <w:rPr>
          <w:sz w:val="20"/>
          <w:szCs w:val="20"/>
          <w:color w:val="auto"/>
        </w:rPr>
      </w:pPr>
      <w:r>
        <w:rPr>
          <w:rFonts w:ascii="Times New Roman" w:cs="Times New Roman" w:eastAsia="Times New Roman" w:hAnsi="Times New Roman"/>
          <w:sz w:val="20"/>
          <w:szCs w:val="20"/>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2366010</wp:posOffset>
                </wp:positionH>
                <wp:positionV relativeFrom="paragraph">
                  <wp:posOffset>205740</wp:posOffset>
                </wp:positionV>
                <wp:extent cx="12192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6.3pt,16.2pt" to="282.3pt,16.2pt" o:allowincell="f" strokecolor="#000000" strokeweight="1pt"/>
            </w:pict>
          </mc:Fallback>
        </mc:AlternateContent>
      </w:r>
    </w:p>
    <w:p>
      <w:pPr>
        <w:spacing w:after="0" w:line="200" w:lineRule="exact"/>
        <w:rPr>
          <w:sz w:val="20"/>
          <w:szCs w:val="20"/>
          <w:color w:val="auto"/>
        </w:rPr>
      </w:pPr>
    </w:p>
    <w:p>
      <w:pPr>
        <w:spacing w:after="0" w:line="277" w:lineRule="exact"/>
        <w:rPr>
          <w:sz w:val="20"/>
          <w:szCs w:val="20"/>
          <w:color w:val="auto"/>
        </w:rPr>
      </w:pPr>
    </w:p>
    <w:p>
      <w:pPr>
        <w:ind w:right="200" w:firstLine="400"/>
        <w:spacing w:after="0" w:line="245" w:lineRule="auto"/>
        <w:rPr>
          <w:sz w:val="20"/>
          <w:szCs w:val="20"/>
          <w:color w:val="auto"/>
        </w:rPr>
      </w:pPr>
      <w:r>
        <w:rPr>
          <w:rFonts w:ascii="Times New Roman" w:cs="Times New Roman" w:eastAsia="Times New Roman" w:hAnsi="Times New Roman"/>
          <w:sz w:val="20"/>
          <w:szCs w:val="20"/>
          <w:color w:val="auto"/>
        </w:rPr>
        <w:t>‘‘Magnachip’’ is a registered trademark of us and our subsidiaries and ‘‘Magnachip Everywhere’’ is our registered trademark and service mark. All other product, service and company names mentioned in this Report are the service marks or trademarks of their respective owners.</w:t>
      </w:r>
    </w:p>
    <w:p>
      <w:pPr>
        <w:spacing w:after="0" w:line="15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b w:val="1"/>
          <w:bCs w:val="1"/>
          <w:color w:val="auto"/>
        </w:rPr>
        <w:t>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20" w:lineRule="exact"/>
        <w:rPr>
          <w:sz w:val="20"/>
          <w:szCs w:val="20"/>
          <w:color w:val="auto"/>
        </w:rPr>
      </w:pPr>
    </w:p>
    <w:p>
      <w:pPr>
        <w:ind w:right="80" w:firstLine="400"/>
        <w:spacing w:after="0" w:line="245" w:lineRule="auto"/>
        <w:rPr>
          <w:sz w:val="20"/>
          <w:szCs w:val="20"/>
          <w:color w:val="auto"/>
        </w:rPr>
      </w:pPr>
      <w:r>
        <w:rPr>
          <w:rFonts w:ascii="Times New Roman" w:cs="Times New Roman" w:eastAsia="Times New Roman" w:hAnsi="Times New Roman"/>
          <w:sz w:val="20"/>
          <w:szCs w:val="20"/>
          <w:color w:val="auto"/>
        </w:rPr>
        <w:t>We are a designer and manufacturer of analog and mixed-signal semiconductor platform solutions for communications, Internet of Things (‘‘IoT’’) applications, consumer, computing, industrial and automotive applications. We have a proven record with more than 40 years of operating history, a portfolio of approximately</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80"/>
          </w:cols>
          <w:pgMar w:left="1420" w:top="889" w:right="1440" w:bottom="182" w:gutter="0" w:footer="0" w:header="0"/>
          <w:type w:val="continuous"/>
        </w:sectPr>
      </w:pPr>
    </w:p>
    <w:bookmarkStart w:id="3" w:name="page4"/>
    <w:bookmarkEnd w:id="3"/>
    <w:p>
      <w:pPr>
        <w:ind w:right="40"/>
        <w:spacing w:after="0" w:line="259" w:lineRule="auto"/>
        <w:rPr>
          <w:sz w:val="20"/>
          <w:szCs w:val="20"/>
          <w:color w:val="auto"/>
        </w:rPr>
      </w:pPr>
      <w:r>
        <w:rPr>
          <w:rFonts w:ascii="Times New Roman" w:cs="Times New Roman" w:eastAsia="Times New Roman" w:hAnsi="Times New Roman"/>
          <w:sz w:val="20"/>
          <w:szCs w:val="20"/>
          <w:color w:val="auto"/>
        </w:rPr>
        <w:t>1,100 registered patents and pending applications and extensive engineering and manufacturing process expertise. Our standard products business includes our Display Solutions and Power Solutions business lines. Our Display Solutions products provide panel display solutions to major suppliers of large and small rigid and flexible panel displays, and a wide range of applications including smartphones, TVs, automotive and IT applications such as monitors, notebook PCs, tablet PCs as well as AR/VRs. Our Power Solutions products include discrete and integrated circuit solutions for power management in communications, consumer, computing, servers, automotive, and industrial applications.</w:t>
      </w:r>
    </w:p>
    <w:p>
      <w:pPr>
        <w:spacing w:after="0" w:line="133" w:lineRule="exact"/>
        <w:rPr>
          <w:sz w:val="20"/>
          <w:szCs w:val="20"/>
          <w:color w:val="auto"/>
        </w:rPr>
      </w:pPr>
    </w:p>
    <w:p>
      <w:pPr>
        <w:ind w:right="140" w:firstLine="400"/>
        <w:spacing w:after="0" w:line="259" w:lineRule="auto"/>
        <w:rPr>
          <w:sz w:val="20"/>
          <w:szCs w:val="20"/>
          <w:color w:val="auto"/>
        </w:rPr>
      </w:pPr>
      <w:r>
        <w:rPr>
          <w:rFonts w:ascii="Times New Roman" w:cs="Times New Roman" w:eastAsia="Times New Roman" w:hAnsi="Times New Roman"/>
          <w:sz w:val="20"/>
          <w:szCs w:val="20"/>
          <w:color w:val="auto"/>
        </w:rPr>
        <w:t>Our wide variety of analog and mixed-signal semiconductor products allow us to address multiple high-growth end markets and rapidly develop and introduce new products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Certain of our OLED products are produced using external 12-inch foundries. Through a strategic cooperation with external 12-inch foundries, we strive to outsource wafers at competitive prices and produce quality products.</w:t>
      </w:r>
    </w:p>
    <w:p>
      <w:pPr>
        <w:spacing w:after="0" w:line="133" w:lineRule="exact"/>
        <w:rPr>
          <w:sz w:val="20"/>
          <w:szCs w:val="20"/>
          <w:color w:val="auto"/>
        </w:rPr>
      </w:pPr>
    </w:p>
    <w:p>
      <w:pPr>
        <w:ind w:right="60" w:firstLine="400"/>
        <w:spacing w:after="0" w:line="258" w:lineRule="auto"/>
        <w:rPr>
          <w:sz w:val="20"/>
          <w:szCs w:val="20"/>
          <w:color w:val="auto"/>
        </w:rPr>
      </w:pPr>
      <w:r>
        <w:rPr>
          <w:rFonts w:ascii="Times New Roman" w:cs="Times New Roman" w:eastAsia="Times New Roman" w:hAnsi="Times New Roman"/>
          <w:sz w:val="20"/>
          <w:szCs w:val="20"/>
          <w:color w:val="auto"/>
        </w:rPr>
        <w:t>We have a long history of supplying and collaborating on product and technology development with leading innovators in the consumer electronics market. As a result, we have been able to strengthen our technology and develop products that are in high demand by our customers and end consumers. We sold approximately 400 distinct products in the year ended December 31, 2022 with a substantial portion of our revenues derived from a concentrated number of customers.</w:t>
      </w:r>
    </w:p>
    <w:p>
      <w:pPr>
        <w:spacing w:after="0" w:line="134" w:lineRule="exact"/>
        <w:rPr>
          <w:sz w:val="20"/>
          <w:szCs w:val="20"/>
          <w:color w:val="auto"/>
        </w:rPr>
      </w:pPr>
    </w:p>
    <w:p>
      <w:pPr>
        <w:ind w:right="100" w:firstLine="400"/>
        <w:spacing w:after="0" w:line="258" w:lineRule="auto"/>
        <w:rPr>
          <w:sz w:val="20"/>
          <w:szCs w:val="20"/>
          <w:color w:val="auto"/>
        </w:rPr>
      </w:pPr>
      <w:r>
        <w:rPr>
          <w:rFonts w:ascii="Times New Roman" w:cs="Times New Roman" w:eastAsia="Times New Roman" w:hAnsi="Times New Roman"/>
          <w:sz w:val="20"/>
          <w:szCs w:val="20"/>
          <w:color w:val="auto"/>
        </w:rPr>
        <w:t>Our business is largely driven by innovation in the consumer electronics markets and the growing adoption by consumers of worldwide of electronic devices for use in their daily lives. The consumer electronics market is large and growing rapidly, largely due to consumers increasingly accessing a wide variety of rich media content, such as high definition audio and video, mobile devices, televisions and games on advanced consumer electronic devices.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semiconductors that increase power efficiency, thereby improving heat dissipation and extending battery life.</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For the year ended December 31, 2022, we generated total revenues of $337.7 million, net loss of</w:t>
      </w:r>
    </w:p>
    <w:p>
      <w:pPr>
        <w:spacing w:after="0" w:line="20"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0"/>
          <w:szCs w:val="20"/>
          <w:color w:val="auto"/>
        </w:rPr>
        <w:t>$8.0 million, operating loss of $5.2 million, Adjusted EBITDA of $19.5 million, Adjusted Operating Income of $4.1 million and Adjusted Net Income of $8.8 million. See ‘‘Item 7. Management’s Discussion and Analysis of Financial Condition and Results of Operations’’ elsewhere in this Report for an explanation of our use of Adjusted EBITDA, Adjusted Operating Income and Adjusted Net Income and a reconciliation to net income (loss) and operating income (loss) prepared in accordance with United States Generally Accepted Accounting Principles (‘‘U.S. GAAP’’).</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History</w:t>
      </w:r>
    </w:p>
    <w:p>
      <w:pPr>
        <w:spacing w:after="0" w:line="120" w:lineRule="exact"/>
        <w:rPr>
          <w:sz w:val="20"/>
          <w:szCs w:val="20"/>
          <w:color w:val="auto"/>
        </w:rPr>
      </w:pPr>
    </w:p>
    <w:p>
      <w:pPr>
        <w:ind w:right="120" w:firstLine="400"/>
        <w:spacing w:after="0" w:line="239" w:lineRule="auto"/>
        <w:rPr>
          <w:sz w:val="20"/>
          <w:szCs w:val="20"/>
          <w:color w:val="auto"/>
        </w:rPr>
      </w:pPr>
      <w:r>
        <w:rPr>
          <w:rFonts w:ascii="Times New Roman" w:cs="Times New Roman" w:eastAsia="Times New Roman" w:hAnsi="Times New Roman"/>
          <w:sz w:val="20"/>
          <w:szCs w:val="20"/>
          <w:color w:val="auto"/>
        </w:rPr>
        <w:t>Our business was named ‘‘MagnaChip Semiconductor’’ when it was acquired from SK hynix Inc., formerly known as Hynix Semiconductor, Inc. (‘‘SK hynix’’), in October 2004.</w:t>
      </w:r>
    </w:p>
    <w:p>
      <w:pPr>
        <w:spacing w:after="0" w:line="142" w:lineRule="exact"/>
        <w:rPr>
          <w:sz w:val="20"/>
          <w:szCs w:val="20"/>
          <w:color w:val="auto"/>
        </w:rPr>
      </w:pPr>
    </w:p>
    <w:p>
      <w:pPr>
        <w:ind w:right="140" w:firstLine="400"/>
        <w:spacing w:after="0" w:line="239" w:lineRule="auto"/>
        <w:rPr>
          <w:sz w:val="20"/>
          <w:szCs w:val="20"/>
          <w:color w:val="auto"/>
        </w:rPr>
      </w:pPr>
      <w:r>
        <w:rPr>
          <w:rFonts w:ascii="Times New Roman" w:cs="Times New Roman" w:eastAsia="Times New Roman" w:hAnsi="Times New Roman"/>
          <w:sz w:val="20"/>
          <w:szCs w:val="20"/>
          <w:color w:val="auto"/>
        </w:rPr>
        <w:t>On March 10, 2011, we completed our initial public offering. In connection with our initial public offering, we converted from a Delaware limited liability company to a Delaware corporation.</w:t>
      </w:r>
    </w:p>
    <w:p>
      <w:pPr>
        <w:spacing w:after="0" w:line="142" w:lineRule="exact"/>
        <w:rPr>
          <w:sz w:val="20"/>
          <w:szCs w:val="20"/>
          <w:color w:val="auto"/>
        </w:rPr>
      </w:pPr>
    </w:p>
    <w:p>
      <w:pPr>
        <w:ind w:right="920" w:firstLine="400"/>
        <w:spacing w:after="0" w:line="239" w:lineRule="auto"/>
        <w:rPr>
          <w:sz w:val="20"/>
          <w:szCs w:val="20"/>
          <w:color w:val="auto"/>
        </w:rPr>
      </w:pPr>
      <w:r>
        <w:rPr>
          <w:rFonts w:ascii="Times New Roman" w:cs="Times New Roman" w:eastAsia="Times New Roman" w:hAnsi="Times New Roman"/>
          <w:sz w:val="20"/>
          <w:szCs w:val="20"/>
          <w:color w:val="auto"/>
        </w:rPr>
        <w:t>On December 30, 2020, we changed our name from ‘‘MagnaChip Semiconductor Corporation’’ to ‘‘Magnachip Semiconductor Corporation.’’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Legacy Foundry Services Group Business</w:t>
      </w:r>
    </w:p>
    <w:p>
      <w:pPr>
        <w:spacing w:after="0" w:line="120" w:lineRule="exact"/>
        <w:rPr>
          <w:sz w:val="20"/>
          <w:szCs w:val="20"/>
          <w:color w:val="auto"/>
        </w:rPr>
      </w:pPr>
    </w:p>
    <w:p>
      <w:pPr>
        <w:ind w:right="180" w:firstLine="400"/>
        <w:spacing w:after="0" w:line="247" w:lineRule="auto"/>
        <w:rPr>
          <w:sz w:val="20"/>
          <w:szCs w:val="20"/>
          <w:color w:val="auto"/>
        </w:rPr>
      </w:pPr>
      <w:r>
        <w:rPr>
          <w:rFonts w:ascii="Times New Roman" w:cs="Times New Roman" w:eastAsia="Times New Roman" w:hAnsi="Times New Roman"/>
          <w:sz w:val="20"/>
          <w:szCs w:val="20"/>
          <w:color w:val="auto"/>
        </w:rPr>
        <w:t>On September 1, 2020, we completed the sale of our Foundry Services Group business and our fabrication facility located in Cheongju, Korea (known as ‘‘Fab 4’’) to Key Foundry Co., Ltd. This sale was part of a strategic shift in our operational focus to our standard products business. The Foundry Services Group business provided specialty analog and mixed signal foundry services mainly for fabless and Integrated Device Manufacturer semiconductor companies.</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80"/>
          </w:cols>
          <w:pgMar w:left="1420" w:top="899" w:right="1440" w:bottom="182"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Our Products</w:t>
      </w:r>
    </w:p>
    <w:p>
      <w:pPr>
        <w:spacing w:after="0" w:line="130" w:lineRule="exact"/>
        <w:rPr>
          <w:sz w:val="20"/>
          <w:szCs w:val="20"/>
          <w:color w:val="auto"/>
        </w:rPr>
      </w:pPr>
    </w:p>
    <w:p>
      <w:pPr>
        <w:ind w:right="60" w:firstLine="400"/>
        <w:spacing w:after="0" w:line="252" w:lineRule="auto"/>
        <w:rPr>
          <w:sz w:val="20"/>
          <w:szCs w:val="20"/>
          <w:color w:val="auto"/>
        </w:rPr>
      </w:pPr>
      <w:r>
        <w:rPr>
          <w:rFonts w:ascii="Times New Roman" w:cs="Times New Roman" w:eastAsia="Times New Roman" w:hAnsi="Times New Roman"/>
          <w:sz w:val="20"/>
          <w:szCs w:val="20"/>
          <w:color w:val="auto"/>
        </w:rPr>
        <w:t>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automotives, entertainment devices, notebook PCs, monitors and liquid crystal display (LCD), organic light emitting diodes (OLED) and Micro light emitting diode (Micro LED) televisions. Our Display Solutions products support the industry’s most advanced display technologies, such as OLEDs, and low temperature polysilicon thin film transistor (LTPS TFT), as well as high-volume display technologies such as amorphous silicon thin film transistors (a-Si TFTs). Since 2007, we have designed and manufactured OLED display driver integrated circuit (IC) products. Our current portfolio of OLED solutions address a wide range of resolutions ranging from HD (High Definition) to WQHD (Wide Quadruple High Definition) for wide range of applications including smartphones, TVs, automotive and IT applications such as monitors, notebook PCs, tablet PCs as well as AR/VRs. Our Display Solutions products represented 21.2%, 43.3% and 59.0% of our total revenues for the fiscal years ended December 31, 2022, 2021 and 2020, respectively.</w:t>
      </w:r>
    </w:p>
    <w:p>
      <w:pPr>
        <w:spacing w:after="0" w:line="372" w:lineRule="exact"/>
        <w:rPr>
          <w:sz w:val="20"/>
          <w:szCs w:val="20"/>
          <w:color w:val="auto"/>
        </w:rPr>
      </w:pPr>
    </w:p>
    <w:p>
      <w:pPr>
        <w:ind w:right="60" w:firstLine="400"/>
        <w:spacing w:after="0" w:line="249" w:lineRule="auto"/>
        <w:rPr>
          <w:sz w:val="20"/>
          <w:szCs w:val="20"/>
          <w:color w:val="auto"/>
        </w:rPr>
      </w:pPr>
      <w:r>
        <w:rPr>
          <w:rFonts w:ascii="Times New Roman" w:cs="Times New Roman" w:eastAsia="Times New Roman" w:hAnsi="Times New Roman"/>
          <w:sz w:val="20"/>
          <w:szCs w:val="20"/>
          <w:color w:val="auto"/>
        </w:rPr>
        <w:t>We expanded our business and market opportunity by establishing our Power Solutions product line in late 2007. We have introduced a number of power management semiconductor products, including discrete and integrated circuit solutions for power management in high-volume consumer applications. These products include metal oxide semiconductor field effect transistors (MOSFETs), insulated-gate bipolar transistors (IGBTs), AC-DC/DC-DC converters, LED drivers, regulators and power management integrated circuits (PMICs) for a range of devices, including televisions, smartphones, mobile phones, wearable devices, desktop PCs, notebooks, tablet PCs, other consumer electronics, automotive, and industrial applications such as power suppliers, e-bikes, photovoltaic inverters, LED lighting and motor drives. Our Power Solutions products represented 68.3%, 48.0% and 32.8% of our total revenues for the fiscal years ended December 31, 2022, 2021 and 2020, respectively.</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Opportunity</w:t>
      </w:r>
    </w:p>
    <w:p>
      <w:pPr>
        <w:spacing w:after="0" w:line="120" w:lineRule="exact"/>
        <w:rPr>
          <w:sz w:val="20"/>
          <w:szCs w:val="20"/>
          <w:color w:val="auto"/>
        </w:rPr>
      </w:pPr>
    </w:p>
    <w:p>
      <w:pPr>
        <w:ind w:right="80" w:firstLine="400"/>
        <w:spacing w:after="0" w:line="249" w:lineRule="auto"/>
        <w:rPr>
          <w:sz w:val="20"/>
          <w:szCs w:val="20"/>
          <w:color w:val="auto"/>
        </w:rPr>
      </w:pPr>
      <w:r>
        <w:rPr>
          <w:rFonts w:ascii="Times New Roman" w:cs="Times New Roman" w:eastAsia="Times New Roman" w:hAnsi="Times New Roman"/>
          <w:sz w:val="20"/>
          <w:szCs w:val="20"/>
          <w:color w:val="auto"/>
        </w:rPr>
        <w:t>The semiconductor market is large and is expanding its applications. Growth in this market is being driven by consumers seeking to enjoy a wide variety of rich media content, such as high definition audio and video, mobile devices, televisions and games. Recently, industrial applications such as power suppliers, e-bikes, photovoltaic inverters, LED lighting, motor drives, and automotive applications such as on board chargers, electric motor drives, electric pumps, DC-DC converters and powertrain inverters in hybrid &amp; battery electric vehicle (HEV &amp; BEV) are also driving growth in the semiconductor market. Electronics device manufacturers recognize that the consumer entertainment experience plays a critical role in differentiating their products. To address and further stimulate consumer demand, electronics manufacturers have been driving rapid advances in the technology, functionality, form factor, cost, quality, reliability and power consumption of their products.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semiconductors that increase power efficiency, thereby improving heat dissipation and extending battery life. These advanced generations of consumer devices are growing faster than the overall electronics device market.</w:t>
      </w:r>
    </w:p>
    <w:p>
      <w:pPr>
        <w:spacing w:after="0" w:line="380" w:lineRule="exact"/>
        <w:rPr>
          <w:sz w:val="20"/>
          <w:szCs w:val="20"/>
          <w:color w:val="auto"/>
        </w:rPr>
      </w:pPr>
    </w:p>
    <w:p>
      <w:pPr>
        <w:ind w:right="160" w:firstLine="400"/>
        <w:spacing w:after="0" w:line="247" w:lineRule="auto"/>
        <w:rPr>
          <w:sz w:val="20"/>
          <w:szCs w:val="20"/>
          <w:color w:val="auto"/>
        </w:rPr>
      </w:pPr>
      <w:r>
        <w:rPr>
          <w:rFonts w:ascii="Times New Roman" w:cs="Times New Roman" w:eastAsia="Times New Roman" w:hAnsi="Times New Roman"/>
          <w:sz w:val="20"/>
          <w:szCs w:val="20"/>
          <w:color w:val="auto"/>
        </w:rPr>
        <w:t>The user experience delivered by a consumer electronic device is substantially driven by the quality of the display, audio and video processing capabilities and power efficiency of the device. Analog and mixed-signal semiconductors enable and enhance these capabilities. Examples of these analog and mixed-signal semiconductors include display drivers, timing controllers, audio encoding and decoding devices, or codecs, and interface circuits, as well as power semiconductors such as voltage regulators, converters and switches.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Requirements of Leading Electronic Devices Manufacturers</w:t>
      </w:r>
    </w:p>
    <w:p>
      <w:pPr>
        <w:spacing w:after="0" w:line="120" w:lineRule="exact"/>
        <w:rPr>
          <w:sz w:val="20"/>
          <w:szCs w:val="20"/>
          <w:color w:val="auto"/>
        </w:rPr>
      </w:pPr>
    </w:p>
    <w:p>
      <w:pPr>
        <w:ind w:right="380" w:firstLine="400"/>
        <w:spacing w:after="0" w:line="239" w:lineRule="auto"/>
        <w:rPr>
          <w:sz w:val="20"/>
          <w:szCs w:val="20"/>
          <w:color w:val="auto"/>
        </w:rPr>
      </w:pPr>
      <w:r>
        <w:rPr>
          <w:rFonts w:ascii="Times New Roman" w:cs="Times New Roman" w:eastAsia="Times New Roman" w:hAnsi="Times New Roman"/>
          <w:sz w:val="20"/>
          <w:szCs w:val="20"/>
          <w:color w:val="auto"/>
        </w:rPr>
        <w:t>We believe our target customers view the following characteristics and capabilities as key differentiating factors among available analog and mixed-signal semiconductor suppliers:</w:t>
      </w:r>
    </w:p>
    <w:p>
      <w:pPr>
        <w:spacing w:after="0" w:line="136" w:lineRule="exact"/>
        <w:rPr>
          <w:sz w:val="20"/>
          <w:szCs w:val="20"/>
          <w:color w:val="auto"/>
        </w:rPr>
      </w:pPr>
    </w:p>
    <w:p>
      <w:pPr>
        <w:ind w:left="800" w:right="440" w:hanging="394"/>
        <w:spacing w:after="0"/>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Broad Offering of Differentiated Products with Advanced System-Level Features and Functions. </w:t>
      </w:r>
      <w:r>
        <w:rPr>
          <w:rFonts w:ascii="Times New Roman" w:cs="Times New Roman" w:eastAsia="Times New Roman" w:hAnsi="Times New Roman"/>
          <w:sz w:val="20"/>
          <w:szCs w:val="20"/>
          <w:color w:val="auto"/>
        </w:rPr>
        <w:t>Leading electronic devices manufacturers seek to differentiate their products by incorporating innovative semiconductor products that enable unique system-level functionality and enhance</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80"/>
          </w:cols>
          <w:pgMar w:left="1420" w:top="889" w:right="1440" w:bottom="182" w:gutter="0" w:footer="0" w:header="0"/>
          <w:type w:val="continuous"/>
        </w:sectPr>
      </w:pPr>
    </w:p>
    <w:bookmarkStart w:id="5" w:name="page6"/>
    <w:bookmarkEnd w:id="5"/>
    <w:p>
      <w:pPr>
        <w:ind w:left="800" w:right="80"/>
        <w:spacing w:after="0" w:line="246" w:lineRule="auto"/>
        <w:rPr>
          <w:sz w:val="20"/>
          <w:szCs w:val="20"/>
          <w:color w:val="auto"/>
        </w:rPr>
      </w:pPr>
      <w:r>
        <w:rPr>
          <w:rFonts w:ascii="Times New Roman" w:cs="Times New Roman" w:eastAsia="Times New Roman" w:hAnsi="Times New Roman"/>
          <w:sz w:val="20"/>
          <w:szCs w:val="20"/>
          <w:color w:val="auto"/>
        </w:rPr>
        <w:t>performance. These consumer electronics manufacturers seek to closely collaborate with semiconductor solutions providers that continuously develop new and advanced products, and technologies that enable state of the art features and functions, such as bright and thin displays, small form factor and energy efficiency.</w:t>
      </w:r>
    </w:p>
    <w:p>
      <w:pPr>
        <w:spacing w:after="0" w:line="131" w:lineRule="exact"/>
        <w:rPr>
          <w:sz w:val="20"/>
          <w:szCs w:val="20"/>
          <w:color w:val="auto"/>
        </w:rPr>
      </w:pPr>
    </w:p>
    <w:p>
      <w:pPr>
        <w:ind w:left="800" w:right="300" w:hanging="394"/>
        <w:spacing w:after="0" w:line="243"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Fast Time-to-Market with New Products. </w:t>
      </w:r>
      <w:r>
        <w:rPr>
          <w:rFonts w:ascii="Times New Roman" w:cs="Times New Roman" w:eastAsia="Times New Roman" w:hAnsi="Times New Roman"/>
          <w:sz w:val="20"/>
          <w:szCs w:val="20"/>
          <w:color w:val="auto"/>
        </w:rPr>
        <w:t>As a result of rapid technological advancements and short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 lifecycles, our target customers typically prefer suppliers who have a compelling pipeline of new products and capacity to leverage a substantial intellectual property and technology base to accelerate product design and manufacturing when needed.</w:t>
      </w:r>
    </w:p>
    <w:p>
      <w:pPr>
        <w:spacing w:after="0" w:line="133" w:lineRule="exact"/>
        <w:rPr>
          <w:rFonts w:ascii="Symbol" w:cs="Symbol" w:eastAsia="Symbol" w:hAnsi="Symbol"/>
          <w:sz w:val="20"/>
          <w:szCs w:val="20"/>
          <w:color w:val="auto"/>
        </w:rPr>
      </w:pPr>
    </w:p>
    <w:p>
      <w:pPr>
        <w:ind w:left="800" w:right="60" w:hanging="394"/>
        <w:spacing w:after="0" w:line="245"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Ability to Deliver Cost Competitive Solutions. </w:t>
      </w:r>
      <w:r>
        <w:rPr>
          <w:rFonts w:ascii="Times New Roman" w:cs="Times New Roman" w:eastAsia="Times New Roman" w:hAnsi="Times New Roman"/>
          <w:sz w:val="20"/>
          <w:szCs w:val="20"/>
          <w:color w:val="auto"/>
        </w:rPr>
        <w:t>Electronics manufacturers are under constant pressure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deliver cost-competitive solutions. To accomplish this objective, they need strategic semiconductor suppliers that have the ability to provide system-level solutions, highly integrated products and a broad product offering at a range of price points and have the design and manufacturing infrastructure and logistical support to deliver cost competitive products.</w:t>
      </w:r>
    </w:p>
    <w:p>
      <w:pPr>
        <w:spacing w:after="0" w:line="130" w:lineRule="exact"/>
        <w:rPr>
          <w:rFonts w:ascii="Symbol" w:cs="Symbol" w:eastAsia="Symbol" w:hAnsi="Symbol"/>
          <w:sz w:val="20"/>
          <w:szCs w:val="20"/>
          <w:color w:val="auto"/>
        </w:rPr>
      </w:pPr>
    </w:p>
    <w:p>
      <w:pPr>
        <w:ind w:left="800" w:right="80" w:hanging="394"/>
        <w:spacing w:after="0" w:line="246"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Focus on Delivering Highly Energy-Efficient Products. </w:t>
      </w:r>
      <w:r>
        <w:rPr>
          <w:rFonts w:ascii="Times New Roman" w:cs="Times New Roman" w:eastAsia="Times New Roman" w:hAnsi="Times New Roman"/>
          <w:sz w:val="20"/>
          <w:szCs w:val="20"/>
          <w:color w:val="auto"/>
        </w:rPr>
        <w:t>Consumers increasingly seek longer run-time,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environmentally friendly and energy-efficient consumer electronic products. In addition, there is an increasing regulatory focus on reducing energy consumption of consumer electronic products. As a result of a global focus on more environmentally friendly products, our customers are seeking analog and mixed-signal semiconductor suppliers that have the technological expertise to deliver solutions that satisfy these ever increasing regulatory and consumer power efficiency demands.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130" w:lineRule="exact"/>
        <w:rPr>
          <w:sz w:val="20"/>
          <w:szCs w:val="20"/>
          <w:color w:val="auto"/>
        </w:rPr>
      </w:pPr>
    </w:p>
    <w:p>
      <w:pPr>
        <w:ind w:right="200" w:firstLine="400"/>
        <w:spacing w:after="0" w:line="258" w:lineRule="auto"/>
        <w:rPr>
          <w:sz w:val="20"/>
          <w:szCs w:val="20"/>
          <w:color w:val="auto"/>
        </w:rPr>
      </w:pPr>
      <w:r>
        <w:rPr>
          <w:rFonts w:ascii="Times New Roman" w:cs="Times New Roman" w:eastAsia="Times New Roman" w:hAnsi="Times New Roman"/>
          <w:sz w:val="20"/>
          <w:szCs w:val="20"/>
          <w:color w:val="auto"/>
        </w:rPr>
        <w:t>Designing and manufacturing analog and mixed-signal semiconductors capable of meeting the evolving functionality requirements for electronics devices are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w:t>
      </w:r>
    </w:p>
    <w:p>
      <w:pPr>
        <w:spacing w:after="0" w:line="121" w:lineRule="exact"/>
        <w:rPr>
          <w:sz w:val="20"/>
          <w:szCs w:val="20"/>
          <w:color w:val="auto"/>
        </w:rPr>
      </w:pPr>
    </w:p>
    <w:p>
      <w:pPr>
        <w:ind w:left="800" w:right="40" w:hanging="394"/>
        <w:spacing w:after="0" w:line="247" w:lineRule="auto"/>
        <w:tabs>
          <w:tab w:leader="none" w:pos="8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Advanced Analog and Mixed-Signal Semiconductor Technology. </w:t>
      </w:r>
      <w:r>
        <w:rPr>
          <w:rFonts w:ascii="Times New Roman" w:cs="Times New Roman" w:eastAsia="Times New Roman" w:hAnsi="Times New Roman"/>
          <w:sz w:val="20"/>
          <w:szCs w:val="20"/>
          <w:color w:val="auto"/>
        </w:rPr>
        <w:t>Our long operating history, large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patent portfolio, extensive engineering and manufacturing process expertise and analog and mixed-signal intellectual property allow us to leverage our technology and develop new products across multiple end markets. Our product development efforts are supported by a team of over 220 engineers as of the date of this Annual Report. Our platform allows us to develop and introduce new products quickly and integrate numerous functions into a single product. For example, we were one of the first companies to introduce a commercial OLED display driver for mobile phones.</w:t>
      </w:r>
    </w:p>
    <w:p>
      <w:pPr>
        <w:spacing w:after="0" w:line="127" w:lineRule="exact"/>
        <w:rPr>
          <w:rFonts w:ascii="Symbol" w:cs="Symbol" w:eastAsia="Symbol" w:hAnsi="Symbol"/>
          <w:sz w:val="20"/>
          <w:szCs w:val="20"/>
          <w:color w:val="auto"/>
        </w:rPr>
      </w:pPr>
    </w:p>
    <w:p>
      <w:pPr>
        <w:ind w:left="800" w:right="20" w:hanging="394"/>
        <w:spacing w:after="0" w:line="247" w:lineRule="auto"/>
        <w:tabs>
          <w:tab w:leader="none" w:pos="8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Established Relationships and Close Collaboration with Leading Global Electronics Companies. </w:t>
      </w:r>
      <w:r>
        <w:rPr>
          <w:rFonts w:ascii="Times New Roman" w:cs="Times New Roman" w:eastAsia="Times New Roman" w:hAnsi="Times New Roman"/>
          <w:sz w:val="20"/>
          <w:szCs w:val="20"/>
          <w:color w:val="auto"/>
        </w:rPr>
        <w:t>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have a long history of supplying and collaborating on product and technology development with leading innovators in the consumer electronics market. Our close customer relationships have been built based on many years of close collaborative product development, which provides us with deep system-level knowledge and key insights into our customers’ needs. As a result, we are able to continuously strengthen our technology in areas of strategic interest for our customers and focus on those products that our customers and end consumers demand the most.</w:t>
      </w:r>
    </w:p>
    <w:p>
      <w:pPr>
        <w:spacing w:after="0" w:line="127" w:lineRule="exact"/>
        <w:rPr>
          <w:rFonts w:ascii="Symbol" w:cs="Symbol" w:eastAsia="Symbol" w:hAnsi="Symbol"/>
          <w:sz w:val="20"/>
          <w:szCs w:val="20"/>
          <w:color w:val="auto"/>
        </w:rPr>
      </w:pPr>
    </w:p>
    <w:p>
      <w:pPr>
        <w:ind w:left="800" w:right="80" w:hanging="394"/>
        <w:spacing w:after="0" w:line="248" w:lineRule="auto"/>
        <w:tabs>
          <w:tab w:leader="none" w:pos="8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Longstanding Presence in Asia and Proximity to Global Electronics Devices Supply Chain. </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presence in Asia facilitates close contact with our customers and fast response to their needs, and enhances our visibility into new product opportunities, markets and technology trends. Our design center and substantial manufacturing operations in Korea place us close to many of our largest customers and to the core of the global electronics devices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80"/>
          </w:cols>
          <w:pgMar w:left="1420" w:top="899" w:right="1440" w:bottom="182" w:gutter="0" w:footer="0" w:header="0"/>
          <w:type w:val="continuous"/>
        </w:sectPr>
      </w:pPr>
    </w:p>
    <w:bookmarkStart w:id="6" w:name="page7"/>
    <w:bookmarkEnd w:id="6"/>
    <w:p>
      <w:pPr>
        <w:ind w:left="800" w:right="20" w:hanging="394"/>
        <w:spacing w:after="0" w:line="247" w:lineRule="auto"/>
        <w:tabs>
          <w:tab w:leader="none" w:pos="80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Broad Portfolio of Product Offerings Targeting Large, High-Growth Markets. </w:t>
      </w:r>
      <w:r>
        <w:rPr>
          <w:rFonts w:ascii="Times New Roman" w:cs="Times New Roman" w:eastAsia="Times New Roman" w:hAnsi="Times New Roman"/>
          <w:sz w:val="20"/>
          <w:szCs w:val="20"/>
          <w:color w:val="auto"/>
        </w:rPr>
        <w:t>We continue to develop</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wide variety of analog and mixed-signal semiconductor solutions for multiple high-growth electronics device end markets. We believe our expanding product offerings allow us to provide additional products to new and existing customers and to cross-sell our products to our established customers. For example, we have leveraged our technology expertise and customer relationships to develop and grow power management solutions to customers. Our power management solutions enable our customers to increase system stability and improve heat dissipation and energy use, resulting in improved system efficiency and system cost savings for our customers, as well as environmental benefits. We have been able to sell these new products to our existing customers as well as expand our customer base.</w:t>
      </w:r>
    </w:p>
    <w:p>
      <w:pPr>
        <w:spacing w:after="0" w:line="134" w:lineRule="exact"/>
        <w:rPr>
          <w:rFonts w:ascii="Symbol" w:cs="Symbol" w:eastAsia="Symbol" w:hAnsi="Symbol"/>
          <w:sz w:val="20"/>
          <w:szCs w:val="20"/>
          <w:color w:val="auto"/>
        </w:rPr>
      </w:pPr>
    </w:p>
    <w:p>
      <w:pPr>
        <w:ind w:left="800" w:right="40" w:hanging="394"/>
        <w:spacing w:after="0" w:line="248" w:lineRule="auto"/>
        <w:tabs>
          <w:tab w:leader="none" w:pos="80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Highly Efficient Manufacturing Capabilities. </w:t>
      </w:r>
      <w:r>
        <w:rPr>
          <w:rFonts w:ascii="Times New Roman" w:cs="Times New Roman" w:eastAsia="Times New Roman" w:hAnsi="Times New Roman"/>
          <w:sz w:val="20"/>
          <w:szCs w:val="20"/>
          <w:color w:val="auto"/>
        </w:rPr>
        <w:t>Our manufacturing strategy is focused on optimizing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asset utilization across our display driver and power management products, which enables us to maintain the price competitiveness of our products through our low-cost operating structure and improve our operational efficiency. We believe the location of our primary manufacturing and research and development facilities in Asia and the relatively low need for ongoing capital expenditures provide us with a number of cost advantages. 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12-inch foundries starting in the second half of 2015 and we have started outsourcing 8-inch wafer for OLED TV ICs after the sale of our fabrication facility located in Cheongju, Korea in 2020. This additional source of manufacturing is an increasingly important part of our supply chain management. By outsourcing manufacturing of OLED products to external foundries, we are able to adapt dynamically to changing customer requirements and address growing markets without substantial capital investments by us.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20" w:lineRule="exact"/>
        <w:rPr>
          <w:sz w:val="20"/>
          <w:szCs w:val="20"/>
          <w:color w:val="auto"/>
        </w:rPr>
      </w:pPr>
    </w:p>
    <w:p>
      <w:pPr>
        <w:ind w:right="60" w:firstLine="400"/>
        <w:spacing w:after="0" w:line="245" w:lineRule="auto"/>
        <w:rPr>
          <w:sz w:val="20"/>
          <w:szCs w:val="20"/>
          <w:color w:val="auto"/>
        </w:rPr>
      </w:pPr>
      <w:r>
        <w:rPr>
          <w:rFonts w:ascii="Times New Roman" w:cs="Times New Roman" w:eastAsia="Times New Roman" w:hAnsi="Times New Roman"/>
          <w:sz w:val="20"/>
          <w:szCs w:val="20"/>
          <w:color w:val="auto"/>
        </w:rPr>
        <w:t>Our objective is to grow our business, cash flow and profitability and to continue strengthening our position in the semiconductor industry as a leading provider of analog and mixed-signal semiconductor products for high-volume markets. Our business strategy emphasizes the following key elements:</w:t>
      </w:r>
    </w:p>
    <w:p>
      <w:pPr>
        <w:spacing w:after="0" w:line="130" w:lineRule="exact"/>
        <w:rPr>
          <w:sz w:val="20"/>
          <w:szCs w:val="20"/>
          <w:color w:val="auto"/>
        </w:rPr>
      </w:pPr>
    </w:p>
    <w:p>
      <w:pPr>
        <w:ind w:left="800" w:right="20" w:hanging="394"/>
        <w:spacing w:after="0" w:line="246" w:lineRule="auto"/>
        <w:tabs>
          <w:tab w:leader="none" w:pos="80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Increase Business with Existing Customers. </w:t>
      </w:r>
      <w:r>
        <w:rPr>
          <w:rFonts w:ascii="Times New Roman" w:cs="Times New Roman" w:eastAsia="Times New Roman" w:hAnsi="Times New Roman"/>
          <w:sz w:val="20"/>
          <w:szCs w:val="20"/>
          <w:color w:val="auto"/>
        </w:rPr>
        <w:t>We have a global customer base consisting of leading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consumer electronics OEMs that sell into multiple end markets. We intend to continue to strengthen our relationships with our customers by collaborating on critical design and product development in order to improve our design-win rates. We seek to increase our customer penetration by more closely aligning our product roadmap with those of our key customers and take advantage of our broad product portfolio, our deep knowledge of customer needs and existing relationships to sell more existing and new products.</w:t>
      </w:r>
    </w:p>
    <w:p>
      <w:pPr>
        <w:spacing w:after="0" w:line="370" w:lineRule="exact"/>
        <w:rPr>
          <w:rFonts w:ascii="Symbol" w:cs="Symbol" w:eastAsia="Symbol" w:hAnsi="Symbol"/>
          <w:sz w:val="20"/>
          <w:szCs w:val="20"/>
          <w:color w:val="auto"/>
        </w:rPr>
      </w:pPr>
    </w:p>
    <w:p>
      <w:pPr>
        <w:ind w:left="800" w:right="140" w:hanging="394"/>
        <w:spacing w:after="0" w:line="246" w:lineRule="auto"/>
        <w:tabs>
          <w:tab w:leader="none" w:pos="80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Broaden Our Customer Base. </w:t>
      </w:r>
      <w:r>
        <w:rPr>
          <w:rFonts w:ascii="Times New Roman" w:cs="Times New Roman" w:eastAsia="Times New Roman" w:hAnsi="Times New Roman"/>
          <w:sz w:val="20"/>
          <w:szCs w:val="20"/>
          <w:color w:val="auto"/>
        </w:rPr>
        <w:t>We expect to continue to expand our global customer base, particularly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China, Hong Kong, and Taiwan, which we collectively refer to as Greater China, and 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improved base of distributors, with a particular focus on the growth of our power management business.</w:t>
      </w:r>
    </w:p>
    <w:p>
      <w:pPr>
        <w:spacing w:after="0" w:line="130" w:lineRule="exact"/>
        <w:rPr>
          <w:rFonts w:ascii="Symbol" w:cs="Symbol" w:eastAsia="Symbol" w:hAnsi="Symbol"/>
          <w:sz w:val="20"/>
          <w:szCs w:val="20"/>
          <w:color w:val="auto"/>
        </w:rPr>
      </w:pPr>
    </w:p>
    <w:p>
      <w:pPr>
        <w:ind w:left="800" w:right="100" w:hanging="394"/>
        <w:spacing w:after="0" w:line="246" w:lineRule="auto"/>
        <w:tabs>
          <w:tab w:leader="none" w:pos="80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Drive Execution Excellence. </w:t>
      </w:r>
      <w:r>
        <w:rPr>
          <w:rFonts w:ascii="Times New Roman" w:cs="Times New Roman" w:eastAsia="Times New Roman" w:hAnsi="Times New Roman"/>
          <w:sz w:val="20"/>
          <w:szCs w:val="20"/>
          <w:color w:val="auto"/>
        </w:rPr>
        <w:t>We intend to improve our execution through a number of management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initiatives, new processes for product development, customer service and personnel development. We expect these ongoing initiatives will contribute to improvement of our new product development and customer service as well as enhance our commitment to a culture of quick action and execution by our workforce. In addition, we have focused on improving our manufacturing efficiency during the past several years.</w:t>
      </w:r>
    </w:p>
    <w:p>
      <w:pPr>
        <w:spacing w:after="0" w:line="130" w:lineRule="exact"/>
        <w:rPr>
          <w:rFonts w:ascii="Symbol" w:cs="Symbol" w:eastAsia="Symbol" w:hAnsi="Symbol"/>
          <w:sz w:val="20"/>
          <w:szCs w:val="20"/>
          <w:color w:val="auto"/>
        </w:rPr>
      </w:pPr>
    </w:p>
    <w:p>
      <w:pPr>
        <w:ind w:left="800" w:right="80" w:hanging="394"/>
        <w:spacing w:after="0" w:line="246" w:lineRule="auto"/>
        <w:tabs>
          <w:tab w:leader="none" w:pos="80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Return on Capital Investments and Cash Flow Generation. </w:t>
      </w:r>
      <w:r>
        <w:rPr>
          <w:rFonts w:ascii="Times New Roman" w:cs="Times New Roman" w:eastAsia="Times New Roman" w:hAnsi="Times New Roman"/>
          <w:sz w:val="20"/>
          <w:szCs w:val="20"/>
          <w:color w:val="auto"/>
        </w:rPr>
        <w:t>We manufacture most of our Display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Solutions products at external foundries. Through a strategic cooperation with external foundries, we are able to adapt dynamically to changing customer requirements and address growing markets without substantial capital investments. We manufacture our Power Solutions products by utilizing our in-house manufacturing facility and external foundry to address a broad portfolio of power products while we seek to maximize return on capital investments and our cash flow generation. We intend to keep our</w:t>
      </w:r>
    </w:p>
    <w:p>
      <w:pPr>
        <w:sectPr>
          <w:pgSz w:w="12240" w:h="15840" w:orient="portrait"/>
          <w:cols w:equalWidth="0" w:num="1">
            <w:col w:w="9380"/>
          </w:cols>
          <w:pgMar w:left="1420" w:top="893" w:right="1440" w:bottom="182"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80"/>
          </w:cols>
          <w:pgMar w:left="1420" w:top="893" w:right="1440" w:bottom="182" w:gutter="0" w:footer="0" w:header="0"/>
          <w:type w:val="continuous"/>
        </w:sectPr>
      </w:pPr>
    </w:p>
    <w:bookmarkStart w:id="7" w:name="page8"/>
    <w:bookmarkEnd w:id="7"/>
    <w:p>
      <w:pPr>
        <w:ind w:left="800" w:right="20"/>
        <w:spacing w:after="0" w:line="248" w:lineRule="auto"/>
        <w:rPr>
          <w:sz w:val="20"/>
          <w:szCs w:val="20"/>
          <w:color w:val="auto"/>
        </w:rPr>
      </w:pPr>
      <w:r>
        <w:rPr>
          <w:rFonts w:ascii="Times New Roman" w:cs="Times New Roman" w:eastAsia="Times New Roman" w:hAnsi="Times New Roman"/>
          <w:sz w:val="20"/>
          <w:szCs w:val="20"/>
          <w:color w:val="auto"/>
        </w:rPr>
        <w:t>capital expenditures relatively low by maintaining our focus on specialty process technologies that do not require substantial investment in frequent upgrades to the latest manufacturing equipment. However, from time to time, we make special investments to enhance our manufacturing capabilities by investing in new equipment and expanding our facility, which we expect will have a positive impact on our future new product development and revenue, particularly during the period of global shortage of capacity.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Technology</w:t>
      </w:r>
    </w:p>
    <w:p>
      <w:pPr>
        <w:spacing w:after="0" w:line="130" w:lineRule="exact"/>
        <w:rPr>
          <w:sz w:val="20"/>
          <w:szCs w:val="20"/>
          <w:color w:val="auto"/>
        </w:rPr>
      </w:pPr>
    </w:p>
    <w:p>
      <w:pPr>
        <w:ind w:right="60" w:firstLine="400"/>
        <w:spacing w:after="0" w:line="258" w:lineRule="auto"/>
        <w:rPr>
          <w:sz w:val="20"/>
          <w:szCs w:val="20"/>
          <w:color w:val="auto"/>
        </w:rPr>
      </w:pPr>
      <w:r>
        <w:rPr>
          <w:rFonts w:ascii="Times New Roman" w:cs="Times New Roman" w:eastAsia="Times New Roman" w:hAnsi="Times New Roman"/>
          <w:sz w:val="20"/>
          <w:szCs w:val="20"/>
          <w:color w:val="auto"/>
        </w:rPr>
        <w:t>We continuously strengthen our advanced analog and mixed-signal semiconductor technology platform by developing innovative technologies and integrated circuit building blocks that enhance the functionality of electronics devices through brighter, thinner displays, enhanced image quality, smaller form factor and longer battery life.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137" w:lineRule="exact"/>
        <w:rPr>
          <w:sz w:val="20"/>
          <w:szCs w:val="20"/>
          <w:color w:val="auto"/>
        </w:rPr>
      </w:pPr>
    </w:p>
    <w:p>
      <w:pPr>
        <w:ind w:right="40" w:firstLine="400"/>
        <w:spacing w:after="0" w:line="259" w:lineRule="auto"/>
        <w:rPr>
          <w:sz w:val="20"/>
          <w:szCs w:val="20"/>
          <w:color w:val="auto"/>
        </w:rPr>
      </w:pPr>
      <w:r>
        <w:rPr>
          <w:rFonts w:ascii="Times New Roman" w:cs="Times New Roman" w:eastAsia="Times New Roman" w:hAnsi="Times New Roman"/>
          <w:sz w:val="20"/>
          <w:szCs w:val="20"/>
          <w:color w:val="auto"/>
        </w:rPr>
        <w:t>Our display technology portfolio includes building blocks for display drivers and timing controllers, processor and interface technologies, as well as sophisticated production techniques, such as chip-on-glass (COG), chip-on-film (COF) and chip-on-plastic (COP) for rigid and flexible OLED displays. Our advanced display drivers incorporate Oxide, Low-Temperature Polycrystalline Oxide (LTPO) OLED panel technologies that enable the highest resolution displays. Furthermore, we are developing a broad intellectual property portfolio to improve the quality and the power efficiency of displays, including the development of our high speed interface, high quality image enhancement display data compression and optical compensation technology for OLED displays.</w:t>
      </w:r>
    </w:p>
    <w:p>
      <w:pPr>
        <w:spacing w:after="0" w:line="383" w:lineRule="exact"/>
        <w:rPr>
          <w:sz w:val="20"/>
          <w:szCs w:val="20"/>
          <w:color w:val="auto"/>
        </w:rPr>
      </w:pPr>
    </w:p>
    <w:p>
      <w:pPr>
        <w:ind w:right="200" w:firstLine="400"/>
        <w:spacing w:after="0" w:line="259" w:lineRule="auto"/>
        <w:rPr>
          <w:sz w:val="20"/>
          <w:szCs w:val="20"/>
          <w:color w:val="auto"/>
        </w:rPr>
      </w:pPr>
      <w:r>
        <w:rPr>
          <w:rFonts w:ascii="Times New Roman" w:cs="Times New Roman" w:eastAsia="Times New Roman" w:hAnsi="Times New Roman"/>
          <w:sz w:val="20"/>
          <w:szCs w:val="20"/>
          <w:color w:val="auto"/>
        </w:rPr>
        <w:t>Expertise in ultra-high voltage (UHV), high voltage and deep trench BCDMOS process technologies, low power analog and mixed-signal design capabilities and packaging know-how are key requirements in the power management market. We are currently leveraging our capabilities in these areas with products such as AC-DC/DC-DC converters, LED drivers, regulators, power management integrated circuits (PMICs), power MOSFETs and IGBTs. We believe our system-level understanding of applications such as LCD televisions, smartphones, computing, and servers, automotive, and industrial applications will allow us to more quickly develop and customize power management solutions for our customers in these markets.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by Business Line</w:t>
      </w:r>
    </w:p>
    <w:p>
      <w:pPr>
        <w:spacing w:after="0" w:line="130" w:lineRule="exact"/>
        <w:rPr>
          <w:sz w:val="20"/>
          <w:szCs w:val="20"/>
          <w:color w:val="auto"/>
        </w:rPr>
      </w:pPr>
    </w:p>
    <w:p>
      <w:pPr>
        <w:ind w:right="100" w:firstLine="400"/>
        <w:spacing w:after="0" w:line="255" w:lineRule="auto"/>
        <w:rPr>
          <w:sz w:val="20"/>
          <w:szCs w:val="20"/>
          <w:color w:val="auto"/>
        </w:rPr>
      </w:pPr>
      <w:r>
        <w:rPr>
          <w:rFonts w:ascii="Times New Roman" w:cs="Times New Roman" w:eastAsia="Times New Roman" w:hAnsi="Times New Roman"/>
          <w:sz w:val="20"/>
          <w:szCs w:val="20"/>
          <w:color w:val="auto"/>
        </w:rPr>
        <w:t>Our broad portfolio of products addresses multiple high-growth, consumer-focused end markets. A key component of our product strategy is to supply multiple related product offerings to each of the end markets that we serve.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Display Solutions</w:t>
      </w:r>
    </w:p>
    <w:p>
      <w:pPr>
        <w:spacing w:after="0" w:line="130" w:lineRule="exact"/>
        <w:rPr>
          <w:sz w:val="20"/>
          <w:szCs w:val="20"/>
          <w:color w:val="auto"/>
        </w:rPr>
      </w:pPr>
    </w:p>
    <w:p>
      <w:pPr>
        <w:ind w:right="100" w:firstLine="400"/>
        <w:spacing w:after="0" w:line="255" w:lineRule="auto"/>
        <w:rPr>
          <w:sz w:val="20"/>
          <w:szCs w:val="20"/>
          <w:color w:val="auto"/>
        </w:rPr>
      </w:pPr>
      <w:r>
        <w:rPr>
          <w:rFonts w:ascii="Times New Roman" w:cs="Times New Roman" w:eastAsia="Times New Roman" w:hAnsi="Times New Roman"/>
          <w:sz w:val="20"/>
          <w:szCs w:val="20"/>
          <w:color w:val="auto"/>
        </w:rPr>
        <w:t>Display Driver Characteristics. Display drivers deliver defined analog voltages and currents that activate pixels to exhibit images on displays. The following key characteristics determine display driver performance and end-market application:</w:t>
      </w:r>
    </w:p>
    <w:p>
      <w:pPr>
        <w:spacing w:after="0" w:line="121" w:lineRule="exact"/>
        <w:rPr>
          <w:sz w:val="20"/>
          <w:szCs w:val="20"/>
          <w:color w:val="auto"/>
        </w:rPr>
      </w:pPr>
    </w:p>
    <w:p>
      <w:pPr>
        <w:ind w:left="800" w:right="100" w:hanging="394"/>
        <w:spacing w:after="0" w:line="247" w:lineRule="auto"/>
        <w:tabs>
          <w:tab w:leader="none" w:pos="80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Resolution and Number of Channels. </w:t>
      </w:r>
      <w:r>
        <w:rPr>
          <w:rFonts w:ascii="Times New Roman" w:cs="Times New Roman" w:eastAsia="Times New Roman" w:hAnsi="Times New Roman"/>
          <w:sz w:val="20"/>
          <w:szCs w:val="20"/>
          <w:color w:val="auto"/>
        </w:rPr>
        <w:t>Resolution determines the level of detail displayed within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image and is defined by the number of pixels per line 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VGA (640 x 480) to UHD (3840 x 2160).</w:t>
      </w:r>
    </w:p>
    <w:p>
      <w:pPr>
        <w:spacing w:after="0" w:line="127" w:lineRule="exact"/>
        <w:rPr>
          <w:rFonts w:ascii="Symbol" w:cs="Symbol" w:eastAsia="Symbol" w:hAnsi="Symbol"/>
          <w:sz w:val="20"/>
          <w:szCs w:val="20"/>
          <w:color w:val="auto"/>
        </w:rPr>
      </w:pPr>
    </w:p>
    <w:p>
      <w:pPr>
        <w:ind w:left="800" w:right="280" w:hanging="394"/>
        <w:spacing w:after="0"/>
        <w:tabs>
          <w:tab w:leader="none" w:pos="80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Color Depth. </w:t>
      </w:r>
      <w:r>
        <w:rPr>
          <w:rFonts w:ascii="Times New Roman" w:cs="Times New Roman" w:eastAsia="Times New Roman" w:hAnsi="Times New Roman"/>
          <w:sz w:val="20"/>
          <w:szCs w:val="20"/>
          <w:color w:val="auto"/>
        </w:rPr>
        <w:t>Color depth is the number of colors that can be displayed on a panel. For example,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TFT-LCD panels, 262 thousand colors are supported by 6-bit source drivers; 16 million colors are supported by 8-bit source drivers; and 1 billion colors are supported by 10-bit source drivers.</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80"/>
          </w:cols>
          <w:pgMar w:left="1420" w:top="899" w:right="1440" w:bottom="182" w:gutter="0" w:footer="0" w:header="0"/>
          <w:type w:val="continuous"/>
        </w:sectPr>
      </w:pPr>
    </w:p>
    <w:bookmarkStart w:id="8" w:name="page9"/>
    <w:bookmarkEnd w:id="8"/>
    <w:p>
      <w:pPr>
        <w:ind w:left="800" w:right="240" w:hanging="394"/>
        <w:spacing w:after="0" w:line="244" w:lineRule="auto"/>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Operational Voltage. </w:t>
      </w:r>
      <w:r>
        <w:rPr>
          <w:rFonts w:ascii="Times New Roman" w:cs="Times New Roman" w:eastAsia="Times New Roman" w:hAnsi="Times New Roman"/>
          <w:sz w:val="20"/>
          <w:szCs w:val="20"/>
          <w:color w:val="auto"/>
        </w:rPr>
        <w:t>Display drivers are characterized by input and output voltages. Source drivers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typically operate at input voltages from 1.62 to 3.6 volts and output voltages between 9 and 18 volts. Gate drivers typically operate at input voltages from 1.62 to 3.6 volts and output voltages from 30 to 45 volts. Lower input voltage results in lower power consumption and electromagnetic interference (EMI).</w:t>
      </w:r>
    </w:p>
    <w:p>
      <w:pPr>
        <w:spacing w:after="0" w:line="369" w:lineRule="exact"/>
        <w:rPr>
          <w:rFonts w:ascii="Symbol" w:cs="Symbol" w:eastAsia="Symbol" w:hAnsi="Symbol"/>
          <w:sz w:val="20"/>
          <w:szCs w:val="20"/>
          <w:color w:val="auto"/>
        </w:rPr>
      </w:pPr>
    </w:p>
    <w:p>
      <w:pPr>
        <w:ind w:left="800" w:right="60" w:hanging="394"/>
        <w:spacing w:after="0" w:line="244" w:lineRule="auto"/>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Gamma Curve. </w:t>
      </w:r>
      <w:r>
        <w:rPr>
          <w:rFonts w:ascii="Times New Roman" w:cs="Times New Roman" w:eastAsia="Times New Roman" w:hAnsi="Times New Roman"/>
          <w:sz w:val="20"/>
          <w:szCs w:val="20"/>
          <w:color w:val="auto"/>
        </w:rPr>
        <w:t>The relationship between the light passing through a pixel and the voltage applied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pixel by the source driver is referred to as the gamma 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369" w:lineRule="exact"/>
        <w:rPr>
          <w:rFonts w:ascii="Symbol" w:cs="Symbol" w:eastAsia="Symbol" w:hAnsi="Symbol"/>
          <w:sz w:val="20"/>
          <w:szCs w:val="20"/>
          <w:color w:val="auto"/>
        </w:rPr>
      </w:pPr>
    </w:p>
    <w:p>
      <w:pPr>
        <w:ind w:left="800" w:right="20" w:hanging="394"/>
        <w:spacing w:after="0" w:line="245" w:lineRule="auto"/>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Driver Interface. </w:t>
      </w:r>
      <w:r>
        <w:rPr>
          <w:rFonts w:ascii="Times New Roman" w:cs="Times New Roman" w:eastAsia="Times New Roman" w:hAnsi="Times New Roman"/>
          <w:sz w:val="20"/>
          <w:szCs w:val="20"/>
          <w:color w:val="auto"/>
        </w:rPr>
        <w:t>Driver interface refers to the connection between the timing controller and the display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drivers. Display drivers increasingly require higher bandwidth interface technology to address the larger data transfer rate necessary for higher definition images. The principal types of interface technologies are embedded clock point to point interface (EPI), mini-low voltage differential signaling (m-LVDS), unified standard interface (USI) and mobile industry processor interface (MIPI).</w:t>
      </w:r>
    </w:p>
    <w:p>
      <w:pPr>
        <w:spacing w:after="0" w:line="111" w:lineRule="exact"/>
        <w:rPr>
          <w:rFonts w:ascii="Symbol" w:cs="Symbol" w:eastAsia="Symbol" w:hAnsi="Symbol"/>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Package Type. </w:t>
      </w:r>
      <w:r>
        <w:rPr>
          <w:rFonts w:ascii="Times New Roman" w:cs="Times New Roman" w:eastAsia="Times New Roman" w:hAnsi="Times New Roman"/>
          <w:sz w:val="20"/>
          <w:szCs w:val="20"/>
          <w:color w:val="auto"/>
        </w:rPr>
        <w:t>The assembly of display drivers typically uses COF, COG and COP package types.</w:t>
      </w:r>
    </w:p>
    <w:p>
      <w:pPr>
        <w:spacing w:after="0" w:line="134" w:lineRule="exact"/>
        <w:rPr>
          <w:rFonts w:ascii="Symbol" w:cs="Symbol" w:eastAsia="Symbol" w:hAnsi="Symbol"/>
          <w:sz w:val="20"/>
          <w:szCs w:val="20"/>
          <w:color w:val="auto"/>
        </w:rPr>
      </w:pPr>
    </w:p>
    <w:p>
      <w:pPr>
        <w:ind w:left="800" w:right="4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Large Display Solutions. </w:t>
      </w:r>
      <w:r>
        <w:rPr>
          <w:rFonts w:ascii="Times New Roman" w:cs="Times New Roman" w:eastAsia="Times New Roman" w:hAnsi="Times New Roman"/>
          <w:sz w:val="20"/>
          <w:szCs w:val="20"/>
          <w:color w:val="auto"/>
        </w:rPr>
        <w:t>We provide display solutions for a wide range of flat panel display sizes used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LCD TVs, OLED TVs, Micro LED TVs as well as IT applications such as monitors, notebook PCs, tablet PCs, automotives and public information displays.</w:t>
      </w:r>
    </w:p>
    <w:p>
      <w:pPr>
        <w:spacing w:after="0" w:line="151" w:lineRule="exact"/>
        <w:rPr>
          <w:sz w:val="20"/>
          <w:szCs w:val="20"/>
          <w:color w:val="auto"/>
        </w:rPr>
      </w:pPr>
    </w:p>
    <w:p>
      <w:pPr>
        <w:ind w:right="100" w:firstLine="400"/>
        <w:spacing w:after="0" w:line="259" w:lineRule="auto"/>
        <w:rPr>
          <w:sz w:val="20"/>
          <w:szCs w:val="20"/>
          <w:color w:val="auto"/>
        </w:rPr>
      </w:pPr>
      <w:r>
        <w:rPr>
          <w:rFonts w:ascii="Times New Roman" w:cs="Times New Roman" w:eastAsia="Times New Roman" w:hAnsi="Times New Roman"/>
          <w:sz w:val="20"/>
          <w:szCs w:val="20"/>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in mass production to provide up to 1,542 channels. Our large display solutions are designed to allow customers to cost-effectively meet the increasing demand for high resolution displays. We have focused extensively on reducing the die size of our large display drivers and other solutions products to reduce costs without having to migrate to smaller geometries. For example, we have implemented several solutions to reduce die size in large display drivers, such as optimizing design schemes and design rules and applying specific technologies that we have developed internally. We are currently focusing on growing display segments such as OLED TVs and automotive. We have recently introduced a number of new display driver ICs for OLED TV and automotive.</w:t>
      </w:r>
    </w:p>
    <w:p>
      <w:pPr>
        <w:sectPr>
          <w:pgSz w:w="12240" w:h="15840" w:orient="portrait"/>
          <w:cols w:equalWidth="0" w:num="1">
            <w:col w:w="9380"/>
          </w:cols>
          <w:pgMar w:left="1420" w:top="893"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80"/>
          </w:cols>
          <w:pgMar w:left="1420" w:top="893" w:right="1440" w:bottom="182" w:gutter="0" w:footer="0" w:header="0"/>
          <w:type w:val="continuous"/>
        </w:sectPr>
      </w:pPr>
    </w:p>
    <w:bookmarkStart w:id="9" w:name="page10"/>
    <w:bookmarkEnd w:id="9"/>
    <w:p>
      <w:pPr>
        <w:ind w:right="1020" w:firstLine="400"/>
        <w:spacing w:after="0" w:line="250" w:lineRule="auto"/>
        <w:rPr>
          <w:sz w:val="20"/>
          <w:szCs w:val="20"/>
          <w:color w:val="auto"/>
        </w:rPr>
      </w:pPr>
      <w:r>
        <w:rPr>
          <w:rFonts w:ascii="Times New Roman" w:cs="Times New Roman" w:eastAsia="Times New Roman" w:hAnsi="Times New Roman"/>
          <w:sz w:val="20"/>
          <w:szCs w:val="20"/>
          <w:color w:val="auto"/>
        </w:rPr>
        <w:t>The table below sets forth the features of our products, both in mass production and in customer qualification, which is the final stage of product development, for large-sized displays: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6"/>
                <w:szCs w:val="16"/>
                <w:b w:val="1"/>
                <w:bCs w:val="1"/>
                <w:color w:val="auto"/>
              </w:rPr>
              <w:t>Key Features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Applications</w:t>
            </w:r>
          </w:p>
        </w:tc>
      </w:tr>
      <w:tr>
        <w:trPr>
          <w:trHeight w:val="290"/>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TFT-LCD Source Drivers</w:t>
            </w:r>
          </w:p>
        </w:tc>
        <w:tc>
          <w:tcPr>
            <w:tcW w:w="400" w:type="dxa"/>
            <w:vAlign w:val="bottom"/>
            <w:gridSpan w:val="2"/>
          </w:tcPr>
          <w:p>
            <w:pPr>
              <w:ind w:left="240"/>
              <w:spacing w:after="0"/>
              <w:rPr>
                <w:sz w:val="20"/>
                <w:szCs w:val="20"/>
                <w:color w:val="auto"/>
              </w:rPr>
            </w:pPr>
            <w:r>
              <w:rPr>
                <w:rFonts w:ascii="Symbol" w:cs="Symbol" w:eastAsia="Symbol" w:hAnsi="Symbol"/>
                <w:sz w:val="20"/>
                <w:szCs w:val="20"/>
                <w:color w:val="auto"/>
                <w:w w:val="97"/>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480 to 1,542 output channels</w:t>
            </w:r>
          </w:p>
        </w:tc>
        <w:tc>
          <w:tcPr>
            <w:tcW w:w="440" w:type="dxa"/>
            <w:vAlign w:val="bottom"/>
            <w:gridSpan w:val="2"/>
          </w:tcPr>
          <w:p>
            <w:pPr>
              <w:ind w:left="240"/>
              <w:spacing w:after="0"/>
              <w:rPr>
                <w:sz w:val="20"/>
                <w:szCs w:val="20"/>
                <w:color w:val="auto"/>
              </w:rPr>
            </w:pPr>
            <w:r>
              <w:rPr>
                <w:rFonts w:ascii="Symbol" w:cs="Symbol" w:eastAsia="Symbol" w:hAnsi="Symbol"/>
                <w:sz w:val="20"/>
                <w:szCs w:val="20"/>
                <w:color w:val="auto"/>
              </w:rPr>
              <w:t>•</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LCD/LED TVs</w:t>
            </w:r>
          </w:p>
        </w:tc>
      </w:tr>
      <w:tr>
        <w:trPr>
          <w:trHeight w:val="240"/>
        </w:trPr>
        <w:tc>
          <w:tcPr>
            <w:tcW w:w="2160" w:type="dxa"/>
            <w:vAlign w:val="bottom"/>
          </w:tcPr>
          <w:p>
            <w:pPr>
              <w:spacing w:after="0"/>
              <w:rPr>
                <w:sz w:val="20"/>
                <w:szCs w:val="20"/>
                <w:color w:val="auto"/>
              </w:rPr>
            </w:pP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6-bit (262 thousand colors), 8-bit</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Notebooks</w:t>
            </w:r>
          </w:p>
        </w:tc>
      </w:tr>
      <w:tr>
        <w:trPr>
          <w:trHeight w:val="240"/>
        </w:trPr>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(16 million colors), 10-bit (1 billion colors)</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LCD/LED monitors</w:t>
            </w:r>
          </w:p>
        </w:tc>
      </w:tr>
      <w:tr>
        <w:trPr>
          <w:trHeight w:val="240"/>
        </w:trPr>
        <w:tc>
          <w:tcPr>
            <w:tcW w:w="2160" w:type="dxa"/>
            <w:vAlign w:val="bottom"/>
          </w:tcPr>
          <w:p>
            <w:pPr>
              <w:spacing w:after="0"/>
              <w:rPr>
                <w:sz w:val="20"/>
                <w:szCs w:val="20"/>
                <w:color w:val="auto"/>
              </w:rPr>
            </w:pP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Output voltage ranging from 9V to 18V</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Automotive</w:t>
            </w:r>
          </w:p>
        </w:tc>
      </w:tr>
      <w:tr>
        <w:trPr>
          <w:trHeight w:val="240"/>
        </w:trPr>
        <w:tc>
          <w:tcPr>
            <w:tcW w:w="2160" w:type="dxa"/>
            <w:vAlign w:val="bottom"/>
          </w:tcPr>
          <w:p>
            <w:pPr>
              <w:spacing w:after="0"/>
              <w:rPr>
                <w:sz w:val="20"/>
                <w:szCs w:val="20"/>
                <w:color w:val="auto"/>
              </w:rPr>
            </w:pPr>
          </w:p>
        </w:tc>
        <w:tc>
          <w:tcPr>
            <w:tcW w:w="432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Low power consumption and low EMI</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40"/>
        </w:trPr>
        <w:tc>
          <w:tcPr>
            <w:tcW w:w="2160" w:type="dxa"/>
            <w:vAlign w:val="bottom"/>
          </w:tcPr>
          <w:p>
            <w:pPr>
              <w:spacing w:after="0"/>
              <w:rPr>
                <w:sz w:val="20"/>
                <w:szCs w:val="20"/>
                <w:color w:val="auto"/>
              </w:rPr>
            </w:pP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COF package types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40"/>
        </w:trPr>
        <w:tc>
          <w:tcPr>
            <w:tcW w:w="2160" w:type="dxa"/>
            <w:vAlign w:val="bottom"/>
          </w:tcPr>
          <w:p>
            <w:pPr>
              <w:spacing w:after="0"/>
              <w:rPr>
                <w:sz w:val="20"/>
                <w:szCs w:val="20"/>
                <w:color w:val="auto"/>
              </w:rPr>
            </w:pPr>
          </w:p>
        </w:tc>
        <w:tc>
          <w:tcPr>
            <w:tcW w:w="432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EPI, m-LVDS, USI interface technologies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10"/>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TFT-LCD Gate Drivers</w:t>
            </w:r>
          </w:p>
        </w:tc>
        <w:tc>
          <w:tcPr>
            <w:tcW w:w="400" w:type="dxa"/>
            <w:vAlign w:val="bottom"/>
            <w:gridSpan w:val="2"/>
          </w:tcPr>
          <w:p>
            <w:pPr>
              <w:ind w:left="240"/>
              <w:spacing w:after="0"/>
              <w:rPr>
                <w:sz w:val="20"/>
                <w:szCs w:val="20"/>
                <w:color w:val="auto"/>
              </w:rPr>
            </w:pPr>
            <w:r>
              <w:rPr>
                <w:rFonts w:ascii="Symbol" w:cs="Symbol" w:eastAsia="Symbol" w:hAnsi="Symbol"/>
                <w:sz w:val="20"/>
                <w:szCs w:val="20"/>
                <w:color w:val="auto"/>
                <w:w w:val="97"/>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272 to 960 output channels</w:t>
            </w:r>
          </w:p>
        </w:tc>
        <w:tc>
          <w:tcPr>
            <w:tcW w:w="440" w:type="dxa"/>
            <w:vAlign w:val="bottom"/>
            <w:gridSpan w:val="2"/>
          </w:tcPr>
          <w:p>
            <w:pPr>
              <w:ind w:left="240"/>
              <w:spacing w:after="0"/>
              <w:rPr>
                <w:sz w:val="20"/>
                <w:szCs w:val="20"/>
                <w:color w:val="auto"/>
              </w:rPr>
            </w:pPr>
            <w:r>
              <w:rPr>
                <w:rFonts w:ascii="Symbol" w:cs="Symbol" w:eastAsia="Symbol" w:hAnsi="Symbol"/>
                <w:sz w:val="20"/>
                <w:szCs w:val="20"/>
                <w:color w:val="auto"/>
              </w:rPr>
              <w:t>•</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Tablet PCs</w:t>
            </w:r>
          </w:p>
        </w:tc>
      </w:tr>
      <w:tr>
        <w:trPr>
          <w:trHeight w:val="240"/>
        </w:trPr>
        <w:tc>
          <w:tcPr>
            <w:tcW w:w="2160" w:type="dxa"/>
            <w:vAlign w:val="bottom"/>
          </w:tcPr>
          <w:p>
            <w:pPr>
              <w:spacing w:after="0"/>
              <w:rPr>
                <w:sz w:val="20"/>
                <w:szCs w:val="20"/>
                <w:color w:val="auto"/>
              </w:rPr>
            </w:pP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Output voltage ranging from 30V to 45V</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LCD/LED TVs</w:t>
            </w:r>
          </w:p>
        </w:tc>
      </w:tr>
      <w:tr>
        <w:trPr>
          <w:trHeight w:val="240"/>
        </w:trPr>
        <w:tc>
          <w:tcPr>
            <w:tcW w:w="2160" w:type="dxa"/>
            <w:vAlign w:val="bottom"/>
          </w:tcPr>
          <w:p>
            <w:pPr>
              <w:spacing w:after="0"/>
              <w:rPr>
                <w:sz w:val="20"/>
                <w:szCs w:val="20"/>
                <w:color w:val="auto"/>
              </w:rPr>
            </w:pP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COF and COG package types</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Notebooks</w:t>
            </w:r>
          </w:p>
        </w:tc>
      </w:tr>
      <w:tr>
        <w:trPr>
          <w:trHeight w:val="240"/>
        </w:trPr>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Automotive</w:t>
            </w:r>
          </w:p>
        </w:tc>
      </w:tr>
      <w:tr>
        <w:trPr>
          <w:trHeight w:val="510"/>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Timing Controllers</w:t>
            </w:r>
          </w:p>
        </w:tc>
        <w:tc>
          <w:tcPr>
            <w:tcW w:w="400" w:type="dxa"/>
            <w:vAlign w:val="bottom"/>
            <w:gridSpan w:val="2"/>
          </w:tcPr>
          <w:p>
            <w:pPr>
              <w:ind w:left="240"/>
              <w:spacing w:after="0"/>
              <w:rPr>
                <w:sz w:val="20"/>
                <w:szCs w:val="20"/>
                <w:color w:val="auto"/>
              </w:rPr>
            </w:pPr>
            <w:r>
              <w:rPr>
                <w:rFonts w:ascii="Symbol" w:cs="Symbol" w:eastAsia="Symbol" w:hAnsi="Symbol"/>
                <w:sz w:val="20"/>
                <w:szCs w:val="20"/>
                <w:color w:val="auto"/>
                <w:w w:val="97"/>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Wide range of resolutions</w:t>
            </w:r>
          </w:p>
        </w:tc>
        <w:tc>
          <w:tcPr>
            <w:tcW w:w="440" w:type="dxa"/>
            <w:vAlign w:val="bottom"/>
            <w:gridSpan w:val="2"/>
          </w:tcPr>
          <w:p>
            <w:pPr>
              <w:ind w:left="240"/>
              <w:spacing w:after="0"/>
              <w:rPr>
                <w:sz w:val="20"/>
                <w:szCs w:val="20"/>
                <w:color w:val="auto"/>
              </w:rPr>
            </w:pPr>
            <w:r>
              <w:rPr>
                <w:rFonts w:ascii="Symbol" w:cs="Symbol" w:eastAsia="Symbol" w:hAnsi="Symbol"/>
                <w:sz w:val="20"/>
                <w:szCs w:val="20"/>
                <w:color w:val="auto"/>
              </w:rPr>
              <w:t>•</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Tablet PCs</w:t>
            </w:r>
          </w:p>
        </w:tc>
      </w:tr>
      <w:tr>
        <w:trPr>
          <w:trHeight w:val="240"/>
        </w:trPr>
        <w:tc>
          <w:tcPr>
            <w:tcW w:w="2160" w:type="dxa"/>
            <w:vAlign w:val="bottom"/>
          </w:tcPr>
          <w:p>
            <w:pPr>
              <w:spacing w:after="0"/>
              <w:rPr>
                <w:sz w:val="20"/>
                <w:szCs w:val="20"/>
                <w:color w:val="auto"/>
              </w:rPr>
            </w:pP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EPI, m-LVDS, MIPI, USI-T interface</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Public information display</w:t>
            </w:r>
          </w:p>
        </w:tc>
      </w:tr>
      <w:tr>
        <w:trPr>
          <w:trHeight w:val="240"/>
        </w:trPr>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technologies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ind w:left="2400"/>
        <w:spacing w:after="0" w:line="235" w:lineRule="auto"/>
        <w:tabs>
          <w:tab w:leader="none" w:pos="2680" w:val="left"/>
        </w:tabs>
        <w:rPr>
          <w:sz w:val="20"/>
          <w:szCs w:val="20"/>
          <w:color w:val="auto"/>
        </w:rPr>
      </w:pPr>
      <w:r>
        <w:rPr>
          <w:rFonts w:ascii="Symbol" w:cs="Symbol" w:eastAsia="Symbol" w:hAnsi="Symbol"/>
          <w:sz w:val="20"/>
          <w:szCs w:val="20"/>
          <w:color w:val="auto"/>
        </w:rPr>
        <w:t>•</w:t>
      </w:r>
      <w:r>
        <w:rPr>
          <w:sz w:val="20"/>
          <w:szCs w:val="20"/>
          <w:color w:val="auto"/>
        </w:rPr>
        <w:tab/>
      </w:r>
      <w:r>
        <w:rPr>
          <w:rFonts w:ascii="Times New Roman" w:cs="Times New Roman" w:eastAsia="Times New Roman" w:hAnsi="Times New Roman"/>
          <w:sz w:val="20"/>
          <w:szCs w:val="20"/>
          <w:color w:val="auto"/>
        </w:rPr>
        <w:t>Input voltage ranging from 1.6V to 3.6V</w:t>
      </w:r>
    </w:p>
    <w:p>
      <w:pPr>
        <w:spacing w:after="0" w:line="140" w:lineRule="exact"/>
        <w:rPr>
          <w:sz w:val="20"/>
          <w:szCs w:val="20"/>
          <w:color w:val="auto"/>
        </w:rPr>
      </w:pPr>
    </w:p>
    <w:p>
      <w:pPr>
        <w:spacing w:after="0"/>
        <w:tabs>
          <w:tab w:leader="none" w:pos="2380" w:val="left"/>
          <w:tab w:leader="none" w:pos="2680" w:val="left"/>
          <w:tab w:leader="none" w:pos="6700" w:val="left"/>
          <w:tab w:leader="none" w:pos="7000" w:val="left"/>
        </w:tabs>
        <w:rPr>
          <w:sz w:val="20"/>
          <w:szCs w:val="20"/>
          <w:color w:val="auto"/>
        </w:rPr>
      </w:pPr>
      <w:r>
        <w:rPr>
          <w:rFonts w:ascii="Times New Roman" w:cs="Times New Roman" w:eastAsia="Times New Roman" w:hAnsi="Times New Roman"/>
          <w:sz w:val="20"/>
          <w:szCs w:val="20"/>
          <w:color w:val="auto"/>
        </w:rPr>
        <w:t>OLED Source Drivers</w:t>
      </w:r>
      <w:r>
        <w:rPr>
          <w:sz w:val="20"/>
          <w:szCs w:val="20"/>
          <w:color w:val="auto"/>
        </w:rPr>
        <w:tab/>
      </w:r>
      <w:r>
        <w:rPr>
          <w:rFonts w:ascii="Symbol" w:cs="Symbol" w:eastAsia="Symbol" w:hAnsi="Symbol"/>
          <w:sz w:val="20"/>
          <w:szCs w:val="20"/>
          <w:color w:val="auto"/>
        </w:rPr>
        <w:t>•</w:t>
      </w:r>
      <w:r>
        <w:rPr>
          <w:sz w:val="20"/>
          <w:szCs w:val="20"/>
          <w:color w:val="auto"/>
        </w:rPr>
        <w:tab/>
      </w:r>
      <w:r>
        <w:rPr>
          <w:rFonts w:ascii="Times New Roman" w:cs="Times New Roman" w:eastAsia="Times New Roman" w:hAnsi="Times New Roman"/>
          <w:sz w:val="20"/>
          <w:szCs w:val="20"/>
          <w:color w:val="auto"/>
        </w:rPr>
        <w:t>960 output channels</w:t>
      </w:r>
      <w:r>
        <w:rPr>
          <w:sz w:val="20"/>
          <w:szCs w:val="20"/>
          <w:color w:val="auto"/>
        </w:rPr>
        <w:tab/>
      </w:r>
      <w:r>
        <w:rPr>
          <w:rFonts w:ascii="Symbol" w:cs="Symbol" w:eastAsia="Symbol" w:hAnsi="Symbol"/>
          <w:sz w:val="20"/>
          <w:szCs w:val="20"/>
          <w:color w:val="auto"/>
        </w:rPr>
        <w:t>•</w:t>
      </w:r>
      <w:r>
        <w:rPr>
          <w:sz w:val="20"/>
          <w:szCs w:val="20"/>
          <w:color w:val="auto"/>
        </w:rPr>
        <w:tab/>
      </w:r>
      <w:r>
        <w:rPr>
          <w:rFonts w:ascii="Times New Roman" w:cs="Times New Roman" w:eastAsia="Times New Roman" w:hAnsi="Times New Roman"/>
          <w:sz w:val="20"/>
          <w:szCs w:val="20"/>
          <w:color w:val="auto"/>
        </w:rPr>
        <w:t>OLED TVs</w:t>
      </w:r>
    </w:p>
    <w:p>
      <w:pPr>
        <w:ind w:left="2700" w:hanging="294"/>
        <w:spacing w:after="0" w:line="235" w:lineRule="auto"/>
        <w:tabs>
          <w:tab w:leader="none" w:pos="27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10 bit (1 billion colors)</w:t>
      </w:r>
    </w:p>
    <w:p>
      <w:pPr>
        <w:ind w:left="2700" w:hanging="294"/>
        <w:spacing w:after="0" w:line="235" w:lineRule="auto"/>
        <w:tabs>
          <w:tab w:leader="none" w:pos="27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Output voltage: 18V</w:t>
      </w:r>
    </w:p>
    <w:p>
      <w:pPr>
        <w:ind w:left="2700" w:hanging="294"/>
        <w:spacing w:after="0" w:line="235" w:lineRule="auto"/>
        <w:tabs>
          <w:tab w:leader="none" w:pos="27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COF package type</w:t>
      </w:r>
    </w:p>
    <w:p>
      <w:pPr>
        <w:ind w:left="2700" w:hanging="294"/>
        <w:spacing w:after="0" w:line="235" w:lineRule="auto"/>
        <w:tabs>
          <w:tab w:leader="none" w:pos="27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EPI interface technology</w:t>
      </w:r>
    </w:p>
    <w:p>
      <w:pPr>
        <w:spacing w:after="0" w:line="140" w:lineRule="exact"/>
        <w:rPr>
          <w:sz w:val="20"/>
          <w:szCs w:val="20"/>
          <w:color w:val="auto"/>
        </w:rPr>
      </w:pPr>
    </w:p>
    <w:p>
      <w:pPr>
        <w:spacing w:after="0"/>
        <w:tabs>
          <w:tab w:leader="none" w:pos="2380" w:val="left"/>
          <w:tab w:leader="none" w:pos="2680" w:val="left"/>
          <w:tab w:leader="none" w:pos="6700" w:val="left"/>
          <w:tab w:leader="none" w:pos="7000" w:val="left"/>
        </w:tabs>
        <w:rPr>
          <w:sz w:val="20"/>
          <w:szCs w:val="20"/>
          <w:color w:val="auto"/>
        </w:rPr>
      </w:pPr>
      <w:r>
        <w:rPr>
          <w:rFonts w:ascii="Times New Roman" w:cs="Times New Roman" w:eastAsia="Times New Roman" w:hAnsi="Times New Roman"/>
          <w:sz w:val="20"/>
          <w:szCs w:val="20"/>
          <w:color w:val="auto"/>
        </w:rPr>
        <w:t>Micro LED Drivers*</w:t>
      </w:r>
      <w:r>
        <w:rPr>
          <w:sz w:val="20"/>
          <w:szCs w:val="20"/>
          <w:color w:val="auto"/>
        </w:rPr>
        <w:tab/>
      </w:r>
      <w:r>
        <w:rPr>
          <w:rFonts w:ascii="Symbol" w:cs="Symbol" w:eastAsia="Symbol" w:hAnsi="Symbol"/>
          <w:sz w:val="20"/>
          <w:szCs w:val="20"/>
          <w:color w:val="auto"/>
        </w:rPr>
        <w:t>•</w:t>
      </w:r>
      <w:r>
        <w:rPr>
          <w:sz w:val="20"/>
          <w:szCs w:val="20"/>
          <w:color w:val="auto"/>
        </w:rPr>
        <w:tab/>
      </w:r>
      <w:r>
        <w:rPr>
          <w:rFonts w:ascii="Times New Roman" w:cs="Times New Roman" w:eastAsia="Times New Roman" w:hAnsi="Times New Roman"/>
          <w:sz w:val="20"/>
          <w:szCs w:val="20"/>
          <w:color w:val="auto"/>
        </w:rPr>
        <w:t>552 output channels (3 Mux)</w:t>
      </w:r>
      <w:r>
        <w:rPr>
          <w:sz w:val="20"/>
          <w:szCs w:val="20"/>
          <w:color w:val="auto"/>
        </w:rPr>
        <w:tab/>
      </w:r>
      <w:r>
        <w:rPr>
          <w:rFonts w:ascii="Symbol" w:cs="Symbol" w:eastAsia="Symbol" w:hAnsi="Symbol"/>
          <w:sz w:val="20"/>
          <w:szCs w:val="20"/>
          <w:color w:val="auto"/>
        </w:rPr>
        <w:t>•</w:t>
      </w:r>
      <w:r>
        <w:rPr>
          <w:sz w:val="20"/>
          <w:szCs w:val="20"/>
          <w:color w:val="auto"/>
        </w:rPr>
        <w:tab/>
      </w:r>
      <w:r>
        <w:rPr>
          <w:rFonts w:ascii="Times New Roman" w:cs="Times New Roman" w:eastAsia="Times New Roman" w:hAnsi="Times New Roman"/>
          <w:sz w:val="20"/>
          <w:szCs w:val="20"/>
          <w:color w:val="auto"/>
        </w:rPr>
        <w:t>Micro LED TVs</w:t>
      </w:r>
    </w:p>
    <w:p>
      <w:pPr>
        <w:ind w:left="2700" w:hanging="294"/>
        <w:spacing w:after="0" w:line="235" w:lineRule="auto"/>
        <w:tabs>
          <w:tab w:leader="none" w:pos="2700" w:val="left"/>
        </w:tabs>
        <w:numPr>
          <w:ilvl w:val="1"/>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10 bit (1 billion colors)</w:t>
      </w:r>
    </w:p>
    <w:p>
      <w:pPr>
        <w:ind w:left="2700" w:hanging="294"/>
        <w:spacing w:after="0" w:line="235" w:lineRule="auto"/>
        <w:tabs>
          <w:tab w:leader="none" w:pos="2700" w:val="left"/>
        </w:tabs>
        <w:numPr>
          <w:ilvl w:val="1"/>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Output voltage: max 18V</w:t>
      </w:r>
    </w:p>
    <w:p>
      <w:pPr>
        <w:ind w:left="2700" w:hanging="294"/>
        <w:spacing w:after="0" w:line="235" w:lineRule="auto"/>
        <w:tabs>
          <w:tab w:leader="none" w:pos="2700" w:val="left"/>
        </w:tabs>
        <w:numPr>
          <w:ilvl w:val="1"/>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COF package type</w:t>
      </w:r>
    </w:p>
    <w:p>
      <w:pPr>
        <w:ind w:left="2700" w:hanging="294"/>
        <w:spacing w:after="0" w:line="235" w:lineRule="auto"/>
        <w:tabs>
          <w:tab w:leader="none" w:pos="2700" w:val="left"/>
        </w:tabs>
        <w:numPr>
          <w:ilvl w:val="1"/>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USI interface technology</w:t>
      </w:r>
    </w:p>
    <w:p>
      <w:pPr>
        <w:spacing w:after="0" w:line="200" w:lineRule="exact"/>
        <w:rPr>
          <w:rFonts w:ascii="Symbol" w:cs="Symbol" w:eastAsia="Symbol" w:hAnsi="Symbol"/>
          <w:sz w:val="20"/>
          <w:szCs w:val="20"/>
          <w:color w:val="auto"/>
        </w:rPr>
      </w:pPr>
    </w:p>
    <w:p>
      <w:pPr>
        <w:spacing w:after="0" w:line="253" w:lineRule="exact"/>
        <w:rPr>
          <w:rFonts w:ascii="Symbol" w:cs="Symbol" w:eastAsia="Symbol" w:hAnsi="Symbol"/>
          <w:sz w:val="20"/>
          <w:szCs w:val="20"/>
          <w:color w:val="auto"/>
        </w:rPr>
      </w:pPr>
    </w:p>
    <w:p>
      <w:pPr>
        <w:spacing w:after="0"/>
        <w:rPr>
          <w:rFonts w:ascii="Symbol" w:cs="Symbol" w:eastAsia="Symbol" w:hAnsi="Symbol"/>
          <w:sz w:val="20"/>
          <w:szCs w:val="20"/>
          <w:color w:val="auto"/>
        </w:rPr>
      </w:pPr>
      <w:r>
        <w:rPr>
          <w:rFonts w:ascii="Times New Roman" w:cs="Times New Roman" w:eastAsia="Times New Roman" w:hAnsi="Times New Roman"/>
          <w:sz w:val="16"/>
          <w:szCs w:val="16"/>
          <w:color w:val="auto"/>
        </w:rPr>
        <w:t>*In customer qualification stage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-182880</wp:posOffset>
                </wp:positionV>
                <wp:extent cx="9144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4.3999pt" to="72.3pt,-14.3999pt" o:allowincell="f" strokecolor="#000000" strokeweight="0.5pt"/>
            </w:pict>
          </mc:Fallback>
        </mc:AlternateContent>
      </w:r>
    </w:p>
    <w:p>
      <w:pPr>
        <w:spacing w:after="0" w:line="102" w:lineRule="exact"/>
        <w:rPr>
          <w:sz w:val="20"/>
          <w:szCs w:val="20"/>
          <w:color w:val="auto"/>
        </w:rPr>
      </w:pPr>
    </w:p>
    <w:p>
      <w:pPr>
        <w:ind w:right="100" w:firstLine="40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Mobile Display Solutions. </w:t>
      </w:r>
      <w:r>
        <w:rPr>
          <w:rFonts w:ascii="Times New Roman" w:cs="Times New Roman" w:eastAsia="Times New Roman" w:hAnsi="Times New Roman"/>
          <w:sz w:val="20"/>
          <w:szCs w:val="20"/>
          <w:color w:val="auto"/>
        </w:rPr>
        <w:t>Our mobile display solutions incorporate the industry’s most advanced display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technologies, such as OLED and LTPS, as well as high-volume technologies such as a-Si TFT. Our mobile display products offer specialized capabilities, including high speed serial interfaces, such as mobile display digital interface (MDDI), MIPI, reduced swing differential signaling interface (RSDS) and logic-based OTP memory. We focus extensively on reducing the die size of our mobile display drivers and other solutions products to reduce costs. For example, we have implemented several solutions to reduce die size in mobile display drivers, such as optimizing design schemes and design rules and applying specific technologies that we have developed internally. Further, we are building a distinctive intellectual property portfolio that allows us to provide features that reduce power consumption, such as CABC and ACL. This intellectual property portfolio will also support our power management product development initiatives, as we leverage our system level understanding of power efficiency. Our OLED driver ICs can support various configurations such as high resolution from FHD+(2,880x1,284) to QHD+(3,360x1,440), wide aspect ratio from 16:9 to 21:9 and rigid and flexible OLED displays. In the transition to, and adoption of, 5G, fast responses and high frame rates such as 90Hz, 120Hz and 144Hz are becoming essential product offerings. To meet this new and evolving demand, we have developed and mass produced our OLED display driver IC, which supports 90Hz/120Hz/144Hz high frame rates.</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80"/>
          </w:cols>
          <w:pgMar w:left="1420" w:top="899" w:right="1440" w:bottom="182" w:gutter="0" w:footer="0" w:header="0"/>
          <w:type w:val="continuous"/>
        </w:sectPr>
      </w:pPr>
    </w:p>
    <w:bookmarkStart w:id="10" w:name="page11"/>
    <w:bookmarkEnd w:id="10"/>
    <w:p>
      <w:pPr>
        <w:ind w:right="540" w:firstLine="400"/>
        <w:spacing w:after="0" w:line="250" w:lineRule="auto"/>
        <w:rPr>
          <w:sz w:val="20"/>
          <w:szCs w:val="20"/>
          <w:color w:val="auto"/>
        </w:rPr>
      </w:pPr>
      <w:r>
        <w:rPr>
          <w:rFonts w:ascii="Times New Roman" w:cs="Times New Roman" w:eastAsia="Times New Roman" w:hAnsi="Times New Roman"/>
          <w:sz w:val="20"/>
          <w:szCs w:val="20"/>
          <w:color w:val="auto"/>
        </w:rPr>
        <w:t>The following table summarizes the features of our products, both in mass production and in customer qualification, which is the final stage of product development, for mobile displays: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b w:val="1"/>
                <w:bCs w:val="1"/>
                <w:color w:val="auto"/>
              </w:rPr>
              <w:t>Key Features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b w:val="1"/>
                <w:bCs w:val="1"/>
                <w:color w:val="auto"/>
              </w:rPr>
              <w:t>Applications</w:t>
            </w:r>
          </w:p>
        </w:tc>
      </w:tr>
      <w:tr>
        <w:trPr>
          <w:trHeight w:val="29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OLED</w:t>
            </w:r>
          </w:p>
        </w:tc>
        <w:tc>
          <w:tcPr>
            <w:tcW w:w="420" w:type="dxa"/>
            <w:vAlign w:val="bottom"/>
            <w:gridSpan w:val="2"/>
          </w:tcPr>
          <w:p>
            <w:pPr>
              <w:ind w:left="240"/>
              <w:spacing w:after="0"/>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Resolutions of HD720, WXGA,</w:t>
            </w:r>
          </w:p>
        </w:tc>
        <w:tc>
          <w:tcPr>
            <w:tcW w:w="440" w:type="dxa"/>
            <w:vAlign w:val="bottom"/>
            <w:gridSpan w:val="2"/>
          </w:tcPr>
          <w:p>
            <w:pPr>
              <w:ind w:left="240"/>
              <w:spacing w:after="0"/>
              <w:rPr>
                <w:sz w:val="20"/>
                <w:szCs w:val="20"/>
                <w:color w:val="auto"/>
              </w:rPr>
            </w:pPr>
            <w:r>
              <w:rPr>
                <w:rFonts w:ascii="Symbol" w:cs="Symbol" w:eastAsia="Symbol" w:hAnsi="Symbol"/>
                <w:sz w:val="20"/>
                <w:szCs w:val="20"/>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Smartphones</w:t>
            </w:r>
          </w:p>
        </w:tc>
      </w:tr>
      <w:tr>
        <w:trPr>
          <w:trHeight w:val="240"/>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FHD, FHD+, QHD and QHD+</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Game consoles</w:t>
            </w:r>
          </w:p>
        </w:tc>
      </w:tr>
      <w:tr>
        <w:trPr>
          <w:trHeight w:val="240"/>
        </w:trPr>
        <w:tc>
          <w:tcPr>
            <w:tcW w:w="240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Aspect ratio from 16:9 to 21:9</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Digital still cameras</w:t>
            </w:r>
          </w:p>
        </w:tc>
      </w:tr>
      <w:tr>
        <w:trPr>
          <w:trHeight w:val="240"/>
        </w:trPr>
        <w:tc>
          <w:tcPr>
            <w:tcW w:w="240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Color depth of 1 billion</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Tablet PCs</w:t>
            </w:r>
          </w:p>
        </w:tc>
      </w:tr>
      <w:tr>
        <w:trPr>
          <w:trHeight w:val="240"/>
        </w:trPr>
        <w:tc>
          <w:tcPr>
            <w:tcW w:w="240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MIPI, eRVDS interface</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Virtual reality headsets</w:t>
            </w:r>
          </w:p>
        </w:tc>
      </w:tr>
      <w:tr>
        <w:trPr>
          <w:trHeight w:val="240"/>
        </w:trPr>
        <w:tc>
          <w:tcPr>
            <w:tcW w:w="240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Logic-based OTP</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Automotive</w:t>
            </w:r>
          </w:p>
        </w:tc>
      </w:tr>
      <w:tr>
        <w:trPr>
          <w:trHeight w:val="240"/>
        </w:trPr>
        <w:tc>
          <w:tcPr>
            <w:tcW w:w="240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Image enhancement IP</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40"/>
        </w:trPr>
        <w:tc>
          <w:tcPr>
            <w:tcW w:w="2400" w:type="dxa"/>
            <w:vAlign w:val="bottom"/>
          </w:tcPr>
          <w:p>
            <w:pPr>
              <w:spacing w:after="0"/>
              <w:rPr>
                <w:sz w:val="20"/>
                <w:szCs w:val="20"/>
                <w:color w:val="auto"/>
              </w:rPr>
            </w:pPr>
          </w:p>
        </w:tc>
        <w:tc>
          <w:tcPr>
            <w:tcW w:w="360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Display data compression IP</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51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LTPS</w:t>
            </w:r>
          </w:p>
        </w:tc>
        <w:tc>
          <w:tcPr>
            <w:tcW w:w="420" w:type="dxa"/>
            <w:vAlign w:val="bottom"/>
            <w:gridSpan w:val="2"/>
          </w:tcPr>
          <w:p>
            <w:pPr>
              <w:ind w:left="240"/>
              <w:spacing w:after="0"/>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Resolutions of VGA, WSVGA,</w:t>
            </w:r>
          </w:p>
        </w:tc>
        <w:tc>
          <w:tcPr>
            <w:tcW w:w="440" w:type="dxa"/>
            <w:vAlign w:val="bottom"/>
            <w:gridSpan w:val="2"/>
          </w:tcPr>
          <w:p>
            <w:pPr>
              <w:ind w:left="240"/>
              <w:spacing w:after="0"/>
              <w:rPr>
                <w:sz w:val="20"/>
                <w:szCs w:val="20"/>
                <w:color w:val="auto"/>
              </w:rPr>
            </w:pPr>
            <w:r>
              <w:rPr>
                <w:rFonts w:ascii="Symbol" w:cs="Symbol" w:eastAsia="Symbol" w:hAnsi="Symbol"/>
                <w:sz w:val="20"/>
                <w:szCs w:val="20"/>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Smartphones</w:t>
            </w:r>
          </w:p>
        </w:tc>
      </w:tr>
      <w:tr>
        <w:trPr>
          <w:trHeight w:val="240"/>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WVGA and DVGA</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Digital still cameras</w:t>
            </w:r>
          </w:p>
        </w:tc>
      </w:tr>
      <w:tr>
        <w:trPr>
          <w:trHeight w:val="240"/>
        </w:trPr>
        <w:tc>
          <w:tcPr>
            <w:tcW w:w="2400" w:type="dxa"/>
            <w:vAlign w:val="bottom"/>
          </w:tcPr>
          <w:p>
            <w:pPr>
              <w:spacing w:after="0"/>
              <w:rPr>
                <w:sz w:val="20"/>
                <w:szCs w:val="20"/>
                <w:color w:val="auto"/>
              </w:rPr>
            </w:pPr>
          </w:p>
        </w:tc>
        <w:tc>
          <w:tcPr>
            <w:tcW w:w="360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Color depth of 16 million</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40"/>
        </w:trPr>
        <w:tc>
          <w:tcPr>
            <w:tcW w:w="240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MDDI, MIPI interface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40"/>
        </w:trPr>
        <w:tc>
          <w:tcPr>
            <w:tcW w:w="2400" w:type="dxa"/>
            <w:vAlign w:val="bottom"/>
          </w:tcPr>
          <w:p>
            <w:pPr>
              <w:spacing w:after="0"/>
              <w:rPr>
                <w:sz w:val="20"/>
                <w:szCs w:val="20"/>
                <w:color w:val="auto"/>
              </w:rPr>
            </w:pPr>
          </w:p>
        </w:tc>
        <w:tc>
          <w:tcPr>
            <w:tcW w:w="360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Logic-based OTP</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40"/>
        </w:trPr>
        <w:tc>
          <w:tcPr>
            <w:tcW w:w="240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Separated gamma control</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51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a-Si TFT</w:t>
            </w:r>
          </w:p>
        </w:tc>
        <w:tc>
          <w:tcPr>
            <w:tcW w:w="420" w:type="dxa"/>
            <w:vAlign w:val="bottom"/>
            <w:gridSpan w:val="2"/>
          </w:tcPr>
          <w:p>
            <w:pPr>
              <w:ind w:left="240"/>
              <w:spacing w:after="0"/>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Resolutions of WQVGA and HVGA</w:t>
            </w:r>
          </w:p>
        </w:tc>
        <w:tc>
          <w:tcPr>
            <w:tcW w:w="440" w:type="dxa"/>
            <w:vAlign w:val="bottom"/>
            <w:gridSpan w:val="2"/>
          </w:tcPr>
          <w:p>
            <w:pPr>
              <w:ind w:left="240"/>
              <w:spacing w:after="0"/>
              <w:rPr>
                <w:sz w:val="20"/>
                <w:szCs w:val="20"/>
                <w:color w:val="auto"/>
              </w:rPr>
            </w:pPr>
            <w:r>
              <w:rPr>
                <w:rFonts w:ascii="Symbol" w:cs="Symbol" w:eastAsia="Symbol" w:hAnsi="Symbol"/>
                <w:sz w:val="20"/>
                <w:szCs w:val="20"/>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Mobile phones</w:t>
            </w:r>
          </w:p>
        </w:tc>
      </w:tr>
      <w:tr>
        <w:trPr>
          <w:trHeight w:val="240"/>
        </w:trPr>
        <w:tc>
          <w:tcPr>
            <w:tcW w:w="240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Color depth of 16 million</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Digital still cameras</w:t>
            </w:r>
          </w:p>
        </w:tc>
      </w:tr>
      <w:tr>
        <w:trPr>
          <w:trHeight w:val="240"/>
        </w:trPr>
        <w:tc>
          <w:tcPr>
            <w:tcW w:w="240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RSDS, MDDI, MIPI interface</w:t>
            </w: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Automotive</w:t>
            </w:r>
          </w:p>
        </w:tc>
      </w:tr>
      <w:tr>
        <w:trPr>
          <w:trHeight w:val="240"/>
        </w:trPr>
        <w:tc>
          <w:tcPr>
            <w:tcW w:w="240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CABC</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40"/>
        </w:trPr>
        <w:tc>
          <w:tcPr>
            <w:tcW w:w="240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Separated gamma control</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Power Solutions</w:t>
      </w:r>
    </w:p>
    <w:p>
      <w:pPr>
        <w:spacing w:after="0" w:line="130" w:lineRule="exact"/>
        <w:rPr>
          <w:sz w:val="20"/>
          <w:szCs w:val="20"/>
          <w:color w:val="auto"/>
        </w:rPr>
      </w:pPr>
    </w:p>
    <w:p>
      <w:pPr>
        <w:ind w:right="200" w:firstLine="400"/>
        <w:spacing w:after="0" w:line="258" w:lineRule="auto"/>
        <w:rPr>
          <w:sz w:val="20"/>
          <w:szCs w:val="20"/>
          <w:color w:val="auto"/>
        </w:rPr>
      </w:pPr>
      <w:r>
        <w:rPr>
          <w:rFonts w:ascii="Times New Roman" w:cs="Times New Roman" w:eastAsia="Times New Roman" w:hAnsi="Times New Roman"/>
          <w:sz w:val="20"/>
          <w:szCs w:val="20"/>
          <w:color w:val="auto"/>
        </w:rPr>
        <w:t>We develop, manufacture and market power management solutions for a wide range of end-market customers. The products include MOSFETs, IGBTs, AC-DC/DC-DC converters, LED drivers, regulators, power management integrated circuits (PMICs) for a range of devices, including LCD, LED, and UHD televisions, digital signage, smartphones, mobile phones, wearable devices, desktop PCs, notebooks, tablet PCs, other consumer electronics, consumer appliances, automotive, and industrial applications such as power suppliers, e-bikes, photovoltaic inverters, LED lighting and motor drives.</w:t>
      </w:r>
    </w:p>
    <w:p>
      <w:pPr>
        <w:spacing w:after="0" w:line="121" w:lineRule="exact"/>
        <w:rPr>
          <w:sz w:val="20"/>
          <w:szCs w:val="20"/>
          <w:color w:val="auto"/>
        </w:rPr>
      </w:pPr>
    </w:p>
    <w:p>
      <w:pPr>
        <w:ind w:left="400" w:right="420" w:hanging="394"/>
        <w:spacing w:after="0" w:line="235" w:lineRule="auto"/>
        <w:tabs>
          <w:tab w:leader="none" w:pos="4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MOSFETs. </w:t>
      </w:r>
      <w:r>
        <w:rPr>
          <w:rFonts w:ascii="Times New Roman" w:cs="Times New Roman" w:eastAsia="Times New Roman" w:hAnsi="Times New Roman"/>
          <w:sz w:val="20"/>
          <w:szCs w:val="20"/>
          <w:color w:val="auto"/>
        </w:rPr>
        <w:t>Our MOSFETs include low-voltage from 12V to 30V, medium-voltage from 40V to 200V,</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high-voltage planar MOSFETs, 200V through 650V, and super junction MOSFETs, 500V through 900V.</w:t>
      </w:r>
    </w:p>
    <w:p>
      <w:pPr>
        <w:spacing w:after="0" w:line="260" w:lineRule="exact"/>
        <w:rPr>
          <w:rFonts w:ascii="Symbol" w:cs="Symbol" w:eastAsia="Symbol" w:hAnsi="Symbol"/>
          <w:sz w:val="20"/>
          <w:szCs w:val="20"/>
          <w:color w:val="auto"/>
        </w:rPr>
      </w:pPr>
    </w:p>
    <w:p>
      <w:pPr>
        <w:ind w:left="400" w:right="40"/>
        <w:spacing w:after="0" w:line="248" w:lineRule="auto"/>
        <w:rPr>
          <w:rFonts w:ascii="Symbol" w:cs="Symbol" w:eastAsia="Symbol" w:hAnsi="Symbol"/>
          <w:sz w:val="20"/>
          <w:szCs w:val="20"/>
          <w:color w:val="auto"/>
        </w:rPr>
      </w:pPr>
      <w:r>
        <w:rPr>
          <w:rFonts w:ascii="Times New Roman" w:cs="Times New Roman" w:eastAsia="Times New Roman" w:hAnsi="Times New Roman"/>
          <w:sz w:val="20"/>
          <w:szCs w:val="20"/>
          <w:color w:val="auto"/>
        </w:rPr>
        <w:t>MOSFETs are used in applications to switch, shape or transfer electricity under varying power requirements. The key application segments are smartphones, mobile phones, wearable devices, LCD, LED, and UHD televisions, desktop PCs, notebooks, tablet PCs, servers, lighting and power supplies for consumer electronics automotive (electric vehicles) and industrial equipment. MOSFETs allow electronics manufacturers to achieve specific design goals of high efficiency and low standby power consumption. For example, computing solutions focus on delivering efficient controllers and MOSFETs for power management in VCORE, DDR and chipsets for audio, video and graphics processing systems.</w:t>
      </w:r>
    </w:p>
    <w:p>
      <w:pPr>
        <w:spacing w:after="0" w:line="130" w:lineRule="exact"/>
        <w:rPr>
          <w:rFonts w:ascii="Symbol" w:cs="Symbol" w:eastAsia="Symbol" w:hAnsi="Symbol"/>
          <w:sz w:val="20"/>
          <w:szCs w:val="20"/>
          <w:color w:val="auto"/>
        </w:rPr>
      </w:pPr>
    </w:p>
    <w:p>
      <w:pPr>
        <w:jc w:val="both"/>
        <w:ind w:left="400" w:right="40" w:hanging="394"/>
        <w:spacing w:after="0"/>
        <w:tabs>
          <w:tab w:leader="none" w:pos="4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IGBTs. </w:t>
      </w:r>
      <w:r>
        <w:rPr>
          <w:rFonts w:ascii="Times New Roman" w:cs="Times New Roman" w:eastAsia="Times New Roman" w:hAnsi="Times New Roman"/>
          <w:sz w:val="20"/>
          <w:szCs w:val="20"/>
          <w:color w:val="auto"/>
        </w:rPr>
        <w:t>Our IGBTs include 650V to 1200V field stop trench IGBTs. IGBTs are used in automotive and high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power industrial applications, such as UPSs, power supplies, motor drives, solar inverters, welding machines and consumer appliances.</w:t>
      </w:r>
    </w:p>
    <w:p>
      <w:pPr>
        <w:spacing w:after="0" w:line="135" w:lineRule="exact"/>
        <w:rPr>
          <w:rFonts w:ascii="Symbol" w:cs="Symbol" w:eastAsia="Symbol" w:hAnsi="Symbol"/>
          <w:sz w:val="20"/>
          <w:szCs w:val="20"/>
          <w:color w:val="auto"/>
        </w:rPr>
      </w:pPr>
    </w:p>
    <w:p>
      <w:pPr>
        <w:ind w:left="400" w:right="240" w:hanging="394"/>
        <w:spacing w:after="0" w:line="243" w:lineRule="auto"/>
        <w:tabs>
          <w:tab w:leader="none" w:pos="4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AC-DC/DC-DC Converters. </w:t>
      </w:r>
      <w:r>
        <w:rPr>
          <w:rFonts w:ascii="Times New Roman" w:cs="Times New Roman" w:eastAsia="Times New Roman" w:hAnsi="Times New Roman"/>
          <w:sz w:val="20"/>
          <w:szCs w:val="20"/>
          <w:color w:val="auto"/>
        </w:rPr>
        <w:t>We offer AC-DC/DC-DC converters targeting mobile applications and high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power applications like LCD, LED, and UHD televisions, notebooks, smartphones, mobile phones, set-top boxes and display modules. We expect our AC-DC/DC-DC converters will meet customer’s green power requirements by featuring wide input voltage ranges, high efficiency and small size.</w:t>
      </w:r>
    </w:p>
    <w:p>
      <w:pPr>
        <w:spacing w:after="0" w:line="133" w:lineRule="exact"/>
        <w:rPr>
          <w:rFonts w:ascii="Symbol" w:cs="Symbol" w:eastAsia="Symbol" w:hAnsi="Symbol"/>
          <w:sz w:val="20"/>
          <w:szCs w:val="20"/>
          <w:color w:val="auto"/>
        </w:rPr>
      </w:pPr>
    </w:p>
    <w:p>
      <w:pPr>
        <w:ind w:left="400" w:right="40" w:hanging="394"/>
        <w:spacing w:after="0" w:line="235" w:lineRule="auto"/>
        <w:tabs>
          <w:tab w:leader="none" w:pos="4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LED Drivers. </w:t>
      </w:r>
      <w:r>
        <w:rPr>
          <w:rFonts w:ascii="Times New Roman" w:cs="Times New Roman" w:eastAsia="Times New Roman" w:hAnsi="Times New Roman"/>
          <w:sz w:val="20"/>
          <w:szCs w:val="20"/>
          <w:color w:val="auto"/>
        </w:rPr>
        <w:t>LED backlighting drivers serve the fast-growing LCD and LED panel backlighting market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LCD and LED televisions, LCD monitors, digital signage, notebooks, smartphones and tablet PCs. Our</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80"/>
          </w:cols>
          <w:pgMar w:left="1420" w:top="899" w:right="1440" w:bottom="182" w:gutter="0" w:footer="0" w:header="0"/>
          <w:type w:val="continuous"/>
        </w:sectPr>
      </w:pPr>
    </w:p>
    <w:bookmarkStart w:id="11" w:name="page12"/>
    <w:bookmarkEnd w:id="11"/>
    <w:p>
      <w:pPr>
        <w:ind w:left="400" w:right="300"/>
        <w:spacing w:after="0" w:line="245" w:lineRule="auto"/>
        <w:rPr>
          <w:sz w:val="20"/>
          <w:szCs w:val="20"/>
          <w:color w:val="auto"/>
        </w:rPr>
      </w:pPr>
      <w:r>
        <w:rPr>
          <w:rFonts w:ascii="Times New Roman" w:cs="Times New Roman" w:eastAsia="Times New Roman" w:hAnsi="Times New Roman"/>
          <w:sz w:val="20"/>
          <w:szCs w:val="20"/>
          <w:color w:val="auto"/>
        </w:rPr>
        <w:t>products are designed to provide high efficiency and wide input voltage range, as well as pulse width modulation (PWM) dimming for accurate white LED dimming control. LED lighting drivers have a wide input voltage range applicable to incandescent bulb and fluorescent lamp replacement.</w:t>
      </w:r>
    </w:p>
    <w:p>
      <w:pPr>
        <w:spacing w:after="0" w:line="130" w:lineRule="exact"/>
        <w:rPr>
          <w:sz w:val="20"/>
          <w:szCs w:val="20"/>
          <w:color w:val="auto"/>
        </w:rPr>
      </w:pPr>
    </w:p>
    <w:p>
      <w:pPr>
        <w:ind w:left="400" w:right="600" w:hanging="394"/>
        <w:spacing w:after="0" w:line="235" w:lineRule="auto"/>
        <w:tabs>
          <w:tab w:leader="none" w:pos="40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Regulators. </w:t>
      </w:r>
      <w:r>
        <w:rPr>
          <w:rFonts w:ascii="Times New Roman" w:cs="Times New Roman" w:eastAsia="Times New Roman" w:hAnsi="Times New Roman"/>
          <w:sz w:val="20"/>
          <w:szCs w:val="20"/>
          <w:color w:val="auto"/>
        </w:rPr>
        <w:t>We also provide analog regulators for mobile, computing and consumer applications.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products are designed for high efficiency and low power consumption in mobile applications.</w:t>
      </w:r>
    </w:p>
    <w:p>
      <w:pPr>
        <w:spacing w:after="0" w:line="134" w:lineRule="exact"/>
        <w:rPr>
          <w:rFonts w:ascii="Symbol" w:cs="Symbol" w:eastAsia="Symbol" w:hAnsi="Symbol"/>
          <w:sz w:val="20"/>
          <w:szCs w:val="20"/>
          <w:color w:val="auto"/>
        </w:rPr>
      </w:pPr>
    </w:p>
    <w:p>
      <w:pPr>
        <w:ind w:left="400" w:right="160" w:hanging="394"/>
        <w:spacing w:after="0"/>
        <w:tabs>
          <w:tab w:leader="none" w:pos="40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SSD PMICs. </w:t>
      </w:r>
      <w:r>
        <w:rPr>
          <w:rFonts w:ascii="Times New Roman" w:cs="Times New Roman" w:eastAsia="Times New Roman" w:hAnsi="Times New Roman"/>
          <w:sz w:val="20"/>
          <w:szCs w:val="20"/>
          <w:color w:val="auto"/>
        </w:rPr>
        <w:t>We also provide solid state drive power management integrated circuits (SSD PMICs)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computing segment. Our product is designed for high frequency switching, high efficiency and pulse frequency modulation (PFM) function to reduce power consumption in low load converters.</w:t>
      </w:r>
    </w:p>
    <w:p>
      <w:pPr>
        <w:spacing w:after="0" w:line="135" w:lineRule="exact"/>
        <w:rPr>
          <w:rFonts w:ascii="Symbol" w:cs="Symbol" w:eastAsia="Symbol" w:hAnsi="Symbol"/>
          <w:sz w:val="20"/>
          <w:szCs w:val="20"/>
          <w:color w:val="auto"/>
        </w:rPr>
      </w:pPr>
    </w:p>
    <w:p>
      <w:pPr>
        <w:ind w:left="400" w:right="520" w:hanging="394"/>
        <w:spacing w:after="0" w:line="243" w:lineRule="auto"/>
        <w:tabs>
          <w:tab w:leader="none" w:pos="40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Logic PMICs. </w:t>
      </w:r>
      <w:r>
        <w:rPr>
          <w:rFonts w:ascii="Times New Roman" w:cs="Times New Roman" w:eastAsia="Times New Roman" w:hAnsi="Times New Roman"/>
          <w:sz w:val="20"/>
          <w:szCs w:val="20"/>
          <w:color w:val="auto"/>
        </w:rPr>
        <w:t>We also provide logic power management integrated circuits (PMICs) for organic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light-emitting diode (OLED) display panel. Our PMICs provide optimized power to source driver, gate driver and timing controller (T-CON) of OLED display panel with multi-channel power block (boost converter, buck converter, Op-Amps and positive/negative LDOs.)</w:t>
      </w:r>
    </w:p>
    <w:p>
      <w:pPr>
        <w:spacing w:after="0" w:line="149" w:lineRule="exact"/>
        <w:rPr>
          <w:sz w:val="20"/>
          <w:szCs w:val="20"/>
          <w:color w:val="auto"/>
        </w:rPr>
      </w:pPr>
    </w:p>
    <w:p>
      <w:pPr>
        <w:ind w:right="60" w:firstLine="400"/>
        <w:spacing w:after="0" w:line="257" w:lineRule="auto"/>
        <w:rPr>
          <w:sz w:val="20"/>
          <w:szCs w:val="20"/>
          <w:color w:val="auto"/>
        </w:rPr>
      </w:pPr>
      <w:r>
        <w:rPr>
          <w:rFonts w:ascii="Times New Roman" w:cs="Times New Roman" w:eastAsia="Times New Roman" w:hAnsi="Times New Roman"/>
          <w:sz w:val="20"/>
          <w:szCs w:val="20"/>
          <w:color w:val="auto"/>
        </w:rPr>
        <w:t>Our power management solutions enable customers to increase system stability and improve heat dissipation and energy use, resulting in cost savings for our customers and consumers, as well as environmental benefits. Our in-house process technology capabilities and eight-inch wafer production lines increase efficiency and contribute to the competitiveness of our products.</w:t>
      </w:r>
    </w:p>
    <w:p>
      <w:pPr>
        <w:spacing w:after="0" w:line="135" w:lineRule="exact"/>
        <w:rPr>
          <w:sz w:val="20"/>
          <w:szCs w:val="20"/>
          <w:color w:val="auto"/>
        </w:rPr>
      </w:pPr>
    </w:p>
    <w:p>
      <w:pPr>
        <w:ind w:right="540" w:firstLine="400"/>
        <w:spacing w:after="0" w:line="250" w:lineRule="auto"/>
        <w:rPr>
          <w:sz w:val="20"/>
          <w:szCs w:val="20"/>
          <w:color w:val="auto"/>
        </w:rPr>
      </w:pPr>
      <w:r>
        <w:rPr>
          <w:rFonts w:ascii="Times New Roman" w:cs="Times New Roman" w:eastAsia="Times New Roman" w:hAnsi="Times New Roman"/>
          <w:sz w:val="20"/>
          <w:szCs w:val="20"/>
          <w:color w:val="auto"/>
        </w:rPr>
        <w:t>The following table summarizes the features of our products, both in mass production and in customer qualification, which is the final stage of product development: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Key Features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b w:val="1"/>
                <w:bCs w:val="1"/>
                <w:color w:val="auto"/>
              </w:rPr>
              <w:t>Applications</w:t>
            </w:r>
          </w:p>
        </w:tc>
      </w:tr>
      <w:tr>
        <w:trPr>
          <w:trHeight w:val="280"/>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Low Voltage MOSFET</w:t>
            </w:r>
          </w:p>
        </w:tc>
        <w:tc>
          <w:tcPr>
            <w:tcW w:w="420" w:type="dxa"/>
            <w:vAlign w:val="bottom"/>
            <w:gridSpan w:val="2"/>
          </w:tcPr>
          <w:p>
            <w:pPr>
              <w:ind w:left="240"/>
              <w:spacing w:after="0" w:line="238" w:lineRule="exact"/>
              <w:rPr>
                <w:sz w:val="20"/>
                <w:szCs w:val="20"/>
                <w:color w:val="auto"/>
              </w:rPr>
            </w:pPr>
            <w:r>
              <w:rPr>
                <w:rFonts w:ascii="Symbol" w:cs="Symbol" w:eastAsia="Symbol" w:hAnsi="Symbol"/>
                <w:sz w:val="20"/>
                <w:szCs w:val="20"/>
                <w:color w:val="auto"/>
              </w:rPr>
              <w:t>•</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Voltage options of 12V-30V</w:t>
            </w:r>
          </w:p>
        </w:tc>
        <w:tc>
          <w:tcPr>
            <w:tcW w:w="420" w:type="dxa"/>
            <w:vAlign w:val="bottom"/>
            <w:gridSpan w:val="2"/>
          </w:tcPr>
          <w:p>
            <w:pPr>
              <w:ind w:left="240"/>
              <w:spacing w:after="0" w:line="23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Smartphones, mobile phones, and</w:t>
            </w:r>
          </w:p>
        </w:tc>
      </w:tr>
      <w:tr>
        <w:trPr>
          <w:trHeight w:val="240"/>
        </w:trPr>
        <w:tc>
          <w:tcPr>
            <w:tcW w:w="192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Advanced Trench MOSFET Process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wearable devices</w:t>
            </w:r>
          </w:p>
        </w:tc>
      </w:tr>
      <w:tr>
        <w:trPr>
          <w:trHeight w:val="240"/>
        </w:trPr>
        <w:tc>
          <w:tcPr>
            <w:tcW w:w="192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High cell density</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Tablet PCs, Notebooks</w:t>
            </w:r>
          </w:p>
        </w:tc>
      </w:tr>
      <w:tr>
        <w:trPr>
          <w:trHeight w:val="240"/>
        </w:trPr>
        <w:tc>
          <w:tcPr>
            <w:tcW w:w="1920" w:type="dxa"/>
            <w:vAlign w:val="bottom"/>
          </w:tcPr>
          <w:p>
            <w:pPr>
              <w:spacing w:after="0"/>
              <w:rPr>
                <w:sz w:val="20"/>
                <w:szCs w:val="20"/>
                <w:color w:val="auto"/>
              </w:rPr>
            </w:pPr>
          </w:p>
        </w:tc>
        <w:tc>
          <w:tcPr>
            <w:tcW w:w="384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Advanced packages to enable reduction</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Desktop PCs, Servers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 PCB mounting area</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LCD/LED TVs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Industrial applications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Automotive*</w:t>
            </w: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Medium Voltage</w:t>
            </w:r>
          </w:p>
        </w:tc>
        <w:tc>
          <w:tcPr>
            <w:tcW w:w="420" w:type="dxa"/>
            <w:vAlign w:val="bottom"/>
            <w:gridSpan w:val="2"/>
          </w:tcPr>
          <w:p>
            <w:pPr>
              <w:ind w:left="240"/>
              <w:spacing w:after="0" w:line="203" w:lineRule="exact"/>
              <w:rPr>
                <w:sz w:val="20"/>
                <w:szCs w:val="20"/>
                <w:color w:val="auto"/>
              </w:rPr>
            </w:pPr>
            <w:r>
              <w:rPr>
                <w:rFonts w:ascii="Symbol" w:cs="Symbol" w:eastAsia="Symbol" w:hAnsi="Symbol"/>
                <w:sz w:val="20"/>
                <w:szCs w:val="20"/>
                <w:color w:val="auto"/>
              </w:rPr>
              <w:t>•</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Voltage options of 40V-200V</w:t>
            </w:r>
          </w:p>
        </w:tc>
        <w:tc>
          <w:tcPr>
            <w:tcW w:w="420" w:type="dxa"/>
            <w:vAlign w:val="bottom"/>
            <w:gridSpan w:val="2"/>
          </w:tcPr>
          <w:p>
            <w:pPr>
              <w:ind w:left="240"/>
              <w:spacing w:after="0" w:line="203"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e-Bikes and Motor controls</w:t>
            </w:r>
          </w:p>
        </w:tc>
      </w:tr>
      <w:tr>
        <w:trPr>
          <w:trHeight w:val="240"/>
        </w:trPr>
        <w:tc>
          <w:tcPr>
            <w:tcW w:w="1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MOSFET</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Advanced Trench MOSFET Process</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Battery Management Systems</w:t>
            </w:r>
          </w:p>
        </w:tc>
      </w:tr>
      <w:tr>
        <w:trPr>
          <w:trHeight w:val="240"/>
        </w:trPr>
        <w:tc>
          <w:tcPr>
            <w:tcW w:w="192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High cell density</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Power tools and Servers</w:t>
            </w:r>
          </w:p>
        </w:tc>
      </w:tr>
      <w:tr>
        <w:trPr>
          <w:trHeight w:val="240"/>
        </w:trPr>
        <w:tc>
          <w:tcPr>
            <w:tcW w:w="192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High system efficiency</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Energy Storage System</w:t>
            </w:r>
          </w:p>
        </w:tc>
      </w:tr>
      <w:tr>
        <w:trPr>
          <w:trHeight w:val="240"/>
        </w:trPr>
        <w:tc>
          <w:tcPr>
            <w:tcW w:w="1920" w:type="dxa"/>
            <w:vAlign w:val="bottom"/>
          </w:tcPr>
          <w:p>
            <w:pPr>
              <w:spacing w:after="0"/>
              <w:rPr>
                <w:sz w:val="20"/>
                <w:szCs w:val="20"/>
                <w:color w:val="auto"/>
              </w:rPr>
            </w:pPr>
          </w:p>
        </w:tc>
        <w:tc>
          <w:tcPr>
            <w:tcW w:w="384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Advanced packages to enable reduction</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computing applications (Tablet</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 PCB mounting area</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PCs, Notebooks, Desktops)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Consumer applications (TV)</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Industrial applications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Automotive</w:t>
            </w: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High Voltage</w:t>
            </w:r>
          </w:p>
        </w:tc>
        <w:tc>
          <w:tcPr>
            <w:tcW w:w="420" w:type="dxa"/>
            <w:vAlign w:val="bottom"/>
            <w:gridSpan w:val="2"/>
          </w:tcPr>
          <w:p>
            <w:pPr>
              <w:ind w:left="240"/>
              <w:spacing w:after="0" w:line="203" w:lineRule="exact"/>
              <w:rPr>
                <w:sz w:val="20"/>
                <w:szCs w:val="20"/>
                <w:color w:val="auto"/>
              </w:rPr>
            </w:pPr>
            <w:r>
              <w:rPr>
                <w:rFonts w:ascii="Symbol" w:cs="Symbol" w:eastAsia="Symbol" w:hAnsi="Symbol"/>
                <w:sz w:val="20"/>
                <w:szCs w:val="20"/>
                <w:color w:val="auto"/>
              </w:rPr>
              <w:t>•</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Voltage options of 200V-650V</w:t>
            </w:r>
          </w:p>
        </w:tc>
        <w:tc>
          <w:tcPr>
            <w:tcW w:w="420" w:type="dxa"/>
            <w:vAlign w:val="bottom"/>
            <w:gridSpan w:val="2"/>
          </w:tcPr>
          <w:p>
            <w:pPr>
              <w:ind w:left="240"/>
              <w:spacing w:after="0" w:line="203"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Adaptors for tablet PC/mobile</w:t>
            </w:r>
          </w:p>
        </w:tc>
      </w:tr>
      <w:tr>
        <w:trPr>
          <w:trHeight w:val="240"/>
        </w:trPr>
        <w:tc>
          <w:tcPr>
            <w:tcW w:w="1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MOSFET</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R2FET (rapid recovery) option to</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phone/smartphone</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shorten reverse diode recovery time</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Power supplies</w:t>
            </w:r>
          </w:p>
        </w:tc>
      </w:tr>
      <w:tr>
        <w:trPr>
          <w:trHeight w:val="240"/>
        </w:trPr>
        <w:tc>
          <w:tcPr>
            <w:tcW w:w="1920" w:type="dxa"/>
            <w:vAlign w:val="bottom"/>
          </w:tcPr>
          <w:p>
            <w:pPr>
              <w:spacing w:after="0"/>
              <w:rPr>
                <w:sz w:val="20"/>
                <w:szCs w:val="20"/>
                <w:color w:val="auto"/>
              </w:rPr>
            </w:pPr>
          </w:p>
        </w:tc>
        <w:tc>
          <w:tcPr>
            <w:tcW w:w="384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Zener diode option for MOSFET</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Lighting (ballast, HID, LED)</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protection for abnormal input</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Industrial applications</w:t>
            </w:r>
          </w:p>
        </w:tc>
      </w:tr>
      <w:tr>
        <w:trPr>
          <w:trHeight w:val="240"/>
        </w:trPr>
        <w:tc>
          <w:tcPr>
            <w:tcW w:w="1920" w:type="dxa"/>
            <w:vAlign w:val="bottom"/>
          </w:tcPr>
          <w:p>
            <w:pPr>
              <w:spacing w:after="0"/>
              <w:rPr>
                <w:sz w:val="20"/>
                <w:szCs w:val="20"/>
                <w:color w:val="auto"/>
              </w:rPr>
            </w:pPr>
          </w:p>
        </w:tc>
        <w:tc>
          <w:tcPr>
            <w:tcW w:w="384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Advanced Planar MOSFET Process</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LCD/LEDTVs</w:t>
            </w:r>
          </w:p>
        </w:tc>
      </w:tr>
      <w:tr>
        <w:trPr>
          <w:trHeight w:val="240"/>
        </w:trPr>
        <w:tc>
          <w:tcPr>
            <w:tcW w:w="1920" w:type="dxa"/>
            <w:vAlign w:val="bottom"/>
          </w:tcPr>
          <w:p>
            <w:pPr>
              <w:spacing w:after="0"/>
              <w:rPr>
                <w:sz w:val="20"/>
                <w:szCs w:val="20"/>
                <w:color w:val="auto"/>
              </w:rPr>
            </w:pPr>
          </w:p>
        </w:tc>
        <w:tc>
          <w:tcPr>
            <w:tcW w:w="384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Advanced packages to enable reduction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 PCB mounting area</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Super Junction</w:t>
            </w:r>
          </w:p>
        </w:tc>
        <w:tc>
          <w:tcPr>
            <w:tcW w:w="420" w:type="dxa"/>
            <w:vAlign w:val="bottom"/>
            <w:gridSpan w:val="2"/>
          </w:tcPr>
          <w:p>
            <w:pPr>
              <w:ind w:left="240"/>
              <w:spacing w:after="0" w:line="203" w:lineRule="exact"/>
              <w:rPr>
                <w:sz w:val="20"/>
                <w:szCs w:val="20"/>
                <w:color w:val="auto"/>
              </w:rPr>
            </w:pPr>
            <w:r>
              <w:rPr>
                <w:rFonts w:ascii="Symbol" w:cs="Symbol" w:eastAsia="Symbol" w:hAnsi="Symbol"/>
                <w:sz w:val="20"/>
                <w:szCs w:val="20"/>
                <w:color w:val="auto"/>
              </w:rPr>
              <w:t>•</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Voltage options of 500V-900V</w:t>
            </w:r>
          </w:p>
        </w:tc>
        <w:tc>
          <w:tcPr>
            <w:tcW w:w="420" w:type="dxa"/>
            <w:vAlign w:val="bottom"/>
            <w:gridSpan w:val="2"/>
          </w:tcPr>
          <w:p>
            <w:pPr>
              <w:ind w:left="240"/>
              <w:spacing w:after="0" w:line="203"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LCD/LED/UHD TVs</w:t>
            </w:r>
          </w:p>
        </w:tc>
      </w:tr>
      <w:tr>
        <w:trPr>
          <w:trHeight w:val="240"/>
        </w:trPr>
        <w:tc>
          <w:tcPr>
            <w:tcW w:w="1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MOSFET</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Low RDS(ON)</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Lightings applications (ballast,</w:t>
            </w:r>
          </w:p>
        </w:tc>
      </w:tr>
      <w:tr>
        <w:trPr>
          <w:trHeight w:val="240"/>
        </w:trPr>
        <w:tc>
          <w:tcPr>
            <w:tcW w:w="1920" w:type="dxa"/>
            <w:vAlign w:val="bottom"/>
          </w:tcPr>
          <w:p>
            <w:pPr>
              <w:spacing w:after="0"/>
              <w:rPr>
                <w:sz w:val="20"/>
                <w:szCs w:val="20"/>
                <w:color w:val="auto"/>
              </w:rPr>
            </w:pP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Epi stack process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HID, LED)</w:t>
            </w:r>
          </w:p>
        </w:tc>
      </w:tr>
      <w:tr>
        <w:trPr>
          <w:trHeight w:val="240"/>
        </w:trPr>
        <w:tc>
          <w:tcPr>
            <w:tcW w:w="1920" w:type="dxa"/>
            <w:vAlign w:val="bottom"/>
          </w:tcPr>
          <w:p>
            <w:pPr>
              <w:spacing w:after="0"/>
              <w:rPr>
                <w:sz w:val="20"/>
                <w:szCs w:val="20"/>
                <w:color w:val="auto"/>
              </w:rPr>
            </w:pPr>
          </w:p>
        </w:tc>
        <w:tc>
          <w:tcPr>
            <w:tcW w:w="384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Zener diode option for MOSFET</w:t>
            </w:r>
          </w:p>
        </w:tc>
        <w:tc>
          <w:tcPr>
            <w:tcW w:w="42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Smartphones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protection for abnormal input</w:t>
            </w:r>
          </w:p>
        </w:tc>
        <w:tc>
          <w:tcPr>
            <w:tcW w:w="240" w:type="dxa"/>
            <w:vAlign w:val="bottom"/>
          </w:tcPr>
          <w:p>
            <w:pPr>
              <w:spacing w:after="0"/>
              <w:rPr>
                <w:sz w:val="20"/>
                <w:szCs w:val="20"/>
                <w:color w:val="auto"/>
              </w:rPr>
            </w:pPr>
          </w:p>
        </w:tc>
        <w:tc>
          <w:tcPr>
            <w:tcW w:w="18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Power supplies</w:t>
            </w:r>
          </w:p>
        </w:tc>
      </w:tr>
      <w:tr>
        <w:trPr>
          <w:trHeight w:val="240"/>
        </w:trPr>
        <w:tc>
          <w:tcPr>
            <w:tcW w:w="1920" w:type="dxa"/>
            <w:vAlign w:val="bottom"/>
          </w:tcPr>
          <w:p>
            <w:pPr>
              <w:spacing w:after="0"/>
              <w:rPr>
                <w:sz w:val="20"/>
                <w:szCs w:val="20"/>
                <w:color w:val="auto"/>
              </w:rPr>
            </w:pPr>
          </w:p>
        </w:tc>
        <w:tc>
          <w:tcPr>
            <w:tcW w:w="384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Advanced SJ MOSFET process</w:t>
            </w:r>
          </w:p>
        </w:tc>
        <w:tc>
          <w:tcPr>
            <w:tcW w:w="240" w:type="dxa"/>
            <w:vAlign w:val="bottom"/>
          </w:tcPr>
          <w:p>
            <w:pPr>
              <w:spacing w:after="0"/>
              <w:rPr>
                <w:sz w:val="20"/>
                <w:szCs w:val="20"/>
                <w:color w:val="auto"/>
              </w:rPr>
            </w:pPr>
          </w:p>
        </w:tc>
        <w:tc>
          <w:tcPr>
            <w:tcW w:w="18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Servers and Telecom powers</w:t>
            </w:r>
          </w:p>
        </w:tc>
      </w:tr>
      <w:tr>
        <w:trPr>
          <w:trHeight w:val="240"/>
        </w:trPr>
        <w:tc>
          <w:tcPr>
            <w:tcW w:w="1920" w:type="dxa"/>
            <w:vAlign w:val="bottom"/>
          </w:tcPr>
          <w:p>
            <w:pPr>
              <w:spacing w:after="0"/>
              <w:rPr>
                <w:sz w:val="20"/>
                <w:szCs w:val="20"/>
                <w:color w:val="auto"/>
              </w:rPr>
            </w:pPr>
          </w:p>
        </w:tc>
        <w:tc>
          <w:tcPr>
            <w:tcW w:w="384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Advanced packages to enable reduction</w:t>
            </w:r>
          </w:p>
        </w:tc>
        <w:tc>
          <w:tcPr>
            <w:tcW w:w="240" w:type="dxa"/>
            <w:vAlign w:val="bottom"/>
          </w:tcPr>
          <w:p>
            <w:pPr>
              <w:spacing w:after="0"/>
              <w:rPr>
                <w:sz w:val="20"/>
                <w:szCs w:val="20"/>
                <w:color w:val="auto"/>
              </w:rPr>
            </w:pPr>
          </w:p>
        </w:tc>
        <w:tc>
          <w:tcPr>
            <w:tcW w:w="18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Industrial applications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 PCB mounting area</w:t>
            </w:r>
          </w:p>
        </w:tc>
        <w:tc>
          <w:tcPr>
            <w:tcW w:w="240" w:type="dxa"/>
            <w:vAlign w:val="bottom"/>
          </w:tcPr>
          <w:p>
            <w:pPr>
              <w:spacing w:after="0"/>
              <w:rPr>
                <w:sz w:val="20"/>
                <w:szCs w:val="20"/>
                <w:color w:val="auto"/>
              </w:rPr>
            </w:pPr>
          </w:p>
        </w:tc>
        <w:tc>
          <w:tcPr>
            <w:tcW w:w="18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EV charging station*</w:t>
            </w:r>
          </w:p>
        </w:tc>
      </w:tr>
    </w:tbl>
    <w:p>
      <w:pPr>
        <w:spacing w:after="0" w:line="200" w:lineRule="exact"/>
        <w:rPr>
          <w:sz w:val="20"/>
          <w:szCs w:val="20"/>
          <w:color w:val="auto"/>
        </w:rPr>
      </w:pP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80"/>
          </w:cols>
          <w:pgMar w:left="1420" w:top="899" w:right="1440" w:bottom="182"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87"/>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6"/>
                <w:szCs w:val="16"/>
                <w:b w:val="1"/>
                <w:bCs w:val="1"/>
                <w:color w:val="auto"/>
              </w:rPr>
              <w:t>Key Features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b w:val="1"/>
                <w:bCs w:val="1"/>
                <w:color w:val="auto"/>
              </w:rPr>
              <w:t>Applications</w:t>
            </w:r>
          </w:p>
        </w:tc>
      </w:tr>
      <w:tr>
        <w:trPr>
          <w:trHeight w:val="280"/>
        </w:trPr>
        <w:tc>
          <w:tcPr>
            <w:tcW w:w="1920" w:type="dxa"/>
            <w:vAlign w:val="bottom"/>
          </w:tcPr>
          <w:p>
            <w:pPr>
              <w:spacing w:after="0"/>
              <w:rPr>
                <w:sz w:val="24"/>
                <w:szCs w:val="24"/>
                <w:color w:val="auto"/>
              </w:rPr>
            </w:pPr>
          </w:p>
        </w:tc>
        <w:tc>
          <w:tcPr>
            <w:tcW w:w="440" w:type="dxa"/>
            <w:vAlign w:val="bottom"/>
            <w:gridSpan w:val="2"/>
          </w:tcPr>
          <w:p>
            <w:pPr>
              <w:ind w:left="240"/>
              <w:spacing w:after="0" w:line="23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Low power loss by high speed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On board charger*</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switching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IGBTs</w:t>
            </w:r>
          </w:p>
        </w:tc>
        <w:tc>
          <w:tcPr>
            <w:tcW w:w="440" w:type="dxa"/>
            <w:vAlign w:val="bottom"/>
            <w:gridSpan w:val="2"/>
          </w:tcPr>
          <w:p>
            <w:pPr>
              <w:ind w:left="240"/>
              <w:spacing w:after="0" w:line="203"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Voltage options of 650V/1200V</w:t>
            </w:r>
          </w:p>
        </w:tc>
        <w:tc>
          <w:tcPr>
            <w:tcW w:w="400" w:type="dxa"/>
            <w:vAlign w:val="bottom"/>
            <w:gridSpan w:val="2"/>
          </w:tcPr>
          <w:p>
            <w:pPr>
              <w:ind w:left="240"/>
              <w:spacing w:after="0" w:line="203"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Automotive</w:t>
            </w:r>
          </w:p>
        </w:tc>
      </w:tr>
      <w:tr>
        <w:trPr>
          <w:trHeight w:val="240"/>
        </w:trPr>
        <w:tc>
          <w:tcPr>
            <w:tcW w:w="1920" w:type="dxa"/>
            <w:vAlign w:val="bottom"/>
          </w:tcPr>
          <w:p>
            <w:pPr>
              <w:spacing w:after="0"/>
              <w:rPr>
                <w:sz w:val="20"/>
                <w:szCs w:val="20"/>
                <w:color w:val="auto"/>
              </w:rPr>
            </w:pP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Field Stop Trench IGBT</w:t>
            </w: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Solar inverters</w:t>
            </w:r>
          </w:p>
        </w:tc>
      </w:tr>
      <w:tr>
        <w:trPr>
          <w:trHeight w:val="240"/>
        </w:trPr>
        <w:tc>
          <w:tcPr>
            <w:tcW w:w="1920" w:type="dxa"/>
            <w:vAlign w:val="bottom"/>
          </w:tcPr>
          <w:p>
            <w:pPr>
              <w:spacing w:after="0"/>
              <w:rPr>
                <w:sz w:val="20"/>
                <w:szCs w:val="20"/>
                <w:color w:val="auto"/>
              </w:rPr>
            </w:pP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Current options from 15A to 100A</w:t>
            </w: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Industrial applications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Consumer appliances</w:t>
            </w: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AC-DC/DC-DC</w:t>
            </w:r>
          </w:p>
        </w:tc>
        <w:tc>
          <w:tcPr>
            <w:tcW w:w="440" w:type="dxa"/>
            <w:vAlign w:val="bottom"/>
            <w:gridSpan w:val="2"/>
          </w:tcPr>
          <w:p>
            <w:pPr>
              <w:ind w:left="240"/>
              <w:spacing w:after="0" w:line="203"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Wide control range for high power</w:t>
            </w:r>
          </w:p>
        </w:tc>
        <w:tc>
          <w:tcPr>
            <w:tcW w:w="400" w:type="dxa"/>
            <w:vAlign w:val="bottom"/>
            <w:gridSpan w:val="2"/>
          </w:tcPr>
          <w:p>
            <w:pPr>
              <w:ind w:left="240"/>
              <w:spacing w:after="0" w:line="203"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LCD/LED/UHD TVs</w:t>
            </w:r>
          </w:p>
        </w:tc>
      </w:tr>
      <w:tr>
        <w:trPr>
          <w:trHeight w:val="240"/>
        </w:trPr>
        <w:tc>
          <w:tcPr>
            <w:tcW w:w="1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Converter</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application (&gt;150W)</w:t>
            </w: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Power supplies</w:t>
            </w:r>
          </w:p>
        </w:tc>
      </w:tr>
      <w:tr>
        <w:trPr>
          <w:trHeight w:val="240"/>
        </w:trPr>
        <w:tc>
          <w:tcPr>
            <w:tcW w:w="1920" w:type="dxa"/>
            <w:vAlign w:val="bottom"/>
          </w:tcPr>
          <w:p>
            <w:pPr>
              <w:spacing w:after="0"/>
              <w:rPr>
                <w:sz w:val="20"/>
                <w:szCs w:val="20"/>
                <w:color w:val="auto"/>
              </w:rPr>
            </w:pP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Advanced BCDMOS process</w:t>
            </w: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Smartphones</w:t>
            </w:r>
          </w:p>
        </w:tc>
      </w:tr>
      <w:tr>
        <w:trPr>
          <w:trHeight w:val="240"/>
        </w:trPr>
        <w:tc>
          <w:tcPr>
            <w:tcW w:w="1920" w:type="dxa"/>
            <w:vAlign w:val="bottom"/>
          </w:tcPr>
          <w:p>
            <w:pPr>
              <w:spacing w:after="0"/>
              <w:rPr>
                <w:sz w:val="20"/>
                <w:szCs w:val="20"/>
                <w:color w:val="auto"/>
              </w:rPr>
            </w:pP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High Precision Voltage Reference</w:t>
            </w: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Mobile phones</w:t>
            </w:r>
          </w:p>
        </w:tc>
      </w:tr>
      <w:tr>
        <w:trPr>
          <w:trHeight w:val="240"/>
        </w:trPr>
        <w:tc>
          <w:tcPr>
            <w:tcW w:w="1920" w:type="dxa"/>
            <w:vAlign w:val="bottom"/>
          </w:tcPr>
          <w:p>
            <w:pPr>
              <w:spacing w:after="0"/>
              <w:rPr>
                <w:sz w:val="20"/>
                <w:szCs w:val="20"/>
                <w:color w:val="auto"/>
              </w:rPr>
            </w:pP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Very low startup current consumption</w:t>
            </w: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Notebooks</w:t>
            </w:r>
          </w:p>
        </w:tc>
      </w:tr>
      <w:tr>
        <w:trPr>
          <w:trHeight w:val="240"/>
        </w:trPr>
        <w:tc>
          <w:tcPr>
            <w:tcW w:w="1920" w:type="dxa"/>
            <w:vAlign w:val="bottom"/>
          </w:tcPr>
          <w:p>
            <w:pPr>
              <w:spacing w:after="0"/>
              <w:rPr>
                <w:sz w:val="20"/>
                <w:szCs w:val="20"/>
                <w:color w:val="auto"/>
              </w:rPr>
            </w:pP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Fast load and line regulation</w:t>
            </w:r>
          </w:p>
        </w:tc>
        <w:tc>
          <w:tcPr>
            <w:tcW w:w="400" w:type="dxa"/>
            <w:vAlign w:val="bottom"/>
            <w:gridSpan w:val="2"/>
          </w:tcPr>
          <w:p>
            <w:pPr>
              <w:ind w:left="240"/>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Set-top boxes</w:t>
            </w:r>
          </w:p>
        </w:tc>
      </w:tr>
      <w:tr>
        <w:trPr>
          <w:trHeight w:val="240"/>
        </w:trPr>
        <w:tc>
          <w:tcPr>
            <w:tcW w:w="1920" w:type="dxa"/>
            <w:vAlign w:val="bottom"/>
          </w:tcPr>
          <w:p>
            <w:pPr>
              <w:spacing w:after="0"/>
              <w:rPr>
                <w:sz w:val="20"/>
                <w:szCs w:val="20"/>
                <w:color w:val="auto"/>
              </w:rPr>
            </w:pPr>
          </w:p>
        </w:tc>
        <w:tc>
          <w:tcPr>
            <w:tcW w:w="440" w:type="dxa"/>
            <w:vAlign w:val="bottom"/>
            <w:gridSpan w:val="2"/>
          </w:tcPr>
          <w:p>
            <w:pPr>
              <w:ind w:left="240"/>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Accurate output voltage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3840" w:type="dxa"/>
            <w:vAlign w:val="bottom"/>
            <w:gridSpan w:val="3"/>
          </w:tcPr>
          <w:p>
            <w:pPr>
              <w:ind w:left="24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OCP, SCP and thermal protections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LED Backlighting</w:t>
            </w:r>
          </w:p>
        </w:tc>
        <w:tc>
          <w:tcPr>
            <w:tcW w:w="440" w:type="dxa"/>
            <w:vAlign w:val="bottom"/>
            <w:gridSpan w:val="2"/>
          </w:tcPr>
          <w:p>
            <w:pPr>
              <w:ind w:left="240"/>
              <w:spacing w:after="0" w:line="203"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High efficiency, wide input voltage</w:t>
            </w:r>
          </w:p>
        </w:tc>
        <w:tc>
          <w:tcPr>
            <w:tcW w:w="240" w:type="dxa"/>
            <w:vAlign w:val="bottom"/>
          </w:tcPr>
          <w:p>
            <w:pPr>
              <w:spacing w:after="0"/>
              <w:rPr>
                <w:sz w:val="21"/>
                <w:szCs w:val="21"/>
                <w:color w:val="auto"/>
              </w:rPr>
            </w:pPr>
          </w:p>
        </w:tc>
        <w:tc>
          <w:tcPr>
            <w:tcW w:w="160" w:type="dxa"/>
            <w:vAlign w:val="bottom"/>
          </w:tcPr>
          <w:p>
            <w:pPr>
              <w:spacing w:after="0" w:line="203"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Tablet PCs</w:t>
            </w:r>
          </w:p>
        </w:tc>
      </w:tr>
      <w:tr>
        <w:trPr>
          <w:trHeight w:val="240"/>
        </w:trPr>
        <w:tc>
          <w:tcPr>
            <w:tcW w:w="1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Drivers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range</w:t>
            </w:r>
          </w:p>
        </w:tc>
        <w:tc>
          <w:tcPr>
            <w:tcW w:w="240" w:type="dxa"/>
            <w:vAlign w:val="bottom"/>
          </w:tcPr>
          <w:p>
            <w:pPr>
              <w:spacing w:after="0"/>
              <w:rPr>
                <w:sz w:val="20"/>
                <w:szCs w:val="20"/>
                <w:color w:val="auto"/>
              </w:rPr>
            </w:pPr>
          </w:p>
        </w:tc>
        <w:tc>
          <w:tcPr>
            <w:tcW w:w="160" w:type="dxa"/>
            <w:vAlign w:val="bottom"/>
          </w:tcPr>
          <w:p>
            <w:pPr>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Notebooks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Advanced BCDMOS process</w:t>
            </w:r>
          </w:p>
        </w:tc>
        <w:tc>
          <w:tcPr>
            <w:tcW w:w="240" w:type="dxa"/>
            <w:vAlign w:val="bottom"/>
          </w:tcPr>
          <w:p>
            <w:pPr>
              <w:spacing w:after="0"/>
              <w:rPr>
                <w:sz w:val="20"/>
                <w:szCs w:val="20"/>
                <w:color w:val="auto"/>
              </w:rPr>
            </w:pPr>
          </w:p>
        </w:tc>
        <w:tc>
          <w:tcPr>
            <w:tcW w:w="160" w:type="dxa"/>
            <w:vAlign w:val="bottom"/>
          </w:tcPr>
          <w:p>
            <w:pPr>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Smartphones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OCP, SCP, OVP and UVLO protections</w:t>
            </w:r>
          </w:p>
        </w:tc>
        <w:tc>
          <w:tcPr>
            <w:tcW w:w="240" w:type="dxa"/>
            <w:vAlign w:val="bottom"/>
          </w:tcPr>
          <w:p>
            <w:pPr>
              <w:spacing w:after="0"/>
              <w:rPr>
                <w:sz w:val="20"/>
                <w:szCs w:val="20"/>
                <w:color w:val="auto"/>
              </w:rPr>
            </w:pPr>
          </w:p>
        </w:tc>
        <w:tc>
          <w:tcPr>
            <w:tcW w:w="160" w:type="dxa"/>
            <w:vAlign w:val="bottom"/>
          </w:tcPr>
          <w:p>
            <w:pPr>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LED/UHD TVs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Accurate LED current control and</w:t>
            </w:r>
          </w:p>
        </w:tc>
        <w:tc>
          <w:tcPr>
            <w:tcW w:w="240" w:type="dxa"/>
            <w:vAlign w:val="bottom"/>
          </w:tcPr>
          <w:p>
            <w:pPr>
              <w:spacing w:after="0"/>
              <w:rPr>
                <w:sz w:val="20"/>
                <w:szCs w:val="20"/>
                <w:color w:val="auto"/>
              </w:rPr>
            </w:pPr>
          </w:p>
        </w:tc>
        <w:tc>
          <w:tcPr>
            <w:tcW w:w="160" w:type="dxa"/>
            <w:vAlign w:val="bottom"/>
          </w:tcPr>
          <w:p>
            <w:pPr>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LED monitors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multi-channel matching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Programmable current limit, boost up</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frequency</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Digital Controlled</w:t>
            </w:r>
          </w:p>
        </w:tc>
        <w:tc>
          <w:tcPr>
            <w:tcW w:w="240" w:type="dxa"/>
            <w:vAlign w:val="bottom"/>
          </w:tcPr>
          <w:p>
            <w:pPr>
              <w:spacing w:after="0"/>
              <w:rPr>
                <w:sz w:val="21"/>
                <w:szCs w:val="21"/>
                <w:color w:val="auto"/>
              </w:rPr>
            </w:pPr>
          </w:p>
        </w:tc>
        <w:tc>
          <w:tcPr>
            <w:tcW w:w="200" w:type="dxa"/>
            <w:vAlign w:val="bottom"/>
          </w:tcPr>
          <w:p>
            <w:pPr>
              <w:spacing w:after="0" w:line="203"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Multi-channel constant current control</w:t>
            </w:r>
          </w:p>
        </w:tc>
        <w:tc>
          <w:tcPr>
            <w:tcW w:w="240" w:type="dxa"/>
            <w:vAlign w:val="bottom"/>
          </w:tcPr>
          <w:p>
            <w:pPr>
              <w:spacing w:after="0"/>
              <w:rPr>
                <w:sz w:val="21"/>
                <w:szCs w:val="21"/>
                <w:color w:val="auto"/>
              </w:rPr>
            </w:pPr>
          </w:p>
        </w:tc>
        <w:tc>
          <w:tcPr>
            <w:tcW w:w="160" w:type="dxa"/>
            <w:vAlign w:val="bottom"/>
          </w:tcPr>
          <w:p>
            <w:pPr>
              <w:spacing w:after="0" w:line="203"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Digital signage</w:t>
            </w:r>
          </w:p>
        </w:tc>
      </w:tr>
      <w:tr>
        <w:trPr>
          <w:trHeight w:val="240"/>
        </w:trPr>
        <w:tc>
          <w:tcPr>
            <w:tcW w:w="1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LED Driver</w:t>
            </w:r>
          </w:p>
        </w:tc>
        <w:tc>
          <w:tcPr>
            <w:tcW w:w="240" w:type="dxa"/>
            <w:vAlign w:val="bottom"/>
          </w:tcPr>
          <w:p>
            <w:pPr>
              <w:spacing w:after="0"/>
              <w:rPr>
                <w:sz w:val="20"/>
                <w:szCs w:val="20"/>
                <w:color w:val="auto"/>
              </w:rPr>
            </w:pPr>
          </w:p>
        </w:tc>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12Bit gray scale with SPI</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LED Lighting Drivers</w:t>
            </w:r>
          </w:p>
        </w:tc>
        <w:tc>
          <w:tcPr>
            <w:tcW w:w="240" w:type="dxa"/>
            <w:vAlign w:val="bottom"/>
          </w:tcPr>
          <w:p>
            <w:pPr>
              <w:spacing w:after="0"/>
              <w:rPr>
                <w:sz w:val="21"/>
                <w:szCs w:val="21"/>
                <w:color w:val="auto"/>
              </w:rPr>
            </w:pPr>
          </w:p>
        </w:tc>
        <w:tc>
          <w:tcPr>
            <w:tcW w:w="200" w:type="dxa"/>
            <w:vAlign w:val="bottom"/>
          </w:tcPr>
          <w:p>
            <w:pPr>
              <w:spacing w:after="0" w:line="203"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High efficiency, wide input voltage</w:t>
            </w:r>
          </w:p>
        </w:tc>
        <w:tc>
          <w:tcPr>
            <w:tcW w:w="240" w:type="dxa"/>
            <w:vAlign w:val="bottom"/>
          </w:tcPr>
          <w:p>
            <w:pPr>
              <w:spacing w:after="0"/>
              <w:rPr>
                <w:sz w:val="21"/>
                <w:szCs w:val="21"/>
                <w:color w:val="auto"/>
              </w:rPr>
            </w:pPr>
          </w:p>
        </w:tc>
        <w:tc>
          <w:tcPr>
            <w:tcW w:w="160" w:type="dxa"/>
            <w:vAlign w:val="bottom"/>
          </w:tcPr>
          <w:p>
            <w:pPr>
              <w:spacing w:after="0" w:line="203"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 and DC LED lighting</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range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Simple solutions with external</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components fully integrated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Advanced high voltage BCDMOS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process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Accurate LED current control and high</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power factor and low THB</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Regulators</w:t>
            </w:r>
          </w:p>
        </w:tc>
        <w:tc>
          <w:tcPr>
            <w:tcW w:w="240" w:type="dxa"/>
            <w:vAlign w:val="bottom"/>
          </w:tcPr>
          <w:p>
            <w:pPr>
              <w:spacing w:after="0"/>
              <w:rPr>
                <w:sz w:val="21"/>
                <w:szCs w:val="21"/>
                <w:color w:val="auto"/>
              </w:rPr>
            </w:pPr>
          </w:p>
        </w:tc>
        <w:tc>
          <w:tcPr>
            <w:tcW w:w="200" w:type="dxa"/>
            <w:vAlign w:val="bottom"/>
          </w:tcPr>
          <w:p>
            <w:pPr>
              <w:spacing w:after="0" w:line="203"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Single and multi-regulators</w:t>
            </w:r>
          </w:p>
        </w:tc>
        <w:tc>
          <w:tcPr>
            <w:tcW w:w="240" w:type="dxa"/>
            <w:vAlign w:val="bottom"/>
          </w:tcPr>
          <w:p>
            <w:pPr>
              <w:spacing w:after="0"/>
              <w:rPr>
                <w:sz w:val="21"/>
                <w:szCs w:val="21"/>
                <w:color w:val="auto"/>
              </w:rPr>
            </w:pPr>
          </w:p>
        </w:tc>
        <w:tc>
          <w:tcPr>
            <w:tcW w:w="160" w:type="dxa"/>
            <w:vAlign w:val="bottom"/>
          </w:tcPr>
          <w:p>
            <w:pPr>
              <w:spacing w:after="0" w:line="203"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Smartphones and Mobile phones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Low Noise Output regulators</w:t>
            </w:r>
          </w:p>
        </w:tc>
        <w:tc>
          <w:tcPr>
            <w:tcW w:w="240" w:type="dxa"/>
            <w:vAlign w:val="bottom"/>
          </w:tcPr>
          <w:p>
            <w:pPr>
              <w:spacing w:after="0"/>
              <w:rPr>
                <w:sz w:val="20"/>
                <w:szCs w:val="20"/>
                <w:color w:val="auto"/>
              </w:rPr>
            </w:pPr>
          </w:p>
        </w:tc>
        <w:tc>
          <w:tcPr>
            <w:tcW w:w="160" w:type="dxa"/>
            <w:vAlign w:val="bottom"/>
          </w:tcPr>
          <w:p>
            <w:pPr>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Notebooks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Wide range of input voltage and</w:t>
            </w:r>
          </w:p>
        </w:tc>
        <w:tc>
          <w:tcPr>
            <w:tcW w:w="240" w:type="dxa"/>
            <w:vAlign w:val="bottom"/>
          </w:tcPr>
          <w:p>
            <w:pPr>
              <w:spacing w:after="0"/>
              <w:rPr>
                <w:sz w:val="20"/>
                <w:szCs w:val="20"/>
                <w:color w:val="auto"/>
              </w:rPr>
            </w:pPr>
          </w:p>
        </w:tc>
        <w:tc>
          <w:tcPr>
            <w:tcW w:w="160" w:type="dxa"/>
            <w:vAlign w:val="bottom"/>
          </w:tcPr>
          <w:p>
            <w:pPr>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Computing applications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various output current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CMOS and BCDMOS processes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LDO (Low Drop Out — Linear</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Regulator)</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SSD PMIC</w:t>
            </w:r>
          </w:p>
        </w:tc>
        <w:tc>
          <w:tcPr>
            <w:tcW w:w="240" w:type="dxa"/>
            <w:vAlign w:val="bottom"/>
          </w:tcPr>
          <w:p>
            <w:pPr>
              <w:spacing w:after="0"/>
              <w:rPr>
                <w:sz w:val="21"/>
                <w:szCs w:val="21"/>
                <w:color w:val="auto"/>
              </w:rPr>
            </w:pPr>
          </w:p>
        </w:tc>
        <w:tc>
          <w:tcPr>
            <w:tcW w:w="200" w:type="dxa"/>
            <w:vAlign w:val="bottom"/>
          </w:tcPr>
          <w:p>
            <w:pPr>
              <w:spacing w:after="0" w:line="203"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High current buck</w:t>
            </w:r>
          </w:p>
        </w:tc>
        <w:tc>
          <w:tcPr>
            <w:tcW w:w="240" w:type="dxa"/>
            <w:vAlign w:val="bottom"/>
          </w:tcPr>
          <w:p>
            <w:pPr>
              <w:spacing w:after="0"/>
              <w:rPr>
                <w:sz w:val="21"/>
                <w:szCs w:val="21"/>
                <w:color w:val="auto"/>
              </w:rPr>
            </w:pPr>
          </w:p>
        </w:tc>
        <w:tc>
          <w:tcPr>
            <w:tcW w:w="160" w:type="dxa"/>
            <w:vAlign w:val="bottom"/>
          </w:tcPr>
          <w:p>
            <w:pPr>
              <w:spacing w:after="0" w:line="203"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Computing applications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PFM function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High frequency switching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High efficiency</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High integration technology</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Small QFN package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Logic PMIC</w:t>
            </w:r>
          </w:p>
        </w:tc>
        <w:tc>
          <w:tcPr>
            <w:tcW w:w="240" w:type="dxa"/>
            <w:vAlign w:val="bottom"/>
          </w:tcPr>
          <w:p>
            <w:pPr>
              <w:spacing w:after="0"/>
              <w:rPr>
                <w:sz w:val="21"/>
                <w:szCs w:val="21"/>
                <w:color w:val="auto"/>
              </w:rPr>
            </w:pPr>
          </w:p>
        </w:tc>
        <w:tc>
          <w:tcPr>
            <w:tcW w:w="200" w:type="dxa"/>
            <w:vAlign w:val="bottom"/>
          </w:tcPr>
          <w:p>
            <w:pPr>
              <w:spacing w:after="0" w:line="203"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High current boost</w:t>
            </w:r>
          </w:p>
        </w:tc>
        <w:tc>
          <w:tcPr>
            <w:tcW w:w="240" w:type="dxa"/>
            <w:vAlign w:val="bottom"/>
          </w:tcPr>
          <w:p>
            <w:pPr>
              <w:spacing w:after="0"/>
              <w:rPr>
                <w:sz w:val="21"/>
                <w:szCs w:val="21"/>
                <w:color w:val="auto"/>
              </w:rPr>
            </w:pPr>
          </w:p>
        </w:tc>
        <w:tc>
          <w:tcPr>
            <w:tcW w:w="160" w:type="dxa"/>
            <w:vAlign w:val="bottom"/>
          </w:tcPr>
          <w:p>
            <w:pPr>
              <w:spacing w:after="0" w:line="203"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Notebooks</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Integrated pass transistor</w:t>
            </w:r>
          </w:p>
        </w:tc>
        <w:tc>
          <w:tcPr>
            <w:tcW w:w="240" w:type="dxa"/>
            <w:vAlign w:val="bottom"/>
          </w:tcPr>
          <w:p>
            <w:pPr>
              <w:spacing w:after="0"/>
              <w:rPr>
                <w:sz w:val="20"/>
                <w:szCs w:val="20"/>
                <w:color w:val="auto"/>
              </w:rPr>
            </w:pPr>
          </w:p>
        </w:tc>
        <w:tc>
          <w:tcPr>
            <w:tcW w:w="160" w:type="dxa"/>
            <w:vAlign w:val="bottom"/>
          </w:tcPr>
          <w:p>
            <w:pPr>
              <w:spacing w:after="0" w:line="198" w:lineRule="exact"/>
              <w:rPr>
                <w:sz w:val="20"/>
                <w:szCs w:val="20"/>
                <w:color w:val="auto"/>
              </w:rPr>
            </w:pPr>
            <w:r>
              <w:rPr>
                <w:rFonts w:ascii="Symbol" w:cs="Symbol" w:eastAsia="Symbol" w:hAnsi="Symbol"/>
                <w:sz w:val="20"/>
                <w:szCs w:val="20"/>
                <w:color w:val="auto"/>
                <w:w w:val="97"/>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Tablet PCs</w:t>
            </w:r>
          </w:p>
        </w:tc>
      </w:tr>
    </w:tbl>
    <w:p>
      <w:pPr>
        <w:ind w:left="2460" w:hanging="293"/>
        <w:spacing w:after="0" w:line="235" w:lineRule="auto"/>
        <w:tabs>
          <w:tab w:leader="none" w:pos="2460" w:val="left"/>
        </w:tabs>
        <w:numPr>
          <w:ilvl w:val="1"/>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LDO</w:t>
      </w:r>
    </w:p>
    <w:p>
      <w:pPr>
        <w:ind w:left="2460" w:hanging="293"/>
        <w:spacing w:after="0" w:line="235" w:lineRule="auto"/>
        <w:tabs>
          <w:tab w:leader="none" w:pos="2460" w:val="left"/>
        </w:tabs>
        <w:numPr>
          <w:ilvl w:val="1"/>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3channel high current buck</w:t>
      </w:r>
    </w:p>
    <w:p>
      <w:pPr>
        <w:ind w:left="2460" w:hanging="293"/>
        <w:spacing w:after="0" w:line="235" w:lineRule="auto"/>
        <w:tabs>
          <w:tab w:leader="none" w:pos="2460" w:val="left"/>
        </w:tabs>
        <w:numPr>
          <w:ilvl w:val="1"/>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Negative Charge Pump</w:t>
      </w:r>
    </w:p>
    <w:p>
      <w:pPr>
        <w:ind w:left="2460" w:hanging="293"/>
        <w:spacing w:after="0" w:line="235" w:lineRule="auto"/>
        <w:tabs>
          <w:tab w:leader="none" w:pos="2460" w:val="left"/>
        </w:tabs>
        <w:numPr>
          <w:ilvl w:val="1"/>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2channel buffer Op-Amp.</w:t>
      </w:r>
    </w:p>
    <w:p>
      <w:pPr>
        <w:ind w:left="2460" w:hanging="293"/>
        <w:spacing w:after="0" w:line="235" w:lineRule="auto"/>
        <w:tabs>
          <w:tab w:leader="none" w:pos="2460" w:val="left"/>
        </w:tabs>
        <w:numPr>
          <w:ilvl w:val="1"/>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Tiny Wafer Level CSP</w:t>
      </w:r>
    </w:p>
    <w:p>
      <w:pPr>
        <w:spacing w:after="0" w:line="323" w:lineRule="exact"/>
        <w:rPr>
          <w:rFonts w:ascii="Symbol" w:cs="Symbol" w:eastAsia="Symbol" w:hAnsi="Symbol"/>
          <w:sz w:val="20"/>
          <w:szCs w:val="20"/>
          <w:color w:val="auto"/>
        </w:rPr>
      </w:pPr>
    </w:p>
    <w:p>
      <w:pPr>
        <w:spacing w:after="0"/>
        <w:rPr>
          <w:rFonts w:ascii="Symbol" w:cs="Symbol" w:eastAsia="Symbol" w:hAnsi="Symbol"/>
          <w:sz w:val="20"/>
          <w:szCs w:val="20"/>
          <w:color w:val="auto"/>
        </w:rPr>
      </w:pPr>
      <w:r>
        <w:rPr>
          <w:rFonts w:ascii="Times New Roman" w:cs="Times New Roman" w:eastAsia="Times New Roman" w:hAnsi="Times New Roman"/>
          <w:sz w:val="16"/>
          <w:szCs w:val="16"/>
          <w:color w:val="auto"/>
        </w:rPr>
        <w:t>*In customer qualification stage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-177165</wp:posOffset>
                </wp:positionV>
                <wp:extent cx="9144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9499pt" to="72.3pt,-13.9499pt" o:allowincell="f" strokecolor="#000000" strokeweight="0.5pt"/>
            </w:pict>
          </mc:Fallback>
        </mc:AlternateContent>
      </w:r>
    </w:p>
    <w:p>
      <w:pPr>
        <w:sectPr>
          <w:pgSz w:w="12240" w:h="15840" w:orient="portrait"/>
          <w:cols w:equalWidth="0" w:num="1">
            <w:col w:w="9380"/>
          </w:cols>
          <w:pgMar w:left="1420" w:top="1017" w:right="1440" w:bottom="194"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2240" w:h="15840" w:orient="portrait"/>
          <w:cols w:equalWidth="0" w:num="1">
            <w:col w:w="9380"/>
          </w:cols>
          <w:pgMar w:left="1420" w:top="1017" w:right="1440" w:bottom="194"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30" w:lineRule="exact"/>
        <w:rPr>
          <w:sz w:val="20"/>
          <w:szCs w:val="20"/>
          <w:color w:val="auto"/>
        </w:rPr>
      </w:pPr>
    </w:p>
    <w:p>
      <w:pPr>
        <w:ind w:right="100" w:firstLine="400"/>
        <w:spacing w:after="0" w:line="258" w:lineRule="auto"/>
        <w:rPr>
          <w:sz w:val="20"/>
          <w:szCs w:val="20"/>
          <w:color w:val="auto"/>
        </w:rPr>
      </w:pPr>
      <w:r>
        <w:rPr>
          <w:rFonts w:ascii="Times New Roman" w:cs="Times New Roman" w:eastAsia="Times New Roman" w:hAnsi="Times New Roman"/>
          <w:sz w:val="20"/>
          <w:szCs w:val="20"/>
          <w:color w:val="auto"/>
        </w:rPr>
        <w:t>We focus our sales and marketing strategy on continuing to grow and leverage our existing relationships with leading consumer electronics OEMs, while expanding into industrial and automotive end markets. We believe our close collaboration with customers allows us to align our product and technology development with our customers’ existing and future needs. Because our customers often service multiple end markets, our product sales teams are organized by customers within the major geographies. We believe this facilitates the sale of products that address multiple end-market applications to each of our customers.</w:t>
      </w:r>
    </w:p>
    <w:p>
      <w:pPr>
        <w:spacing w:after="0" w:line="137" w:lineRule="exact"/>
        <w:rPr>
          <w:sz w:val="20"/>
          <w:szCs w:val="20"/>
          <w:color w:val="auto"/>
        </w:rPr>
      </w:pPr>
    </w:p>
    <w:p>
      <w:pPr>
        <w:ind w:right="120" w:firstLine="400"/>
        <w:spacing w:after="0" w:line="257" w:lineRule="auto"/>
        <w:rPr>
          <w:sz w:val="20"/>
          <w:szCs w:val="20"/>
          <w:color w:val="auto"/>
        </w:rPr>
      </w:pPr>
      <w:r>
        <w:rPr>
          <w:rFonts w:ascii="Times New Roman" w:cs="Times New Roman" w:eastAsia="Times New Roman" w:hAnsi="Times New Roman"/>
          <w:sz w:val="20"/>
          <w:szCs w:val="20"/>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 in Korea, as well as our local sales and support offices and sales liaisons in Japan, Greater China, Taiwan and Europe. We have a network of agents and</w:t>
      </w:r>
    </w:p>
    <w:p>
      <w:pPr>
        <w:spacing w:after="0" w:line="135"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0"/>
          <w:szCs w:val="20"/>
          <w:color w:val="auto"/>
        </w:rPr>
        <w:t>distributors in the U.S., Europe and the Asia Pacific region. For the years ended December 31, 2022, 2021 and 2020, we derived 48%, 62% and 75% of net sales from our standard products business through our direct sales force, respectively, and 52%, 38% and 25% of net sales from our standard products business through our network of authorized agents and distributors, respectively.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130" w:lineRule="exact"/>
        <w:rPr>
          <w:sz w:val="20"/>
          <w:szCs w:val="20"/>
          <w:color w:val="auto"/>
        </w:rPr>
      </w:pPr>
    </w:p>
    <w:p>
      <w:pPr>
        <w:ind w:right="20" w:firstLine="400"/>
        <w:spacing w:after="0" w:line="256" w:lineRule="auto"/>
        <w:rPr>
          <w:sz w:val="20"/>
          <w:szCs w:val="20"/>
          <w:color w:val="auto"/>
        </w:rPr>
      </w:pPr>
      <w:r>
        <w:rPr>
          <w:rFonts w:ascii="Times New Roman" w:cs="Times New Roman" w:eastAsia="Times New Roman" w:hAnsi="Times New Roman"/>
          <w:sz w:val="20"/>
          <w:szCs w:val="20"/>
          <w:color w:val="auto"/>
        </w:rPr>
        <w:t>We sell our Display Solutions and Power Solutions products to consumer, computing, communication, automotive and industrial electronics OEMs, original design manufacturers and electronics manufacturing services companies, as well as subsystem designers. For the years ended December 31, 2022, 2021 and 2020, our ten largest customers accounted for 69.4%, 79.8% and 87.6% of net sales from our standard products business, respectively. Our arrangements with and reliance on key customers, particularly customers for our display products, may make it less practicable to pursue certain opportunities with other potential new and existing customers. For the year ended December 31, 2022, sales to Samsung Display represented 19.0% of net sales from our standard products business and 80.2% of net sales from our Display Solutions business line, and SAMT represented 13.8% of net sales from our standard products business and 18.1% of net sales from our Power Solutions business line. For the year ended December 31, 2021, sales to Samsung Display represented 42.5% of net sales from our standard products business and 89.7% of net sales from our Display Solutions business line, and SAMT represented 10.4% of net sales from our standard products business and 19.8% of net sales from our Power Solutions business line. For the year ended December 31, 2020, sales to Samsung Display represented 56.2% of net sales from our standard products business and 87.5% of net sales from our Display Solutions business line. For the year ended December 31, 2022, we recorded revenues of $10.4 million from customers in the U.S. and $291.5 million from all foreign countries, of which 42.2% was from Greater China and 36.1% was from Korea. For the year ended December 31, 2021, we recorded revenues of $6.1 million from customers in the U.S. and $427.0 million from all foreign countries, of which 47.2% was from Greater China, 26.6% from Korea and 18.9% from Vietnam. For the year ended December 31, 2020, we recorded revenues of $5.1 million from customers in the U.S. and $460.4 million from all foreign countries, of which 61.9% was from Greater China,</w:t>
      </w:r>
    </w:p>
    <w:p>
      <w:pPr>
        <w:spacing w:after="0" w:line="14"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0"/>
          <w:szCs w:val="20"/>
          <w:color w:val="auto"/>
        </w:rPr>
        <w:t>23.1% from Korea and 10.8% from Vietnam. All information pertaining to the geographic source of revenues is with respect to the geographic location to which our products are billed.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0"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auto"/>
        </w:rPr>
        <w:t>As of December 31, 2022, our portfolio of intellectual property assets included approximately 961 registered patents and 144 pending patent applications. Approximately 433 and 52 of our patents and pending applications, respectively, are novel in that they are not a foreign counterpart of an existing patent or patent application. Because we file patents in multiple jurisdictions, we additionally have approximately 528 registered patents and 92 pending applications that relate to identical technical claims in our base patent portfolio. Our patents expire at various times approximately over the next 19 years. While these patents are in the aggregate important to our competitive position, we do not believe that any single registered or pending patent is material to us.</w:t>
      </w:r>
    </w:p>
    <w:p>
      <w:pPr>
        <w:spacing w:after="0" w:line="136" w:lineRule="exact"/>
        <w:rPr>
          <w:sz w:val="20"/>
          <w:szCs w:val="20"/>
          <w:color w:val="auto"/>
        </w:rPr>
      </w:pPr>
    </w:p>
    <w:p>
      <w:pPr>
        <w:ind w:right="220" w:firstLine="400"/>
        <w:spacing w:after="0" w:line="245" w:lineRule="auto"/>
        <w:rPr>
          <w:sz w:val="20"/>
          <w:szCs w:val="20"/>
          <w:color w:val="auto"/>
        </w:rPr>
      </w:pPr>
      <w:r>
        <w:rPr>
          <w:rFonts w:ascii="Times New Roman" w:cs="Times New Roman" w:eastAsia="Times New Roman" w:hAnsi="Times New Roman"/>
          <w:sz w:val="20"/>
          <w:szCs w:val="20"/>
          <w:color w:val="auto"/>
        </w:rPr>
        <w:t>See ‘‘Item 1A. Risk Factors—Risks Related to Our Business—Our ability to compete successfully and achieve future growth will depend, in part, on our ability to protect our intellectual property, proprietary technology and know-how, as well as our ability to operate without infringing the proprietary rights of others.’’</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80"/>
          </w:cols>
          <w:pgMar w:left="1420" w:top="889" w:right="1440" w:bottom="182"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National Core Technology</w:t>
      </w:r>
    </w:p>
    <w:p>
      <w:pPr>
        <w:spacing w:after="0" w:line="130" w:lineRule="exact"/>
        <w:rPr>
          <w:sz w:val="20"/>
          <w:szCs w:val="20"/>
          <w:color w:val="auto"/>
        </w:rPr>
      </w:pPr>
    </w:p>
    <w:p>
      <w:pPr>
        <w:ind w:right="80" w:firstLine="400"/>
        <w:spacing w:after="0" w:line="257" w:lineRule="auto"/>
        <w:rPr>
          <w:sz w:val="20"/>
          <w:szCs w:val="20"/>
          <w:color w:val="auto"/>
        </w:rPr>
      </w:pPr>
      <w:r>
        <w:rPr>
          <w:rFonts w:ascii="Times New Roman" w:cs="Times New Roman" w:eastAsia="Times New Roman" w:hAnsi="Times New Roman"/>
          <w:sz w:val="20"/>
          <w:szCs w:val="20"/>
          <w:color w:val="auto"/>
        </w:rPr>
        <w:t>Under the Act on Prevention of Leakage and Protection of Industrial Technology of Korea (the ‘‘ITA’’), any export (including various means of outflow such as sale or transfer outside Korea) of technology designated as ‘‘national core technology’’ (‘‘National Core Technology’’ or ‘‘NCT’’) by the Korean Ministry of Trade, Industry and Energy (the ‘‘MOTIE’’) requires the filing of a prior-report with, and the acceptance of the same by, the MOTIE. Any such export of NCT without the acceptance of the prior report with the MOTIE may be subject to corrective orders by the relevant authorities, and failure to comply with such corrective orders may potentially result in criminal liabilities.</w:t>
      </w:r>
    </w:p>
    <w:p>
      <w:pPr>
        <w:spacing w:after="0" w:line="126" w:lineRule="exact"/>
        <w:rPr>
          <w:sz w:val="20"/>
          <w:szCs w:val="20"/>
          <w:color w:val="auto"/>
        </w:rPr>
      </w:pPr>
    </w:p>
    <w:p>
      <w:pPr>
        <w:ind w:right="80" w:firstLine="400"/>
        <w:spacing w:after="0" w:line="249" w:lineRule="auto"/>
        <w:rPr>
          <w:sz w:val="20"/>
          <w:szCs w:val="20"/>
          <w:color w:val="auto"/>
        </w:rPr>
      </w:pPr>
      <w:r>
        <w:rPr>
          <w:rFonts w:ascii="Times New Roman" w:cs="Times New Roman" w:eastAsia="Times New Roman" w:hAnsi="Times New Roman"/>
          <w:sz w:val="20"/>
          <w:szCs w:val="20"/>
          <w:color w:val="auto"/>
        </w:rPr>
        <w:t>The Notification Regarding Designation of National Core Technologies issued by the MOTIE was amended on July 14, 2021 to add certain technologies to the list of National Core Technology designated by the MOTIE, and the amended list includes the design technology for OLED Display Driver IC for driving display panels (‘‘OLED DDI’’). In the ordinary course of business, our Korean subsidiary may provide certain information relating to its products, including OLED DDI, to customers, suppliers or vendors, and such disclosure of information may be subject to the NCT-related regulations under the ITA, and therefore the MOTIE’s acceptance of prior-reports. Since the amendment of the foregoing NCT list in July 2021, we have filed prior-reports with the MOTIE for the export of our OLED DDI product-related information to certain overseas vendors that manufacture our products, and all such reports have thus far been accepted by the MOTIE.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0" w:lineRule="exact"/>
        <w:rPr>
          <w:sz w:val="20"/>
          <w:szCs w:val="20"/>
          <w:color w:val="auto"/>
        </w:rPr>
      </w:pPr>
    </w:p>
    <w:p>
      <w:pPr>
        <w:ind w:right="180" w:firstLine="400"/>
        <w:spacing w:after="0" w:line="247" w:lineRule="auto"/>
        <w:rPr>
          <w:sz w:val="20"/>
          <w:szCs w:val="20"/>
          <w:color w:val="auto"/>
        </w:rPr>
      </w:pPr>
      <w:r>
        <w:rPr>
          <w:rFonts w:ascii="Times New Roman" w:cs="Times New Roman" w:eastAsia="Times New Roman" w:hAnsi="Times New Roman"/>
          <w:sz w:val="20"/>
          <w:szCs w:val="20"/>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and power management semiconductor devices.</w:t>
      </w:r>
    </w:p>
    <w:p>
      <w:pPr>
        <w:spacing w:after="0" w:line="137" w:lineRule="exact"/>
        <w:rPr>
          <w:sz w:val="20"/>
          <w:szCs w:val="20"/>
          <w:color w:val="auto"/>
        </w:rPr>
      </w:pPr>
    </w:p>
    <w:p>
      <w:pPr>
        <w:ind w:right="280" w:firstLine="400"/>
        <w:spacing w:after="0" w:line="248" w:lineRule="auto"/>
        <w:rPr>
          <w:sz w:val="20"/>
          <w:szCs w:val="20"/>
          <w:color w:val="auto"/>
        </w:rPr>
      </w:pPr>
      <w:r>
        <w:rPr>
          <w:rFonts w:ascii="Times New Roman" w:cs="Times New Roman" w:eastAsia="Times New Roman" w:hAnsi="Times New Roman"/>
          <w:sz w:val="20"/>
          <w:szCs w:val="20"/>
          <w:color w:val="auto"/>
        </w:rPr>
        <w:t>We compete based on design experience, manufacturing capabilities, the ability to satisfy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20" w:lineRule="exact"/>
        <w:rPr>
          <w:sz w:val="20"/>
          <w:szCs w:val="20"/>
          <w:color w:val="auto"/>
        </w:rPr>
      </w:pPr>
    </w:p>
    <w:p>
      <w:pPr>
        <w:ind w:right="260" w:firstLine="400"/>
        <w:spacing w:after="0" w:line="248" w:lineRule="auto"/>
        <w:rPr>
          <w:sz w:val="20"/>
          <w:szCs w:val="20"/>
          <w:color w:val="auto"/>
        </w:rPr>
      </w:pPr>
      <w:r>
        <w:rPr>
          <w:rFonts w:ascii="Times New Roman" w:cs="Times New Roman" w:eastAsia="Times New Roman" w:hAnsi="Times New Roman"/>
          <w:sz w:val="20"/>
          <w:szCs w:val="20"/>
          <w:color w:val="auto"/>
        </w:rPr>
        <w:t>Our worldwide workforce consisted of 897 employees (full- and part-time) as of December 31, 2022, of which 202 were involved in sales, marketing, general and administrative, 222 in research and development (including 87 with advanced degrees), 44 in quality, reliability and assurance, and 429 in manufacturing (comprised of 46 in engineering and 383 in operations, maintenance and others). Our employees leverage their extensive expertise in engineering, design and process to accelerate the advancement of technology and be leaders in our industry. We pride our company on being a great workplace where employees from diverse backgrounds can reach their full potential.</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Labor Unions</w:t>
      </w:r>
    </w:p>
    <w:p>
      <w:pPr>
        <w:spacing w:after="0" w:line="120"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auto"/>
        </w:rPr>
        <w:t>As disclosed in previous reports, we have a labor union at our Korean subsidiary (the ‘‘First Union’’). On September 16, 2021, the formation of a second labor union at our Korean subsidiary (the ‘‘Second Union’’) was approved by local authorities (the First Union and the Second Union are collectively referred to as the ‘‘Magnachip Semiconductor Labor Unions’’). Both the First Union and the Second Union are members of a supervisory association named ‘‘Federation of Korean Trade Unions.’’ The First Union represents member employees who are factory workers and the Second Union represents member employees who are office workers, in both cases at our Korean subsidiary.</w:t>
      </w:r>
    </w:p>
    <w:p>
      <w:pPr>
        <w:spacing w:after="0" w:line="136"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2022, of the 866 employees at our Korean subsidiary, 387 were represented by the First Union, and 98 employees were represented by the Second Union. Approximately 56% of our employees at our Korean subsidiary were represented by the Magnachip Semiconductor Labor Unions.</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80"/>
          </w:cols>
          <w:pgMar w:left="1420" w:top="889" w:right="1440" w:bottom="182" w:gutter="0" w:footer="0" w:header="0"/>
          <w:type w:val="continuous"/>
        </w:sectPr>
      </w:pPr>
    </w:p>
    <w:bookmarkStart w:id="15" w:name="page16"/>
    <w:bookmarkEnd w:id="15"/>
    <w:p>
      <w:pPr>
        <w:ind w:right="100" w:firstLine="400"/>
        <w:spacing w:after="0" w:line="245" w:lineRule="auto"/>
        <w:rPr>
          <w:sz w:val="20"/>
          <w:szCs w:val="20"/>
          <w:color w:val="auto"/>
        </w:rPr>
      </w:pPr>
      <w:r>
        <w:rPr>
          <w:rFonts w:ascii="Times New Roman" w:cs="Times New Roman" w:eastAsia="Times New Roman" w:hAnsi="Times New Roman"/>
          <w:sz w:val="20"/>
          <w:szCs w:val="20"/>
          <w:color w:val="auto"/>
        </w:rPr>
        <w:t>See ‘‘Item 1A. Risk Factors—Risks Related to Our Business—If we encounter future labor problems, we may fail to deliver our products and services in a timely manner, which would adversely affect our revenues and profitability.’’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Values and Culture</w:t>
      </w:r>
    </w:p>
    <w:p>
      <w:pPr>
        <w:spacing w:after="0" w:line="120" w:lineRule="exact"/>
        <w:rPr>
          <w:sz w:val="20"/>
          <w:szCs w:val="20"/>
          <w:color w:val="auto"/>
        </w:rPr>
      </w:pPr>
    </w:p>
    <w:p>
      <w:pPr>
        <w:ind w:right="40" w:firstLine="400"/>
        <w:spacing w:after="0" w:line="247" w:lineRule="auto"/>
        <w:rPr>
          <w:sz w:val="20"/>
          <w:szCs w:val="20"/>
          <w:color w:val="auto"/>
        </w:rPr>
      </w:pPr>
      <w:r>
        <w:rPr>
          <w:rFonts w:ascii="Times New Roman" w:cs="Times New Roman" w:eastAsia="Times New Roman" w:hAnsi="Times New Roman"/>
          <w:sz w:val="20"/>
          <w:szCs w:val="20"/>
          <w:color w:val="auto"/>
        </w:rPr>
        <w:t>Our core values represent a commitment to building an environment of trust with our employees, customers, investors and the communities in which we operate. Through our values and culture, we strive to shape a better future not only for ourselves and our customers, but for humanity as a whole. At Magnachip, we strive to foster effective collaboration by respecting different perspectives, giving and receiving constructive feedback, and supporting one another.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Inclusion and Diversity</w:t>
      </w:r>
    </w:p>
    <w:p>
      <w:pPr>
        <w:spacing w:after="0" w:line="120" w:lineRule="exact"/>
        <w:rPr>
          <w:sz w:val="20"/>
          <w:szCs w:val="20"/>
          <w:color w:val="auto"/>
        </w:rPr>
      </w:pPr>
    </w:p>
    <w:p>
      <w:pPr>
        <w:ind w:right="240" w:firstLine="400"/>
        <w:spacing w:after="0" w:line="245" w:lineRule="auto"/>
        <w:rPr>
          <w:sz w:val="20"/>
          <w:szCs w:val="20"/>
          <w:color w:val="auto"/>
        </w:rPr>
      </w:pPr>
      <w:r>
        <w:rPr>
          <w:rFonts w:ascii="Times New Roman" w:cs="Times New Roman" w:eastAsia="Times New Roman" w:hAnsi="Times New Roman"/>
          <w:sz w:val="20"/>
          <w:szCs w:val="20"/>
          <w:color w:val="auto"/>
        </w:rPr>
        <w:t>We support all employees, regardless of gender, gender identity or expression, age, veteran status, race, ethnicity, national origin, religion or disability. We place great importance on inclusion and diversity within the workplace, and believe that an inclusive and diverse culture creates a happier, more relaxed work environment.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Labor and Ethics</w:t>
      </w:r>
    </w:p>
    <w:p>
      <w:pPr>
        <w:spacing w:after="0" w:line="120" w:lineRule="exact"/>
        <w:rPr>
          <w:sz w:val="20"/>
          <w:szCs w:val="20"/>
          <w:color w:val="auto"/>
        </w:rPr>
      </w:pPr>
    </w:p>
    <w:p>
      <w:pPr>
        <w:ind w:right="120" w:firstLine="400"/>
        <w:spacing w:after="0" w:line="247" w:lineRule="auto"/>
        <w:rPr>
          <w:sz w:val="20"/>
          <w:szCs w:val="20"/>
          <w:color w:val="auto"/>
        </w:rPr>
      </w:pPr>
      <w:r>
        <w:rPr>
          <w:rFonts w:ascii="Times New Roman" w:cs="Times New Roman" w:eastAsia="Times New Roman" w:hAnsi="Times New Roman"/>
          <w:sz w:val="20"/>
          <w:szCs w:val="20"/>
          <w:color w:val="auto"/>
        </w:rPr>
        <w:t>Magnachip strives to provide and maintain a working environment where management and employees are happy and treated with dignity and respect. Magnachip adheres to human rights and labor standards of international labor organizations, such as the United Nations and the International Labor Organization. Magnachip prohibits all forms of discrimination based on gender, race, nationality, religion and age to ensure all employees work in a safe and fair environment.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Empowering Great Talent</w:t>
      </w:r>
    </w:p>
    <w:p>
      <w:pPr>
        <w:spacing w:after="0" w:line="120"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auto"/>
        </w:rPr>
        <w:t>We offer a variety of offline training programs, including courses in the areas of design, engineering and technology, as well as courses at different job levels and leadership education. We also offer a number of online training programs, including in the areas of management/leadership and business skills such as presentation, negotiation, reporting, Information Technology and foreign language, which allow employees to improve their capabilities without time and space constraints. Every year, a majority of our employees are required to complete certain educational programs in the areas of information security, industrial safety and health, and sexual harassment prevention.</w:t>
      </w:r>
    </w:p>
    <w:p>
      <w:pPr>
        <w:spacing w:after="0" w:line="136" w:lineRule="exact"/>
        <w:rPr>
          <w:sz w:val="20"/>
          <w:szCs w:val="20"/>
          <w:color w:val="auto"/>
        </w:rPr>
      </w:pPr>
    </w:p>
    <w:p>
      <w:pPr>
        <w:ind w:right="120" w:firstLine="400"/>
        <w:spacing w:after="0" w:line="245" w:lineRule="auto"/>
        <w:rPr>
          <w:sz w:val="20"/>
          <w:szCs w:val="20"/>
          <w:color w:val="auto"/>
        </w:rPr>
      </w:pPr>
      <w:r>
        <w:rPr>
          <w:rFonts w:ascii="Times New Roman" w:cs="Times New Roman" w:eastAsia="Times New Roman" w:hAnsi="Times New Roman"/>
          <w:sz w:val="20"/>
          <w:szCs w:val="20"/>
          <w:color w:val="auto"/>
        </w:rPr>
        <w:t>We believe the foundation of Magnachip is our research and development (‘‘R&amp;D’’) talent. To ensure R&amp;D technical professionals continue to advance their skills and knowledge, we have technology committees that attend regular seminars and conduct periodic research. We have a reward program for exemplary research.</w:t>
      </w:r>
    </w:p>
    <w:p>
      <w:pPr>
        <w:spacing w:after="0" w:line="136" w:lineRule="exact"/>
        <w:rPr>
          <w:sz w:val="20"/>
          <w:szCs w:val="20"/>
          <w:color w:val="auto"/>
        </w:rPr>
      </w:pPr>
    </w:p>
    <w:p>
      <w:pPr>
        <w:jc w:val="both"/>
        <w:ind w:right="300" w:firstLine="400"/>
        <w:spacing w:after="0" w:line="245" w:lineRule="auto"/>
        <w:rPr>
          <w:sz w:val="20"/>
          <w:szCs w:val="20"/>
          <w:color w:val="auto"/>
        </w:rPr>
      </w:pPr>
      <w:r>
        <w:rPr>
          <w:rFonts w:ascii="Times New Roman" w:cs="Times New Roman" w:eastAsia="Times New Roman" w:hAnsi="Times New Roman"/>
          <w:sz w:val="20"/>
          <w:szCs w:val="20"/>
          <w:color w:val="auto"/>
        </w:rPr>
        <w:t>We also offer a Vision Seminar, which is led by our CEO and is designed to share our company’s vision, strategy and the management’s key messages to employees. Additionally, the CEO and management regularly communicate with employees through CEO letters and town hall meetings.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120" w:lineRule="exact"/>
        <w:rPr>
          <w:sz w:val="20"/>
          <w:szCs w:val="20"/>
          <w:color w:val="auto"/>
        </w:rPr>
      </w:pPr>
    </w:p>
    <w:p>
      <w:pPr>
        <w:ind w:right="60" w:firstLine="400"/>
        <w:spacing w:after="0" w:line="247" w:lineRule="auto"/>
        <w:rPr>
          <w:sz w:val="20"/>
          <w:szCs w:val="20"/>
          <w:color w:val="auto"/>
        </w:rPr>
      </w:pPr>
      <w:r>
        <w:rPr>
          <w:rFonts w:ascii="Times New Roman" w:cs="Times New Roman" w:eastAsia="Times New Roman" w:hAnsi="Times New Roman"/>
          <w:sz w:val="20"/>
          <w:szCs w:val="20"/>
          <w:color w:val="auto"/>
        </w:rPr>
        <w:t>We strive to reward employees with competitive compensation based on contribution and performance. We periodically evaluate market practices for compensation and benefits, including with respect to job function, role and responsibility, job level and region, and regularly review whether our compensation levels and distribution methods are fair and equitable. Additionally, we have long- and mid-term retention programs to attract and retain high-performing key talent.</w:t>
      </w:r>
    </w:p>
    <w:p>
      <w:pPr>
        <w:spacing w:after="0" w:line="137" w:lineRule="exact"/>
        <w:rPr>
          <w:sz w:val="20"/>
          <w:szCs w:val="20"/>
          <w:color w:val="auto"/>
        </w:rPr>
      </w:pPr>
    </w:p>
    <w:p>
      <w:pPr>
        <w:jc w:val="both"/>
        <w:ind w:right="20" w:firstLine="400"/>
        <w:spacing w:after="0" w:line="246" w:lineRule="auto"/>
        <w:rPr>
          <w:sz w:val="20"/>
          <w:szCs w:val="20"/>
          <w:color w:val="auto"/>
        </w:rPr>
      </w:pPr>
      <w:r>
        <w:rPr>
          <w:rFonts w:ascii="Times New Roman" w:cs="Times New Roman" w:eastAsia="Times New Roman" w:hAnsi="Times New Roman"/>
          <w:sz w:val="20"/>
          <w:szCs w:val="20"/>
          <w:color w:val="auto"/>
        </w:rPr>
        <w:t>We offer various employee benefits under the company philosophy that ensuring employees enjoy a happier life with their families is as critical as promoting their own health and well-being. All employees and their family members have access to annual medical checkup programs. Employees also have access to other benefits such as personal pensions, housing assistance, medical reimbursement plans and educational assistance programs.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Safety and Wellness</w:t>
      </w:r>
    </w:p>
    <w:p>
      <w:pPr>
        <w:spacing w:after="0" w:line="120" w:lineRule="exact"/>
        <w:rPr>
          <w:sz w:val="20"/>
          <w:szCs w:val="20"/>
          <w:color w:val="auto"/>
        </w:rPr>
      </w:pPr>
    </w:p>
    <w:p>
      <w:pPr>
        <w:ind w:right="40" w:firstLine="400"/>
        <w:spacing w:after="0" w:line="239" w:lineRule="auto"/>
        <w:rPr>
          <w:sz w:val="20"/>
          <w:szCs w:val="20"/>
          <w:color w:val="auto"/>
        </w:rPr>
      </w:pPr>
      <w:r>
        <w:rPr>
          <w:rFonts w:ascii="Times New Roman" w:cs="Times New Roman" w:eastAsia="Times New Roman" w:hAnsi="Times New Roman"/>
          <w:sz w:val="20"/>
          <w:szCs w:val="20"/>
          <w:color w:val="auto"/>
        </w:rPr>
        <w:t>During the ongoing COVID-19 pandemic, our priority has been ensuring the health and safety of our employees and their families. We built a companywide control tower to provide appropriate response guidance as</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80"/>
          </w:cols>
          <w:pgMar w:left="1420" w:top="899" w:right="1440" w:bottom="182" w:gutter="0" w:footer="0" w:header="0"/>
          <w:type w:val="continuous"/>
        </w:sectPr>
      </w:pPr>
    </w:p>
    <w:bookmarkStart w:id="16" w:name="page17"/>
    <w:bookmarkEnd w:id="16"/>
    <w:p>
      <w:pPr>
        <w:ind w:right="120"/>
        <w:spacing w:after="0" w:line="246" w:lineRule="auto"/>
        <w:rPr>
          <w:sz w:val="20"/>
          <w:szCs w:val="20"/>
          <w:color w:val="auto"/>
        </w:rPr>
      </w:pPr>
      <w:r>
        <w:rPr>
          <w:rFonts w:ascii="Times New Roman" w:cs="Times New Roman" w:eastAsia="Times New Roman" w:hAnsi="Times New Roman"/>
          <w:sz w:val="20"/>
          <w:szCs w:val="20"/>
          <w:color w:val="auto"/>
        </w:rPr>
        <w:t>the pandemic has evolved, and have secured internal/external capabilities to respond to emergencies systematically. In response to the ongoing COVID-19 pandemic, we quickly instituted infrastructure to support remote working, so that our employees could work from home in a safe and stable environment. In addition, we have installed safety facilities within our business sites.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w:t>
      </w:r>
    </w:p>
    <w:p>
      <w:pPr>
        <w:spacing w:after="0" w:line="120"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change frequently and have tended to become more stringent over time. Since 2015, our Korean subsidiary has been subject to a new set of greenhouse gas emissions regulation, the Korean Emissions Trading Scheme, or K-ETS,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the emission or purchasing the allowances from other participants in the emission trading market.</w:t>
      </w:r>
    </w:p>
    <w:p>
      <w:pPr>
        <w:spacing w:after="0" w:line="134" w:lineRule="exact"/>
        <w:rPr>
          <w:sz w:val="20"/>
          <w:szCs w:val="20"/>
          <w:color w:val="auto"/>
        </w:rPr>
      </w:pPr>
    </w:p>
    <w:p>
      <w:pPr>
        <w:ind w:right="60" w:firstLine="400"/>
        <w:spacing w:after="0" w:line="249" w:lineRule="auto"/>
        <w:rPr>
          <w:sz w:val="20"/>
          <w:szCs w:val="20"/>
          <w:color w:val="auto"/>
        </w:rPr>
      </w:pPr>
      <w:r>
        <w:rPr>
          <w:rFonts w:ascii="Times New Roman" w:cs="Times New Roman" w:eastAsia="Times New Roman" w:hAnsi="Times New Roman"/>
          <w:sz w:val="20"/>
          <w:szCs w:val="20"/>
          <w:color w:val="auto"/>
        </w:rPr>
        <w:t>Another example is the newly reinforced regulations on chemicals under Chemicals Control Act and K-REACH, which came into effect on January 1, 2015. Under these laws, our Korean subsidiary is required to comply with various requirements to report, evaluate, manage and ensure the safe usage of the chemicals used in its facilities. There can be no assurance that we have been or will be in compliance with all of these laws and regulations, or that we will not incur material costs or liabilities in connection with these laws and regulations in the future. The adoption of new environmental, health and safety laws and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w:t>
      </w:r>
    </w:p>
    <w:p>
      <w:pPr>
        <w:spacing w:after="0" w:line="120" w:lineRule="exact"/>
        <w:rPr>
          <w:sz w:val="20"/>
          <w:szCs w:val="20"/>
          <w:color w:val="auto"/>
        </w:rPr>
      </w:pPr>
    </w:p>
    <w:p>
      <w:pPr>
        <w:ind w:right="100" w:firstLine="400"/>
        <w:spacing w:after="0" w:line="249" w:lineRule="auto"/>
        <w:rPr>
          <w:sz w:val="20"/>
          <w:szCs w:val="20"/>
          <w:color w:val="auto"/>
        </w:rPr>
      </w:pPr>
      <w:r>
        <w:rPr>
          <w:rFonts w:ascii="Times New Roman" w:cs="Times New Roman" w:eastAsia="Times New Roman" w:hAnsi="Times New Roman"/>
          <w:sz w:val="20"/>
          <w:szCs w:val="20"/>
          <w:color w:val="auto"/>
        </w:rPr>
        <w:t>We use processes that require specialized raw materials that are generally available from a limited number of suppliers. We continue to attempt to qualify additional suppliers for our raw materials. The Securities and Exchange Commission (the ‘‘SEC’’), as mandated by the Dodd-Frank Wall Street Reform and Consumer Protection Act of 2010, has adopted disclosure regulations for public companies that manufacture products containing certain minerals that are mined from the Democratic Republic of Congo and adjoining countries. These ‘‘conflict minerals’’ are commonly found in metals used in the manufacture of semiconductors. The implementation of these requirements could adversely affect the sourcing, availability and pricing of metals used in the manufacture of our products. See ‘‘Item 1A. Risk Factors—Risks Related to Our Business—Compliance with regulations regarding the use of ‘‘conflict minerals’’ could limit the supply and increase the cost of certain raw materials used in manufacturing our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20" w:lineRule="exact"/>
        <w:rPr>
          <w:sz w:val="20"/>
          <w:szCs w:val="20"/>
          <w:color w:val="auto"/>
        </w:rPr>
      </w:pPr>
    </w:p>
    <w:p>
      <w:pPr>
        <w:ind w:right="60" w:firstLine="400"/>
        <w:spacing w:after="0" w:line="249" w:lineRule="auto"/>
        <w:rPr>
          <w:sz w:val="20"/>
          <w:szCs w:val="20"/>
          <w:color w:val="auto"/>
        </w:rPr>
      </w:pPr>
      <w:r>
        <w:rPr>
          <w:rFonts w:ascii="Times New Roman" w:cs="Times New Roman" w:eastAsia="Times New Roman" w:hAnsi="Times New Roman"/>
          <w:sz w:val="20"/>
          <w:szCs w:val="20"/>
          <w:color w:val="auto"/>
        </w:rPr>
        <w:t>Our principal executive office is located at: c/o Magnachip Semiconductor, Ltd., 15F, 76, Jikji-daero 436beon-gil, Heungdeok-gu, Cheongju-si, Chungcheongbuk-do, 28581, Republic of Korea, and our email address is investors@magnachip.com. Our website address is www.magnachip.com. Our annual, quarterly and current reports on Forms 10-K, 10-Q or 8-K, respectively, and all amendments thereto filed or furnished pursuant to Section 13(a) or 15(d) of the Exchange Act, can be accessed, free of charge, at our website as soon as practicable after such reports are filed with the SEC. In addition, our Corporate Governance Guidelines, Code of Business Conduct and Ethics, Clawback Policy, Audit Committee Charter, Compensation Committee Charter, Nominating and Governance Committee Charter and Risk Committee Charter are available on our website. Information contained on our website does not constitute, and shall not be deemed to constitute, part of this Report and shall not be deemed to be incorporated by reference into this Report. In addition, the SEC maintains an internet site, www.sec.gov, from which you can access our annual, quarterly and current reports on Form</w:t>
      </w:r>
    </w:p>
    <w:p>
      <w:pPr>
        <w:spacing w:after="0" w:line="1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10-K, 10-Q and 8-K, respectively, and all amendments to these materials after such reports and amendments are filed with the SEC. You may also request a copy of these filings, at no cost, by writing or telephoning us at the following address or phone number: c/o Magnachip Semiconductor, Ltd., 15F, 76 Jikji-daero 436beon-gil, Heungdeok-gu, Cheongju-si, Chungcheongbuk-do, 28581, Republic of Korea; Attention: Investor Relations; email address: investors@magnachip.com.</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80"/>
          </w:cols>
          <w:pgMar w:left="1420" w:top="899" w:right="1440" w:bottom="182"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sets forth certain information regarding our current executive officers: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20" w:type="dxa"/>
            <w:vAlign w:val="bottom"/>
          </w:tcPr>
          <w:p>
            <w:pPr>
              <w:spacing w:after="0"/>
              <w:rPr>
                <w:sz w:val="16"/>
                <w:szCs w:val="16"/>
                <w:color w:val="auto"/>
              </w:rPr>
            </w:pPr>
          </w:p>
        </w:tc>
        <w:tc>
          <w:tcPr>
            <w:tcW w:w="6240" w:type="dxa"/>
            <w:vAlign w:val="bottom"/>
            <w:tcBorders>
              <w:bottom w:val="single" w:sz="8" w:color="auto"/>
            </w:tcBorders>
          </w:tcPr>
          <w:p>
            <w:pPr>
              <w:ind w:left="286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9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Young-Joon (YJ) Kim</w:t>
            </w:r>
          </w:p>
        </w:tc>
        <w:tc>
          <w:tcPr>
            <w:tcW w:w="6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58</w:t>
            </w: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Director and Chief Executive Officer</w:t>
            </w:r>
          </w:p>
        </w:tc>
      </w:tr>
      <w:tr>
        <w:trPr>
          <w:trHeight w:val="255"/>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Shin Young Park</w:t>
            </w:r>
          </w:p>
        </w:tc>
        <w:tc>
          <w:tcPr>
            <w:tcW w:w="6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42</w:t>
            </w: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55"/>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Theodore Kim</w:t>
            </w:r>
          </w:p>
        </w:tc>
        <w:tc>
          <w:tcPr>
            <w:tcW w:w="6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53</w:t>
            </w: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Chief Compliance Officer, General Counsel and Secretary</w:t>
            </w:r>
          </w:p>
        </w:tc>
      </w:tr>
      <w:tr>
        <w:trPr>
          <w:trHeight w:val="255"/>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Woung Moo Lee</w:t>
            </w:r>
          </w:p>
        </w:tc>
        <w:tc>
          <w:tcPr>
            <w:tcW w:w="6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60</w:t>
            </w: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General Manager of Worldwide Sales</w:t>
            </w:r>
          </w:p>
        </w:tc>
      </w:tr>
      <w:tr>
        <w:trPr>
          <w:trHeight w:val="255"/>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Chan Ho Park</w:t>
            </w:r>
          </w:p>
        </w:tc>
        <w:tc>
          <w:tcPr>
            <w:tcW w:w="6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59</w:t>
            </w: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General Manager of Power Solutions</w:t>
            </w:r>
          </w:p>
        </w:tc>
      </w:tr>
    </w:tbl>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i w:val="1"/>
          <w:iCs w:val="1"/>
          <w:color w:val="auto"/>
        </w:rPr>
        <w:t>Young-Joon (YJ) Kim, Board of Directors, Member of the Risk Committee and Chief Executive Officer.</w:t>
      </w:r>
    </w:p>
    <w:p>
      <w:pPr>
        <w:spacing w:after="0" w:line="3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Mr. YJ Kim became our Chief Executive Officer in May 2015 and has also served as a director on our Board since that time. In February 2020, Mr. Kim assumed the additional role of General Manager of the Display business to capitalize on attractive growth opportunities in OLED display and other relevant emerging markets. He also served as the acting General Manager of Foundry Services Group from January 2019 until the completion of the sale of the Foundry Services Group and the factory in Cheongju (‘‘Fab 4’’) on September 1, 2020. Mr. Kim joined our company in May 2013 and served as our Executive Vice President and General Manager, Display Solutions Division. He was promoted to Interim Chief Executive Officer in May 2014. Prior to joining our company, Mr. Kim held a variety of senior management roles at several global semiconductor firms. His past roles include marketing, engineering, product development and strategic planning, and his product expertise includes microprocessors, network processors, multi-core processors, FLASH, EPROM, analog, mixed-signal, sensors, wireless base station,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w:t>
      </w:r>
    </w:p>
    <w:p>
      <w:pPr>
        <w:spacing w:after="0" w:line="15"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20"/>
          <w:szCs w:val="20"/>
          <w:color w:val="auto"/>
        </w:rPr>
        <w:t>Mr. Kim began his career as a product engineer at Intel Corporation in 1988.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w:t>
      </w:r>
    </w:p>
    <w:p>
      <w:pPr>
        <w:spacing w:after="0" w:line="129" w:lineRule="exact"/>
        <w:rPr>
          <w:sz w:val="20"/>
          <w:szCs w:val="20"/>
          <w:color w:val="auto"/>
        </w:rPr>
      </w:pPr>
    </w:p>
    <w:p>
      <w:pPr>
        <w:ind w:right="40" w:firstLine="40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Shin Young Park, Chief Financial Officer. </w:t>
      </w:r>
      <w:r>
        <w:rPr>
          <w:rFonts w:ascii="Times New Roman" w:cs="Times New Roman" w:eastAsia="Times New Roman" w:hAnsi="Times New Roman"/>
          <w:sz w:val="20"/>
          <w:szCs w:val="20"/>
          <w:color w:val="auto"/>
        </w:rPr>
        <w:t>Ms. Shin Young Park became our Chief Financial Officer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January 2022 and became our Chief Accounting Officer in March 2020. Ms. Park previously served as the Company’s Corporate Controller from November 2018 to February 2020. Prior to that, she served as the SEC Reporting and Accounting Director from April 2015 to October 2018. Before joining the Company in April 2014, from 2005 to March 2014, Ms. Park served in various senior advisory and audit service positions at Deloitte, a public accounting firm. From 2005 to 2009, she worked at Deloitte &amp; Touche in Chicago, Illinois; from 2009 to 2011 and then from 2013 to March 2014, she worked at Deloitte Anjin in Seoul, South Korea; and from 2011 to 2013, she worked at Deloitte in London, U.K. Ms. Park holds a B.A. degree in business administration from Sogang University, Seoul, Korea, and a Master’s degree in hospitality industry studies from New York University.</w:t>
      </w:r>
    </w:p>
    <w:p>
      <w:pPr>
        <w:spacing w:after="0" w:line="378" w:lineRule="exact"/>
        <w:rPr>
          <w:sz w:val="20"/>
          <w:szCs w:val="20"/>
          <w:color w:val="auto"/>
        </w:rPr>
      </w:pPr>
    </w:p>
    <w:p>
      <w:pPr>
        <w:ind w:right="80" w:firstLine="40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Theodore Kim, Chief Compliance Officer, General Counsel and Secretary. </w:t>
      </w:r>
      <w:r>
        <w:rPr>
          <w:rFonts w:ascii="Times New Roman" w:cs="Times New Roman" w:eastAsia="Times New Roman" w:hAnsi="Times New Roman"/>
          <w:sz w:val="20"/>
          <w:szCs w:val="20"/>
          <w:color w:val="auto"/>
        </w:rPr>
        <w:t>Mr. Theodore (‘‘Ted’’) Kim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became our Chief Compliance Officer in May 2015 and became our General Counsel and Secretary in November 2013. Mr. Kim previously served as our Senior Vice President from November 2013 to May 2015. Prior to joining Magnachip, Mr. Kim served as Head Lawyer, Global Business Development at Samsung Fire &amp; Marine Insurance from October 2012 to October 2013. Mr. Kim was employed by Gibson Dunn, a law firm, from October 2005 to July 2012, serving most recently as Of Counsel. Prior to that, he served as Foreign Legal Consultant at Kim &amp; Chang, a law firm in Korea, from 2001 to 2005, and prior to that, he worked as an associate attorney at Morrison &amp; Foerster, a law firm, from 1997 to 2001. Mr. Kim holds a B.A. degree in Economics and a B.S. degree in Mechanical Engineering from University of California, Irvine, and a J.D. degree from University of California, Los Angeles, School of Law.</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80"/>
          </w:cols>
          <w:pgMar w:left="1420" w:top="889" w:right="1440" w:bottom="182" w:gutter="0" w:footer="0" w:header="0"/>
          <w:type w:val="continuous"/>
        </w:sectPr>
      </w:pPr>
    </w:p>
    <w:bookmarkStart w:id="18" w:name="page19"/>
    <w:bookmarkEnd w:id="18"/>
    <w:p>
      <w:pPr>
        <w:ind w:right="40" w:firstLine="40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Woung Moo Lee, General Manager of Worldwide Sales. </w:t>
      </w:r>
      <w:r>
        <w:rPr>
          <w:rFonts w:ascii="Times New Roman" w:cs="Times New Roman" w:eastAsia="Times New Roman" w:hAnsi="Times New Roman"/>
          <w:sz w:val="20"/>
          <w:szCs w:val="20"/>
          <w:color w:val="auto"/>
        </w:rPr>
        <w:t>Mr. Woung Moo Lee was named as General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Manager of Worldwide Sales since June of 2020. Prior to that, Mr. Lee served as General Manager of Worldwide Sales and Power Solutions from February 2020. Mr. Lee had been appointed as General Manager of the Standard Products Group in 2015 and prior to that served as our Senior Vice President, Korea Sales from 2013. Before joining our company, he was one of the founding executives and served as Vice President of Global Strategy and Marketing, Samsung LED Co., Ltd. from 2009 to 2011. In 1984, Mr. Lee began his career as a memory semiconductor design engineer and served as Vice President of Memory Strategy &amp; Marketing Team at Samsung Electronics Co., Ltd. until 2009. Mr. Lee received the prestigious ‘‘Proud Samsung Employee Award’’ in 2005 and holds a B.S. degree in Electronic Engineering from Inha University.</w:t>
      </w:r>
    </w:p>
    <w:p>
      <w:pPr>
        <w:spacing w:after="0" w:line="128" w:lineRule="exact"/>
        <w:rPr>
          <w:sz w:val="20"/>
          <w:szCs w:val="20"/>
          <w:color w:val="auto"/>
        </w:rPr>
      </w:pPr>
    </w:p>
    <w:p>
      <w:pPr>
        <w:ind w:right="40" w:firstLine="40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Chan Ho Park, General Manager of Power Solutions. </w:t>
      </w:r>
      <w:r>
        <w:rPr>
          <w:rFonts w:ascii="Times New Roman" w:cs="Times New Roman" w:eastAsia="Times New Roman" w:hAnsi="Times New Roman"/>
          <w:sz w:val="20"/>
          <w:szCs w:val="20"/>
          <w:color w:val="auto"/>
        </w:rPr>
        <w:t>Dr. Chan Ho Park became our General Manager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Power Solutions in June 2020 with over 30 years of hands-on experience in the development of discrete power devices and market insights throughout the power semiconductor industry. Prior to joining our company, he was a senior staff at Vishay Intertechnology Inc. since March, 2014. He developed cutting-edge technology platforms for low voltages MOSFETs having 1.5 giga-cell density and provided high and low side MOSFETs for DrMOS to various power stage solutions. Dr. Park started his professional career in 1986 as a design engineer in the field of BJT, J-FET, and Schottky Diode at Samsung Electronics, located in Bucheon, Korea. Afterwards, he worked for Fairchild Semiconductor in West Jordan, Utah and for Vishay Siliconix in San Jose, California. He rejoined Samsung Electronics, System LSI Business in 2011 as the Vice President of Discrete Development Team, where he led R&amp;D, PE, FAE and high voltage power IC technologies for IGBTs, super-junction MOSFETs, split gate MOSFETs and driver ICs. He received a Ph.D. in Electrical Engineering from KAIST (Korea Advanced Institute of Science and Technology) and a B.S. in Physics from Seoul National University. He is a member of IEEE and a peer reviewer for IEEE transactions on Electron Devices and Electron Device Letters.</w:t>
      </w:r>
    </w:p>
    <w:p>
      <w:pPr>
        <w:sectPr>
          <w:pgSz w:w="12240" w:h="15840" w:orient="portrait"/>
          <w:cols w:equalWidth="0" w:num="1">
            <w:col w:w="9380"/>
          </w:cols>
          <w:pgMar w:left="1420" w:top="893"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80"/>
          </w:cols>
          <w:pgMar w:left="1420" w:top="893" w:right="1440" w:bottom="182" w:gutter="0" w:footer="0" w:header="0"/>
          <w:type w:val="continuous"/>
        </w:sectPr>
      </w:pPr>
    </w:p>
    <w:bookmarkStart w:id="19" w:name="page20"/>
    <w:bookmarkEnd w:id="19"/>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1A.</w:t>
        <w:tab/>
        <w:t>Risk Factors</w:t>
      </w:r>
    </w:p>
    <w:p>
      <w:pPr>
        <w:spacing w:after="0" w:line="122" w:lineRule="exact"/>
        <w:rPr>
          <w:sz w:val="20"/>
          <w:szCs w:val="20"/>
          <w:color w:val="auto"/>
        </w:rPr>
      </w:pPr>
    </w:p>
    <w:p>
      <w:pPr>
        <w:ind w:right="160" w:firstLine="400"/>
        <w:spacing w:after="0" w:line="247" w:lineRule="auto"/>
        <w:rPr>
          <w:sz w:val="20"/>
          <w:szCs w:val="20"/>
          <w:color w:val="auto"/>
        </w:rPr>
      </w:pPr>
      <w:r>
        <w:rPr>
          <w:rFonts w:ascii="Times New Roman" w:cs="Times New Roman" w:eastAsia="Times New Roman" w:hAnsi="Times New Roman"/>
          <w:sz w:val="20"/>
          <w:szCs w:val="20"/>
          <w:i w:val="1"/>
          <w:iCs w:val="1"/>
          <w:color w:val="auto"/>
        </w:rPr>
        <w:t>You should carefully consider the risk factors set forth below as well as the other information contained in this Report.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is a summary of the risk factors included herein.</w:t>
      </w:r>
    </w:p>
    <w:p>
      <w:pPr>
        <w:spacing w:after="0" w:line="134" w:lineRule="exact"/>
        <w:rPr>
          <w:sz w:val="20"/>
          <w:szCs w:val="20"/>
          <w:color w:val="auto"/>
        </w:rPr>
      </w:pPr>
    </w:p>
    <w:p>
      <w:pPr>
        <w:ind w:left="800" w:right="160" w:hanging="394"/>
        <w:spacing w:after="0" w:line="235" w:lineRule="auto"/>
        <w:tabs>
          <w:tab w:leader="none" w:pos="80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We manufacture our products based on our estimates of customer demand, and if our estimates are incorrect, our financial results could be negatively impacted.</w:t>
      </w:r>
    </w:p>
    <w:p>
      <w:pPr>
        <w:spacing w:after="0" w:line="134" w:lineRule="exact"/>
        <w:rPr>
          <w:rFonts w:ascii="Symbol" w:cs="Symbol" w:eastAsia="Symbol" w:hAnsi="Symbol"/>
          <w:sz w:val="20"/>
          <w:szCs w:val="20"/>
          <w:color w:val="auto"/>
        </w:rPr>
      </w:pPr>
    </w:p>
    <w:p>
      <w:pPr>
        <w:ind w:left="800" w:right="300" w:hanging="394"/>
        <w:spacing w:after="0" w:line="235" w:lineRule="auto"/>
        <w:tabs>
          <w:tab w:leader="none" w:pos="80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A significant portion of our sales comes from a relatively limited number of customers, the loss of which could adversely affect our financial results.</w:t>
      </w:r>
    </w:p>
    <w:p>
      <w:pPr>
        <w:spacing w:after="0" w:line="134" w:lineRule="exact"/>
        <w:rPr>
          <w:rFonts w:ascii="Symbol" w:cs="Symbol" w:eastAsia="Symbol" w:hAnsi="Symbol"/>
          <w:sz w:val="20"/>
          <w:szCs w:val="20"/>
          <w:color w:val="auto"/>
        </w:rPr>
      </w:pPr>
    </w:p>
    <w:p>
      <w:pPr>
        <w:ind w:left="800" w:right="400" w:hanging="394"/>
        <w:spacing w:after="0" w:line="235" w:lineRule="auto"/>
        <w:tabs>
          <w:tab w:leader="none" w:pos="80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The average selling prices of our semiconductor products have at times declined rapidly and will likely do so in the future, which could harm our revenue and gross profit.</w:t>
      </w:r>
    </w:p>
    <w:p>
      <w:pPr>
        <w:spacing w:after="0" w:line="134" w:lineRule="exact"/>
        <w:rPr>
          <w:rFonts w:ascii="Symbol" w:cs="Symbol" w:eastAsia="Symbol" w:hAnsi="Symbol"/>
          <w:sz w:val="20"/>
          <w:szCs w:val="20"/>
          <w:color w:val="auto"/>
        </w:rPr>
      </w:pPr>
    </w:p>
    <w:p>
      <w:pPr>
        <w:ind w:left="800" w:right="200" w:hanging="394"/>
        <w:spacing w:after="0" w:line="235" w:lineRule="auto"/>
        <w:tabs>
          <w:tab w:leader="none" w:pos="80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currency fluctuations, and changes in the exchange rates of applicable currencies could impact our results of operations.</w:t>
      </w:r>
    </w:p>
    <w:p>
      <w:pPr>
        <w:spacing w:after="0" w:line="134" w:lineRule="exact"/>
        <w:rPr>
          <w:rFonts w:ascii="Symbol" w:cs="Symbol" w:eastAsia="Symbol" w:hAnsi="Symbol"/>
          <w:sz w:val="20"/>
          <w:szCs w:val="20"/>
          <w:color w:val="auto"/>
        </w:rPr>
      </w:pPr>
    </w:p>
    <w:p>
      <w:pPr>
        <w:ind w:left="800" w:right="400" w:hanging="394"/>
        <w:spacing w:after="0" w:line="235" w:lineRule="auto"/>
        <w:tabs>
          <w:tab w:leader="none" w:pos="80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Global shortages in manufacturing capacities could interrupt or negatively affect our operations, increase cost to manufacture and negatively impact our results of operations.</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Expanded trade restrictions may limit our ability to sell to certain customers.</w:t>
      </w:r>
    </w:p>
    <w:p>
      <w:pPr>
        <w:spacing w:after="0" w:line="134" w:lineRule="exact"/>
        <w:rPr>
          <w:rFonts w:ascii="Symbol" w:cs="Symbol" w:eastAsia="Symbol" w:hAnsi="Symbol"/>
          <w:sz w:val="20"/>
          <w:szCs w:val="20"/>
          <w:color w:val="auto"/>
        </w:rPr>
      </w:pPr>
    </w:p>
    <w:p>
      <w:pPr>
        <w:jc w:val="both"/>
        <w:ind w:left="800" w:right="160" w:hanging="394"/>
        <w:spacing w:after="0"/>
        <w:tabs>
          <w:tab w:leader="none" w:pos="80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Recent changes in international trade policy and the imposition and threats of international tariffs, including tariffs applied to goods traded between the United States and China, could materially and adversely affect our business and results of operations.</w:t>
      </w:r>
    </w:p>
    <w:p>
      <w:pPr>
        <w:spacing w:after="0" w:line="135" w:lineRule="exact"/>
        <w:rPr>
          <w:rFonts w:ascii="Symbol" w:cs="Symbol" w:eastAsia="Symbol" w:hAnsi="Symbol"/>
          <w:sz w:val="20"/>
          <w:szCs w:val="20"/>
          <w:color w:val="auto"/>
        </w:rPr>
      </w:pPr>
    </w:p>
    <w:p>
      <w:pPr>
        <w:ind w:left="800" w:right="380" w:hanging="394"/>
        <w:spacing w:after="0"/>
        <w:tabs>
          <w:tab w:leader="none" w:pos="80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Our Korean subsidiary has been designated as a regulated business under Korean environmental law, and such designation could have an adverse effect on our financial position and results of operations.</w:t>
      </w:r>
    </w:p>
    <w:p>
      <w:pPr>
        <w:spacing w:after="0" w:line="135" w:lineRule="exact"/>
        <w:rPr>
          <w:rFonts w:ascii="Symbol" w:cs="Symbol" w:eastAsia="Symbol" w:hAnsi="Symbol"/>
          <w:sz w:val="20"/>
          <w:szCs w:val="20"/>
          <w:color w:val="auto"/>
        </w:rPr>
      </w:pPr>
    </w:p>
    <w:p>
      <w:pPr>
        <w:ind w:left="800" w:right="160" w:hanging="394"/>
        <w:spacing w:after="0" w:line="235" w:lineRule="auto"/>
        <w:tabs>
          <w:tab w:leader="none" w:pos="80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Our compliance with the Serious Accidents Punishment Act (the ‘‘SAPA’’) could require significant expenditures and management time and expose us to liability for violations.</w:t>
      </w:r>
    </w:p>
    <w:p>
      <w:pPr>
        <w:spacing w:after="0" w:line="134" w:lineRule="exact"/>
        <w:rPr>
          <w:rFonts w:ascii="Symbol" w:cs="Symbol" w:eastAsia="Symbol" w:hAnsi="Symbol"/>
          <w:sz w:val="20"/>
          <w:szCs w:val="20"/>
          <w:color w:val="auto"/>
        </w:rPr>
      </w:pPr>
    </w:p>
    <w:p>
      <w:pPr>
        <w:jc w:val="both"/>
        <w:ind w:left="800" w:right="220" w:hanging="394"/>
        <w:spacing w:after="0"/>
        <w:tabs>
          <w:tab w:leader="none" w:pos="80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135" w:lineRule="exact"/>
        <w:rPr>
          <w:rFonts w:ascii="Symbol" w:cs="Symbol" w:eastAsia="Symbol" w:hAnsi="Symbol"/>
          <w:sz w:val="20"/>
          <w:szCs w:val="20"/>
          <w:color w:val="auto"/>
        </w:rPr>
      </w:pPr>
    </w:p>
    <w:p>
      <w:pPr>
        <w:ind w:left="800" w:right="180" w:hanging="394"/>
        <w:spacing w:after="0"/>
        <w:tabs>
          <w:tab w:leader="none" w:pos="80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We cannot guarantee that our share repurchase program will be successfully consummated, or that it will enhance shareholder value, and share repurchases could affect the price of our common stock.</w:t>
      </w:r>
    </w:p>
    <w:p>
      <w:pPr>
        <w:spacing w:after="0" w:line="365" w:lineRule="exact"/>
        <w:rPr>
          <w:rFonts w:ascii="Symbol" w:cs="Symbol" w:eastAsia="Symbol" w:hAnsi="Symbol"/>
          <w:sz w:val="20"/>
          <w:szCs w:val="20"/>
          <w:color w:val="auto"/>
        </w:rPr>
      </w:pPr>
    </w:p>
    <w:p>
      <w:pPr>
        <w:ind w:left="800" w:right="360" w:hanging="394"/>
        <w:spacing w:after="0" w:line="235" w:lineRule="auto"/>
        <w:tabs>
          <w:tab w:leader="none" w:pos="80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Provisions in our charter documents and Delaware Law may make it difficult for a third party to acquire us and could depress the price of our common stock.</w:t>
      </w:r>
    </w:p>
    <w:p>
      <w:pPr>
        <w:spacing w:after="0" w:line="134" w:lineRule="exact"/>
        <w:rPr>
          <w:rFonts w:ascii="Symbol" w:cs="Symbol" w:eastAsia="Symbol" w:hAnsi="Symbol"/>
          <w:sz w:val="20"/>
          <w:szCs w:val="20"/>
          <w:color w:val="auto"/>
        </w:rPr>
      </w:pPr>
    </w:p>
    <w:p>
      <w:pPr>
        <w:ind w:left="800" w:right="20" w:hanging="394"/>
        <w:spacing w:after="0"/>
        <w:tabs>
          <w:tab w:leader="none" w:pos="80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We have not historically paid dividends and do not currently have any dividend or distribution policy, and therefore, investors may need to rely on sales of their common stock as the only way to realize any future gains on their investments.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14"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operate in the highly cyclical semiconductor industry, which is subject to significant downturns that may negatively impact our results of operations.</w:t>
      </w:r>
    </w:p>
    <w:p>
      <w:pPr>
        <w:spacing w:after="0" w:line="121" w:lineRule="exact"/>
        <w:rPr>
          <w:sz w:val="20"/>
          <w:szCs w:val="20"/>
          <w:color w:val="auto"/>
        </w:rPr>
      </w:pPr>
    </w:p>
    <w:p>
      <w:pPr>
        <w:ind w:right="160" w:firstLine="400"/>
        <w:spacing w:after="0" w:line="245" w:lineRule="auto"/>
        <w:rPr>
          <w:sz w:val="20"/>
          <w:szCs w:val="20"/>
          <w:color w:val="auto"/>
        </w:rPr>
      </w:pPr>
      <w:r>
        <w:rPr>
          <w:rFonts w:ascii="Times New Roman" w:cs="Times New Roman" w:eastAsia="Times New Roman" w:hAnsi="Times New Roman"/>
          <w:sz w:val="20"/>
          <w:szCs w:val="20"/>
          <w:color w:val="auto"/>
        </w:rPr>
        <w:t>The semiconductor industry is highly cyclical and is characterized by constant and rapid technological change and price erosion, evolving technical standards, short product life cycles (for semiconductors and for the end-user products in which they are used) and wide fluctuations in product supply and demand. From time to</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80"/>
          </w:cols>
          <w:pgMar w:left="1420" w:top="889" w:right="1440" w:bottom="182" w:gutter="0" w:footer="0" w:header="0"/>
          <w:type w:val="continuous"/>
        </w:sectPr>
      </w:pPr>
    </w:p>
    <w:bookmarkStart w:id="20" w:name="page21"/>
    <w:bookmarkEnd w:id="20"/>
    <w:p>
      <w:pPr>
        <w:ind w:right="20"/>
        <w:spacing w:after="0" w:line="260" w:lineRule="auto"/>
        <w:rPr>
          <w:sz w:val="20"/>
          <w:szCs w:val="20"/>
          <w:color w:val="auto"/>
        </w:rPr>
      </w:pPr>
      <w:r>
        <w:rPr>
          <w:rFonts w:ascii="Times New Roman" w:cs="Times New Roman" w:eastAsia="Times New Roman" w:hAnsi="Times New Roman"/>
          <w:sz w:val="20"/>
          <w:szCs w:val="20"/>
          <w:color w:val="auto"/>
        </w:rPr>
        <w:t>time, these and other factors, together with changes in general economic conditions, cause significant upturns and downturns in the industry in general and in our business in particular. Periods of industry downturns have been characterized by diminished demand for end-user 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 Over the prior two years, increases in demand for semiconductor products resulted in a global shortage of manufacturing capacities. As a result, we experienced increases in the costs to manufacture our products. We are not able to foresee when the current shortage of manufacturing capacity will subside. If we are unable secure manufacturing capacities from our current subcontractors, our ability to deliver our products to our customers may be negatively impacted. These factors could cause a negative impact on our results of operations. However, we are beginning to see some indicators of improvement of such supply shortage situation. Current global macroeconomic conditions, including COVID-19 pandemic, higher inflation and interest rates and uncertainty caused by the Russian-Ukraine war, have led to weaker end-market demand and an oversupply of inventory. We continue to monitor these trends and uncertainties, and any decline in end-market demand and increase in inventory levels could negatively impact our financial condition and results of operations.</w:t>
      </w:r>
    </w:p>
    <w:p>
      <w:pPr>
        <w:spacing w:after="0" w:line="134" w:lineRule="exact"/>
        <w:rPr>
          <w:sz w:val="20"/>
          <w:szCs w:val="20"/>
          <w:color w:val="auto"/>
        </w:rPr>
      </w:pPr>
    </w:p>
    <w:p>
      <w:pPr>
        <w:ind w:right="200" w:firstLine="400"/>
        <w:spacing w:after="0" w:line="253" w:lineRule="auto"/>
        <w:rPr>
          <w:sz w:val="20"/>
          <w:szCs w:val="20"/>
          <w:color w:val="auto"/>
        </w:rPr>
      </w:pPr>
      <w:r>
        <w:rPr>
          <w:rFonts w:ascii="Times New Roman" w:cs="Times New Roman" w:eastAsia="Times New Roman" w:hAnsi="Times New Roman"/>
          <w:sz w:val="20"/>
          <w:szCs w:val="20"/>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364" w:lineRule="exact"/>
        <w:rPr>
          <w:sz w:val="20"/>
          <w:szCs w:val="20"/>
          <w:color w:val="auto"/>
        </w:rPr>
      </w:pPr>
    </w:p>
    <w:p>
      <w:pPr>
        <w:ind w:right="30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Our restructuring activities and dispositions of assets and businesses could result in lost business and other costs that could have a material adverse effect on our results of operations.</w:t>
      </w:r>
    </w:p>
    <w:p>
      <w:pPr>
        <w:spacing w:after="0" w:line="121"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From time to time, we may choose to sell assets, restructure business operations, shut down manufacturing lines or otherwise dispose of assets and businesses as part of management’s strategies to better align our product offerings with market demands and our customers’ needs. In connection with these activities, we face risks that we will disrupt service to our customers, lose business and incur significant costs related to such activities. These risks include potential damage to our reputation and customer relationships if we are unable to effectively transition such customer relationships to other production lines or products or if we cannot effectively manage our supplier and vendor relationships during such activities. In addition, we may also face claims or costs associated with transitioning or eliminating certain employee positions and modifying or terminating vendor relationships in connection with those exit activities.</w:t>
      </w:r>
    </w:p>
    <w:p>
      <w:pPr>
        <w:spacing w:after="0" w:line="367" w:lineRule="exact"/>
        <w:rPr>
          <w:sz w:val="20"/>
          <w:szCs w:val="20"/>
          <w:color w:val="auto"/>
        </w:rPr>
      </w:pPr>
    </w:p>
    <w:p>
      <w:pPr>
        <w:ind w:right="50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If we fail to develop new products and technologies or enhance our existing products in order to react to rapid technological change and market demands, our business will suffer.</w:t>
      </w:r>
    </w:p>
    <w:p>
      <w:pPr>
        <w:spacing w:after="0" w:line="121" w:lineRule="exact"/>
        <w:rPr>
          <w:sz w:val="20"/>
          <w:szCs w:val="20"/>
          <w:color w:val="auto"/>
        </w:rPr>
      </w:pPr>
    </w:p>
    <w:p>
      <w:pPr>
        <w:ind w:right="60" w:firstLine="400"/>
        <w:spacing w:after="0" w:line="247" w:lineRule="auto"/>
        <w:rPr>
          <w:sz w:val="20"/>
          <w:szCs w:val="20"/>
          <w:color w:val="auto"/>
        </w:rPr>
      </w:pPr>
      <w:r>
        <w:rPr>
          <w:rFonts w:ascii="Times New Roman" w:cs="Times New Roman" w:eastAsia="Times New Roman" w:hAnsi="Times New Roman"/>
          <w:sz w:val="20"/>
          <w:szCs w:val="20"/>
          <w:color w:val="auto"/>
        </w:rPr>
        <w:t>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w:t>
      </w:r>
    </w:p>
    <w:p>
      <w:pPr>
        <w:spacing w:after="0" w:line="137" w:lineRule="exact"/>
        <w:rPr>
          <w:sz w:val="20"/>
          <w:szCs w:val="20"/>
          <w:color w:val="auto"/>
        </w:rPr>
      </w:pPr>
    </w:p>
    <w:p>
      <w:pPr>
        <w:ind w:right="160" w:firstLine="400"/>
        <w:spacing w:after="0" w:line="248" w:lineRule="auto"/>
        <w:rPr>
          <w:sz w:val="20"/>
          <w:szCs w:val="20"/>
          <w:color w:val="auto"/>
        </w:rPr>
      </w:pPr>
      <w:r>
        <w:rPr>
          <w:rFonts w:ascii="Times New Roman" w:cs="Times New Roman" w:eastAsia="Times New Roman" w:hAnsi="Times New Roman"/>
          <w:sz w:val="20"/>
          <w:szCs w:val="20"/>
          <w:color w:val="auto"/>
        </w:rPr>
        <w:t>We must develop new products and enhance our existing products to meet rapidly evolving customer requirements. We design products for customers that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w:t>
      </w:r>
    </w:p>
    <w:p>
      <w:pPr>
        <w:spacing w:after="0" w:line="134" w:lineRule="exact"/>
        <w:rPr>
          <w:sz w:val="20"/>
          <w:szCs w:val="20"/>
          <w:color w:val="auto"/>
        </w:rPr>
      </w:pPr>
    </w:p>
    <w:p>
      <w:pPr>
        <w:ind w:right="120" w:firstLine="400"/>
        <w:spacing w:after="0" w:line="248" w:lineRule="auto"/>
        <w:rPr>
          <w:sz w:val="20"/>
          <w:szCs w:val="20"/>
          <w:color w:val="auto"/>
        </w:rPr>
      </w:pPr>
      <w:r>
        <w:rPr>
          <w:rFonts w:ascii="Times New Roman" w:cs="Times New Roman" w:eastAsia="Times New Roman" w:hAnsi="Times New Roman"/>
          <w:sz w:val="20"/>
          <w:szCs w:val="20"/>
          <w:color w:val="auto"/>
        </w:rPr>
        <w:t>Customer and market requirements can change during the development of a product. There is a risk that these developments and enhancements will be late, fail to meet customer or market specifications or not be competitive with products from our competitors that offer comparable or superior performance and functionality. Any new products, such as our expanding line of power management solutions, or product enhancements, may not be accepted in new or existing markets. Our business will suffer if we fail to develop and introduce new products or product enhancements on a timely and cost-effective basis.</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80"/>
          </w:cols>
          <w:pgMar w:left="1420" w:top="899" w:right="1440" w:bottom="182" w:gutter="0" w:footer="0" w:header="0"/>
          <w:type w:val="continuous"/>
        </w:sectPr>
      </w:pPr>
    </w:p>
    <w:bookmarkStart w:id="21" w:name="page22"/>
    <w:bookmarkEnd w:id="21"/>
    <w:p>
      <w:pPr>
        <w:ind w:right="10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manufacture our products based on our estimates of customer demand, and if our estimates are incorrect, our financial results could be negatively impacted.</w:t>
      </w:r>
    </w:p>
    <w:p>
      <w:pPr>
        <w:spacing w:after="0" w:line="121"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289" w:lineRule="exact"/>
        <w:rPr>
          <w:sz w:val="20"/>
          <w:szCs w:val="20"/>
          <w:color w:val="auto"/>
        </w:rPr>
      </w:pPr>
    </w:p>
    <w:p>
      <w:pPr>
        <w:ind w:right="28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Our customers may cancel their orders, reduce quantities or delay production, which would adversely affect our margins and results of operations.</w:t>
      </w:r>
    </w:p>
    <w:p>
      <w:pPr>
        <w:spacing w:after="0" w:line="121" w:lineRule="exact"/>
        <w:rPr>
          <w:sz w:val="20"/>
          <w:szCs w:val="20"/>
          <w:color w:val="auto"/>
        </w:rPr>
      </w:pPr>
    </w:p>
    <w:p>
      <w:pPr>
        <w:ind w:right="200" w:firstLine="400"/>
        <w:spacing w:after="0" w:line="249" w:lineRule="auto"/>
        <w:rPr>
          <w:sz w:val="20"/>
          <w:szCs w:val="20"/>
          <w:color w:val="auto"/>
        </w:rPr>
      </w:pPr>
      <w:r>
        <w:rPr>
          <w:rFonts w:ascii="Times New Roman" w:cs="Times New Roman" w:eastAsia="Times New Roman" w:hAnsi="Times New Roman"/>
          <w:sz w:val="20"/>
          <w:szCs w:val="20"/>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design-wins, have affected and may continue to affect our results of operations adversely. These risks are exacerbated because many of our products are customized, which hampers our ability to sell excess inventory to the general market. We may incur charges resulting from the write-off of obsolete inventory. In addition, while we do not obtain long-term purchase commitments, we generally agree to the pricing of a particular product over a set period of time. If we underestimate our costs when determining pricing, our margins and results of operations would be adversely affected.</w:t>
      </w:r>
    </w:p>
    <w:p>
      <w:pPr>
        <w:spacing w:after="0" w:line="298" w:lineRule="exact"/>
        <w:rPr>
          <w:sz w:val="20"/>
          <w:szCs w:val="20"/>
          <w:color w:val="auto"/>
        </w:rPr>
      </w:pPr>
    </w:p>
    <w:p>
      <w:pPr>
        <w:ind w:right="34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Our fab manufacturing depends on high utilization of our manufacturing capacity, a reduction of which could have a material adverse effect on our business, financial condition and the results of our operations.</w:t>
      </w:r>
    </w:p>
    <w:p>
      <w:pPr>
        <w:spacing w:after="0" w:line="121"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An important factor in our success is the extent to which we are able to utilize the available capacity in our fabrication facility.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the inability to source sufficient materials necessary for manufacturing, low levels of customer orders, operating inefficiencies, strategic evaluations and decisions by our Board related our overall business, divisions and business lines, mechanical failures and disruption of operations due to expansion or relocation of operations, power interruptions and fire, flood or other natural disasters or calamities. The potential delays and costs resulting from these factors and circumstances could have a material adverse effect on our business, financial condition and results of operations.</w:t>
      </w:r>
    </w:p>
    <w:p>
      <w:pPr>
        <w:spacing w:after="0" w:line="298" w:lineRule="exact"/>
        <w:rPr>
          <w:sz w:val="20"/>
          <w:szCs w:val="20"/>
          <w:color w:val="auto"/>
        </w:rPr>
      </w:pPr>
    </w:p>
    <w:p>
      <w:pPr>
        <w:ind w:right="52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A significant portion of our sales comes from a relatively limited number of customers, the loss of which could adversely affect our financial results.</w:t>
      </w:r>
    </w:p>
    <w:p>
      <w:pPr>
        <w:spacing w:after="0" w:line="121"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Historically, we have relied on a limited number of customers for a substantial portion of our total revenue. If we were to lose key customers or if customers cease to place orders for our high-volume products, particularly our display products, our financial results could be adversely affected. In addition, our arrangements with and reliance on key customers may make it less practicable to pursue certain opportunities with other potential new and existing customers. For the years ended December 31, 2022, 2021 and 2020, our ten largest customers accounted for 69.4%, 79.8% and 87.6% of net sales from our standard products business, respectively. For the year ended December 31, 2022, sales to Samsung Display represented 19.0% of net sales from our standard products business and 80.2% of net sales from our Display Solutions business line, and SAMT represented 13.8% of net sales from our standard products business and 18.1% of net sales from our Power Solutions business line. For the year ended December 31, 2021, sales to Samsung Display represented 42.5% of net sales from our standard products business and 89.7% of net sales from our Display Solutions business line, and SAMT represented 10.4% of net sales from our standard products business and 19.8% of net sales from our Power</w:t>
      </w:r>
    </w:p>
    <w:p>
      <w:pPr>
        <w:sectPr>
          <w:pgSz w:w="12240" w:h="15840" w:orient="portrait"/>
          <w:cols w:equalWidth="0" w:num="1">
            <w:col w:w="9380"/>
          </w:cols>
          <w:pgMar w:left="1420" w:top="893" w:right="1440" w:bottom="18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80"/>
          </w:cols>
          <w:pgMar w:left="1420" w:top="893" w:right="1440" w:bottom="182" w:gutter="0" w:footer="0" w:header="0"/>
          <w:type w:val="continuous"/>
        </w:sectPr>
      </w:pPr>
    </w:p>
    <w:bookmarkStart w:id="22" w:name="page23"/>
    <w:bookmarkEnd w:id="22"/>
    <w:p>
      <w:pPr>
        <w:ind w:right="160"/>
        <w:spacing w:after="0" w:line="247" w:lineRule="auto"/>
        <w:rPr>
          <w:sz w:val="20"/>
          <w:szCs w:val="20"/>
          <w:color w:val="auto"/>
        </w:rPr>
      </w:pPr>
      <w:r>
        <w:rPr>
          <w:rFonts w:ascii="Times New Roman" w:cs="Times New Roman" w:eastAsia="Times New Roman" w:hAnsi="Times New Roman"/>
          <w:sz w:val="20"/>
          <w:szCs w:val="20"/>
          <w:color w:val="auto"/>
        </w:rPr>
        <w:t>Solutions business line. For the year ended December 31, 2020, sales to Samsung Display represented 56.2% of net sales from our standard products business and 87.5% of net sales from our Display Solutions business line. Significant reductions in sales to any of these customers, especially our few largest customers, the loss of other major customers or a general curtailment in orders for our high-volume products within a short period of time could adversely affect our business.</w:t>
      </w:r>
    </w:p>
    <w:p>
      <w:pPr>
        <w:spacing w:after="0" w:line="201"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The average selling prices of our semiconductor products have at times declined rapidly and will likely do so in the future, which could harm our revenue and gross profit.</w:t>
      </w:r>
    </w:p>
    <w:p>
      <w:pPr>
        <w:spacing w:after="0" w:line="121"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200" w:lineRule="exact"/>
        <w:rPr>
          <w:sz w:val="20"/>
          <w:szCs w:val="20"/>
          <w:color w:val="auto"/>
        </w:rPr>
      </w:pPr>
    </w:p>
    <w:p>
      <w:pPr>
        <w:spacing w:after="0" w:line="236" w:lineRule="exact"/>
        <w:rPr>
          <w:sz w:val="20"/>
          <w:szCs w:val="20"/>
          <w:color w:val="auto"/>
        </w:rPr>
      </w:pPr>
    </w:p>
    <w:p>
      <w:pPr>
        <w:ind w:right="42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Our industry is highly competitive, and our ability to compete could be negatively impacted by a variety of factors.</w:t>
      </w:r>
    </w:p>
    <w:p>
      <w:pPr>
        <w:spacing w:after="0" w:line="121" w:lineRule="exact"/>
        <w:rPr>
          <w:sz w:val="20"/>
          <w:szCs w:val="20"/>
          <w:color w:val="auto"/>
        </w:rPr>
      </w:pPr>
    </w:p>
    <w:p>
      <w:pPr>
        <w:ind w:right="200" w:firstLine="400"/>
        <w:spacing w:after="0" w:line="249" w:lineRule="auto"/>
        <w:rPr>
          <w:sz w:val="20"/>
          <w:szCs w:val="20"/>
          <w:color w:val="auto"/>
        </w:rPr>
      </w:pPr>
      <w:r>
        <w:rPr>
          <w:rFonts w:ascii="Times New Roman" w:cs="Times New Roman" w:eastAsia="Times New Roman" w:hAnsi="Times New Roman"/>
          <w:sz w:val="20"/>
          <w:szCs w:val="20"/>
          <w:color w:val="auto"/>
        </w:rPr>
        <w:t>The semiconductor industry is highly competitive and includes hundreds of companies, a number of which have achieved substantial market share within both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33" w:lineRule="exact"/>
        <w:rPr>
          <w:sz w:val="20"/>
          <w:szCs w:val="20"/>
          <w:color w:val="auto"/>
        </w:rPr>
      </w:pPr>
    </w:p>
    <w:p>
      <w:pPr>
        <w:ind w:right="400" w:firstLine="400"/>
        <w:spacing w:after="0" w:line="245" w:lineRule="auto"/>
        <w:rPr>
          <w:sz w:val="20"/>
          <w:szCs w:val="20"/>
          <w:color w:val="auto"/>
        </w:rPr>
      </w:pPr>
      <w:r>
        <w:rPr>
          <w:rFonts w:ascii="Times New Roman" w:cs="Times New Roman" w:eastAsia="Times New Roman" w:hAnsi="Times New Roman"/>
          <w:sz w:val="20"/>
          <w:szCs w:val="20"/>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136" w:lineRule="exact"/>
        <w:rPr>
          <w:sz w:val="20"/>
          <w:szCs w:val="20"/>
          <w:color w:val="auto"/>
        </w:rPr>
      </w:pPr>
    </w:p>
    <w:p>
      <w:pPr>
        <w:ind w:left="800" w:right="380" w:hanging="394"/>
        <w:spacing w:after="0" w:line="232" w:lineRule="auto"/>
        <w:tabs>
          <w:tab w:leader="none" w:pos="80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offer cost-effective and high quality products and services on a timely basis using our technologies;</w:t>
      </w:r>
    </w:p>
    <w:p>
      <w:pPr>
        <w:spacing w:after="0" w:line="140" w:lineRule="exact"/>
        <w:rPr>
          <w:rFonts w:ascii="Symbol" w:cs="Symbol" w:eastAsia="Symbol" w:hAnsi="Symbol"/>
          <w:sz w:val="20"/>
          <w:szCs w:val="20"/>
          <w:color w:val="auto"/>
        </w:rPr>
      </w:pPr>
    </w:p>
    <w:p>
      <w:pPr>
        <w:ind w:left="800" w:right="100" w:hanging="394"/>
        <w:spacing w:after="0" w:line="232" w:lineRule="auto"/>
        <w:tabs>
          <w:tab w:leader="none" w:pos="80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accurately identify and respond to emerging technological trends and demand for product features and performance characteristics;</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continue to rapidly introduce new products that are accepted by the market;</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adopt or adapt to emerging industry standards;</w:t>
      </w:r>
    </w:p>
    <w:p>
      <w:pPr>
        <w:spacing w:after="0" w:line="140" w:lineRule="exact"/>
        <w:rPr>
          <w:rFonts w:ascii="Symbol" w:cs="Symbol" w:eastAsia="Symbol" w:hAnsi="Symbol"/>
          <w:sz w:val="20"/>
          <w:szCs w:val="20"/>
          <w:color w:val="auto"/>
        </w:rPr>
      </w:pPr>
    </w:p>
    <w:p>
      <w:pPr>
        <w:ind w:left="800" w:right="60" w:hanging="394"/>
        <w:spacing w:after="0" w:line="232" w:lineRule="auto"/>
        <w:tabs>
          <w:tab w:leader="none" w:pos="80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and nature of our competitors and competitiveness of their products and services in a given market;</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entrance of new competitors into our markets; and</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enter the highly competitive power management market.</w:t>
      </w:r>
    </w:p>
    <w:p>
      <w:pPr>
        <w:spacing w:after="0" w:line="140" w:lineRule="exact"/>
        <w:rPr>
          <w:sz w:val="20"/>
          <w:szCs w:val="20"/>
          <w:color w:val="auto"/>
        </w:rPr>
      </w:pPr>
    </w:p>
    <w:p>
      <w:pPr>
        <w:jc w:val="both"/>
        <w:ind w:right="100" w:firstLine="400"/>
        <w:spacing w:after="0" w:line="245" w:lineRule="auto"/>
        <w:rPr>
          <w:sz w:val="20"/>
          <w:szCs w:val="20"/>
          <w:color w:val="auto"/>
        </w:rPr>
      </w:pPr>
      <w:r>
        <w:rPr>
          <w:rFonts w:ascii="Times New Roman" w:cs="Times New Roman" w:eastAsia="Times New Roman" w:hAnsi="Times New Roman"/>
          <w:sz w:val="20"/>
          <w:szCs w:val="20"/>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demand for consumer electronics in our end markets can impact our results of operations.</w:t>
      </w:r>
    </w:p>
    <w:p>
      <w:pPr>
        <w:spacing w:after="0" w:line="120" w:lineRule="exact"/>
        <w:rPr>
          <w:sz w:val="20"/>
          <w:szCs w:val="20"/>
          <w:color w:val="auto"/>
        </w:rPr>
      </w:pPr>
    </w:p>
    <w:p>
      <w:pPr>
        <w:ind w:right="120" w:firstLine="400"/>
        <w:spacing w:after="0" w:line="248" w:lineRule="auto"/>
        <w:rPr>
          <w:sz w:val="20"/>
          <w:szCs w:val="20"/>
          <w:color w:val="auto"/>
        </w:rPr>
      </w:pPr>
      <w:r>
        <w:rPr>
          <w:rFonts w:ascii="Times New Roman" w:cs="Times New Roman" w:eastAsia="Times New Roman" w:hAnsi="Times New Roman"/>
          <w:sz w:val="20"/>
          <w:szCs w:val="20"/>
          <w:color w:val="auto"/>
        </w:rPr>
        <w:t>Demand for our products will depend in part on the demand for various consumer electronics products, in particular, mobile phones and multimedia devices, digital televisions, flat panel displays, mobile PCs and digital cameras, which in turn depends on general economic conditions and other factors beyond our control. If our customers fail to introduce new products that employ our products or component parts, demand for our products 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80"/>
          </w:cols>
          <w:pgMar w:left="1420" w:top="899" w:right="1440" w:bottom="182" w:gutter="0" w:footer="0" w:header="0"/>
          <w:type w:val="continuous"/>
        </w:sectPr>
      </w:pPr>
    </w:p>
    <w:bookmarkStart w:id="23" w:name="page24"/>
    <w:bookmarkEnd w:id="23"/>
    <w:p>
      <w:pPr>
        <w:ind w:right="44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If we fail to achieve design-wins for our semiconductor products, we may lose the opportunity for sales to customers for a significant period of time and be unable to recoup our investments in our products.</w:t>
      </w:r>
    </w:p>
    <w:p>
      <w:pPr>
        <w:spacing w:after="0" w:line="121" w:lineRule="exact"/>
        <w:rPr>
          <w:sz w:val="20"/>
          <w:szCs w:val="20"/>
          <w:color w:val="auto"/>
        </w:rPr>
      </w:pPr>
    </w:p>
    <w:p>
      <w:pPr>
        <w:ind w:right="80" w:firstLine="400"/>
        <w:spacing w:after="0" w:line="249" w:lineRule="auto"/>
        <w:rPr>
          <w:sz w:val="20"/>
          <w:szCs w:val="20"/>
          <w:color w:val="auto"/>
        </w:rPr>
      </w:pPr>
      <w:r>
        <w:rPr>
          <w:rFonts w:ascii="Times New Roman" w:cs="Times New Roman" w:eastAsia="Times New Roman" w:hAnsi="Times New Roman"/>
          <w:sz w:val="20"/>
          <w:szCs w:val="20"/>
          <w:color w:val="auto"/>
        </w:rPr>
        <w:t>We expend considerable resources on winning competitive selection processes, known as design-wins, to develop semiconductor products for use in our customers’ products. These selection processes are typically lengthy and can require us to incur significant design and development expenditures. We may not win the competitive selection process and may never generate any revenue despite incurring significant design and development expenditures.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initial design-wins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200" w:lineRule="exact"/>
        <w:rPr>
          <w:sz w:val="20"/>
          <w:szCs w:val="20"/>
          <w:color w:val="auto"/>
        </w:rPr>
      </w:pPr>
    </w:p>
    <w:p>
      <w:pPr>
        <w:spacing w:after="0" w:line="309" w:lineRule="exact"/>
        <w:rPr>
          <w:sz w:val="20"/>
          <w:szCs w:val="20"/>
          <w:color w:val="auto"/>
        </w:rPr>
      </w:pPr>
    </w:p>
    <w:p>
      <w:pPr>
        <w:jc w:val="both"/>
        <w:ind w:right="6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We have lengthy and expensive design-to-mass production and manufacturing process development cycles that may cause us to incur significant expenses without realizing meaningful sales, the occurrence of which would harm our business.</w:t>
      </w:r>
    </w:p>
    <w:p>
      <w:pPr>
        <w:spacing w:after="0" w:line="122" w:lineRule="exact"/>
        <w:rPr>
          <w:sz w:val="20"/>
          <w:szCs w:val="20"/>
          <w:color w:val="auto"/>
        </w:rPr>
      </w:pPr>
    </w:p>
    <w:p>
      <w:pPr>
        <w:ind w:right="120" w:firstLine="400"/>
        <w:spacing w:after="0" w:line="249" w:lineRule="auto"/>
        <w:rPr>
          <w:sz w:val="20"/>
          <w:szCs w:val="20"/>
          <w:color w:val="auto"/>
        </w:rPr>
      </w:pPr>
      <w:r>
        <w:rPr>
          <w:rFonts w:ascii="Times New Roman" w:cs="Times New Roman" w:eastAsia="Times New Roman" w:hAnsi="Times New Roman"/>
          <w:sz w:val="20"/>
          <w:szCs w:val="20"/>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200" w:lineRule="exact"/>
        <w:rPr>
          <w:sz w:val="20"/>
          <w:szCs w:val="20"/>
          <w:color w:val="auto"/>
        </w:rPr>
      </w:pPr>
    </w:p>
    <w:p>
      <w:pPr>
        <w:spacing w:after="0" w:line="305" w:lineRule="exact"/>
        <w:rPr>
          <w:sz w:val="20"/>
          <w:szCs w:val="20"/>
          <w:color w:val="auto"/>
        </w:rPr>
      </w:pPr>
    </w:p>
    <w:p>
      <w:pPr>
        <w:ind w:right="30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Research and development investments may not yield profitable and commercially viable products, and thus will not necessarily result in increases in revenues for us.</w:t>
      </w:r>
    </w:p>
    <w:p>
      <w:pPr>
        <w:spacing w:after="0" w:line="121" w:lineRule="exact"/>
        <w:rPr>
          <w:sz w:val="20"/>
          <w:szCs w:val="20"/>
          <w:color w:val="auto"/>
        </w:rPr>
      </w:pPr>
    </w:p>
    <w:p>
      <w:pPr>
        <w:ind w:right="160" w:firstLine="400"/>
        <w:spacing w:after="0" w:line="248" w:lineRule="auto"/>
        <w:rPr>
          <w:sz w:val="20"/>
          <w:szCs w:val="20"/>
          <w:color w:val="auto"/>
        </w:rPr>
      </w:pPr>
      <w:r>
        <w:rPr>
          <w:rFonts w:ascii="Times New Roman" w:cs="Times New Roman" w:eastAsia="Times New Roman" w:hAnsi="Times New Roman"/>
          <w:sz w:val="20"/>
          <w:szCs w:val="20"/>
          <w:color w:val="auto"/>
        </w:rPr>
        <w:t>We invest significant resources in our research and development. Our research and development efforts, however, may not yield profitable or commercially viable products. During each stage of research and development, there is a substantial risk that we will have to abandon a potential product that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268"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face numerous challenges relating to executing our growth strategy, and if we are unable to execute our growth strategy effectively, our business and financial results could be materially and adversely affected.</w:t>
      </w:r>
    </w:p>
    <w:p>
      <w:pPr>
        <w:spacing w:after="0" w:line="121" w:lineRule="exact"/>
        <w:rPr>
          <w:sz w:val="20"/>
          <w:szCs w:val="20"/>
          <w:color w:val="auto"/>
        </w:rPr>
      </w:pPr>
    </w:p>
    <w:p>
      <w:pPr>
        <w:ind w:right="160" w:firstLine="400"/>
        <w:spacing w:after="0" w:line="248" w:lineRule="auto"/>
        <w:rPr>
          <w:sz w:val="20"/>
          <w:szCs w:val="20"/>
          <w:color w:val="auto"/>
        </w:rPr>
      </w:pPr>
      <w:r>
        <w:rPr>
          <w:rFonts w:ascii="Times New Roman" w:cs="Times New Roman" w:eastAsia="Times New Roman" w:hAnsi="Times New Roman"/>
          <w:sz w:val="20"/>
          <w:szCs w:val="20"/>
          <w:color w:val="auto"/>
        </w:rPr>
        <w:t>Our growth strategy is to leverage our advanced analog and mixed-signal technology platform, continue to innovate and deliver new products, increase business with existing customers, broaden our customer base, aggressively grow our power business, and drive execution excellence.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270"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currency fluctuations, and changes in the exchange rates of applicable currencies could impact our results of operations.</w:t>
      </w:r>
    </w:p>
    <w:p>
      <w:pPr>
        <w:spacing w:after="0" w:line="121" w:lineRule="exact"/>
        <w:rPr>
          <w:sz w:val="20"/>
          <w:szCs w:val="20"/>
          <w:color w:val="auto"/>
        </w:rPr>
      </w:pPr>
    </w:p>
    <w:p>
      <w:pPr>
        <w:ind w:right="180" w:firstLine="400"/>
        <w:spacing w:after="0" w:line="247" w:lineRule="auto"/>
        <w:rPr>
          <w:sz w:val="20"/>
          <w:szCs w:val="20"/>
          <w:color w:val="auto"/>
        </w:rPr>
      </w:pPr>
      <w:r>
        <w:rPr>
          <w:rFonts w:ascii="Times New Roman" w:cs="Times New Roman" w:eastAsia="Times New Roman" w:hAnsi="Times New Roman"/>
          <w:sz w:val="20"/>
          <w:szCs w:val="20"/>
          <w:color w:val="auto"/>
        </w:rPr>
        <w:t>Historically, a portion of our revenues and greater than the majority of our 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w:t>
      </w:r>
    </w:p>
    <w:p>
      <w:pPr>
        <w:sectPr>
          <w:pgSz w:w="12240" w:h="15840" w:orient="portrait"/>
          <w:cols w:equalWidth="0" w:num="1">
            <w:col w:w="9380"/>
          </w:cols>
          <w:pgMar w:left="1420" w:top="893" w:right="1440" w:bottom="18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80"/>
          </w:cols>
          <w:pgMar w:left="1420" w:top="893" w:right="1440" w:bottom="182"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color w:val="auto"/>
        </w:rPr>
        <w:t>revenues and expenses that are in U.S. dollars relative to Korean won, a depreciation in the U.S. dollar relative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Korean won could result in a material increase in reported costs relative to revenues, and therefore could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cause our profit margins and operating income to appear to decline materially, particularly relative to prior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periods. The converse is true if the U.S. dollar were to appreciate relative to the Korean won. For example,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foreign currency fluctuations had an unfavorable impact on our reported profit margins and operating income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operations for the fiscal year ended December 31, 2021 due to a relatively stronger Korean won during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 while we had a favorable impact on our reported profit margins and operating income from operations for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fiscal year ended December 31, 2022 due to a relatively weaker Korean won during the period. Moreover,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foreign currency gain or loss would be affected by changes in the exchange rate between the Korean won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the U.S. dollar as a substantial portion of non-cash translation gain or loss is associated with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intercompany long-term loans to our Korean subsidiary, which is denominated in U.S. dollars.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the outstanding intercompany loan balance including accrued interests between our Korean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 and our Dutch subsidiary was $311.0 million. Our Dutch subsidiary uses the U.S. dollar as their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functional currency. As a result of foreign currency fluctuations, it could be more difficult to detect underlying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trends in our business and results of operations. In addition, to the extent that fluctuations in currency exchange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rates cause our results of operations to differ from our expectations or the expectations of our investors,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trading price of our common stock could be adversely affected.</w:t>
      </w:r>
    </w:p>
    <w:p>
      <w:pPr>
        <w:spacing w:after="0" w:line="140" w:lineRule="exact"/>
        <w:rPr>
          <w:sz w:val="20"/>
          <w:szCs w:val="20"/>
          <w:color w:val="auto"/>
        </w:rPr>
      </w:pPr>
    </w:p>
    <w:p>
      <w:pPr>
        <w:ind w:right="80" w:firstLine="400"/>
        <w:spacing w:after="0" w:line="247" w:lineRule="auto"/>
        <w:rPr>
          <w:sz w:val="20"/>
          <w:szCs w:val="20"/>
          <w:color w:val="auto"/>
        </w:rPr>
      </w:pPr>
      <w:r>
        <w:rPr>
          <w:rFonts w:ascii="Times New Roman" w:cs="Times New Roman" w:eastAsia="Times New Roman" w:hAnsi="Times New Roman"/>
          <w:sz w:val="20"/>
          <w:szCs w:val="20"/>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These foreign currency forward and zero cost collar contracts typically require us to sell specified notional amounts in U.S. dollars and provide us the option to sell specified notional amounts in</w:t>
      </w:r>
    </w:p>
    <w:p>
      <w:pPr>
        <w:spacing w:after="0" w:line="1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U.S. dollars during successive months to our counterparty in exchange for Korean won at specified exchange rates.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total cash and cash equivalents is less than $30 million at the end of a fiscal quarter. We cannot assure that any hedging technique we implement will be effective. If our hedging activities are not effective, changes in currency exchange rates may have a more significant impact on our results of operations. See ‘‘Item 7. Management’s Discussion and Analysis of Financial Condition and Results of Operations—Factors Affecting our Results of Operations’’ for further details.</w:t>
      </w:r>
    </w:p>
    <w:p>
      <w:pPr>
        <w:spacing w:after="0" w:line="213" w:lineRule="exact"/>
        <w:rPr>
          <w:sz w:val="20"/>
          <w:szCs w:val="20"/>
          <w:color w:val="auto"/>
        </w:rPr>
      </w:pPr>
    </w:p>
    <w:p>
      <w:pPr>
        <w:ind w:right="52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The loss of our key employees would materially adversely affect our business, and we may not be able to attract or retain the technical or management employees necessary to compete in our industry.</w:t>
      </w:r>
    </w:p>
    <w:p>
      <w:pPr>
        <w:spacing w:after="0" w:line="121"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Our key executives have substantial experience and have made significant contributions to our business, and our continued success is dependent upon the retention of our key management executives.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 could have a material adverse effect on our business, financial condition and results of operations. This could hinder our research and product development programs or otherwise have a material adverse effect on our business.</w:t>
      </w:r>
    </w:p>
    <w:p>
      <w:pPr>
        <w:spacing w:after="0" w:line="207" w:lineRule="exact"/>
        <w:rPr>
          <w:sz w:val="20"/>
          <w:szCs w:val="20"/>
          <w:color w:val="auto"/>
        </w:rPr>
      </w:pPr>
    </w:p>
    <w:p>
      <w:pPr>
        <w:ind w:right="26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If we encounter future labor problems, we may fail to deliver our products and services in a timely manner, which would adversely affect our revenues and profitability.</w:t>
      </w:r>
    </w:p>
    <w:p>
      <w:pPr>
        <w:spacing w:after="0" w:line="121" w:lineRule="exact"/>
        <w:rPr>
          <w:sz w:val="20"/>
          <w:szCs w:val="20"/>
          <w:color w:val="auto"/>
        </w:rPr>
      </w:pPr>
    </w:p>
    <w:p>
      <w:pPr>
        <w:ind w:right="60" w:firstLine="400"/>
        <w:spacing w:after="0" w:line="246" w:lineRule="auto"/>
        <w:rPr>
          <w:sz w:val="20"/>
          <w:szCs w:val="20"/>
          <w:color w:val="auto"/>
        </w:rPr>
      </w:pPr>
      <w:r>
        <w:rPr>
          <w:rFonts w:ascii="Times New Roman" w:cs="Times New Roman" w:eastAsia="Times New Roman" w:hAnsi="Times New Roman"/>
          <w:sz w:val="20"/>
          <w:szCs w:val="20"/>
          <w:color w:val="auto"/>
        </w:rPr>
        <w:t>As of December 31, 2022, 485 employees, or approximately 56% of our employees, were represented by the Magnachip Semiconductor Labor Unions. We can offer no assurance that any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201" w:lineRule="exact"/>
        <w:rPr>
          <w:sz w:val="20"/>
          <w:szCs w:val="20"/>
          <w:color w:val="auto"/>
        </w:rPr>
      </w:pPr>
    </w:p>
    <w:p>
      <w:pPr>
        <w:ind w:right="60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may incur costs to engage in future business combinations or strategic investments, and we may not realize the anticipated benefits of those transactions.</w:t>
      </w:r>
    </w:p>
    <w:p>
      <w:pPr>
        <w:spacing w:after="0" w:line="121" w:lineRule="exact"/>
        <w:rPr>
          <w:sz w:val="20"/>
          <w:szCs w:val="20"/>
          <w:color w:val="auto"/>
        </w:rPr>
      </w:pPr>
    </w:p>
    <w:p>
      <w:pPr>
        <w:ind w:right="220" w:firstLine="400"/>
        <w:spacing w:after="0" w:line="245" w:lineRule="auto"/>
        <w:rPr>
          <w:sz w:val="20"/>
          <w:szCs w:val="20"/>
          <w:color w:val="auto"/>
        </w:rPr>
      </w:pPr>
      <w:r>
        <w:rPr>
          <w:rFonts w:ascii="Times New Roman" w:cs="Times New Roman" w:eastAsia="Times New Roman" w:hAnsi="Times New Roman"/>
          <w:sz w:val="20"/>
          <w:szCs w:val="20"/>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80"/>
          </w:cols>
          <w:pgMar w:left="1420" w:top="889" w:right="1440" w:bottom="182" w:gutter="0" w:footer="0" w:header="0"/>
          <w:type w:val="continuous"/>
        </w:sectPr>
      </w:pPr>
    </w:p>
    <w:bookmarkStart w:id="25" w:name="page26"/>
    <w:bookmarkEnd w:id="25"/>
    <w:p>
      <w:pPr>
        <w:ind w:right="20"/>
        <w:spacing w:after="0" w:line="258" w:lineRule="auto"/>
        <w:rPr>
          <w:sz w:val="20"/>
          <w:szCs w:val="20"/>
          <w:color w:val="auto"/>
        </w:rPr>
      </w:pPr>
      <w:r>
        <w:rPr>
          <w:rFonts w:ascii="Times New Roman" w:cs="Times New Roman" w:eastAsia="Times New Roman" w:hAnsi="Times New Roman"/>
          <w:sz w:val="20"/>
          <w:szCs w:val="20"/>
          <w:color w:val="auto"/>
        </w:rPr>
        <w:t>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indebtedness may restrict us from making acquisitions that we may otherwise wish to pursue.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failure to achieve acceptable manufacturing yields could adversely affect our business.</w:t>
      </w:r>
    </w:p>
    <w:p>
      <w:pPr>
        <w:spacing w:after="0" w:line="130" w:lineRule="exact"/>
        <w:rPr>
          <w:sz w:val="20"/>
          <w:szCs w:val="20"/>
          <w:color w:val="auto"/>
        </w:rPr>
      </w:pPr>
    </w:p>
    <w:p>
      <w:pPr>
        <w:ind w:right="80" w:firstLine="400"/>
        <w:spacing w:after="0" w:line="256" w:lineRule="auto"/>
        <w:rPr>
          <w:sz w:val="20"/>
          <w:szCs w:val="20"/>
          <w:color w:val="auto"/>
        </w:rPr>
      </w:pPr>
      <w:r>
        <w:rPr>
          <w:rFonts w:ascii="Times New Roman" w:cs="Times New Roman" w:eastAsia="Times New Roman" w:hAnsi="Times New Roman"/>
          <w:sz w:val="20"/>
          <w:szCs w:val="20"/>
          <w:color w:val="auto"/>
        </w:rPr>
        <w:t>The manufacturing of semiconductors involves highly complex processes that require precision, a highly regulated and sterile environment and specialized equipment. Defects or other difficulties in the manufacturing process can prevent us from achieving acceptable yields in the manufacturing of our products,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w:t>
      </w:r>
    </w:p>
    <w:p>
      <w:pPr>
        <w:spacing w:after="0" w:line="361" w:lineRule="exact"/>
        <w:rPr>
          <w:sz w:val="20"/>
          <w:szCs w:val="20"/>
          <w:color w:val="auto"/>
        </w:rPr>
      </w:pPr>
    </w:p>
    <w:p>
      <w:pPr>
        <w:ind w:right="126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rely on a number of independent subcontractors and the failure of any of these independent subcontractors to perform as required could adversely affect our operating results.</w:t>
      </w:r>
    </w:p>
    <w:p>
      <w:pPr>
        <w:spacing w:after="0" w:line="121"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A substantial portion of our net sales are derived from semiconductor devices assembled in packages or on film. The packaging and testing of semiconductors require technical skills and specialized equipment. For the portion of packaging and testing that we outsource, we use subcontractors located in Korea and China. We rely on these subcontractors to package and test our devices with acceptable quality and yield levels, and, while we specify quality standards, we are not able to directly oversee their day-to-day operations and the packaging and testing of our devices. Onboarding of a new subcontractor, including as a result of switching from one subcontractor to another, takes approximately three to six months to verify the subcontractor’s capabilities and an additional six to twelve months to receive approval from our customers to use such subcontractor. We could be adversely affected by political disorders, labor disruptions, public health issues (including viral outbreaks such as COVID-19) and natural disasters where our subcontractors are located due to the time it would take to onboard a new subcontractor. If our semiconductor packagers and test service subcontractors experience problems in packaging and testing our semiconductor devices, experience prolonged quality or yield problems, experience shutdowns or delays associated with public health issues (such as those associated with COVID-19), or decrease the capacity of their operations available to us, our operating results could be adversely affected.</w:t>
      </w:r>
    </w:p>
    <w:p>
      <w:pPr>
        <w:spacing w:after="0" w:line="374"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cooperate with independent foundries to produce certain Display Solutions and Power Solutions products, and the failure of such independent foundries to satisfy our demand could materially disrupt our business.</w:t>
      </w:r>
    </w:p>
    <w:p>
      <w:pPr>
        <w:spacing w:after="0" w:line="121" w:lineRule="exact"/>
        <w:rPr>
          <w:sz w:val="20"/>
          <w:szCs w:val="20"/>
          <w:color w:val="auto"/>
        </w:rPr>
      </w:pPr>
    </w:p>
    <w:p>
      <w:pPr>
        <w:ind w:right="80" w:firstLine="400"/>
        <w:spacing w:after="0" w:line="246" w:lineRule="auto"/>
        <w:rPr>
          <w:sz w:val="20"/>
          <w:szCs w:val="20"/>
          <w:color w:val="auto"/>
        </w:rPr>
      </w:pPr>
      <w:r>
        <w:rPr>
          <w:rFonts w:ascii="Times New Roman" w:cs="Times New Roman" w:eastAsia="Times New Roman" w:hAnsi="Times New Roman"/>
          <w:sz w:val="20"/>
          <w:szCs w:val="20"/>
          <w:color w:val="auto"/>
        </w:rPr>
        <w:t>We use independent foundry services for certain of our OLED Display Solutions products and Power Solutions products. Silicon wafer production at these facilities is allocated solely by our vendors and beyond our direct control. Therefore, any disruption in wafer supply from these vendors could have a material impact on our revenue and results of operations.</w:t>
      </w:r>
    </w:p>
    <w:p>
      <w:pPr>
        <w:spacing w:after="0" w:line="371"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Global shortages in manufacturing capacities could interrupt or negatively affect our operations, increase cost to manufacture and negatively impact our results of operations.</w:t>
      </w:r>
    </w:p>
    <w:p>
      <w:pPr>
        <w:spacing w:after="0" w:line="121"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Increases in demand for semiconductor products resulted in a global shortage of manufacturing capacity over the prior two years. As a result, we may experience increases in the costs to manufacture our products and may not be able to manufacture and deliver all of the orders placed by our customers. We are not able to foresee when the current shortage of manufacturing capacity will subside. If we are unable secure manufacturing capacities from our current subcontractors, our ability to deliver our products to our customers may be negatively impacted. Also, our subcontractors may increase their fees, which would result in an increase in our manufacturing costs, which we may not be fully able to pass to our customers. These factors could cause a negative impact on our results of operations.</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80"/>
          </w:cols>
          <w:pgMar w:left="1420" w:top="899" w:right="1440" w:bottom="182" w:gutter="0" w:footer="0" w:header="0"/>
          <w:type w:val="continuous"/>
        </w:sectPr>
      </w:pPr>
    </w:p>
    <w:bookmarkStart w:id="26" w:name="page27"/>
    <w:bookmarkEnd w:id="26"/>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We depend on successful parts and materials procurement for our manufacturing processes, and a shortage or increase in the price of these materials could interrupt our operations and result in a decline of revenues and results of operations.</w:t>
      </w:r>
    </w:p>
    <w:p>
      <w:pPr>
        <w:spacing w:after="0" w:line="122"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 components, some of which, such as silicon wafers, are specialized raw materials that are generally only available from a limited number of suppliers. If demand increases or supply decreases for any reason, the costs of our raw materials could significantly increase. For example, worldwide supplies of silicon wafers, an important raw material for the semiconductors we manufacture, have been constrained in recent years due to an increased demand for silicon. We from time to time may enter into multi-year agreements, which specify future quantities and pricing of materials to be supplied by the vendors of these materials; however, this option may not be available to us and we cannot assure that supply increases will match demand increases. If we cannot obtain adequate materials in a timely manner or on favorable terms for the manufacture of our products, revenues and results of operations will decline.</w:t>
      </w:r>
    </w:p>
    <w:p>
      <w:pPr>
        <w:spacing w:after="0" w:line="200" w:lineRule="exact"/>
        <w:rPr>
          <w:sz w:val="20"/>
          <w:szCs w:val="20"/>
          <w:color w:val="auto"/>
        </w:rPr>
      </w:pPr>
    </w:p>
    <w:p>
      <w:pPr>
        <w:spacing w:after="0" w:line="269"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Compliance with regulations regarding the use of ‘‘conflict minerals’’ could limit the supply and increase the cost of certain raw materials used in manufacturing our products.</w:t>
      </w:r>
    </w:p>
    <w:p>
      <w:pPr>
        <w:spacing w:after="0" w:line="121"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The SEC, as mandated by the Dodd-Frank Wall Street Reform and Consumer Protection Act of 2010, adopted disclosure regulations for public companies that manufacture products containing certain minerals that are mined from the Democratic Republic of Congo and adjoining countries and procedures pertaining to a manufacturer’s efforts regarding the source of such minerals. These ‘‘conflict minerals’’ are commonly found in metals used in the manufacture of semiconductors. Manufacturers are also required to disclose their efforts to prevent the sourcing of such minerals and metals produced from them. The implementation of these requirements could adversely affect the sourcing, availability and pricing of metals used in the manufacture of our products. We may also incur additional costs to comply with the disclosure requirements, including costs related to determining the source of any of the relevant minerals used in our products. We may also face difficulties in satisfying customers who may require that our products be certified as free of ‘‘conflict materials,’’ which could harm our relationships with these customers and lead to a loss of revenue.</w:t>
      </w:r>
    </w:p>
    <w:p>
      <w:pPr>
        <w:spacing w:after="0" w:line="229"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face warranty claims, product return, litigation and liability risks and the risk of negative publicity if our products fail.</w:t>
      </w:r>
    </w:p>
    <w:p>
      <w:pPr>
        <w:spacing w:after="0" w:line="121" w:lineRule="exact"/>
        <w:rPr>
          <w:sz w:val="20"/>
          <w:szCs w:val="20"/>
          <w:color w:val="auto"/>
        </w:rPr>
      </w:pPr>
    </w:p>
    <w:p>
      <w:pPr>
        <w:ind w:right="80" w:firstLine="400"/>
        <w:spacing w:after="0" w:line="249" w:lineRule="auto"/>
        <w:rPr>
          <w:sz w:val="20"/>
          <w:szCs w:val="20"/>
          <w:color w:val="auto"/>
        </w:rPr>
      </w:pPr>
      <w:r>
        <w:rPr>
          <w:rFonts w:ascii="Times New Roman" w:cs="Times New Roman" w:eastAsia="Times New Roman" w:hAnsi="Times New Roman"/>
          <w:sz w:val="20"/>
          <w:szCs w:val="20"/>
          <w:color w:val="auto"/>
        </w:rPr>
        <w:t>Our semiconductors are incorporated into a number of end products, and our business is exposed to product return, warranty and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 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219"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could suffer adverse tax and other financial consequences as a result of changes in, or differences in the interpretation of, applicable tax laws, or the adoption of new U.S. or international tax legislation.</w:t>
      </w:r>
    </w:p>
    <w:p>
      <w:pPr>
        <w:spacing w:after="0" w:line="121" w:lineRule="exact"/>
        <w:rPr>
          <w:sz w:val="20"/>
          <w:szCs w:val="20"/>
          <w:color w:val="auto"/>
        </w:rPr>
      </w:pPr>
    </w:p>
    <w:p>
      <w:pPr>
        <w:ind w:right="60" w:firstLine="400"/>
        <w:spacing w:after="0" w:line="249" w:lineRule="auto"/>
        <w:rPr>
          <w:sz w:val="20"/>
          <w:szCs w:val="20"/>
          <w:color w:val="auto"/>
        </w:rPr>
      </w:pPr>
      <w:r>
        <w:rPr>
          <w:rFonts w:ascii="Times New Roman" w:cs="Times New Roman" w:eastAsia="Times New Roman" w:hAnsi="Times New Roman"/>
          <w:sz w:val="20"/>
          <w:szCs w:val="20"/>
          <w:color w:val="auto"/>
        </w:rPr>
        <w:t>Our company’s organizational structure was created in part based on certain interpretations and conclusions regarding various tax laws, including withholding tax and other tax laws of applicable jurisdictions.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 financial consequences, and the anticipated benefits of our organizational structure could be materially impaired. Our company’s organizational structure and other tax positions are subject to review by tax authorities in the local and other jurisdictions where we operate our business.</w:t>
      </w:r>
    </w:p>
    <w:p>
      <w:pPr>
        <w:sectPr>
          <w:pgSz w:w="12240" w:h="15840" w:orient="portrait"/>
          <w:cols w:equalWidth="0" w:num="1">
            <w:col w:w="9380"/>
          </w:cols>
          <w:pgMar w:left="1420" w:top="893" w:right="1440" w:bottom="182"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80"/>
          </w:cols>
          <w:pgMar w:left="1420" w:top="893" w:right="1440" w:bottom="182" w:gutter="0" w:footer="0" w:header="0"/>
          <w:type w:val="continuous"/>
        </w:sectPr>
      </w:pPr>
    </w:p>
    <w:bookmarkStart w:id="27" w:name="page28"/>
    <w:bookmarkEnd w:id="27"/>
    <w:p>
      <w:pPr>
        <w:ind w:left="400"/>
        <w:spacing w:after="0"/>
        <w:rPr>
          <w:sz w:val="20"/>
          <w:szCs w:val="20"/>
          <w:color w:val="auto"/>
        </w:rPr>
      </w:pPr>
      <w:r>
        <w:rPr>
          <w:rFonts w:ascii="Times New Roman" w:cs="Times New Roman" w:eastAsia="Times New Roman" w:hAnsi="Times New Roman"/>
          <w:sz w:val="20"/>
          <w:szCs w:val="20"/>
          <w:color w:val="auto"/>
        </w:rPr>
        <w:t>Our provision for income taxes is subject to volatility and could be negatively affected by earnings being</w:t>
      </w:r>
    </w:p>
    <w:p>
      <w:pPr>
        <w:spacing w:after="0" w:line="20" w:lineRule="exact"/>
        <w:rPr>
          <w:sz w:val="20"/>
          <w:szCs w:val="20"/>
          <w:color w:val="auto"/>
        </w:rPr>
      </w:pPr>
    </w:p>
    <w:p>
      <w:pPr>
        <w:ind w:right="160" w:firstLine="6"/>
        <w:spacing w:after="0" w:line="248" w:lineRule="auto"/>
        <w:tabs>
          <w:tab w:leader="none" w:pos="25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 than anticipated in jurisdictions that have lower statutory tax rates or (ii) higher than anticipated in jurisdictions that have higher statutory tax rates. In addition, our provision for income taxes could be negatively affected by changes in the valuation of our deferred tax assets and liabilities, changes to global intangible low-tax income tax laws, transfer pricing adjustments, or changes in tax laws, regulations, or accounting principles.</w:t>
      </w:r>
    </w:p>
    <w:p>
      <w:pPr>
        <w:spacing w:after="0" w:line="369" w:lineRule="exact"/>
        <w:rPr>
          <w:sz w:val="20"/>
          <w:szCs w:val="20"/>
          <w:color w:val="auto"/>
        </w:rPr>
      </w:pPr>
    </w:p>
    <w:p>
      <w:pPr>
        <w:ind w:right="200" w:firstLine="400"/>
        <w:spacing w:after="0" w:line="248" w:lineRule="auto"/>
        <w:rPr>
          <w:sz w:val="20"/>
          <w:szCs w:val="20"/>
          <w:color w:val="auto"/>
        </w:rPr>
      </w:pPr>
      <w:r>
        <w:rPr>
          <w:rFonts w:ascii="Times New Roman" w:cs="Times New Roman" w:eastAsia="Times New Roman" w:hAnsi="Times New Roman"/>
          <w:sz w:val="20"/>
          <w:szCs w:val="20"/>
          <w:color w:val="auto"/>
        </w:rPr>
        <w:t>Additional changes in the U.S. tax regime or in how U.S. multinational corporations are taxed on foreign income, including changes in how existing tax laws are interpreted or enforced, could adversely affect our business,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w:t>
      </w:r>
    </w:p>
    <w:p>
      <w:pPr>
        <w:spacing w:after="0" w:line="136"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On August 16, 2022, the U.S. enacted the Inflation Reduction Act of 2022 (the ‘‘IRA’’), which, among other things, implements a 15% alternative minimum tax on the adjusted financial statement income of large corporations with average annual financial income exceeding $1 billion, a 1% excise tax on net stock repurchases and several tax incentives to promote clean energy. The IRA provisions are effective for tax years beginning after December 31, 2022. On December 12, 2022, the European Union member states agreed to implement the OECD’s Pillar 2 global corporate minimum tax rate of 15% on companies with revenues of at least</w:t>
      </w:r>
    </w:p>
    <w:p>
      <w:pPr>
        <w:spacing w:after="0" w:line="14" w:lineRule="exact"/>
        <w:rPr>
          <w:sz w:val="20"/>
          <w:szCs w:val="20"/>
          <w:color w:val="auto"/>
        </w:rPr>
      </w:pPr>
    </w:p>
    <w:p>
      <w:pPr>
        <w:ind w:right="480"/>
        <w:spacing w:after="0" w:line="247" w:lineRule="auto"/>
        <w:rPr>
          <w:sz w:val="20"/>
          <w:szCs w:val="20"/>
          <w:color w:val="auto"/>
        </w:rPr>
      </w:pPr>
      <w:r>
        <w:rPr>
          <w:rFonts w:ascii="Times New Roman" w:cs="Times New Roman" w:eastAsia="Times New Roman" w:hAnsi="Times New Roman"/>
          <w:sz w:val="20"/>
          <w:szCs w:val="20"/>
          <w:color w:val="auto"/>
        </w:rPr>
        <w:t>EUR 750 million, which will be effective for fiscal years beginning on January 1, 2024. Additionally, South Korea became one of the first countries to enact minimum tax rules. At this time, we do not anticipate that changes in the tax laws will have a material impact to our consolidated tax provision for the year ending December 31, 2022 or December 31, 2023. We will continue to monitor as new information and guidance becomes available.</w:t>
      </w:r>
    </w:p>
    <w:p>
      <w:pPr>
        <w:spacing w:after="0" w:line="137"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We are also subject to regular reviews, examinations and audits by the IRS and other taxing authorities, including the Korean National Tax Service, with respect to income and non-income based taxes both within and outside the U.S. In connection with the OECD’s BEPS project, companies are required to disclose more information to tax authorities on operations around the world, which may lead to greater audit scrutiny of income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Expanded trade restrictions imposed by the United States may limit our ability to sell to certain customers.</w:t>
      </w:r>
    </w:p>
    <w:p>
      <w:pPr>
        <w:spacing w:after="0" w:line="120"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On August 17, 2020, the U.S. Department of Commerce expanded the scope of export restrictions as applied to products directed to Huawei and its affiliates listed on the Bureau of Industry and Security’s Entity List (collectively, ‘‘Huawei’’). While prior restrictions had minimal effect on our ability to supply to customers, the newly expanded restrictions would limit our ability to supply to a variety of customers who we believe incorporate our products to those customers’ products directly or indirectly sold to Huawei. As of the date of this Annual Report, we are uncertain on the seriousness of the restrictions’ impact or duration and the future trajectory of our business from customers who directly or indirectly supply Huawei with products that incorporate our products. For export of some of our products, we have successfully obtained the necessary export licenses, and if exports of other products require export licenses due to the restrictions, we will consider applying for the necessary export licenses to continue to sell to the affected customers. Although we have thus far successfully obtained the necessary export licenses for exporting some of our products, we are unsure whether our other applications will be successful. There is also a possibility that export restrictions may be further expanded to target companies in addition to Huawei, which may have an additional impact on our ability to sell to our customers. Export restrictions may also affect our contractors, suppliers or customers, and we cannot assure that they will not violate the restrictions, and any such violations may result in fines or criminal sanctions against us and damage our reputation.</w:t>
      </w:r>
    </w:p>
    <w:p>
      <w:pPr>
        <w:spacing w:after="0" w:line="381" w:lineRule="exact"/>
        <w:rPr>
          <w:sz w:val="20"/>
          <w:szCs w:val="20"/>
          <w:color w:val="auto"/>
        </w:rPr>
      </w:pPr>
    </w:p>
    <w:p>
      <w:pPr>
        <w:ind w:right="160" w:firstLine="400"/>
        <w:spacing w:after="0" w:line="239" w:lineRule="auto"/>
        <w:rPr>
          <w:sz w:val="20"/>
          <w:szCs w:val="20"/>
          <w:color w:val="auto"/>
        </w:rPr>
      </w:pPr>
      <w:r>
        <w:rPr>
          <w:rFonts w:ascii="Times New Roman" w:cs="Times New Roman" w:eastAsia="Times New Roman" w:hAnsi="Times New Roman"/>
          <w:sz w:val="20"/>
          <w:szCs w:val="20"/>
          <w:color w:val="auto"/>
        </w:rPr>
        <w:t>Additionally, the U.S. has published significant changes to U.S. export control regulations with respect to Russia and China, and we anticipate additional changes to export control regulations in the future. For example,</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80"/>
          </w:cols>
          <w:pgMar w:left="1420" w:top="889" w:right="1440" w:bottom="182" w:gutter="0" w:footer="0" w:header="0"/>
          <w:type w:val="continuous"/>
        </w:sectPr>
      </w:pPr>
    </w:p>
    <w:bookmarkStart w:id="28" w:name="page29"/>
    <w:bookmarkEnd w:id="28"/>
    <w:p>
      <w:pPr>
        <w:ind w:right="100"/>
        <w:spacing w:after="0" w:line="249" w:lineRule="auto"/>
        <w:rPr>
          <w:sz w:val="20"/>
          <w:szCs w:val="20"/>
          <w:color w:val="auto"/>
        </w:rPr>
      </w:pPr>
      <w:r>
        <w:rPr>
          <w:rFonts w:ascii="Times New Roman" w:cs="Times New Roman" w:eastAsia="Times New Roman" w:hAnsi="Times New Roman"/>
          <w:sz w:val="20"/>
          <w:szCs w:val="20"/>
          <w:color w:val="auto"/>
        </w:rPr>
        <w:t>the U.S. government has implemented controls on advanced computing ICs, computer commodities that contain such ICs, and certain semiconductor manufacturing items, as well as controls on transactions involving items for supercomputer and semiconductor manufacturing end-users. The new controls expand the scope of foreign-produced items subject to license requirements for certain entities on the U.S. government’s Entity List. Future changes in the U.S. export control regulations, including changes in the enforcement and scope of such regulations, may create delays in the introduction of our products or services in international markets or could prevent our customers with international operations from deploying our products or services globally. In some cases, such changes could prevent the export or import of our products, which could have a material impact on our future results of operations and financial condition.</w:t>
      </w:r>
    </w:p>
    <w:p>
      <w:pPr>
        <w:spacing w:after="0" w:line="137" w:lineRule="exact"/>
        <w:rPr>
          <w:sz w:val="20"/>
          <w:szCs w:val="20"/>
          <w:color w:val="auto"/>
        </w:rPr>
      </w:pPr>
    </w:p>
    <w:p>
      <w:pPr>
        <w:ind w:right="58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Expanded trade restrictions imposed by South Korea may limit our ability to sell to certain customers or engage in any potential strategic opportunities.</w:t>
      </w:r>
    </w:p>
    <w:p>
      <w:pPr>
        <w:spacing w:after="0" w:line="121" w:lineRule="exact"/>
        <w:rPr>
          <w:sz w:val="20"/>
          <w:szCs w:val="20"/>
          <w:color w:val="auto"/>
        </w:rPr>
      </w:pPr>
    </w:p>
    <w:p>
      <w:pPr>
        <w:ind w:right="240" w:firstLine="400"/>
        <w:spacing w:after="0" w:line="247" w:lineRule="auto"/>
        <w:rPr>
          <w:sz w:val="20"/>
          <w:szCs w:val="20"/>
          <w:color w:val="auto"/>
        </w:rPr>
      </w:pPr>
      <w:r>
        <w:rPr>
          <w:rFonts w:ascii="Times New Roman" w:cs="Times New Roman" w:eastAsia="Times New Roman" w:hAnsi="Times New Roman"/>
          <w:sz w:val="20"/>
          <w:szCs w:val="20"/>
          <w:color w:val="auto"/>
        </w:rPr>
        <w:t>Under the ITA, any export (including various means of outflow, such as sale or transfer outside Korea) of National Core Technology by MOTIE requires the filing of a prior-report with, and the acceptance of the same by, the MOTIE. Any such export of NCT without the acceptance of the prior-report with the MOTIE may be subject to corrective orders by the relevant authorities, and failure to comply with such corrective orders may potentially result in criminal liabilities.</w:t>
      </w:r>
    </w:p>
    <w:p>
      <w:pPr>
        <w:spacing w:after="0" w:line="137" w:lineRule="exact"/>
        <w:rPr>
          <w:sz w:val="20"/>
          <w:szCs w:val="20"/>
          <w:color w:val="auto"/>
        </w:rPr>
      </w:pPr>
    </w:p>
    <w:p>
      <w:pPr>
        <w:ind w:right="80" w:firstLine="400"/>
        <w:spacing w:after="0" w:line="249" w:lineRule="auto"/>
        <w:rPr>
          <w:sz w:val="20"/>
          <w:szCs w:val="20"/>
          <w:color w:val="auto"/>
        </w:rPr>
      </w:pPr>
      <w:r>
        <w:rPr>
          <w:rFonts w:ascii="Times New Roman" w:cs="Times New Roman" w:eastAsia="Times New Roman" w:hAnsi="Times New Roman"/>
          <w:sz w:val="20"/>
          <w:szCs w:val="20"/>
          <w:color w:val="auto"/>
        </w:rPr>
        <w:t>The Notification Regarding Designation of National Core Technologies issued by the MOTIE was amended on July 14, 2021 to add certain technologies to the list of National Core Technology designated by the MOTIE, and the amended list includes the design technology for OLED DDI. In the ordinary course of business, our Korean subsidiary may provide certain information relating to its products, including OLED DDI, to customers, suppliers or vendors, and such disclosure of information may be subject to the NCT-related regulations under the ITA, and therefore the MOTIE’s acceptance of prior reports. Since the amendment of the foregoing NCT list in July 2021, we have filed prior-reports with the MOTIE for the export of our OLED DDI product-related information to certain overseas vendors that manufacture our products, and all such reports have thus far been accepted by the MOTIE.</w:t>
      </w:r>
    </w:p>
    <w:p>
      <w:pPr>
        <w:spacing w:after="0" w:line="371" w:lineRule="exact"/>
        <w:rPr>
          <w:sz w:val="20"/>
          <w:szCs w:val="20"/>
          <w:color w:val="auto"/>
        </w:rPr>
      </w:pPr>
    </w:p>
    <w:p>
      <w:pPr>
        <w:ind w:right="100" w:firstLine="400"/>
        <w:spacing w:after="0" w:line="246" w:lineRule="auto"/>
        <w:rPr>
          <w:sz w:val="20"/>
          <w:szCs w:val="20"/>
          <w:color w:val="auto"/>
        </w:rPr>
      </w:pPr>
      <w:r>
        <w:rPr>
          <w:rFonts w:ascii="Times New Roman" w:cs="Times New Roman" w:eastAsia="Times New Roman" w:hAnsi="Times New Roman"/>
          <w:sz w:val="20"/>
          <w:szCs w:val="20"/>
          <w:color w:val="auto"/>
        </w:rPr>
        <w:t>There is no assurance, however, that any future prior-reports for the export of our product-related information will be accepted by the MOTIE. In the event that any future prior-report is not accepted, we may be unable to continue our business with the overseas customers, suppliers or vendors, including the manufacturing and delivery of our OLED DDI products.</w:t>
      </w:r>
    </w:p>
    <w:p>
      <w:pPr>
        <w:spacing w:after="0" w:line="137" w:lineRule="exact"/>
        <w:rPr>
          <w:sz w:val="20"/>
          <w:szCs w:val="20"/>
          <w:color w:val="auto"/>
        </w:rPr>
      </w:pPr>
    </w:p>
    <w:p>
      <w:pPr>
        <w:ind w:right="20" w:firstLine="400"/>
        <w:spacing w:after="0" w:line="247" w:lineRule="auto"/>
        <w:rPr>
          <w:sz w:val="20"/>
          <w:szCs w:val="20"/>
          <w:color w:val="auto"/>
        </w:rPr>
      </w:pPr>
      <w:r>
        <w:rPr>
          <w:rFonts w:ascii="Times New Roman" w:cs="Times New Roman" w:eastAsia="Times New Roman" w:hAnsi="Times New Roman"/>
          <w:sz w:val="20"/>
          <w:szCs w:val="20"/>
          <w:color w:val="auto"/>
        </w:rPr>
        <w:t>In addition, in the event that there is any M&amp;A transaction with respect to our Korean subsidiary that results in non-Korean ownership of 50% or more, or exertion of control over the appointment of officers/management by a non-Korean person or entity as the largest shareholder, a prior-report with and the acceptance by the MOTIE is required under the ITA. There is no assurance that any report for an M&amp;A transaction involving non-Korean acquirers or investors will be accepted by the MOTIE when such transaction is pursued in the future.</w:t>
      </w:r>
    </w:p>
    <w:p>
      <w:pPr>
        <w:spacing w:after="0" w:line="141" w:lineRule="exact"/>
        <w:rPr>
          <w:sz w:val="20"/>
          <w:szCs w:val="20"/>
          <w:color w:val="auto"/>
        </w:rPr>
      </w:pPr>
    </w:p>
    <w:p>
      <w:pPr>
        <w:jc w:val="both"/>
        <w:ind w:right="10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Recent changes in international trade policy and the imposition and threats of international tariffs, including tariffs applied to goods traded between the United States and China, could materially and adversely affect our business and results of operations.</w:t>
      </w:r>
    </w:p>
    <w:p>
      <w:pPr>
        <w:spacing w:after="0" w:line="122" w:lineRule="exact"/>
        <w:rPr>
          <w:sz w:val="20"/>
          <w:szCs w:val="20"/>
          <w:color w:val="auto"/>
        </w:rPr>
      </w:pPr>
    </w:p>
    <w:p>
      <w:pPr>
        <w:ind w:right="80" w:firstLine="400"/>
        <w:spacing w:after="0" w:line="249" w:lineRule="auto"/>
        <w:rPr>
          <w:sz w:val="20"/>
          <w:szCs w:val="20"/>
          <w:color w:val="auto"/>
        </w:rPr>
      </w:pPr>
      <w:r>
        <w:rPr>
          <w:rFonts w:ascii="Times New Roman" w:cs="Times New Roman" w:eastAsia="Times New Roman" w:hAnsi="Times New Roman"/>
          <w:sz w:val="20"/>
          <w:szCs w:val="20"/>
          <w:color w:val="auto"/>
        </w:rPr>
        <w:t>Since the beginning of 2018, there have been increasing public threats and, in some cases, legislative or executive action, from U.S. and foreign leaders regarding instituting tariffs against foreign imports of certain materials. More specifically, since March of 2018, the U.S. and China have applied tariffs to certain of each other’s exports. The institution of trade tariffs globally, and between the U.S. and China specifically, may negatively impact the affected countries’ economic conditions, which could negatively affect demand for our products in those countries and materially and adversely affect our business and results of operations of our customers serving the affected markets. Imposition of tariffs could increase costs of the end-user products we supply that we may not be able to pass on to our customers, which could in turn cause a decrease in the sales of our products and materially and adversely affect our business and results of operations.</w:t>
      </w:r>
    </w:p>
    <w:p>
      <w:pPr>
        <w:spacing w:after="0" w:line="137" w:lineRule="exact"/>
        <w:rPr>
          <w:sz w:val="20"/>
          <w:szCs w:val="20"/>
          <w:color w:val="auto"/>
        </w:rPr>
      </w:pPr>
    </w:p>
    <w:p>
      <w:pPr>
        <w:ind w:right="3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ability to compete successfully and achieve future growth will depend, in part, on our ability to protect our intellectual property, proprietary technology and know-how, as well as our ability to operate without infringing the proprietary rights of others.</w:t>
      </w:r>
    </w:p>
    <w:p>
      <w:pPr>
        <w:spacing w:after="0" w:line="122" w:lineRule="exact"/>
        <w:rPr>
          <w:sz w:val="20"/>
          <w:szCs w:val="20"/>
          <w:color w:val="auto"/>
        </w:rPr>
      </w:pPr>
    </w:p>
    <w:p>
      <w:pPr>
        <w:ind w:right="60" w:firstLine="400"/>
        <w:spacing w:after="0" w:line="245" w:lineRule="auto"/>
        <w:rPr>
          <w:sz w:val="20"/>
          <w:szCs w:val="20"/>
          <w:color w:val="auto"/>
        </w:rPr>
      </w:pPr>
      <w:r>
        <w:rPr>
          <w:rFonts w:ascii="Times New Roman" w:cs="Times New Roman" w:eastAsia="Times New Roman" w:hAnsi="Times New Roman"/>
          <w:sz w:val="20"/>
          <w:szCs w:val="20"/>
          <w:color w:val="auto"/>
        </w:rPr>
        <w:t>We attempt to protect our intellectual property rights, both in the U.S. and in foreign countries, through a combination of patent, trademark, copyright, mask works and trade secret laws, as well as licensing agreements and third-party nondisclosure and assignment agreements. Because of the differences in foreign trademark, patent</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80"/>
          </w:cols>
          <w:pgMar w:left="1420" w:top="899" w:right="1440" w:bottom="182" w:gutter="0" w:footer="0" w:header="0"/>
          <w:type w:val="continuous"/>
        </w:sectPr>
      </w:pPr>
    </w:p>
    <w:bookmarkStart w:id="29" w:name="page30"/>
    <w:bookmarkEnd w:id="29"/>
    <w:p>
      <w:pPr>
        <w:ind w:right="40"/>
        <w:spacing w:after="0" w:line="248" w:lineRule="auto"/>
        <w:rPr>
          <w:sz w:val="20"/>
          <w:szCs w:val="20"/>
          <w:color w:val="auto"/>
        </w:rPr>
      </w:pPr>
      <w:r>
        <w:rPr>
          <w:rFonts w:ascii="Times New Roman" w:cs="Times New Roman" w:eastAsia="Times New Roman" w:hAnsi="Times New Roman"/>
          <w:sz w:val="20"/>
          <w:szCs w:val="20"/>
          <w:color w:val="auto"/>
        </w:rPr>
        <w:t>and other laws concerning proprietary rights, our intellectual property rights may not receive the same degree of protection in foreign countries as they would in the U.S. In particular, the validity, 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U.S. Our failure to obtain or maintain adequate protection of our intellectual property rights for any reason could have a material adverse effect on our business, results of operations and financial condition.</w:t>
      </w:r>
    </w:p>
    <w:p>
      <w:pPr>
        <w:spacing w:after="0" w:line="136"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Many of our patents are subject to cross licenses, several of which are with our competitors. Some of our technologies are not covered by any patent or patent application. The confidentiality agreements on which we rely to protect these technologies may be breached and may not be adequate to protect our proprietary technologies. Further, it is possible that others will independently develop the same or similar technologies, even without access to our proprietary technologies.</w:t>
      </w:r>
    </w:p>
    <w:p>
      <w:pPr>
        <w:spacing w:after="0" w:line="373" w:lineRule="exact"/>
        <w:rPr>
          <w:sz w:val="20"/>
          <w:szCs w:val="20"/>
          <w:color w:val="auto"/>
        </w:rPr>
      </w:pPr>
    </w:p>
    <w:p>
      <w:pPr>
        <w:ind w:right="140" w:firstLine="400"/>
        <w:spacing w:after="0" w:line="248" w:lineRule="auto"/>
        <w:rPr>
          <w:sz w:val="20"/>
          <w:szCs w:val="20"/>
          <w:color w:val="auto"/>
        </w:rPr>
      </w:pPr>
      <w:r>
        <w:rPr>
          <w:rFonts w:ascii="Times New Roman" w:cs="Times New Roman" w:eastAsia="Times New Roman" w:hAnsi="Times New Roman"/>
          <w:sz w:val="20"/>
          <w:szCs w:val="20"/>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advertising and marketing new brands. Further, we cannot assure you that competitors will not infringe our trademarks, or that we will have adequate resources to enforce our trademarks.</w:t>
      </w:r>
    </w:p>
    <w:p>
      <w:pPr>
        <w:spacing w:after="0" w:line="1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Our ability to compete successfully depends on our ability to operate without infringing the proprietary</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rights of others. We have no means of knowing what patent applications have been filed until they are published.</w:t>
      </w:r>
    </w:p>
    <w:p>
      <w:pPr>
        <w:spacing w:after="0" w:line="140" w:lineRule="exact"/>
        <w:rPr>
          <w:sz w:val="20"/>
          <w:szCs w:val="20"/>
          <w:color w:val="auto"/>
        </w:rPr>
      </w:pPr>
    </w:p>
    <w:p>
      <w:pPr>
        <w:ind w:right="140" w:firstLine="400"/>
        <w:spacing w:after="0" w:line="247" w:lineRule="auto"/>
        <w:rPr>
          <w:sz w:val="20"/>
          <w:szCs w:val="20"/>
          <w:color w:val="auto"/>
        </w:rPr>
      </w:pPr>
      <w:r>
        <w:rPr>
          <w:rFonts w:ascii="Times New Roman" w:cs="Times New Roman" w:eastAsia="Times New Roman" w:hAnsi="Times New Roman"/>
          <w:sz w:val="20"/>
          <w:szCs w:val="20"/>
          <w:color w:val="auto"/>
        </w:rPr>
        <w:t>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and we cannot assure you that we will prevail. Any claims of intellectual property infringement or misappropriation against use, even those without merit, could require us to:</w:t>
      </w:r>
    </w:p>
    <w:p>
      <w:pPr>
        <w:spacing w:after="0" w:line="137" w:lineRule="exact"/>
        <w:rPr>
          <w:sz w:val="20"/>
          <w:szCs w:val="20"/>
          <w:color w:val="auto"/>
        </w:rPr>
      </w:pPr>
    </w:p>
    <w:p>
      <w:pPr>
        <w:ind w:left="800" w:right="140" w:hanging="394"/>
        <w:spacing w:after="0" w:line="238" w:lineRule="auto"/>
        <w:tabs>
          <w:tab w:leader="none" w:pos="80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pay substantial damages or indemnify customers or licensees for damages they may suffer if the products they purchase from us or the technology they license from us violate the intellectual property rights of others;</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stop our manufacture, use, sale or importation of the accused products;</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redesign, reengineer or rebrand our products, if feasible;</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expend significant resources to develop or acquire non-infringing technologies;</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discontinue processes; or</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 licenses to a third party’s intellectual property.</w:t>
      </w:r>
    </w:p>
    <w:p>
      <w:pPr>
        <w:spacing w:after="0" w:line="140" w:lineRule="exact"/>
        <w:rPr>
          <w:sz w:val="20"/>
          <w:szCs w:val="20"/>
          <w:color w:val="auto"/>
        </w:rPr>
      </w:pPr>
    </w:p>
    <w:p>
      <w:pPr>
        <w:ind w:right="460" w:firstLine="400"/>
        <w:spacing w:after="0" w:line="239" w:lineRule="auto"/>
        <w:rPr>
          <w:sz w:val="20"/>
          <w:szCs w:val="20"/>
          <w:color w:val="auto"/>
        </w:rPr>
      </w:pPr>
      <w:r>
        <w:rPr>
          <w:rFonts w:ascii="Times New Roman" w:cs="Times New Roman" w:eastAsia="Times New Roman" w:hAnsi="Times New Roman"/>
          <w:sz w:val="20"/>
          <w:szCs w:val="20"/>
          <w:color w:val="auto"/>
        </w:rPr>
        <w:t>There can be no assurance that we would be successful in such development or acquisition or that such licenses would be available under reasonable terms, or at all.</w:t>
      </w:r>
    </w:p>
    <w:p>
      <w:pPr>
        <w:spacing w:after="0" w:line="142"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auto"/>
        </w:rPr>
        <w:t>We license certain intellectual property from third parties. The termination of key third-party licenses relating to the use of intellectual property in our products and our design processes would adversely affect certain areas of our business.</w:t>
      </w:r>
    </w:p>
    <w:p>
      <w:pPr>
        <w:spacing w:after="0" w:line="160" w:lineRule="exact"/>
        <w:rPr>
          <w:sz w:val="20"/>
          <w:szCs w:val="20"/>
          <w:color w:val="auto"/>
        </w:rPr>
      </w:pPr>
    </w:p>
    <w:p>
      <w:pPr>
        <w:ind w:right="58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are subject to many environmental laws and regulations that could affect our operations or result in significant expenses.</w:t>
      </w:r>
    </w:p>
    <w:p>
      <w:pPr>
        <w:spacing w:after="0" w:line="121"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80"/>
          </w:cols>
          <w:pgMar w:left="1420" w:top="899" w:right="1440" w:bottom="182" w:gutter="0" w:footer="0" w:header="0"/>
          <w:type w:val="continuous"/>
        </w:sectPr>
      </w:pPr>
    </w:p>
    <w:bookmarkStart w:id="30" w:name="page31"/>
    <w:bookmarkEnd w:id="30"/>
    <w:p>
      <w:pPr>
        <w:ind w:right="20"/>
        <w:spacing w:after="0" w:line="260" w:lineRule="auto"/>
        <w:rPr>
          <w:sz w:val="20"/>
          <w:szCs w:val="20"/>
          <w:color w:val="auto"/>
        </w:rPr>
      </w:pPr>
      <w:r>
        <w:rPr>
          <w:rFonts w:ascii="Times New Roman" w:cs="Times New Roman" w:eastAsia="Times New Roman" w:hAnsi="Times New Roman"/>
          <w:sz w:val="20"/>
          <w:szCs w:val="20"/>
          <w:color w:val="auto"/>
        </w:rPr>
        <w:t>wastes, soil and groundwater contamination and employee health and safety. These laws and regulations are complex, change frequently and have tended to become more stringent over time. Among them is the Act on Remediation and Compensation for Damages arising from Environmental Contamination which came into effect in Korea on January 1, 2016 and provides for strict liability of business entities in violation of the act and alleviates the burden of proof for the damaged party. Further, under the amendment to the Act on the Control and Aggravated Punishment of Environmental Offenses that becomes effective on November 27, 2020, certain environmental offenses such as illegally emitting specified hazardous air pollutants or emitting air pollutants without necessary permits will be subject to penalties of up to 5% of the sales amount generated from the relevant business. Moreover, to effectively respond to environmental crimes, on November 14, 2022, a joint investigation team was established, consisting of experts from both national and local governments, including the prosecutor’s office, the Ministry of Environment. As a result, we have increased potential exposure to liability for environmental contaminations that might have existed in the past or would arise in the future.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Our Korean subsidiary has been designated as a regulated business under Korean environmental law, and such designation could have an adverse effect on our financial position and results of operations.</w:t>
      </w:r>
    </w:p>
    <w:p>
      <w:pPr>
        <w:spacing w:after="0" w:line="132" w:lineRule="exact"/>
        <w:rPr>
          <w:sz w:val="20"/>
          <w:szCs w:val="20"/>
          <w:color w:val="auto"/>
        </w:rPr>
      </w:pPr>
    </w:p>
    <w:p>
      <w:pPr>
        <w:ind w:right="20" w:firstLine="400"/>
        <w:spacing w:after="0" w:line="260" w:lineRule="auto"/>
        <w:rPr>
          <w:sz w:val="20"/>
          <w:szCs w:val="20"/>
          <w:color w:val="auto"/>
        </w:rPr>
      </w:pPr>
      <w:r>
        <w:rPr>
          <w:rFonts w:ascii="Times New Roman" w:cs="Times New Roman" w:eastAsia="Times New Roman" w:hAnsi="Times New Roman"/>
          <w:sz w:val="20"/>
          <w:szCs w:val="20"/>
          <w:color w:val="auto"/>
        </w:rPr>
        <w:t>Since 2015, our Korean subsidiary has been subject to K-ETS, a new set of greenhouse gas emissions regulations,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emissions or purchasing allowances from other participants or the government in the emission trading market. Reduction of our emissions or energy consumption may result in additional and potentially costly compliance or remediation expenses, including potentially the installation of equipment and changes in the type of materials we use in manufacturing, as well as cost of procuring emission allowances to cover the excess emissions, which could adversely affect our financial position and results of operations. During the first implementation period from 2015 to 2017 and second implementation period from 2018 to 2020, we did not exceed the allocated emission amount. Our Korean subsidiary has been allocated emissions allowance in the third implementation period from 2021 to 2025, and we do not expect to exceed the allocated emission amount during the third implementation period. If, however, our Korean subsidiary exceeds the allocated emission amount the third implementation period, we will be required to pay for the excess emissions and may be subject to other regulatory action. We will continue to monitor our compliance with the emissions allowance on a yearly basis. In addition, from time to time, if we assess that we have excess allowances, we may sell such excess allowances to manufacturers in the emission market in Korea.</w:t>
      </w:r>
    </w:p>
    <w:p>
      <w:pPr>
        <w:spacing w:after="0" w:line="384" w:lineRule="exact"/>
        <w:rPr>
          <w:sz w:val="20"/>
          <w:szCs w:val="20"/>
          <w:color w:val="auto"/>
        </w:rPr>
      </w:pPr>
    </w:p>
    <w:p>
      <w:pPr>
        <w:ind w:right="40" w:firstLine="400"/>
        <w:spacing w:after="0" w:line="260" w:lineRule="auto"/>
        <w:rPr>
          <w:sz w:val="20"/>
          <w:szCs w:val="20"/>
          <w:color w:val="auto"/>
        </w:rPr>
      </w:pPr>
      <w:r>
        <w:rPr>
          <w:rFonts w:ascii="Times New Roman" w:cs="Times New Roman" w:eastAsia="Times New Roman" w:hAnsi="Times New Roman"/>
          <w:sz w:val="20"/>
          <w:szCs w:val="20"/>
          <w:color w:val="auto"/>
        </w:rPr>
        <w:t>Furthermore, the Korean legislature enacted the Framework Act on Carbon Neutrality and Green Growth for Responding to Climate Change (the ‘‘Carbon Neutrality Framework Act’’) on September 24, 2021. The Carbon Neutrality Framework Act aims to reduce greenhouse gas emissions by more than 35% by 2030 (compared to 2018) and proclaims the achievement of carbon neutrality by 2050 as a national vision. The Carbon Neutrality Framework Act is significant in that it legislates carbon neutrality and greenhouse gas reduction objectives, and enables the central administrative agencies, local governments and public institutions to implement various measures towards such objectives. On March 25, 2022, the Enforcement Decree of the Carbon Neutrality Framework Act (the ‘‘Enforcement Decree’’) was enacted. The Enforcement Decree aims to provide details required for the execution of items prescribed under the Carbon Neutrality Framework Act. The key provisions of the Enforcement Decree include those setting the mid- to long-term greenhouse gas reduction goal at 40% and implementing the climate change impact assessment scheme. It is anticipated that the Carbon Neutrality Framework Act, which aims to promote the harmonious development of the economy and the environment in conjunction with active greenhouse gas reduction measures, will serve as the foundation for the government’s climate change response policy going forward.</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80"/>
          </w:cols>
          <w:pgMar w:left="1420" w:top="899" w:right="1440" w:bottom="182" w:gutter="0" w:footer="0" w:header="0"/>
          <w:type w:val="continuous"/>
        </w:sectPr>
      </w:pPr>
    </w:p>
    <w:bookmarkStart w:id="31" w:name="page32"/>
    <w:bookmarkEnd w:id="31"/>
    <w:p>
      <w:pPr>
        <w:ind w:right="96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Our compliance with the Serious Accidents Punishment Act (the ‘‘SAPA’’) could require significant expenditures and management time and expose us to liability for violations.</w:t>
      </w:r>
    </w:p>
    <w:p>
      <w:pPr>
        <w:spacing w:after="0" w:line="121"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Enacted on January 26, 2021 and effective as of January 27, 2022 in Korea, the SAPA will impose enhanced liability exposure for workplace accidents. The legislative goal of the SAPA is to prevent serious accidents by prescribing punishments and punitive damages liability for business owners or responsible management personnel who have violated safety and health measures in the event of such serious accidents (serious industrial accidents and serious civil accidents). Since the law applies to businesses in Korea with 50 or more full-time employees starting from January 27, 2022, our Korean subsidiary becomes subject to the law after the effective date. According to the SAPA, if a serious occupational accident occurs that results in at least one deceased person, at least two persons wounded for six months or more, or at least three persons suffering from occupational diseases within a one year period, if the ‘‘business owners or responsible management personnel’’ of the relevant business place is found to have failed to perform its ‘‘obligation to secure safety and health,’’ that person may be subject to imprisonment for up to 7 year or a fine of up to KRW 100 million (in case of death, imprisonment for not less than 1 year or a fine of not less than KRW 1 billion). Additionally, if there was negligence of the company in giving due attention and supervision to prevent such accident, the company will be subject to a fine up to KRW 5 billion under joint penalty provisions. Relevant responsible management personnel will also be required to spend more time, effort and cost to comply with the SAPA and perform the necessary additional duties imposed by the law to ensure compliance.</w:t>
      </w:r>
    </w:p>
    <w:p>
      <w:pPr>
        <w:spacing w:after="0" w:line="200" w:lineRule="exact"/>
        <w:rPr>
          <w:sz w:val="20"/>
          <w:szCs w:val="20"/>
          <w:color w:val="auto"/>
        </w:rPr>
      </w:pPr>
    </w:p>
    <w:p>
      <w:pPr>
        <w:spacing w:after="0" w:line="355" w:lineRule="exact"/>
        <w:rPr>
          <w:sz w:val="20"/>
          <w:szCs w:val="20"/>
          <w:color w:val="auto"/>
        </w:rPr>
      </w:pPr>
    </w:p>
    <w:p>
      <w:pPr>
        <w:jc w:val="both"/>
        <w:ind w:right="8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may need additional capital in the future, and such capital may not be available on acceptable terms or at all, which would have a material adverse effect on our business, financial condition and results of operations.</w:t>
      </w:r>
    </w:p>
    <w:p>
      <w:pPr>
        <w:spacing w:after="0" w:line="121"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We may require more capital in the future from equity or debt financings to fund operating expenses, such as research and development costs, finance investments in equipment and infrastructure, acquire complementary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There can be no assurance that any additional equity or debt financing would be available to us, or if available, that such financing would be on favorable terms to us. Accordingly, if we are unable to obtain additional capital or our business does not generate sufficient cash flows from operating activities to fund our working capital needs and planned capital expenditures, and our cash reserves are depleted, we may need to take various actions, such as down-sizing and/or eliminating certain operations, which could include additional exit costs, reducing or delaying capital expenditures, selling assets, or other restructuring actions. There can be no assurance that we would be successful in taking such actions and, in any event, such actions may result in a material adverse effect on our business and results of operations. In addition, our indebtedness limits our ability to incur additional indebtedness under certain circumstances.</w:t>
      </w:r>
    </w:p>
    <w:p>
      <w:pPr>
        <w:spacing w:after="0" w:line="314" w:lineRule="exact"/>
        <w:rPr>
          <w:sz w:val="20"/>
          <w:szCs w:val="20"/>
          <w:color w:val="auto"/>
        </w:rPr>
      </w:pPr>
    </w:p>
    <w:p>
      <w:pPr>
        <w:ind w:right="40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122" w:lineRule="exact"/>
        <w:rPr>
          <w:sz w:val="20"/>
          <w:szCs w:val="20"/>
          <w:color w:val="auto"/>
        </w:rPr>
      </w:pPr>
    </w:p>
    <w:p>
      <w:pPr>
        <w:ind w:right="140" w:firstLine="400"/>
        <w:spacing w:after="0" w:line="248" w:lineRule="auto"/>
        <w:rPr>
          <w:sz w:val="20"/>
          <w:szCs w:val="20"/>
          <w:color w:val="auto"/>
        </w:rPr>
      </w:pPr>
      <w:r>
        <w:rPr>
          <w:rFonts w:ascii="Times New Roman" w:cs="Times New Roman" w:eastAsia="Times New Roman" w:hAnsi="Times New Roman"/>
          <w:sz w:val="20"/>
          <w:szCs w:val="20"/>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public health issues (including viral outbreaks such as COVID-19), difficulties in accounts receivable collection, extended payment terms and differing labor standards, enforcement of contractual obligations and protection of intellectual property. These risks may lead to increased costs or decreased revenue growth, or both.</w:t>
      </w:r>
    </w:p>
    <w:p>
      <w:pPr>
        <w:spacing w:after="0" w:line="310" w:lineRule="exact"/>
        <w:rPr>
          <w:sz w:val="20"/>
          <w:szCs w:val="20"/>
          <w:color w:val="auto"/>
        </w:rPr>
      </w:pPr>
    </w:p>
    <w:p>
      <w:pPr>
        <w:ind w:right="4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business, results of operations and financial condition and prospects may be materially and adversely affected by the ongoing COVID-19 pandemic or any future pandemic, epidemic or outbreak of any other highly infectious disease.</w:t>
      </w:r>
    </w:p>
    <w:p>
      <w:pPr>
        <w:spacing w:after="0" w:line="122" w:lineRule="exact"/>
        <w:rPr>
          <w:sz w:val="20"/>
          <w:szCs w:val="20"/>
          <w:color w:val="auto"/>
        </w:rPr>
      </w:pPr>
    </w:p>
    <w:p>
      <w:pPr>
        <w:ind w:right="160" w:firstLine="400"/>
        <w:spacing w:after="0" w:line="246" w:lineRule="auto"/>
        <w:rPr>
          <w:sz w:val="20"/>
          <w:szCs w:val="20"/>
          <w:color w:val="auto"/>
        </w:rPr>
      </w:pPr>
      <w:r>
        <w:rPr>
          <w:rFonts w:ascii="Times New Roman" w:cs="Times New Roman" w:eastAsia="Times New Roman" w:hAnsi="Times New Roman"/>
          <w:sz w:val="20"/>
          <w:szCs w:val="20"/>
          <w:color w:val="auto"/>
        </w:rPr>
        <w:t>As a result of COVID-19, including the emergence of various variants, governments in affected countries have imposed travel bans, quarantines and other emergency public health measures. In response to the virus, national and local governments in numerous countries around the world have implemented substantial business restrictions and lockdown measures and may continue to impose similar policies in the future from time to time</w:t>
      </w:r>
    </w:p>
    <w:p>
      <w:pPr>
        <w:sectPr>
          <w:pgSz w:w="12240" w:h="15840" w:orient="portrait"/>
          <w:cols w:equalWidth="0" w:num="1">
            <w:col w:w="9380"/>
          </w:cols>
          <w:pgMar w:left="1420" w:top="893" w:right="1440" w:bottom="18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80"/>
          </w:cols>
          <w:pgMar w:left="1420" w:top="893" w:right="1440" w:bottom="182" w:gutter="0" w:footer="0" w:header="0"/>
          <w:type w:val="continuous"/>
        </w:sectPr>
      </w:pPr>
    </w:p>
    <w:bookmarkStart w:id="32" w:name="page33"/>
    <w:bookmarkEnd w:id="32"/>
    <w:p>
      <w:pPr>
        <w:ind w:right="160"/>
        <w:spacing w:after="0" w:line="247" w:lineRule="auto"/>
        <w:rPr>
          <w:sz w:val="20"/>
          <w:szCs w:val="20"/>
          <w:color w:val="auto"/>
        </w:rPr>
      </w:pPr>
      <w:r>
        <w:rPr>
          <w:rFonts w:ascii="Times New Roman" w:cs="Times New Roman" w:eastAsia="Times New Roman" w:hAnsi="Times New Roman"/>
          <w:sz w:val="20"/>
          <w:szCs w:val="20"/>
          <w:color w:val="auto"/>
        </w:rPr>
        <w:t>in response to further outbreaks of the virus. Private sector companies have also taken precautionary measures, such as requiring employees to work remotely, imposing travel restrictions and temporarily closing businesses and facilities. These restrictions have had, and these and future prevention and mitigation measures, may continue to have, an adverse impact on global economic conditions, which could materially adversely affect our future operations.</w:t>
      </w:r>
    </w:p>
    <w:p>
      <w:pPr>
        <w:spacing w:after="0" w:line="137" w:lineRule="exact"/>
        <w:rPr>
          <w:sz w:val="20"/>
          <w:szCs w:val="20"/>
          <w:color w:val="auto"/>
        </w:rPr>
      </w:pPr>
    </w:p>
    <w:p>
      <w:pPr>
        <w:ind w:right="120" w:firstLine="400"/>
        <w:spacing w:after="0" w:line="249" w:lineRule="auto"/>
        <w:rPr>
          <w:sz w:val="20"/>
          <w:szCs w:val="20"/>
          <w:color w:val="auto"/>
        </w:rPr>
      </w:pPr>
      <w:r>
        <w:rPr>
          <w:rFonts w:ascii="Times New Roman" w:cs="Times New Roman" w:eastAsia="Times New Roman" w:hAnsi="Times New Roman"/>
          <w:sz w:val="20"/>
          <w:szCs w:val="20"/>
          <w:color w:val="auto"/>
        </w:rPr>
        <w:t>These measures have impacted and may further impact our workforce and operations, the operations of our customers, and those of our respective vendors, suppliers, and partners. The disruptions to our operations caused by the COVID-19 outbreak may result in inefficiencies, delays and additional costs in our research and development, sales and marketing, and customer service efforts that we cannot fully mitigate through remote or other alternative work arrangements. Also, some suppliers of materials used in the production of our products may have been or will be more severely impacted by COVID-19, which could limit our ability to obtain sufficient materials for our products. In addition, the severe global economic disruption caused by COVID-19 may cause our customers and end-users of our products to suffer significant economic hardship, which could result in decreased demand for our products in the future and materially adversely affect our business, results of operations, financial condition (including liquidity) and prospects.</w:t>
      </w:r>
    </w:p>
    <w:p>
      <w:pPr>
        <w:spacing w:after="0" w:line="134"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The full extent to which COVID-19, or any future pandemic, epidemic or outbreak of any other highly infectious disease, impacts our operations and causes disruptions on our customers, end-users, overall demand for our products, supply chain, and the related financial impact to us, will depend on future developments, which are highly uncertain and cannot be predicted with confidence, including the scope, severity and duration of such pandemic, the emergence and characteristics of new variants, the actions taken to contain the pandemic or mitigate its impact, including the adoption, administration and effectiveness of available COVID-19 vaccines, and the direct and indirect economic effects of the pandemic and containment measures, among others. Should such disruptions continue for an extended period of time, the impact could have a more severe adverse effect on our business, results of operations and financial condition (including liquidity). Additionally, weaker economic conditions generally could result in impairment in value of our tangible or intangible assets, or our ability to raise additional capital, if needed.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Tensions with North Korea could have an adverse effect on us and the market value of our shares.</w:t>
      </w:r>
    </w:p>
    <w:p>
      <w:pPr>
        <w:spacing w:after="0" w:line="120" w:lineRule="exact"/>
        <w:rPr>
          <w:sz w:val="20"/>
          <w:szCs w:val="20"/>
          <w:color w:val="auto"/>
        </w:rPr>
      </w:pPr>
    </w:p>
    <w:p>
      <w:pPr>
        <w:ind w:right="220" w:firstLine="400"/>
        <w:spacing w:after="0" w:line="247" w:lineRule="auto"/>
        <w:rPr>
          <w:sz w:val="20"/>
          <w:szCs w:val="20"/>
          <w:color w:val="auto"/>
        </w:rPr>
      </w:pPr>
      <w:r>
        <w:rPr>
          <w:rFonts w:ascii="Times New Roman" w:cs="Times New Roman" w:eastAsia="Times New Roman" w:hAnsi="Times New Roman"/>
          <w:sz w:val="20"/>
          <w:szCs w:val="20"/>
          <w:color w:val="auto"/>
        </w:rPr>
        <w:t>Relations between South Korea and North Korea have been tense throughout Korea’s modern history. The level of tension between the two Koreas has fluctuated and may increase abruptly as a result of current and future events. In particular, in recent years, there have been heightened security concerns stemming from North Korea’s nuclear weapon and long-range missile programs and increased uncertainty regarding North Korea’s actions and possible responses from the international community.</w:t>
      </w:r>
    </w:p>
    <w:p>
      <w:pPr>
        <w:spacing w:after="0" w:line="137" w:lineRule="exact"/>
        <w:rPr>
          <w:sz w:val="20"/>
          <w:szCs w:val="20"/>
          <w:color w:val="auto"/>
        </w:rPr>
      </w:pPr>
    </w:p>
    <w:p>
      <w:pPr>
        <w:ind w:right="180" w:firstLine="400"/>
        <w:spacing w:after="0" w:line="239" w:lineRule="auto"/>
        <w:rPr>
          <w:sz w:val="20"/>
          <w:szCs w:val="20"/>
          <w:color w:val="auto"/>
        </w:rPr>
      </w:pPr>
      <w:r>
        <w:rPr>
          <w:rFonts w:ascii="Times New Roman" w:cs="Times New Roman" w:eastAsia="Times New Roman" w:hAnsi="Times New Roman"/>
          <w:sz w:val="20"/>
          <w:szCs w:val="20"/>
          <w:color w:val="auto"/>
        </w:rPr>
        <w:t>North Korea’s economy also faces severe challenges, and any adverse economic developments may further aggravate social and political tensions within North Korea.</w:t>
      </w:r>
    </w:p>
    <w:p>
      <w:pPr>
        <w:spacing w:after="0" w:line="142" w:lineRule="exact"/>
        <w:rPr>
          <w:sz w:val="20"/>
          <w:szCs w:val="20"/>
          <w:color w:val="auto"/>
        </w:rPr>
      </w:pPr>
    </w:p>
    <w:p>
      <w:pPr>
        <w:ind w:right="160" w:firstLine="400"/>
        <w:spacing w:after="0" w:line="247" w:lineRule="auto"/>
        <w:rPr>
          <w:sz w:val="20"/>
          <w:szCs w:val="20"/>
          <w:color w:val="auto"/>
        </w:rPr>
      </w:pPr>
      <w:r>
        <w:rPr>
          <w:rFonts w:ascii="Times New Roman" w:cs="Times New Roman" w:eastAsia="Times New Roman" w:hAnsi="Times New Roman"/>
          <w:sz w:val="20"/>
          <w:szCs w:val="20"/>
          <w:color w:val="auto"/>
        </w:rPr>
        <w:t>Although we do not derive any revenue from, nor sell any products in, North Korea, any future increase in tensions between South Korea and North Korea that may occur, for example, if North Korea experiences a leadership crisis, high-level contacts between South Korea and North Korea break down, or military hostilities occur, could have a material adverse effect on the South Korean economy and on our business, financial condition, results of operations and the market value of our common stock.</w:t>
      </w:r>
    </w:p>
    <w:p>
      <w:pPr>
        <w:spacing w:after="0" w:line="28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disruptions, breaches or cyber-attacks of our secured networks and information technology systems that could damage our reputation, harm our business, expose us to liability and materially adversely affect our results of operations.</w:t>
      </w:r>
    </w:p>
    <w:p>
      <w:pPr>
        <w:spacing w:after="0" w:line="122"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In the ordinary course of our business, we collect and store sensitive data, including IP and other proprietary information about our business and that of our customers, suppliers and business partners. Secure maintenance, processing and transmission of this information is critical to our operations and business strategy. We may be subject to disruptions, breaches or cyber-attacks of our secured networks and information technology systems caused by illegal hacking, criminal fraud or impersonation, computer viruses, acts of vandalism or terrorism or employee error, and our security measures or those of any third party service providers we use may not detect or prevent such security breaches. We may incur significant costs to eliminate or alleviate cybersecurity breaches and vulnerabilities, which could be significant, and our efforts to protect against such breaches or vulnerabilities may not be successful and could result in system interruptions that may materially impede our sales,</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80"/>
          </w:cols>
          <w:pgMar w:left="1420" w:top="899" w:right="1440" w:bottom="182" w:gutter="0" w:footer="0" w:header="0"/>
          <w:type w:val="continuous"/>
        </w:sectPr>
      </w:pPr>
    </w:p>
    <w:bookmarkStart w:id="33" w:name="page34"/>
    <w:bookmarkEnd w:id="33"/>
    <w:p>
      <w:pPr>
        <w:ind w:right="60"/>
        <w:spacing w:after="0" w:line="248" w:lineRule="auto"/>
        <w:rPr>
          <w:sz w:val="20"/>
          <w:szCs w:val="20"/>
          <w:color w:val="auto"/>
        </w:rPr>
      </w:pPr>
      <w:r>
        <w:rPr>
          <w:rFonts w:ascii="Times New Roman" w:cs="Times New Roman" w:eastAsia="Times New Roman" w:hAnsi="Times New Roman"/>
          <w:sz w:val="20"/>
          <w:szCs w:val="20"/>
          <w:color w:val="auto"/>
        </w:rPr>
        <w:t>manufacturing, distribution, finance or other critical functions. Any such compromise of our information security could also result in the unauthorized publication of our confidential business or proprietary information or that of other parties with which we do business, an interruption in our operations, the unauthorized transfer of cash or other assets, the unauthorized release of customer or employee data or a violation of privacy or other laws in the jurisdictions in which we operate. Any of the foregoing could irreparably damage our reputation and business and/or expose us to material monetary liability, which could have a material adverse effect on our results of operations.</w:t>
      </w:r>
    </w:p>
    <w:p>
      <w:pPr>
        <w:spacing w:after="0" w:line="250"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w:t>
      </w:r>
    </w:p>
    <w:p>
      <w:pPr>
        <w:spacing w:after="0" w:line="122"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Most of our subsidiaries are organized or incorporated outside of the U.S. and some of our directors and executive officers as well as our independent auditors are organized or reside outside of the U.S. Most of our and our subsidiaries’ assets are located outside of the U.S. and in particular, in Korea. Accordingly, any judgment obtained in the U.S. against us or our subsidiaries may not be collectible in the U.S. As a result, it may not be possible for you to effect service of process within the U.S. upon these persons or to enforce against them or us court judgments obtained in the U.S. that are predicated upon the civil liability provisions of the federal securities laws of the U.S. or of the securities laws of any state of the U.S. In particular, there is doubt as to the enforceability in Korea or any other jurisdictions outside the U.S., either in original actions or in actions for enforcement of judgments of U.S. courts, of civil liabilities predicated on the federal securities laws of the U.S. or the securities laws of any state of the U.S.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a holding company and depend on the business of our subsidiaries to make payments to us.</w:t>
      </w:r>
    </w:p>
    <w:p>
      <w:pPr>
        <w:spacing w:after="0" w:line="120" w:lineRule="exact"/>
        <w:rPr>
          <w:sz w:val="20"/>
          <w:szCs w:val="20"/>
          <w:color w:val="auto"/>
        </w:rPr>
      </w:pPr>
    </w:p>
    <w:p>
      <w:pPr>
        <w:ind w:right="140" w:firstLine="400"/>
        <w:spacing w:after="0" w:line="246" w:lineRule="auto"/>
        <w:rPr>
          <w:sz w:val="20"/>
          <w:szCs w:val="20"/>
          <w:color w:val="auto"/>
        </w:rPr>
      </w:pPr>
      <w:r>
        <w:rPr>
          <w:rFonts w:ascii="Times New Roman" w:cs="Times New Roman" w:eastAsia="Times New Roman" w:hAnsi="Times New Roman"/>
          <w:sz w:val="20"/>
          <w:szCs w:val="20"/>
          <w:color w:val="auto"/>
        </w:rPr>
        <w:t>We are a holding company with no independent operations of our own. Our subsidiaries conduct substantially all of the operations necessary to fund our obligations. Our ability to pay dividends or to make payments on any future obligations will depend on our subsidiaries’ cash flow and their payment of funds to us. Our subsidiaries’ ability to make payments to us will depend on:</w:t>
      </w:r>
    </w:p>
    <w:p>
      <w:pPr>
        <w:spacing w:after="0" w:line="112" w:lineRule="exact"/>
        <w:rPr>
          <w:sz w:val="20"/>
          <w:szCs w:val="20"/>
          <w:color w:val="auto"/>
        </w:rPr>
      </w:pPr>
    </w:p>
    <w:p>
      <w:pPr>
        <w:ind w:left="800" w:hanging="394"/>
        <w:spacing w:after="0"/>
        <w:tabs>
          <w:tab w:leader="none" w:pos="80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their earnings;</w:t>
      </w:r>
    </w:p>
    <w:p>
      <w:pPr>
        <w:spacing w:after="0" w:line="140" w:lineRule="exact"/>
        <w:rPr>
          <w:rFonts w:ascii="Symbol" w:cs="Symbol" w:eastAsia="Symbol" w:hAnsi="Symbol"/>
          <w:sz w:val="20"/>
          <w:szCs w:val="20"/>
          <w:color w:val="auto"/>
        </w:rPr>
      </w:pPr>
    </w:p>
    <w:p>
      <w:pPr>
        <w:ind w:left="800" w:right="540" w:hanging="394"/>
        <w:spacing w:after="0" w:line="232" w:lineRule="auto"/>
        <w:tabs>
          <w:tab w:leader="none" w:pos="80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covenants contained in any debt agreements to which we may then be subject, including any debt agreements of our subsidiaries;</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covenants contained in other agreements to which we or our subsidiaries are or may become subject;</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business and tax considerations; and</w:t>
      </w:r>
    </w:p>
    <w:p>
      <w:pPr>
        <w:spacing w:after="0" w:line="140" w:lineRule="exact"/>
        <w:rPr>
          <w:rFonts w:ascii="Symbol" w:cs="Symbol" w:eastAsia="Symbol" w:hAnsi="Symbol"/>
          <w:sz w:val="20"/>
          <w:szCs w:val="20"/>
          <w:color w:val="auto"/>
        </w:rPr>
      </w:pPr>
    </w:p>
    <w:p>
      <w:pPr>
        <w:ind w:left="800" w:right="540" w:hanging="394"/>
        <w:spacing w:after="0" w:line="238" w:lineRule="auto"/>
        <w:tabs>
          <w:tab w:leader="none" w:pos="80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applicable law, including any restrictions under Korean law that may be imposed on our Korean subsidiary that would restrict its ability to make payments on intercompany loans from our Dutch subsidiary.</w:t>
      </w:r>
    </w:p>
    <w:p>
      <w:pPr>
        <w:spacing w:after="0" w:line="141" w:lineRule="exact"/>
        <w:rPr>
          <w:sz w:val="20"/>
          <w:szCs w:val="20"/>
          <w:color w:val="auto"/>
        </w:rPr>
      </w:pPr>
    </w:p>
    <w:p>
      <w:pPr>
        <w:ind w:right="200" w:firstLine="400"/>
        <w:spacing w:after="0" w:line="239" w:lineRule="auto"/>
        <w:rPr>
          <w:sz w:val="20"/>
          <w:szCs w:val="20"/>
          <w:color w:val="auto"/>
        </w:rPr>
      </w:pPr>
      <w:r>
        <w:rPr>
          <w:rFonts w:ascii="Times New Roman" w:cs="Times New Roman" w:eastAsia="Times New Roman" w:hAnsi="Times New Roman"/>
          <w:sz w:val="20"/>
          <w:szCs w:val="20"/>
          <w:color w:val="auto"/>
        </w:rPr>
        <w:t>We cannot assure that the operating results of our subsidiaries at any given time will be sufficient to make distributions or other payments to us.</w:t>
      </w:r>
    </w:p>
    <w:p>
      <w:pPr>
        <w:spacing w:after="0" w:line="256"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We may at times need to incur impairment, restructuring and other restructuring related charges, which could materially affect our results of operations and financial condition.</w:t>
      </w:r>
    </w:p>
    <w:p>
      <w:pPr>
        <w:spacing w:after="0" w:line="121" w:lineRule="exact"/>
        <w:rPr>
          <w:sz w:val="20"/>
          <w:szCs w:val="20"/>
          <w:color w:val="auto"/>
        </w:rPr>
      </w:pPr>
    </w:p>
    <w:p>
      <w:pPr>
        <w:ind w:right="140" w:firstLine="400"/>
        <w:spacing w:after="0" w:line="246" w:lineRule="auto"/>
        <w:rPr>
          <w:sz w:val="20"/>
          <w:szCs w:val="20"/>
          <w:color w:val="auto"/>
        </w:rPr>
      </w:pPr>
      <w:r>
        <w:rPr>
          <w:rFonts w:ascii="Times New Roman" w:cs="Times New Roman" w:eastAsia="Times New Roman" w:hAnsi="Times New Roman"/>
          <w:sz w:val="20"/>
          <w:szCs w:val="20"/>
          <w:color w:val="auto"/>
        </w:rPr>
        <w:t>During industry downturns and for other reasons, we may need to record impairment, restructuring or other restructuring related charges. In the future, we may need to record additional impairment charges or to further restructure our business or incur additional restructuring charges, any of which could have a material adverse effect on our results of operations or financial condition.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litigation risks, which may be costly to defend and the outcome of which is uncertain.</w:t>
      </w:r>
    </w:p>
    <w:p>
      <w:pPr>
        <w:spacing w:after="0" w:line="120" w:lineRule="exact"/>
        <w:rPr>
          <w:sz w:val="20"/>
          <w:szCs w:val="20"/>
          <w:color w:val="auto"/>
        </w:rPr>
      </w:pPr>
    </w:p>
    <w:p>
      <w:pPr>
        <w:ind w:right="60" w:firstLine="400"/>
        <w:spacing w:after="0" w:line="239" w:lineRule="auto"/>
        <w:rPr>
          <w:sz w:val="20"/>
          <w:szCs w:val="20"/>
          <w:color w:val="auto"/>
        </w:rPr>
      </w:pPr>
      <w:r>
        <w:rPr>
          <w:rFonts w:ascii="Times New Roman" w:cs="Times New Roman" w:eastAsia="Times New Roman" w:hAnsi="Times New Roman"/>
          <w:sz w:val="20"/>
          <w:szCs w:val="20"/>
          <w:color w:val="auto"/>
        </w:rPr>
        <w:t>All industries, including the semiconductor industry, are subject to legal claims, with and without merit, that may be particularly costly and which may divert the attention of our management and our resources in general.</w:t>
      </w:r>
    </w:p>
    <w:p>
      <w:pPr>
        <w:spacing w:after="0" w:line="142" w:lineRule="exact"/>
        <w:rPr>
          <w:sz w:val="20"/>
          <w:szCs w:val="20"/>
          <w:color w:val="auto"/>
        </w:rPr>
      </w:pPr>
    </w:p>
    <w:p>
      <w:pPr>
        <w:ind w:right="160" w:firstLine="400"/>
        <w:spacing w:after="0" w:line="245" w:lineRule="auto"/>
        <w:rPr>
          <w:sz w:val="20"/>
          <w:szCs w:val="20"/>
          <w:color w:val="auto"/>
        </w:rPr>
      </w:pPr>
      <w:r>
        <w:rPr>
          <w:rFonts w:ascii="Times New Roman" w:cs="Times New Roman" w:eastAsia="Times New Roman" w:hAnsi="Times New Roman"/>
          <w:sz w:val="20"/>
          <w:szCs w:val="20"/>
          <w:color w:val="auto"/>
        </w:rPr>
        <w:t>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80"/>
          </w:cols>
          <w:pgMar w:left="1420" w:top="899" w:right="1440" w:bottom="182" w:gutter="0" w:footer="0" w:header="0"/>
          <w:type w:val="continuous"/>
        </w:sectPr>
      </w:pPr>
    </w:p>
    <w:bookmarkStart w:id="34" w:name="page35"/>
    <w:bookmarkEnd w:id="34"/>
    <w:p>
      <w:pPr>
        <w:ind w:right="80"/>
        <w:spacing w:after="0" w:line="257" w:lineRule="auto"/>
        <w:rPr>
          <w:sz w:val="20"/>
          <w:szCs w:val="20"/>
          <w:color w:val="auto"/>
        </w:rPr>
      </w:pPr>
      <w:r>
        <w:rPr>
          <w:rFonts w:ascii="Times New Roman" w:cs="Times New Roman" w:eastAsia="Times New Roman" w:hAnsi="Times New Roman"/>
          <w:sz w:val="20"/>
          <w:szCs w:val="20"/>
          <w:color w:val="auto"/>
        </w:rPr>
        <w:t>not have a material adverse effect on our financial position, results of operations or cash flows, defense and settlement costs can be substantial. Due to the inherent uncertainty of the litigation process, the resolution of any particular legal claim or proceeding could have a material effect on our business, financial condition, results of operations or cash flows.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common stock may be volatile and you may lose all or a part of your investment.</w:t>
      </w:r>
    </w:p>
    <w:p>
      <w:pPr>
        <w:spacing w:after="0" w:line="130" w:lineRule="exact"/>
        <w:rPr>
          <w:sz w:val="20"/>
          <w:szCs w:val="20"/>
          <w:color w:val="auto"/>
        </w:rPr>
      </w:pPr>
    </w:p>
    <w:p>
      <w:pPr>
        <w:ind w:right="280" w:firstLine="400"/>
        <w:spacing w:after="0" w:line="250" w:lineRule="auto"/>
        <w:rPr>
          <w:sz w:val="20"/>
          <w:szCs w:val="20"/>
          <w:color w:val="auto"/>
        </w:rPr>
      </w:pPr>
      <w:r>
        <w:rPr>
          <w:rFonts w:ascii="Times New Roman" w:cs="Times New Roman" w:eastAsia="Times New Roman" w:hAnsi="Times New Roman"/>
          <w:sz w:val="20"/>
          <w:szCs w:val="20"/>
          <w:color w:val="auto"/>
        </w:rPr>
        <w:t>The trading price of our common stock might be subject to wide fluctuations. Factors, some of which are beyond our control, that could affect the trading price of our common stock may include:</w:t>
      </w:r>
    </w:p>
    <w:p>
      <w:pPr>
        <w:spacing w:after="0" w:line="106" w:lineRule="exact"/>
        <w:rPr>
          <w:sz w:val="20"/>
          <w:szCs w:val="20"/>
          <w:color w:val="auto"/>
        </w:rPr>
      </w:pPr>
    </w:p>
    <w:p>
      <w:pPr>
        <w:ind w:left="800" w:hanging="394"/>
        <w:spacing w:after="0"/>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actual or anticipated variations in our results of operations from quarter to quarter or year to year;</w:t>
      </w:r>
    </w:p>
    <w:p>
      <w:pPr>
        <w:spacing w:after="0" w:line="140" w:lineRule="exact"/>
        <w:rPr>
          <w:rFonts w:ascii="Symbol" w:cs="Symbol" w:eastAsia="Symbol" w:hAnsi="Symbol"/>
          <w:sz w:val="20"/>
          <w:szCs w:val="20"/>
          <w:color w:val="auto"/>
        </w:rPr>
      </w:pPr>
    </w:p>
    <w:p>
      <w:pPr>
        <w:ind w:left="800" w:right="700" w:hanging="394"/>
        <w:spacing w:after="0" w:line="232" w:lineRule="auto"/>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announcements by us or our competitors of significant agreements, technological innovations or strategic alliances;</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recommendations or estimates by any securities analysts who follow our securities;</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addition or loss of significant customers;</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recruitment or departure of key personnel;</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economic performance or market valuations of competing companies in our industry;</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price and volume fluctuations in the overall stock market;</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market conditions in our industry, end markets and the economy as a whole;</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subsequent sales of stock and other financings; and</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litigation, legislation, regulation or technological developments that adversely affect our business.</w:t>
      </w:r>
    </w:p>
    <w:p>
      <w:pPr>
        <w:spacing w:after="0" w:line="150" w:lineRule="exact"/>
        <w:rPr>
          <w:sz w:val="20"/>
          <w:szCs w:val="20"/>
          <w:color w:val="auto"/>
        </w:rPr>
      </w:pPr>
    </w:p>
    <w:p>
      <w:pPr>
        <w:ind w:right="80" w:firstLine="400"/>
        <w:spacing w:after="0" w:line="258" w:lineRule="auto"/>
        <w:rPr>
          <w:sz w:val="20"/>
          <w:szCs w:val="20"/>
          <w:color w:val="auto"/>
        </w:rPr>
      </w:pPr>
      <w:r>
        <w:rPr>
          <w:rFonts w:ascii="Times New Roman" w:cs="Times New Roman" w:eastAsia="Times New Roman" w:hAnsi="Times New Roman"/>
          <w:sz w:val="20"/>
          <w:szCs w:val="20"/>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368"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cannot guarantee that our share repurchase program will be successfully consummated, or that it will enhance shareholder value, and share repurchases could affect the price of our common stock.</w:t>
      </w:r>
    </w:p>
    <w:p>
      <w:pPr>
        <w:spacing w:after="0" w:line="132" w:lineRule="exact"/>
        <w:rPr>
          <w:sz w:val="20"/>
          <w:szCs w:val="20"/>
          <w:color w:val="auto"/>
        </w:rPr>
      </w:pPr>
    </w:p>
    <w:p>
      <w:pPr>
        <w:ind w:right="580" w:firstLine="400"/>
        <w:spacing w:after="0" w:line="255" w:lineRule="auto"/>
        <w:rPr>
          <w:sz w:val="20"/>
          <w:szCs w:val="20"/>
          <w:color w:val="auto"/>
        </w:rPr>
      </w:pPr>
      <w:r>
        <w:rPr>
          <w:rFonts w:ascii="Times New Roman" w:cs="Times New Roman" w:eastAsia="Times New Roman" w:hAnsi="Times New Roman"/>
          <w:sz w:val="20"/>
          <w:szCs w:val="20"/>
          <w:color w:val="auto"/>
        </w:rPr>
        <w:t>On December 21, 2021, the Board of Directors authorized us to repurchase up to $75.0 million of our outstanding common stock and we entered into an accelerated stock repurchase agreement (the ‘‘ASR Agreement’’) with JPMorgan Chase Bank, National Association (‘‘JPM’’) to repurchase an aggregate of</w:t>
      </w:r>
    </w:p>
    <w:p>
      <w:pPr>
        <w:spacing w:after="0" w:line="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$37.5 million of our common stock. Pursuant to the terms of the ASR Agreement, we paid JPM $37.5 million in cash and received an initial delivery of 994,695 shares of our common stock. Upon final settlement of the ASR Agreement, we received an additional 1,031,576 shares of common stock from JPM. On August 31, 2022, the Board of Directors authorized an expansion of our previously announced stock repurchase program from</w:t>
      </w:r>
    </w:p>
    <w:p>
      <w:pPr>
        <w:spacing w:after="0" w:line="1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auto"/>
        </w:rPr>
        <w:t>$75 million to $87.5 million of our common stock. The remaining $50 million of the expanded $87.5 million program was planned to be repurchased in the open market or through privately negotiated transactions. In connection with the repurchase program, we established a stock trading plan with Oppenheimer &amp; Co. Inc. in accordance with Rule 10b5-1 under the Securities Exchange Act of 1934, as amended. This share repurchase program could affect the price of our common stock, increase volatility and diminish our cash reserves. The IRA enacted in August 2022 imposes a 1% excise tax on the fair market value of stock repurchases made by covered corporations after December 31, 2022. The total taxable value of shares repurchased is reduced by the fair market value of any newly issued shares during the taxable year. We are assessing the potential impact of the stock repurchase excise tax. Based on our preliminary assessment, we do not expect a material impact on our overall share repurchase program or our consolidated financial statements.</w:t>
      </w:r>
    </w:p>
    <w:p>
      <w:pPr>
        <w:spacing w:after="0" w:line="138" w:lineRule="exact"/>
        <w:rPr>
          <w:sz w:val="20"/>
          <w:szCs w:val="20"/>
          <w:color w:val="auto"/>
        </w:rPr>
      </w:pPr>
    </w:p>
    <w:p>
      <w:pPr>
        <w:jc w:val="both"/>
        <w:ind w:right="1240" w:firstLine="400"/>
        <w:spacing w:after="0" w:line="250" w:lineRule="auto"/>
        <w:rPr>
          <w:sz w:val="20"/>
          <w:szCs w:val="20"/>
          <w:color w:val="auto"/>
        </w:rPr>
      </w:pPr>
      <w:r>
        <w:rPr>
          <w:rFonts w:ascii="Times New Roman" w:cs="Times New Roman" w:eastAsia="Times New Roman" w:hAnsi="Times New Roman"/>
          <w:sz w:val="20"/>
          <w:szCs w:val="20"/>
          <w:color w:val="auto"/>
        </w:rPr>
        <w:t>See ‘‘Item 8. Financial Statements and Supplementary Data—Notes to Consolidated Financial Statements—Note 13. Stockholders’ Equity and Stock-Based Compensation’’ for more information.</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80"/>
          </w:cols>
          <w:pgMar w:left="1420" w:top="899" w:right="1440" w:bottom="182" w:gutter="0" w:footer="0" w:header="0"/>
          <w:type w:val="continuous"/>
        </w:sectPr>
      </w:pPr>
    </w:p>
    <w:bookmarkStart w:id="35" w:name="page36"/>
    <w:bookmarkEnd w:id="35"/>
    <w:p>
      <w:pPr>
        <w:ind w:right="94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Significant ownership of our common stock by certain stockholders could adversely affect our other stockholders.</w:t>
      </w:r>
    </w:p>
    <w:p>
      <w:pPr>
        <w:spacing w:after="0" w:line="121"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The concentration of ownership of our common stock by certain stockholders may limit the ability of other stockholders to influence corporate matters and, as a result, we may take actions that our public stockholders do not view as beneficial. For example, any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w:t>
      </w:r>
    </w:p>
    <w:p>
      <w:pPr>
        <w:spacing w:after="0" w:line="134"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Under our certificate of incorporation, our non-employee directors and non-employee holders of five percent or more of our outstanding common stock do not have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we might reasonably have pursued or had the ability or desire to pursue if granted an opportunity to do so.</w:t>
      </w:r>
    </w:p>
    <w:p>
      <w:pPr>
        <w:spacing w:after="0" w:line="200" w:lineRule="exact"/>
        <w:rPr>
          <w:sz w:val="20"/>
          <w:szCs w:val="20"/>
          <w:color w:val="auto"/>
        </w:rPr>
      </w:pPr>
    </w:p>
    <w:p>
      <w:pPr>
        <w:spacing w:after="0" w:line="236"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charter documents and Delaware Law may make it difficult for a third party to acquire us and could depress the price of our common stock.</w:t>
      </w:r>
    </w:p>
    <w:p>
      <w:pPr>
        <w:spacing w:after="0" w:line="121" w:lineRule="exact"/>
        <w:rPr>
          <w:sz w:val="20"/>
          <w:szCs w:val="20"/>
          <w:color w:val="auto"/>
        </w:rPr>
      </w:pPr>
    </w:p>
    <w:p>
      <w:pPr>
        <w:ind w:right="160" w:firstLine="400"/>
        <w:spacing w:after="0" w:line="239" w:lineRule="auto"/>
        <w:rPr>
          <w:sz w:val="20"/>
          <w:szCs w:val="20"/>
          <w:color w:val="auto"/>
        </w:rPr>
      </w:pPr>
      <w:r>
        <w:rPr>
          <w:rFonts w:ascii="Times New Roman" w:cs="Times New Roman" w:eastAsia="Times New Roman" w:hAnsi="Times New Roman"/>
          <w:sz w:val="20"/>
          <w:szCs w:val="20"/>
          <w:color w:val="auto"/>
        </w:rPr>
        <w:t>Provisions in our certificate of incorporation and bylaws may have the effect of delaying or preventing a change of control or changes in our management. Among other things, our certificate of incorporation and bylaws:</w:t>
      </w:r>
    </w:p>
    <w:p>
      <w:pPr>
        <w:spacing w:after="0" w:line="82" w:lineRule="exact"/>
        <w:rPr>
          <w:sz w:val="20"/>
          <w:szCs w:val="20"/>
          <w:color w:val="auto"/>
        </w:rPr>
      </w:pPr>
    </w:p>
    <w:p>
      <w:pPr>
        <w:ind w:left="800" w:right="520" w:hanging="394"/>
        <w:spacing w:after="0" w:line="232" w:lineRule="auto"/>
        <w:tabs>
          <w:tab w:leader="none" w:pos="80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authorize our Board of Directors to issue, without stockholder approval, preferred stock with such terms as the Board of Directors may determine;</w:t>
      </w:r>
    </w:p>
    <w:p>
      <w:pPr>
        <w:spacing w:after="0" w:line="55" w:lineRule="exact"/>
        <w:rPr>
          <w:rFonts w:ascii="Symbol" w:cs="Symbol" w:eastAsia="Symbol" w:hAnsi="Symbol"/>
          <w:sz w:val="20"/>
          <w:szCs w:val="20"/>
          <w:color w:val="auto"/>
        </w:rPr>
      </w:pPr>
    </w:p>
    <w:p>
      <w:pPr>
        <w:ind w:left="800" w:hanging="394"/>
        <w:spacing w:after="0"/>
        <w:tabs>
          <w:tab w:leader="none" w:pos="80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prohibit action by written consent of our stockholders;</w:t>
      </w:r>
    </w:p>
    <w:p>
      <w:pPr>
        <w:spacing w:after="0" w:line="80" w:lineRule="exact"/>
        <w:rPr>
          <w:rFonts w:ascii="Symbol" w:cs="Symbol" w:eastAsia="Symbol" w:hAnsi="Symbol"/>
          <w:sz w:val="20"/>
          <w:szCs w:val="20"/>
          <w:color w:val="auto"/>
        </w:rPr>
      </w:pPr>
    </w:p>
    <w:p>
      <w:pPr>
        <w:ind w:left="800" w:right="20" w:hanging="394"/>
        <w:spacing w:after="0" w:line="241" w:lineRule="auto"/>
        <w:tabs>
          <w:tab w:leader="none" w:pos="80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55" w:lineRule="exact"/>
        <w:rPr>
          <w:rFonts w:ascii="Symbol" w:cs="Symbol" w:eastAsia="Symbol" w:hAnsi="Symbol"/>
          <w:sz w:val="20"/>
          <w:szCs w:val="20"/>
          <w:color w:val="auto"/>
        </w:rPr>
      </w:pPr>
    </w:p>
    <w:p>
      <w:pPr>
        <w:ind w:left="800" w:hanging="394"/>
        <w:spacing w:after="0"/>
        <w:tabs>
          <w:tab w:leader="none" w:pos="80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specify advance notice requirements for stockholder proposals and director nominations.</w:t>
      </w:r>
    </w:p>
    <w:p>
      <w:pPr>
        <w:spacing w:after="0" w:line="140"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auto"/>
        </w:rPr>
        <w:t>In addition, 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74" w:lineRule="exact"/>
        <w:rPr>
          <w:sz w:val="20"/>
          <w:szCs w:val="20"/>
          <w:color w:val="auto"/>
        </w:rPr>
      </w:pPr>
    </w:p>
    <w:p>
      <w:pPr>
        <w:ind w:left="800" w:right="140" w:hanging="394"/>
        <w:spacing w:after="0" w:line="232" w:lineRule="auto"/>
        <w:tabs>
          <w:tab w:leader="none" w:pos="80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the transaction is approved by the board of directors before the date the interested stockholder attained that status;</w:t>
      </w:r>
    </w:p>
    <w:p>
      <w:pPr>
        <w:spacing w:after="0" w:line="80" w:lineRule="exact"/>
        <w:rPr>
          <w:rFonts w:ascii="Symbol" w:cs="Symbol" w:eastAsia="Symbol" w:hAnsi="Symbol"/>
          <w:sz w:val="20"/>
          <w:szCs w:val="20"/>
          <w:color w:val="auto"/>
        </w:rPr>
      </w:pPr>
    </w:p>
    <w:p>
      <w:pPr>
        <w:ind w:left="800" w:right="620" w:hanging="394"/>
        <w:spacing w:after="0" w:line="238" w:lineRule="auto"/>
        <w:tabs>
          <w:tab w:leader="none" w:pos="80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80" w:lineRule="exact"/>
        <w:rPr>
          <w:rFonts w:ascii="Symbol" w:cs="Symbol" w:eastAsia="Symbol" w:hAnsi="Symbol"/>
          <w:sz w:val="20"/>
          <w:szCs w:val="20"/>
          <w:color w:val="auto"/>
        </w:rPr>
      </w:pPr>
    </w:p>
    <w:p>
      <w:pPr>
        <w:ind w:left="800" w:right="120" w:hanging="394"/>
        <w:spacing w:after="0" w:line="238" w:lineRule="auto"/>
        <w:tabs>
          <w:tab w:leader="none" w:pos="80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 general, DGCL Section 203 defines a business combination to include the following:</w:t>
      </w:r>
    </w:p>
    <w:p>
      <w:pPr>
        <w:spacing w:after="0" w:line="55" w:lineRule="exact"/>
        <w:rPr>
          <w:sz w:val="20"/>
          <w:szCs w:val="20"/>
          <w:color w:val="auto"/>
        </w:rPr>
      </w:pPr>
    </w:p>
    <w:p>
      <w:pPr>
        <w:ind w:left="800" w:hanging="394"/>
        <w:spacing w:after="0"/>
        <w:tabs>
          <w:tab w:leader="none" w:pos="80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any merger or consolidation involving the corporation and the interested stockholder;</w:t>
      </w:r>
    </w:p>
    <w:p>
      <w:pPr>
        <w:spacing w:after="0" w:line="80" w:lineRule="exact"/>
        <w:rPr>
          <w:rFonts w:ascii="Symbol" w:cs="Symbol" w:eastAsia="Symbol" w:hAnsi="Symbol"/>
          <w:sz w:val="20"/>
          <w:szCs w:val="20"/>
          <w:color w:val="auto"/>
        </w:rPr>
      </w:pPr>
    </w:p>
    <w:p>
      <w:pPr>
        <w:ind w:left="800" w:right="60" w:hanging="394"/>
        <w:spacing w:after="0" w:line="232" w:lineRule="auto"/>
        <w:tabs>
          <w:tab w:leader="none" w:pos="80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any sale, transfer, pledge or other disposition of 10% or more of the assets of the corporation involving the interested stockholder;</w:t>
      </w:r>
    </w:p>
    <w:p>
      <w:pPr>
        <w:spacing w:after="0" w:line="80" w:lineRule="exact"/>
        <w:rPr>
          <w:rFonts w:ascii="Symbol" w:cs="Symbol" w:eastAsia="Symbol" w:hAnsi="Symbol"/>
          <w:sz w:val="20"/>
          <w:szCs w:val="20"/>
          <w:color w:val="auto"/>
        </w:rPr>
      </w:pPr>
    </w:p>
    <w:p>
      <w:pPr>
        <w:ind w:left="800" w:right="200" w:hanging="394"/>
        <w:spacing w:after="0" w:line="232" w:lineRule="auto"/>
        <w:tabs>
          <w:tab w:leader="none" w:pos="80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subject to certain exceptions, any transaction that results in the issuance or transfer by the corporation of any stock of the corporation to the interested stockholder;</w:t>
      </w:r>
    </w:p>
    <w:p>
      <w:pPr>
        <w:spacing w:after="0" w:line="80" w:lineRule="exact"/>
        <w:rPr>
          <w:rFonts w:ascii="Symbol" w:cs="Symbol" w:eastAsia="Symbol" w:hAnsi="Symbol"/>
          <w:sz w:val="20"/>
          <w:szCs w:val="20"/>
          <w:color w:val="auto"/>
        </w:rPr>
      </w:pPr>
    </w:p>
    <w:p>
      <w:pPr>
        <w:ind w:left="800" w:right="60" w:hanging="394"/>
        <w:spacing w:after="0" w:line="232" w:lineRule="auto"/>
        <w:tabs>
          <w:tab w:leader="none" w:pos="80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any transaction involving the corporation that has the effect of increasing the proportionate share of the stock of any class or series of the corporation beneficially owned by the interested stockholder; or</w:t>
      </w:r>
    </w:p>
    <w:p>
      <w:pPr>
        <w:spacing w:after="0" w:line="80" w:lineRule="exact"/>
        <w:rPr>
          <w:rFonts w:ascii="Symbol" w:cs="Symbol" w:eastAsia="Symbol" w:hAnsi="Symbol"/>
          <w:sz w:val="20"/>
          <w:szCs w:val="20"/>
          <w:color w:val="auto"/>
        </w:rPr>
      </w:pPr>
    </w:p>
    <w:p>
      <w:pPr>
        <w:ind w:left="800" w:right="280" w:hanging="394"/>
        <w:spacing w:after="0" w:line="232" w:lineRule="auto"/>
        <w:tabs>
          <w:tab w:leader="none" w:pos="80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receipt by the interested stockholder of the benefit of any loans, advances, guarantees, pledges or other financial benefits provided by or through the corporation.</w:t>
      </w:r>
    </w:p>
    <w:p>
      <w:pPr>
        <w:sectPr>
          <w:pgSz w:w="12240" w:h="15840" w:orient="portrait"/>
          <w:cols w:equalWidth="0" w:num="1">
            <w:col w:w="9380"/>
          </w:cols>
          <w:pgMar w:left="1420" w:top="893" w:right="1440" w:bottom="182"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80"/>
          </w:cols>
          <w:pgMar w:left="1420" w:top="893" w:right="1440" w:bottom="182" w:gutter="0" w:footer="0" w:header="0"/>
          <w:type w:val="continuous"/>
        </w:sectPr>
      </w:pPr>
    </w:p>
    <w:bookmarkStart w:id="36" w:name="page37"/>
    <w:bookmarkEnd w:id="36"/>
    <w:p>
      <w:pPr>
        <w:ind w:left="400"/>
        <w:spacing w:after="0"/>
        <w:rPr>
          <w:sz w:val="20"/>
          <w:szCs w:val="20"/>
          <w:color w:val="auto"/>
        </w:rPr>
      </w:pPr>
      <w:r>
        <w:rPr>
          <w:rFonts w:ascii="Times New Roman" w:cs="Times New Roman" w:eastAsia="Times New Roman" w:hAnsi="Times New Roman"/>
          <w:sz w:val="20"/>
          <w:szCs w:val="20"/>
          <w:color w:val="auto"/>
        </w:rPr>
        <w:t>In general, DGCL Section 203 defines an interested stockholder as any entity or person beneficially owning</w:t>
      </w:r>
    </w:p>
    <w:p>
      <w:pPr>
        <w:spacing w:after="0" w:line="20" w:lineRule="exact"/>
        <w:rPr>
          <w:sz w:val="20"/>
          <w:szCs w:val="20"/>
          <w:color w:val="auto"/>
        </w:rPr>
      </w:pPr>
    </w:p>
    <w:p>
      <w:pPr>
        <w:ind w:right="640"/>
        <w:spacing w:after="0" w:line="239" w:lineRule="auto"/>
        <w:rPr>
          <w:sz w:val="20"/>
          <w:szCs w:val="20"/>
          <w:color w:val="auto"/>
        </w:rPr>
      </w:pPr>
      <w:r>
        <w:rPr>
          <w:rFonts w:ascii="Times New Roman" w:cs="Times New Roman" w:eastAsia="Times New Roman" w:hAnsi="Times New Roman"/>
          <w:sz w:val="20"/>
          <w:szCs w:val="20"/>
          <w:color w:val="auto"/>
        </w:rPr>
        <w:t>15% or more of the outstanding voting stock of the corporation and any entity or person affiliated with or controlling or controlled by any such entity or person.</w:t>
      </w:r>
    </w:p>
    <w:p>
      <w:pPr>
        <w:spacing w:after="0" w:line="142" w:lineRule="exact"/>
        <w:rPr>
          <w:sz w:val="20"/>
          <w:szCs w:val="20"/>
          <w:color w:val="auto"/>
        </w:rPr>
      </w:pPr>
    </w:p>
    <w:p>
      <w:pPr>
        <w:ind w:right="540" w:firstLine="400"/>
        <w:spacing w:after="0" w:line="245" w:lineRule="auto"/>
        <w:rPr>
          <w:sz w:val="20"/>
          <w:szCs w:val="20"/>
          <w:color w:val="auto"/>
        </w:rPr>
      </w:pPr>
      <w:r>
        <w:rPr>
          <w:rFonts w:ascii="Times New Roman" w:cs="Times New Roman" w:eastAsia="Times New Roman" w:hAnsi="Times New Roman"/>
          <w:sz w:val="20"/>
          <w:szCs w:val="20"/>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370" w:lineRule="exact"/>
        <w:rPr>
          <w:sz w:val="20"/>
          <w:szCs w:val="20"/>
          <w:color w:val="auto"/>
        </w:rPr>
      </w:pPr>
    </w:p>
    <w:p>
      <w:pPr>
        <w:jc w:val="both"/>
        <w:ind w:right="44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We have not historically paid dividends and do not currently have any dividend or distribution policy, and therefore, investors may need to rely on sales of their common stock as the only way to realize any future gains on their investments.</w:t>
      </w:r>
    </w:p>
    <w:p>
      <w:pPr>
        <w:spacing w:after="0" w:line="122" w:lineRule="exact"/>
        <w:rPr>
          <w:sz w:val="20"/>
          <w:szCs w:val="20"/>
          <w:color w:val="auto"/>
        </w:rPr>
      </w:pPr>
    </w:p>
    <w:p>
      <w:pPr>
        <w:ind w:right="40" w:firstLine="400"/>
        <w:spacing w:after="0" w:line="247" w:lineRule="auto"/>
        <w:rPr>
          <w:sz w:val="20"/>
          <w:szCs w:val="20"/>
          <w:color w:val="auto"/>
        </w:rPr>
      </w:pPr>
      <w:r>
        <w:rPr>
          <w:rFonts w:ascii="Times New Roman" w:cs="Times New Roman" w:eastAsia="Times New Roman" w:hAnsi="Times New Roman"/>
          <w:sz w:val="20"/>
          <w:szCs w:val="20"/>
          <w:color w:val="auto"/>
        </w:rPr>
        <w:t>We have not historically paid cash dividends and do not currently have any dividend or distribution policy. Any determination to pay dividends in the future will be at the discretion of our Board of Directors. Accordingly, unless the Board implements a future dividend or distribution policy, investors must rely on sales of their common stock after price appreciation, which may never occur, as the only way to realize any future gains on their investments.</w:t>
      </w:r>
    </w:p>
    <w:p>
      <w:pPr>
        <w:spacing w:after="0" w:line="36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1B.</w:t>
        <w:tab/>
        <w:t>Unresolved Staff Comments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b w:val="1"/>
          <w:bCs w:val="1"/>
          <w:color w:val="auto"/>
        </w:rPr>
        <w:t>Properties</w:t>
      </w:r>
    </w:p>
    <w:p>
      <w:pPr>
        <w:spacing w:after="0" w:line="120" w:lineRule="exact"/>
        <w:rPr>
          <w:sz w:val="20"/>
          <w:szCs w:val="20"/>
          <w:color w:val="auto"/>
        </w:rPr>
      </w:pPr>
    </w:p>
    <w:p>
      <w:pPr>
        <w:ind w:right="200" w:firstLine="400"/>
        <w:spacing w:after="0" w:line="246" w:lineRule="auto"/>
        <w:rPr>
          <w:sz w:val="20"/>
          <w:szCs w:val="20"/>
          <w:color w:val="auto"/>
        </w:rPr>
      </w:pPr>
      <w:r>
        <w:rPr>
          <w:rFonts w:ascii="Times New Roman" w:cs="Times New Roman" w:eastAsia="Times New Roman" w:hAnsi="Times New Roman"/>
          <w:sz w:val="20"/>
          <w:szCs w:val="20"/>
          <w:color w:val="auto"/>
        </w:rPr>
        <w:t>Our manufacturing operations take place in a single fabrication facility located in Korea in Gumi. Our facility has a capacity of approximately 36,000 eight-inch equivalent wafers per month. We manufacture wafers utilizing geometries ranging from 0.35 to 0.50 microns. The Gumi facility has one main building with 41,022 square meters devoted to manufacturing, testing and packaging.</w:t>
      </w:r>
    </w:p>
    <w:p>
      <w:pPr>
        <w:spacing w:after="0" w:line="137" w:lineRule="exact"/>
        <w:rPr>
          <w:sz w:val="20"/>
          <w:szCs w:val="20"/>
          <w:color w:val="auto"/>
        </w:rPr>
      </w:pPr>
    </w:p>
    <w:p>
      <w:pPr>
        <w:jc w:val="both"/>
        <w:ind w:right="320" w:firstLine="400"/>
        <w:spacing w:after="0" w:line="245" w:lineRule="auto"/>
        <w:rPr>
          <w:sz w:val="20"/>
          <w:szCs w:val="20"/>
          <w:color w:val="auto"/>
        </w:rPr>
      </w:pPr>
      <w:r>
        <w:rPr>
          <w:rFonts w:ascii="Times New Roman" w:cs="Times New Roman" w:eastAsia="Times New Roman" w:hAnsi="Times New Roman"/>
          <w:sz w:val="20"/>
          <w:szCs w:val="20"/>
          <w:color w:val="auto"/>
        </w:rPr>
        <w:t>In addition to our fabrication facility in Gumi, we lease facilities in Cheongju and Seoul, Korea. Each of these facilities includes administration, sales and marketing and research and development functions. We lease sales and marketing offices through our subsidiaries in several other countries.</w:t>
      </w:r>
    </w:p>
    <w:p>
      <w:pPr>
        <w:spacing w:after="0" w:line="136" w:lineRule="exact"/>
        <w:rPr>
          <w:sz w:val="20"/>
          <w:szCs w:val="20"/>
          <w:color w:val="auto"/>
        </w:rPr>
      </w:pPr>
    </w:p>
    <w:p>
      <w:pPr>
        <w:ind w:right="60" w:firstLine="400"/>
        <w:spacing w:after="0" w:line="247" w:lineRule="auto"/>
        <w:rPr>
          <w:sz w:val="20"/>
          <w:szCs w:val="20"/>
          <w:color w:val="auto"/>
        </w:rPr>
      </w:pPr>
      <w:r>
        <w:rPr>
          <w:rFonts w:ascii="Times New Roman" w:cs="Times New Roman" w:eastAsia="Times New Roman" w:hAnsi="Times New Roman"/>
          <w:sz w:val="20"/>
          <w:szCs w:val="20"/>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w:t>
      </w:r>
    </w:p>
    <w:p>
      <w:pPr>
        <w:spacing w:after="0" w:line="137" w:lineRule="exact"/>
        <w:rPr>
          <w:sz w:val="20"/>
          <w:szCs w:val="20"/>
          <w:color w:val="auto"/>
        </w:rPr>
      </w:pPr>
    </w:p>
    <w:p>
      <w:pPr>
        <w:ind w:right="120" w:firstLine="400"/>
        <w:spacing w:after="0" w:line="247" w:lineRule="auto"/>
        <w:rPr>
          <w:sz w:val="20"/>
          <w:szCs w:val="20"/>
          <w:color w:val="auto"/>
        </w:rPr>
      </w:pPr>
      <w:r>
        <w:rPr>
          <w:rFonts w:ascii="Times New Roman" w:cs="Times New Roman" w:eastAsia="Times New Roman" w:hAnsi="Times New Roman"/>
          <w:sz w:val="20"/>
          <w:szCs w:val="20"/>
          <w:color w:val="auto"/>
        </w:rPr>
        <w:t>All of our assembly, test and packaging services for our Display Solutions business and for our Power Solutions business are outsourced with the balance handled in-house. The independent providers of these outsourced services are located in Korea and China. The relative cost of outsourced services, as compared to in-house services, depends upon many factors specific to each product and circumstance. However, we generally incur higher costs for outsourced services, which can result in lower margins.</w:t>
      </w:r>
    </w:p>
    <w:p>
      <w:pPr>
        <w:spacing w:after="0" w:line="36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Legal Proceedings</w:t>
      </w:r>
    </w:p>
    <w:p>
      <w:pPr>
        <w:spacing w:after="0" w:line="120"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auto"/>
        </w:rPr>
        <w:t>We are involved in a variety of legal matters, most of which we consider routine matters that arise in the normal course of business. These routine matters typically fall into broad categories such as those involving customers, employment and labor and intellectual property. Intellectual property litigation and infringement claims, in particular, could cause us to incur significant expenses or prevent us from selling our products. We are currently not involved in any legal proceedings that we believe would have a material adverse effect on our business, financial condition or results of operations.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See also ‘‘Item 1A. Risk Factors’’ in this Report for additional information.</w:t>
      </w:r>
    </w:p>
    <w:p>
      <w:pPr>
        <w:spacing w:after="0" w:line="3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20"/>
          <w:szCs w:val="20"/>
          <w:b w:val="1"/>
          <w:bCs w:val="1"/>
          <w:color w:val="auto"/>
        </w:rPr>
        <w:t>Mine Safety Disclosures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80"/>
          </w:cols>
          <w:pgMar w:left="1420" w:top="889" w:right="1440" w:bottom="182"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2" w:lineRule="exact"/>
        <w:rPr>
          <w:sz w:val="20"/>
          <w:szCs w:val="20"/>
          <w:color w:val="auto"/>
        </w:rPr>
      </w:pPr>
    </w:p>
    <w:p>
      <w:pPr>
        <w:ind w:left="1000" w:right="60" w:hanging="999"/>
        <w:spacing w:after="0" w:line="233"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 Purchases of Equity Securities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Our common stock is listed on the New York Stock Exchange under the symbol ‘‘MX.’’</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20"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The graph and table below compare the cumulative total stockholder return of our common shares with the cumulative total return of the S&amp;P 500 Index and the Philadelphia Semiconductor Index (PHLX) from December 29, 2017 (the last trading day before the beginning of our fifth preceding fiscal year) through December 30, 2022. The graph assumes that $100 was invested on December 29, 2017 in our common shares and in each index and that any dividends were reinvested. No cash dividends have been declared on our common shares during the five-year period ended December 30, 2022.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Comparison of Cumulative Total Return*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Among Magnachip Semiconductor Corporation, the S&amp;P 500 Index and the PHLX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5504815" cy="3258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extLst>
                    </a:blip>
                    <a:srcRect/>
                    <a:stretch>
                      <a:fillRect/>
                    </a:stretch>
                  </pic:blipFill>
                  <pic:spPr bwMode="auto">
                    <a:xfrm>
                      <a:off x="0" y="0"/>
                      <a:ext cx="5504815" cy="3258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0" w:hanging="394"/>
        <w:spacing w:after="0"/>
        <w:tabs>
          <w:tab w:leader="none" w:pos="4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performance included in this graph is not necessarily indicative of future stock performance.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Total Return to Stockholders (Including Reinvestment of Dividends)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Indexed Returns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Base Period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40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Company/Index</w:t>
            </w:r>
          </w:p>
        </w:tc>
        <w:tc>
          <w:tcPr>
            <w:tcW w:w="140" w:type="dxa"/>
            <w:vAlign w:val="bottom"/>
          </w:tcPr>
          <w:p>
            <w:pPr>
              <w:spacing w:after="0"/>
              <w:rPr>
                <w:sz w:val="16"/>
                <w:szCs w:val="16"/>
                <w:color w:val="auto"/>
              </w:rPr>
            </w:pPr>
          </w:p>
        </w:tc>
        <w:tc>
          <w:tcPr>
            <w:tcW w:w="8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12/29/2017</w:t>
            </w:r>
          </w:p>
        </w:tc>
        <w:tc>
          <w:tcPr>
            <w:tcW w:w="140" w:type="dxa"/>
            <w:vAlign w:val="bottom"/>
          </w:tcPr>
          <w:p>
            <w:pPr>
              <w:spacing w:after="0"/>
              <w:rPr>
                <w:sz w:val="16"/>
                <w:szCs w:val="16"/>
                <w:color w:val="auto"/>
              </w:rPr>
            </w:pPr>
          </w:p>
        </w:tc>
        <w:tc>
          <w:tcPr>
            <w:tcW w:w="7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12/31/2018</w:t>
            </w:r>
          </w:p>
        </w:tc>
        <w:tc>
          <w:tcPr>
            <w:tcW w:w="120" w:type="dxa"/>
            <w:vAlign w:val="bottom"/>
          </w:tcPr>
          <w:p>
            <w:pPr>
              <w:spacing w:after="0"/>
              <w:rPr>
                <w:sz w:val="16"/>
                <w:szCs w:val="16"/>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8"/>
              </w:rPr>
              <w:t>12/31/2019</w:t>
            </w:r>
          </w:p>
        </w:tc>
        <w:tc>
          <w:tcPr>
            <w:tcW w:w="860" w:type="dxa"/>
            <w:vAlign w:val="bottom"/>
            <w:gridSpan w:val="2"/>
          </w:tcPr>
          <w:p>
            <w:pPr>
              <w:jc w:val="center"/>
              <w:ind w:left="47"/>
              <w:spacing w:after="0" w:line="182" w:lineRule="exact"/>
              <w:rPr>
                <w:sz w:val="20"/>
                <w:szCs w:val="20"/>
                <w:color w:val="auto"/>
              </w:rPr>
            </w:pPr>
            <w:r>
              <w:rPr>
                <w:rFonts w:ascii="Times New Roman" w:cs="Times New Roman" w:eastAsia="Times New Roman" w:hAnsi="Times New Roman"/>
                <w:sz w:val="16"/>
                <w:szCs w:val="16"/>
                <w:b w:val="1"/>
                <w:bCs w:val="1"/>
                <w:color w:val="auto"/>
                <w:w w:val="98"/>
              </w:rPr>
              <w:t>12/31/2020</w:t>
            </w:r>
          </w:p>
        </w:tc>
        <w:tc>
          <w:tcPr>
            <w:tcW w:w="100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12/31/2021</w:t>
            </w: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5"/>
              </w:rPr>
              <w:t>12/30/2022</w:t>
            </w:r>
          </w:p>
        </w:tc>
      </w:tr>
      <w:tr>
        <w:trPr>
          <w:trHeight w:val="290"/>
        </w:trPr>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 xml:space="preserve">Magnachip Semiconductor Corporation </w:t>
            </w:r>
            <w:r>
              <w:rPr>
                <w:rFonts w:ascii="Times New Roman" w:cs="Times New Roman" w:eastAsia="Times New Roman" w:hAnsi="Times New Roman"/>
                <w:sz w:val="20"/>
                <w:szCs w:val="20"/>
                <w:color w:val="auto"/>
              </w:rPr>
              <w:t>. . . . . .</w:t>
            </w:r>
          </w:p>
        </w:tc>
        <w:tc>
          <w:tcPr>
            <w:tcW w:w="140" w:type="dxa"/>
            <w:vAlign w:val="bottom"/>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140" w:type="dxa"/>
            <w:vAlign w:val="bottom"/>
          </w:tcPr>
          <w:p>
            <w:pPr>
              <w:spacing w:after="0"/>
              <w:rPr>
                <w:sz w:val="24"/>
                <w:szCs w:val="24"/>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62.41</w:t>
            </w:r>
          </w:p>
        </w:tc>
        <w:tc>
          <w:tcPr>
            <w:tcW w:w="120" w:type="dxa"/>
            <w:vAlign w:val="bottom"/>
          </w:tcPr>
          <w:p>
            <w:pPr>
              <w:spacing w:after="0"/>
              <w:rPr>
                <w:sz w:val="24"/>
                <w:szCs w:val="24"/>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116.68</w:t>
            </w:r>
          </w:p>
        </w:tc>
        <w:tc>
          <w:tcPr>
            <w:tcW w:w="140" w:type="dxa"/>
            <w:vAlign w:val="bottom"/>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135.88</w:t>
            </w:r>
          </w:p>
        </w:tc>
        <w:tc>
          <w:tcPr>
            <w:tcW w:w="140" w:type="dxa"/>
            <w:vAlign w:val="bottom"/>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210.75</w:t>
            </w:r>
          </w:p>
        </w:tc>
        <w:tc>
          <w:tcPr>
            <w:tcW w:w="14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94.37</w:t>
            </w:r>
          </w:p>
        </w:tc>
      </w:tr>
      <w:tr>
        <w:trPr>
          <w:trHeight w:val="255"/>
        </w:trPr>
        <w:tc>
          <w:tcPr>
            <w:tcW w:w="4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9"/>
              </w:rPr>
              <w:t xml:space="preserve">S&amp;P 500 Index </w:t>
            </w:r>
            <w:r>
              <w:rPr>
                <w:rFonts w:ascii="Times New Roman" w:cs="Times New Roman" w:eastAsia="Times New Roman" w:hAnsi="Times New Roman"/>
                <w:sz w:val="20"/>
                <w:szCs w:val="20"/>
                <w:color w:val="auto"/>
                <w:w w:val="99"/>
              </w:rPr>
              <w:t>. . . . . . . . . . . . . . . . . . . . . . . . . . . .</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100</w:t>
            </w:r>
          </w:p>
        </w:tc>
        <w:tc>
          <w:tcPr>
            <w:tcW w:w="14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93.76</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121.85</w:t>
            </w:r>
          </w:p>
        </w:tc>
        <w:tc>
          <w:tcPr>
            <w:tcW w:w="860" w:type="dxa"/>
            <w:vAlign w:val="bottom"/>
            <w:gridSpan w:val="2"/>
          </w:tcPr>
          <w:p>
            <w:pPr>
              <w:jc w:val="center"/>
              <w:ind w:left="27"/>
              <w:spacing w:after="0"/>
              <w:rPr>
                <w:sz w:val="20"/>
                <w:szCs w:val="20"/>
                <w:color w:val="auto"/>
              </w:rPr>
            </w:pPr>
            <w:r>
              <w:rPr>
                <w:rFonts w:ascii="Times New Roman" w:cs="Times New Roman" w:eastAsia="Times New Roman" w:hAnsi="Times New Roman"/>
                <w:sz w:val="20"/>
                <w:szCs w:val="20"/>
                <w:color w:val="auto"/>
                <w:w w:val="98"/>
              </w:rPr>
              <w:t>140.49</w:t>
            </w:r>
          </w:p>
        </w:tc>
        <w:tc>
          <w:tcPr>
            <w:tcW w:w="860" w:type="dxa"/>
            <w:vAlign w:val="bottom"/>
            <w:gridSpan w:val="2"/>
          </w:tcPr>
          <w:p>
            <w:pPr>
              <w:jc w:val="center"/>
              <w:ind w:left="47"/>
              <w:spacing w:after="0"/>
              <w:rPr>
                <w:sz w:val="20"/>
                <w:szCs w:val="20"/>
                <w:color w:val="auto"/>
              </w:rPr>
            </w:pPr>
            <w:r>
              <w:rPr>
                <w:rFonts w:ascii="Times New Roman" w:cs="Times New Roman" w:eastAsia="Times New Roman" w:hAnsi="Times New Roman"/>
                <w:sz w:val="20"/>
                <w:szCs w:val="20"/>
                <w:color w:val="auto"/>
              </w:rPr>
              <w:t>178.27</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143.61</w:t>
            </w:r>
          </w:p>
        </w:tc>
      </w:tr>
      <w:tr>
        <w:trPr>
          <w:trHeight w:val="255"/>
        </w:trPr>
        <w:tc>
          <w:tcPr>
            <w:tcW w:w="4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Philadelphia Semiconductor Index </w:t>
            </w:r>
            <w:r>
              <w:rPr>
                <w:rFonts w:ascii="Times New Roman" w:cs="Times New Roman" w:eastAsia="Times New Roman" w:hAnsi="Times New Roman"/>
                <w:sz w:val="20"/>
                <w:szCs w:val="20"/>
                <w:color w:val="auto"/>
              </w:rPr>
              <w:t>. . . . . . . . . . .</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100</w:t>
            </w:r>
          </w:p>
        </w:tc>
        <w:tc>
          <w:tcPr>
            <w:tcW w:w="14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92.19</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147.61</w:t>
            </w:r>
          </w:p>
        </w:tc>
        <w:tc>
          <w:tcPr>
            <w:tcW w:w="860" w:type="dxa"/>
            <w:vAlign w:val="bottom"/>
            <w:gridSpan w:val="2"/>
          </w:tcPr>
          <w:p>
            <w:pPr>
              <w:jc w:val="center"/>
              <w:ind w:left="27"/>
              <w:spacing w:after="0"/>
              <w:rPr>
                <w:sz w:val="20"/>
                <w:szCs w:val="20"/>
                <w:color w:val="auto"/>
              </w:rPr>
            </w:pPr>
            <w:r>
              <w:rPr>
                <w:rFonts w:ascii="Times New Roman" w:cs="Times New Roman" w:eastAsia="Times New Roman" w:hAnsi="Times New Roman"/>
                <w:sz w:val="20"/>
                <w:szCs w:val="20"/>
                <w:color w:val="auto"/>
                <w:w w:val="98"/>
              </w:rPr>
              <w:t>223.10</w:t>
            </w:r>
          </w:p>
        </w:tc>
        <w:tc>
          <w:tcPr>
            <w:tcW w:w="860" w:type="dxa"/>
            <w:vAlign w:val="bottom"/>
            <w:gridSpan w:val="2"/>
          </w:tcPr>
          <w:p>
            <w:pPr>
              <w:jc w:val="center"/>
              <w:ind w:left="47"/>
              <w:spacing w:after="0"/>
              <w:rPr>
                <w:sz w:val="20"/>
                <w:szCs w:val="20"/>
                <w:color w:val="auto"/>
              </w:rPr>
            </w:pPr>
            <w:r>
              <w:rPr>
                <w:rFonts w:ascii="Times New Roman" w:cs="Times New Roman" w:eastAsia="Times New Roman" w:hAnsi="Times New Roman"/>
                <w:sz w:val="20"/>
                <w:szCs w:val="20"/>
                <w:color w:val="auto"/>
              </w:rPr>
              <w:t>314.93</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202.08</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120" w:lineRule="exact"/>
        <w:rPr>
          <w:sz w:val="20"/>
          <w:szCs w:val="20"/>
          <w:color w:val="auto"/>
        </w:rPr>
      </w:pPr>
    </w:p>
    <w:p>
      <w:pPr>
        <w:ind w:right="220" w:firstLine="400"/>
        <w:spacing w:after="0" w:line="239" w:lineRule="auto"/>
        <w:rPr>
          <w:sz w:val="20"/>
          <w:szCs w:val="20"/>
          <w:color w:val="auto"/>
        </w:rPr>
      </w:pPr>
      <w:r>
        <w:rPr>
          <w:rFonts w:ascii="Times New Roman" w:cs="Times New Roman" w:eastAsia="Times New Roman" w:hAnsi="Times New Roman"/>
          <w:sz w:val="20"/>
          <w:szCs w:val="20"/>
          <w:color w:val="auto"/>
        </w:rPr>
        <w:t>The approximate number of record holders of our outstanding common stock as of February 10, 2023 was 70. This number does not include beneficial owners for whom shares are held by nominees in street name.</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80"/>
          </w:cols>
          <w:pgMar w:left="1420" w:top="889" w:right="1440" w:bottom="182"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For information on securities authorized for issuance under our equity compensation plans, see Item 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30" w:lineRule="exact"/>
        <w:rPr>
          <w:sz w:val="20"/>
          <w:szCs w:val="20"/>
          <w:color w:val="auto"/>
        </w:rPr>
      </w:pPr>
    </w:p>
    <w:p>
      <w:pPr>
        <w:ind w:right="60" w:firstLine="400"/>
        <w:spacing w:after="0" w:line="257" w:lineRule="auto"/>
        <w:rPr>
          <w:sz w:val="20"/>
          <w:szCs w:val="20"/>
          <w:color w:val="auto"/>
        </w:rPr>
      </w:pPr>
      <w:r>
        <w:rPr>
          <w:rFonts w:ascii="Times New Roman" w:cs="Times New Roman" w:eastAsia="Times New Roman" w:hAnsi="Times New Roman"/>
          <w:sz w:val="20"/>
          <w:szCs w:val="20"/>
          <w:color w:val="auto"/>
        </w:rPr>
        <w:t>We have not historically paid any cash dividends on our common stock. Our Board of Directors continuously evaluates our capital allocation strategy and liquidity targets, but has not currently implemented any dividend or distribution policy. Any determination to pay dividends in the future will be at the discretion of our Board of Directors.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30" w:lineRule="exact"/>
        <w:rPr>
          <w:sz w:val="20"/>
          <w:szCs w:val="20"/>
          <w:color w:val="auto"/>
        </w:rPr>
      </w:pPr>
    </w:p>
    <w:p>
      <w:pPr>
        <w:ind w:right="180" w:firstLine="400"/>
        <w:spacing w:after="0" w:line="250" w:lineRule="auto"/>
        <w:rPr>
          <w:sz w:val="20"/>
          <w:szCs w:val="20"/>
          <w:color w:val="auto"/>
        </w:rPr>
      </w:pPr>
      <w:r>
        <w:rPr>
          <w:rFonts w:ascii="Times New Roman" w:cs="Times New Roman" w:eastAsia="Times New Roman" w:hAnsi="Times New Roman"/>
          <w:sz w:val="20"/>
          <w:szCs w:val="20"/>
          <w:color w:val="auto"/>
        </w:rPr>
        <w:t>The following table shows the monthly activity related to our repurchases of common stock for the quarter ended 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180"/>
        </w:trPr>
        <w:tc>
          <w:tcPr>
            <w:tcW w:w="3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4"/>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74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value of Shares that may</w:t>
            </w:r>
          </w:p>
        </w:tc>
      </w:tr>
      <w:tr>
        <w:trPr>
          <w:trHeight w:val="180"/>
        </w:trPr>
        <w:tc>
          <w:tcPr>
            <w:tcW w:w="3600" w:type="dxa"/>
            <w:vAlign w:val="bottom"/>
          </w:tcPr>
          <w:p>
            <w:pPr>
              <w:spacing w:after="0"/>
              <w:rPr>
                <w:sz w:val="15"/>
                <w:szCs w:val="15"/>
                <w:color w:val="auto"/>
              </w:rPr>
            </w:pPr>
          </w:p>
        </w:tc>
        <w:tc>
          <w:tcPr>
            <w:tcW w:w="1440" w:type="dxa"/>
            <w:vAlign w:val="bottom"/>
            <w:gridSpan w:val="5"/>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Total Number</w:t>
            </w:r>
          </w:p>
        </w:tc>
        <w:tc>
          <w:tcPr>
            <w:tcW w:w="940" w:type="dxa"/>
            <w:vAlign w:val="bottom"/>
            <w:gridSpan w:val="5"/>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40" w:type="dxa"/>
            <w:vAlign w:val="bottom"/>
            <w:gridSpan w:val="4"/>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74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yet be Purchased under</w:t>
            </w:r>
          </w:p>
        </w:tc>
      </w:tr>
      <w:tr>
        <w:trPr>
          <w:trHeight w:val="171"/>
        </w:trPr>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400"/>
              <w:spacing w:after="0" w:line="171"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94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1640" w:type="dxa"/>
            <w:vAlign w:val="bottom"/>
            <w:gridSpan w:val="4"/>
          </w:tcPr>
          <w:p>
            <w:pPr>
              <w:jc w:val="center"/>
              <w:ind w:right="220"/>
              <w:spacing w:after="0" w:line="171"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1740" w:type="dxa"/>
            <w:vAlign w:val="bottom"/>
            <w:gridSpan w:val="3"/>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the Plans or Programs</w:t>
            </w:r>
          </w:p>
        </w:tc>
      </w:tr>
      <w:tr>
        <w:trPr>
          <w:trHeight w:val="19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40" w:type="dxa"/>
            <w:vAlign w:val="bottom"/>
          </w:tcPr>
          <w:p>
            <w:pPr>
              <w:spacing w:after="0"/>
              <w:rPr>
                <w:sz w:val="17"/>
                <w:szCs w:val="17"/>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240" w:type="dxa"/>
            <w:vAlign w:val="bottom"/>
          </w:tcPr>
          <w:p>
            <w:pPr>
              <w:spacing w:after="0"/>
              <w:rPr>
                <w:sz w:val="17"/>
                <w:szCs w:val="17"/>
                <w:color w:val="auto"/>
              </w:rPr>
            </w:pPr>
          </w:p>
        </w:tc>
        <w:tc>
          <w:tcPr>
            <w:tcW w:w="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20" w:type="dxa"/>
            <w:vAlign w:val="bottom"/>
          </w:tcPr>
          <w:p>
            <w:pPr>
              <w:spacing w:after="0"/>
              <w:rPr>
                <w:sz w:val="17"/>
                <w:szCs w:val="17"/>
                <w:color w:val="auto"/>
              </w:rPr>
            </w:pPr>
          </w:p>
        </w:tc>
        <w:tc>
          <w:tcPr>
            <w:tcW w:w="1420" w:type="dxa"/>
            <w:vAlign w:val="bottom"/>
            <w:tcBorders>
              <w:bottom w:val="single" w:sz="8" w:color="auto"/>
            </w:tcBorders>
            <w:gridSpan w:val="3"/>
          </w:tcPr>
          <w:p>
            <w:pPr>
              <w:jc w:val="center"/>
              <w:spacing w:after="0" w:line="197" w:lineRule="exact"/>
              <w:rPr>
                <w:sz w:val="20"/>
                <w:szCs w:val="20"/>
                <w:color w:val="auto"/>
              </w:rPr>
            </w:pPr>
            <w:r>
              <w:rPr>
                <w:rFonts w:ascii="Times New Roman" w:cs="Times New Roman" w:eastAsia="Times New Roman" w:hAnsi="Times New Roman"/>
                <w:sz w:val="16"/>
                <w:szCs w:val="16"/>
                <w:b w:val="1"/>
                <w:bCs w:val="1"/>
                <w:color w:val="auto"/>
                <w:w w:val="99"/>
              </w:rPr>
              <w:t>or Programs</w:t>
            </w:r>
            <w:r>
              <w:rPr>
                <w:rFonts w:ascii="Times New Roman" w:cs="Times New Roman" w:eastAsia="Times New Roman" w:hAnsi="Times New Roman"/>
                <w:sz w:val="20"/>
                <w:szCs w:val="20"/>
                <w:b w:val="1"/>
                <w:bCs w:val="1"/>
                <w:color w:val="auto"/>
                <w:w w:val="99"/>
                <w:vertAlign w:val="superscript"/>
              </w:rPr>
              <w:t>(1)</w:t>
            </w:r>
          </w:p>
        </w:tc>
        <w:tc>
          <w:tcPr>
            <w:tcW w:w="220" w:type="dxa"/>
            <w:vAlign w:val="bottom"/>
          </w:tcPr>
          <w:p>
            <w:pPr>
              <w:spacing w:after="0"/>
              <w:rPr>
                <w:sz w:val="17"/>
                <w:szCs w:val="17"/>
                <w:color w:val="auto"/>
              </w:rPr>
            </w:pPr>
          </w:p>
        </w:tc>
        <w:tc>
          <w:tcPr>
            <w:tcW w:w="1740" w:type="dxa"/>
            <w:vAlign w:val="bottom"/>
            <w:tcBorders>
              <w:bottom w:val="single" w:sz="8" w:color="auto"/>
            </w:tcBorders>
            <w:gridSpan w:val="3"/>
          </w:tcPr>
          <w:p>
            <w:pPr>
              <w:jc w:val="center"/>
              <w:spacing w:after="0" w:line="197" w:lineRule="exact"/>
              <w:rPr>
                <w:sz w:val="20"/>
                <w:szCs w:val="20"/>
                <w:color w:val="auto"/>
              </w:rPr>
            </w:pPr>
            <w:r>
              <w:rPr>
                <w:rFonts w:ascii="Times New Roman" w:cs="Times New Roman" w:eastAsia="Times New Roman" w:hAnsi="Times New Roman"/>
                <w:sz w:val="16"/>
                <w:szCs w:val="16"/>
                <w:b w:val="1"/>
                <w:bCs w:val="1"/>
                <w:color w:val="auto"/>
                <w:w w:val="99"/>
              </w:rPr>
              <w:t>(in thousands)</w:t>
            </w:r>
            <w:r>
              <w:rPr>
                <w:rFonts w:ascii="Times New Roman" w:cs="Times New Roman" w:eastAsia="Times New Roman" w:hAnsi="Times New Roman"/>
                <w:sz w:val="20"/>
                <w:szCs w:val="20"/>
                <w:b w:val="1"/>
                <w:bCs w:val="1"/>
                <w:color w:val="auto"/>
                <w:w w:val="99"/>
                <w:vertAlign w:val="superscript"/>
              </w:rPr>
              <w:t>(1)</w:t>
            </w:r>
          </w:p>
        </w:tc>
      </w:tr>
      <w:tr>
        <w:trPr>
          <w:trHeight w:val="287"/>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w w:val="99"/>
              </w:rPr>
              <w:t>October 2022 . . . . . . . . . . . . . . . . . . . . . . . .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403,823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403,823</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left="471"/>
              <w:spacing w:after="0"/>
              <w:rPr>
                <w:sz w:val="20"/>
                <w:szCs w:val="20"/>
                <w:color w:val="auto"/>
              </w:rPr>
            </w:pPr>
            <w:r>
              <w:rPr>
                <w:rFonts w:ascii="Times New Roman" w:cs="Times New Roman" w:eastAsia="Times New Roman" w:hAnsi="Times New Roman"/>
                <w:sz w:val="20"/>
                <w:szCs w:val="20"/>
                <w:color w:val="auto"/>
                <w:w w:val="98"/>
              </w:rPr>
              <w:t>$42,625</w:t>
            </w:r>
          </w:p>
        </w:tc>
        <w:tc>
          <w:tcPr>
            <w:tcW w:w="540" w:type="dxa"/>
            <w:vAlign w:val="bottom"/>
          </w:tcPr>
          <w:p>
            <w:pPr>
              <w:spacing w:after="0"/>
              <w:rPr>
                <w:sz w:val="24"/>
                <w:szCs w:val="24"/>
                <w:color w:val="auto"/>
              </w:rPr>
            </w:pPr>
          </w:p>
        </w:tc>
      </w:tr>
      <w:tr>
        <w:trPr>
          <w:trHeight w:val="255"/>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w w:val="99"/>
              </w:rPr>
              <w:t>November 2022 . . . . . . . . . . . . . . . . . . . . . .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314,041</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314,041</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center"/>
              <w:ind w:left="471"/>
              <w:spacing w:after="0"/>
              <w:rPr>
                <w:sz w:val="20"/>
                <w:szCs w:val="20"/>
                <w:color w:val="auto"/>
              </w:rPr>
            </w:pPr>
            <w:r>
              <w:rPr>
                <w:rFonts w:ascii="Times New Roman" w:cs="Times New Roman" w:eastAsia="Times New Roman" w:hAnsi="Times New Roman"/>
                <w:sz w:val="20"/>
                <w:szCs w:val="20"/>
                <w:color w:val="auto"/>
                <w:w w:val="98"/>
              </w:rPr>
              <w:t>$39,195</w:t>
            </w:r>
          </w:p>
        </w:tc>
        <w:tc>
          <w:tcPr>
            <w:tcW w:w="540" w:type="dxa"/>
            <w:vAlign w:val="bottom"/>
          </w:tcPr>
          <w:p>
            <w:pPr>
              <w:spacing w:after="0"/>
              <w:rPr>
                <w:sz w:val="22"/>
                <w:szCs w:val="22"/>
                <w:color w:val="auto"/>
              </w:rPr>
            </w:pPr>
          </w:p>
        </w:tc>
      </w:tr>
      <w:tr>
        <w:trPr>
          <w:trHeight w:val="253"/>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December 2022 . . . . . . . . . . . . . . . . . . . . . .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193,143</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193,143</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center"/>
              <w:ind w:left="471"/>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37,489</w:t>
            </w:r>
          </w:p>
        </w:tc>
        <w:tc>
          <w:tcPr>
            <w:tcW w:w="540" w:type="dxa"/>
            <w:vAlign w:val="bottom"/>
          </w:tcPr>
          <w:p>
            <w:pPr>
              <w:spacing w:after="0"/>
              <w:rPr>
                <w:sz w:val="22"/>
                <w:szCs w:val="22"/>
                <w:color w:val="auto"/>
              </w:rPr>
            </w:pPr>
          </w:p>
        </w:tc>
      </w:tr>
      <w:tr>
        <w:trPr>
          <w:trHeight w:val="20"/>
        </w:trPr>
        <w:tc>
          <w:tcPr>
            <w:tcW w:w="36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85"/>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w w:val="98"/>
              </w:rPr>
              <w:t>Total . . . . . . . . . . . . . . . . . . . . . . . . . . . . . . . .</w:t>
            </w:r>
          </w:p>
        </w:tc>
        <w:tc>
          <w:tcPr>
            <w:tcW w:w="40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911,007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911,007</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left="471"/>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37,489</w:t>
            </w:r>
          </w:p>
        </w:tc>
        <w:tc>
          <w:tcPr>
            <w:tcW w:w="540" w:type="dxa"/>
            <w:vAlign w:val="bottom"/>
          </w:tcPr>
          <w:p>
            <w:pPr>
              <w:spacing w:after="0"/>
              <w:rPr>
                <w:sz w:val="24"/>
                <w:szCs w:val="24"/>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247650</wp:posOffset>
                </wp:positionV>
                <wp:extent cx="9144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72.3pt,19.5pt" o:allowincell="f" strokecolor="#000000" strokeweight="0.5pt"/>
            </w:pict>
          </mc:Fallback>
        </mc:AlternateContent>
      </w:r>
    </w:p>
    <w:p>
      <w:pPr>
        <w:spacing w:after="0" w:line="200" w:lineRule="exact"/>
        <w:rPr>
          <w:sz w:val="20"/>
          <w:szCs w:val="20"/>
          <w:color w:val="auto"/>
        </w:rPr>
      </w:pPr>
    </w:p>
    <w:p>
      <w:pPr>
        <w:spacing w:after="0" w:line="283" w:lineRule="exact"/>
        <w:rPr>
          <w:sz w:val="20"/>
          <w:szCs w:val="20"/>
          <w:color w:val="auto"/>
        </w:rPr>
      </w:pPr>
    </w:p>
    <w:p>
      <w:pPr>
        <w:ind w:left="400" w:right="20" w:hanging="394"/>
        <w:spacing w:after="0" w:line="245" w:lineRule="auto"/>
        <w:tabs>
          <w:tab w:leader="none" w:pos="4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31, 2022, the Company’s Board of Directors authorized an expansion of the Company’s previously announced stock repurchase program from $75 million to $87.5 million of the Company’s common stock. The Company has already repurchased shares worth $37.5 million under the program through an accelerated stock repurchase agreement on December 21, 2021 with JPMorgan Chase Bank, National Association. The remaining $50.0 million of the expanded $87.5 million program will be repurchased in the open market or through privately negotiated transactions. In connection with the repurchase program, the Company has established a stock trading plan with Oppenheimer &amp; Co. Inc. in accordance with Rule 10b5-1 under the Securities Exchange Act of 1934, as amended.</w:t>
      </w:r>
    </w:p>
    <w:p>
      <w:pPr>
        <w:spacing w:after="0" w:line="127" w:lineRule="exact"/>
        <w:rPr>
          <w:sz w:val="20"/>
          <w:szCs w:val="20"/>
          <w:color w:val="auto"/>
        </w:rPr>
      </w:pPr>
    </w:p>
    <w:p>
      <w:pPr>
        <w:ind w:right="240" w:firstLine="400"/>
        <w:spacing w:after="0" w:line="255" w:lineRule="auto"/>
        <w:rPr>
          <w:sz w:val="20"/>
          <w:szCs w:val="20"/>
          <w:color w:val="auto"/>
        </w:rPr>
      </w:pPr>
      <w:r>
        <w:rPr>
          <w:rFonts w:ascii="Times New Roman" w:cs="Times New Roman" w:eastAsia="Times New Roman" w:hAnsi="Times New Roman"/>
          <w:sz w:val="20"/>
          <w:szCs w:val="20"/>
          <w:color w:val="auto"/>
        </w:rPr>
        <w:t>See ‘‘Item 8. Financial Statements and Supplementary Data—Notes to Consolidated Financial Statements—Note 13. Stockholders’ Equity and Stock-Based Compensation’’ in this Report for a description of the Accelerated Stock Repurchase Program.</w:t>
      </w:r>
    </w:p>
    <w:p>
      <w:pPr>
        <w:spacing w:after="0" w:line="3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80"/>
          </w:cols>
          <w:pgMar w:left="1420" w:top="889" w:right="1440" w:bottom="182" w:gutter="0" w:footer="0" w:header="0"/>
          <w:type w:val="continuous"/>
        </w:sectPr>
      </w:pPr>
    </w:p>
    <w:bookmarkStart w:id="39" w:name="page40"/>
    <w:bookmarkEnd w:id="39"/>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22" w:lineRule="exact"/>
        <w:rPr>
          <w:sz w:val="20"/>
          <w:szCs w:val="20"/>
          <w:color w:val="auto"/>
        </w:rPr>
      </w:pPr>
    </w:p>
    <w:p>
      <w:pPr>
        <w:ind w:right="60" w:firstLine="400"/>
        <w:spacing w:after="0" w:line="247"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the audited consolidated financial statements, together in each case with the related notes, included elsewhere in this Report.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Report.</w:t>
      </w:r>
    </w:p>
    <w:p>
      <w:pPr>
        <w:spacing w:after="0" w:line="138" w:lineRule="exact"/>
        <w:rPr>
          <w:sz w:val="20"/>
          <w:szCs w:val="20"/>
          <w:color w:val="auto"/>
        </w:rPr>
      </w:pPr>
    </w:p>
    <w:p>
      <w:pPr>
        <w:ind w:right="20" w:firstLine="400"/>
        <w:spacing w:after="0" w:line="239" w:lineRule="auto"/>
        <w:rPr>
          <w:sz w:val="20"/>
          <w:szCs w:val="20"/>
          <w:color w:val="auto"/>
        </w:rPr>
      </w:pPr>
      <w:r>
        <w:rPr>
          <w:rFonts w:ascii="Times New Roman" w:cs="Times New Roman" w:eastAsia="Times New Roman" w:hAnsi="Times New Roman"/>
          <w:sz w:val="20"/>
          <w:szCs w:val="20"/>
          <w:color w:val="auto"/>
        </w:rPr>
        <w:t>The following section generally discusses our financial condition and results of operations for our fiscal year ended December 31, 2022 (‘‘fiscal year 2022’’) compared to our fiscal year ended December 31, 2021</w:t>
      </w:r>
    </w:p>
    <w:p>
      <w:pPr>
        <w:spacing w:after="0" w:line="2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(‘‘fiscal year 2021’’). A discussion regarding our financial condition and results of operations for fiscal year 2021 compared to our fiscal year ended December 31, 2020 (‘‘fiscal year 2020’’) can be found in Part II, Item 7 of our Annual Report on Form 10-K for fiscal year 2021, filed with the Securities and Exchange Commission (the ‘‘SEC’’) on February 23,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0" w:lineRule="exact"/>
        <w:rPr>
          <w:sz w:val="20"/>
          <w:szCs w:val="20"/>
          <w:color w:val="auto"/>
        </w:rPr>
      </w:pPr>
    </w:p>
    <w:p>
      <w:pPr>
        <w:ind w:right="80" w:firstLine="400"/>
        <w:spacing w:after="0" w:line="246" w:lineRule="auto"/>
        <w:rPr>
          <w:sz w:val="20"/>
          <w:szCs w:val="20"/>
          <w:color w:val="auto"/>
        </w:rPr>
      </w:pPr>
      <w:r>
        <w:rPr>
          <w:rFonts w:ascii="Times New Roman" w:cs="Times New Roman" w:eastAsia="Times New Roman" w:hAnsi="Times New Roman"/>
          <w:sz w:val="20"/>
          <w:szCs w:val="20"/>
          <w:color w:val="auto"/>
        </w:rPr>
        <w:t>We are a designer and manufacturer of analog and mixed-signal semiconductor platform solutions for communications, IoT applications, consumer, computing, industrial and automotive applications. We have a proven record with more than 40 years of operating history, a portfolio of approximately 1,100 registered patents and pending applications and extensive engineering and manufacturing process expertise.</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Our standard products business includes our Display Solutions and Power Solutions business lines.</w:t>
      </w:r>
    </w:p>
    <w:p>
      <w:pPr>
        <w:spacing w:after="0" w:line="140" w:lineRule="exact"/>
        <w:rPr>
          <w:sz w:val="20"/>
          <w:szCs w:val="20"/>
          <w:color w:val="auto"/>
        </w:rPr>
      </w:pPr>
    </w:p>
    <w:p>
      <w:pPr>
        <w:ind w:right="60" w:firstLine="400"/>
        <w:spacing w:after="0" w:line="249" w:lineRule="auto"/>
        <w:rPr>
          <w:sz w:val="20"/>
          <w:szCs w:val="20"/>
          <w:color w:val="auto"/>
        </w:rPr>
      </w:pPr>
      <w:r>
        <w:rPr>
          <w:rFonts w:ascii="Times New Roman" w:cs="Times New Roman" w:eastAsia="Times New Roman" w:hAnsi="Times New Roman"/>
          <w:sz w:val="20"/>
          <w:szCs w:val="20"/>
          <w:color w:val="auto"/>
        </w:rPr>
        <w:t>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automotives, entertainment devices, IT applications such as monitors, notebook PCs, tablet PC and TVs applied with liquid crystal display (LCD), organic light emitting diodes (OLED) and Micro light emitting diode (Micro LED) panel. Since 2007, we have designed and manufactured OLED display driver integrated circuit (IC) products. Our current portfolio of OLED solutions address a wide range of resolutions ranging from HD (High Definition) to UHD (Ultra High Definition) for a wide range of applications including smartphones, TVs, automotive and IT applications such as monitors, notebook PCs, tablet PCs as well as AR/VRs.</w:t>
      </w:r>
    </w:p>
    <w:p>
      <w:pPr>
        <w:spacing w:after="0" w:line="133"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auto"/>
        </w:rPr>
        <w:t>Our Power Solutions business line produces power management semiconductor products including discrete and integrated circuit solutions for power management in communications, consumer, computing, servers, automotive, and industrial applications. These products include metal oxide semiconductor field effect transistors (MOSFETs), insulated-gate bipolar transistors (IGBTs), AC-DC/DC-DC converters, LED drivers, regulators and power management integrated circuits (PMICs) for a range of devices, including televisions, smartphones, mobile phones, wearable devices, desktop PCs, notebooks, tablet PCs, other consumer electrics, automotive, and industrial applications such as power suppliers, e-bikes, solar inverters, LED lighting and motor drives.</w:t>
      </w:r>
    </w:p>
    <w:p>
      <w:pPr>
        <w:spacing w:after="0" w:line="136"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and substantial manufacturing operation in Korea place us at the core of the global electronics device supply chain. We believe this enables us to quickly and efficiently respond to our customers’ needs, and allows us to better serve and capture additional demand from existing and new customers. Certain of our OLED products are produced using external 12-inch foundries. Through a strategic cooperation with external 12-inch foundries, we are managing to ensure outsourcing wafers at competitive price and produce quality products.</w:t>
      </w:r>
    </w:p>
    <w:p>
      <w:pPr>
        <w:spacing w:after="0" w:line="139" w:lineRule="exact"/>
        <w:rPr>
          <w:sz w:val="20"/>
          <w:szCs w:val="20"/>
          <w:color w:val="auto"/>
        </w:rPr>
      </w:pPr>
    </w:p>
    <w:p>
      <w:pPr>
        <w:ind w:right="220" w:firstLine="400"/>
        <w:spacing w:after="0" w:line="247" w:lineRule="auto"/>
        <w:rPr>
          <w:sz w:val="20"/>
          <w:szCs w:val="20"/>
          <w:color w:val="auto"/>
        </w:rPr>
      </w:pPr>
      <w:r>
        <w:rPr>
          <w:rFonts w:ascii="Times New Roman" w:cs="Times New Roman" w:eastAsia="Times New Roman" w:hAnsi="Times New Roman"/>
          <w:sz w:val="20"/>
          <w:szCs w:val="20"/>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37" w:lineRule="exact"/>
        <w:rPr>
          <w:sz w:val="20"/>
          <w:szCs w:val="20"/>
          <w:color w:val="auto"/>
        </w:rPr>
      </w:pPr>
    </w:p>
    <w:p>
      <w:pPr>
        <w:ind w:right="120" w:firstLine="400"/>
        <w:spacing w:after="0" w:line="245" w:lineRule="auto"/>
        <w:rPr>
          <w:sz w:val="20"/>
          <w:szCs w:val="20"/>
          <w:color w:val="auto"/>
        </w:rPr>
      </w:pPr>
      <w:r>
        <w:rPr>
          <w:rFonts w:ascii="Times New Roman" w:cs="Times New Roman" w:eastAsia="Times New Roman" w:hAnsi="Times New Roman"/>
          <w:sz w:val="20"/>
          <w:szCs w:val="20"/>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80"/>
          </w:cols>
          <w:pgMar w:left="1420" w:top="889" w:right="1440" w:bottom="182" w:gutter="0" w:footer="0" w:header="0"/>
          <w:type w:val="continuous"/>
        </w:sectPr>
      </w:pPr>
    </w:p>
    <w:bookmarkStart w:id="40" w:name="page41"/>
    <w:bookmarkEnd w:id="40"/>
    <w:p>
      <w:pPr>
        <w:jc w:val="both"/>
        <w:ind w:right="480"/>
        <w:spacing w:after="0" w:line="255" w:lineRule="auto"/>
        <w:rPr>
          <w:sz w:val="20"/>
          <w:szCs w:val="20"/>
          <w:color w:val="auto"/>
        </w:rPr>
      </w:pPr>
      <w:r>
        <w:rPr>
          <w:rFonts w:ascii="Times New Roman" w:cs="Times New Roman" w:eastAsia="Times New Roman" w:hAnsi="Times New Roman"/>
          <w:sz w:val="20"/>
          <w:szCs w:val="20"/>
          <w:color w:val="auto"/>
        </w:rPr>
        <w:t>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37" w:lineRule="exact"/>
        <w:rPr>
          <w:sz w:val="20"/>
          <w:szCs w:val="20"/>
          <w:color w:val="auto"/>
        </w:rPr>
      </w:pPr>
    </w:p>
    <w:p>
      <w:pPr>
        <w:ind w:right="140" w:firstLine="400"/>
        <w:spacing w:after="0" w:line="259" w:lineRule="auto"/>
        <w:rPr>
          <w:sz w:val="20"/>
          <w:szCs w:val="20"/>
          <w:color w:val="auto"/>
        </w:rPr>
      </w:pPr>
      <w:r>
        <w:rPr>
          <w:rFonts w:ascii="Times New Roman" w:cs="Times New Roman" w:eastAsia="Times New Roman" w:hAnsi="Times New Roman"/>
          <w:sz w:val="20"/>
          <w:szCs w:val="20"/>
          <w:color w:val="auto"/>
        </w:rPr>
        <w:t>Demand for our products and services is driven by overall demand for communications, IoT, consumer and industrial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36" w:lineRule="exact"/>
        <w:rPr>
          <w:sz w:val="20"/>
          <w:szCs w:val="20"/>
          <w:color w:val="auto"/>
        </w:rPr>
      </w:pPr>
    </w:p>
    <w:p>
      <w:pPr>
        <w:ind w:right="20" w:firstLine="400"/>
        <w:spacing w:after="0" w:line="259" w:lineRule="auto"/>
        <w:rPr>
          <w:sz w:val="20"/>
          <w:szCs w:val="20"/>
          <w:color w:val="auto"/>
        </w:rPr>
      </w:pPr>
      <w:r>
        <w:rPr>
          <w:rFonts w:ascii="Times New Roman" w:cs="Times New Roman" w:eastAsia="Times New Roman" w:hAnsi="Times New Roman"/>
          <w:sz w:val="20"/>
          <w:szCs w:val="20"/>
          <w:color w:val="auto"/>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35" w:lineRule="exact"/>
        <w:rPr>
          <w:sz w:val="20"/>
          <w:szCs w:val="20"/>
          <w:color w:val="auto"/>
        </w:rPr>
      </w:pPr>
    </w:p>
    <w:p>
      <w:pPr>
        <w:ind w:right="80" w:firstLine="400"/>
        <w:spacing w:after="0" w:line="259" w:lineRule="auto"/>
        <w:rPr>
          <w:sz w:val="20"/>
          <w:szCs w:val="20"/>
          <w:color w:val="auto"/>
        </w:rPr>
      </w:pPr>
      <w:r>
        <w:rPr>
          <w:rFonts w:ascii="Times New Roman" w:cs="Times New Roman" w:eastAsia="Times New Roman" w:hAnsi="Times New Roman"/>
          <w:sz w:val="20"/>
          <w:szCs w:val="20"/>
          <w:color w:val="auto"/>
        </w:rPr>
        <w:t>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w:t>
      </w:r>
    </w:p>
    <w:p>
      <w:pPr>
        <w:spacing w:after="0" w:line="135" w:lineRule="exact"/>
        <w:rPr>
          <w:sz w:val="20"/>
          <w:szCs w:val="20"/>
          <w:color w:val="auto"/>
        </w:rPr>
      </w:pPr>
    </w:p>
    <w:p>
      <w:pPr>
        <w:ind w:right="20" w:firstLine="400"/>
        <w:spacing w:after="0" w:line="260" w:lineRule="auto"/>
        <w:rPr>
          <w:sz w:val="20"/>
          <w:szCs w:val="20"/>
          <w:color w:val="auto"/>
        </w:rPr>
      </w:pPr>
      <w:r>
        <w:rPr>
          <w:rFonts w:ascii="Times New Roman" w:cs="Times New Roman" w:eastAsia="Times New Roman" w:hAnsi="Times New Roman"/>
          <w:sz w:val="20"/>
          <w:szCs w:val="20"/>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and 8-inch wafer capacity, such as organic light emitting diodes (OLED). We believe this balanced capital investment strategy enables us to optimize our capital investments and facilitates more diversified product and service offerings.</w:t>
      </w:r>
    </w:p>
    <w:p>
      <w:pPr>
        <w:spacing w:after="0" w:line="132" w:lineRule="exact"/>
        <w:rPr>
          <w:sz w:val="20"/>
          <w:szCs w:val="20"/>
          <w:color w:val="auto"/>
        </w:rPr>
      </w:pPr>
    </w:p>
    <w:p>
      <w:pPr>
        <w:ind w:right="60" w:firstLine="400"/>
        <w:spacing w:after="0" w:line="259" w:lineRule="auto"/>
        <w:rPr>
          <w:sz w:val="20"/>
          <w:szCs w:val="20"/>
          <w:color w:val="auto"/>
        </w:rPr>
      </w:pPr>
      <w:r>
        <w:rPr>
          <w:rFonts w:ascii="Times New Roman" w:cs="Times New Roman" w:eastAsia="Times New Roman" w:hAnsi="Times New Roman"/>
          <w:sz w:val="20"/>
          <w:szCs w:val="20"/>
          <w:color w:val="auto"/>
        </w:rPr>
        <w:t>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12-inch foundries starting in the second half of 2015 and we have started outsourcing 8-inch wafer for OLED TV IC after the sale of our fabrication facility located in Cheongju, Korea in 2020. This additional source of manufacturing is an increasingly important part of our supply chain management. By outsourcing manufacturing of OLED products to external foundries, we are able to adapt dynamically to changing customer requirements and address growing markets without substantial capital investments by us. However, relying on external foundries exposes us to the risk of being unable to secure manufacturing capacity, particularly under the</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80"/>
          </w:cols>
          <w:pgMar w:left="1420" w:top="899" w:right="1440" w:bottom="182" w:gutter="0" w:footer="0" w:header="0"/>
          <w:type w:val="continuous"/>
        </w:sectPr>
      </w:pPr>
    </w:p>
    <w:bookmarkStart w:id="41" w:name="page42"/>
    <w:bookmarkEnd w:id="41"/>
    <w:p>
      <w:pPr>
        <w:ind w:right="60"/>
        <w:spacing w:after="0" w:line="246" w:lineRule="auto"/>
        <w:rPr>
          <w:sz w:val="20"/>
          <w:szCs w:val="20"/>
          <w:color w:val="auto"/>
        </w:rPr>
      </w:pPr>
      <w:r>
        <w:rPr>
          <w:rFonts w:ascii="Times New Roman" w:cs="Times New Roman" w:eastAsia="Times New Roman" w:hAnsi="Times New Roman"/>
          <w:sz w:val="20"/>
          <w:szCs w:val="20"/>
          <w:color w:val="auto"/>
        </w:rPr>
        <w:t>current global shortage of foundry services. Although we are working strategically with external foundries to ensure long-term wafer capacity, if these efforts are unsuccessful, our ability to deliver products to our customers may be negatively impacted, which would adversely affect our relationship with customers and opportunities to secure new design-wins.</w:t>
      </w:r>
    </w:p>
    <w:p>
      <w:pPr>
        <w:spacing w:after="0" w:line="137"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Expanded Stock Repurchase Program</w:t>
      </w:r>
    </w:p>
    <w:p>
      <w:pPr>
        <w:spacing w:after="0" w:line="120"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On August 31, 2022, our Board of Directors authorized an expansion of the previously announced stock repurchase program from $75.0 million to $87.5 million of our common stock. We have already repurchased shares worth $37.5 million under the program through an accelerated stock repurchase agreement on December 21, 2021 with JPMorgan Chase Bank, National Association. The remaining $50.0 million of the expanded $87.5 million program has been and will be repurchased in the open market or through privately negotiated transactions. In connection with the repurchase program, we have established a stock trading plan with Oppenheimer &amp; Co. Inc. in accordance with Rule 10b5-1 under the Securities Exchange Act of 1934, as amended.</w:t>
      </w:r>
    </w:p>
    <w:p>
      <w:pPr>
        <w:spacing w:after="0" w:line="370" w:lineRule="exact"/>
        <w:rPr>
          <w:sz w:val="20"/>
          <w:szCs w:val="20"/>
          <w:color w:val="auto"/>
        </w:rPr>
      </w:pPr>
    </w:p>
    <w:p>
      <w:pPr>
        <w:jc w:val="both"/>
        <w:ind w:right="360" w:firstLine="400"/>
        <w:spacing w:after="0" w:line="245" w:lineRule="auto"/>
        <w:rPr>
          <w:sz w:val="20"/>
          <w:szCs w:val="20"/>
          <w:color w:val="auto"/>
        </w:rPr>
      </w:pPr>
      <w:r>
        <w:rPr>
          <w:rFonts w:ascii="Times New Roman" w:cs="Times New Roman" w:eastAsia="Times New Roman" w:hAnsi="Times New Roman"/>
          <w:sz w:val="20"/>
          <w:szCs w:val="20"/>
          <w:color w:val="auto"/>
        </w:rPr>
        <w:t>From September 2022 to December 2022, we repurchased 1,235,650 shares of our common stock in the open market for an aggregate purchase price of $12.5 million and a price per share of $10.13 under the stock repurchase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Semiconductor Industry Trends</w:t>
      </w:r>
    </w:p>
    <w:p>
      <w:pPr>
        <w:spacing w:after="0" w:line="120"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Increases in demand for semiconductor products resulted in a global shortage of manufacturing capacity over the prior two years. As a result, we may experience increased costs to manufacture our products and may not be able to manufacture and deliver all of the orders placed by our customers. Specifically, if we are unable to secure manufacturing capacity from the external foundries we rely on, our ability to deliver products to our customers may be negatively impacted. Also, shortage of manufacturing capacity may lead to an increase in our manufacturing costs. Our principal pricing strategy is to pass on the increased manufacturing costs to our customers; however, we may not be fully able to do this in all cases. Total revenues for the years ended December 31, 2022 and 2021 were severely impacted by these persisting supply shortages, in particular for 28nm 12-inch OLED wafers, which impacted design-in projects from our large panel customer in Korea that are typically given 9 to 12 months in advance.</w:t>
      </w:r>
    </w:p>
    <w:p>
      <w:pPr>
        <w:spacing w:after="0" w:line="134"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auto"/>
        </w:rPr>
        <w:t>In an effort to minimize the potential adverse impact of the supply shortage, we continue to work strategically with certain external foundries to help ensure long-term wafer capacity. If these efforts are unsuccessful, however, such shortage could limit our ability to meet demand for our products in the future, which would adversely affect our reputation and competitive position, resulting in a negative impact on results of operations.</w:t>
      </w:r>
    </w:p>
    <w:p>
      <w:pPr>
        <w:spacing w:after="0" w:line="369" w:lineRule="exact"/>
        <w:rPr>
          <w:sz w:val="20"/>
          <w:szCs w:val="20"/>
          <w:color w:val="auto"/>
        </w:rPr>
      </w:pPr>
    </w:p>
    <w:p>
      <w:pPr>
        <w:ind w:right="80" w:firstLine="400"/>
        <w:spacing w:after="0" w:line="249" w:lineRule="auto"/>
        <w:rPr>
          <w:sz w:val="20"/>
          <w:szCs w:val="20"/>
          <w:color w:val="auto"/>
        </w:rPr>
      </w:pPr>
      <w:r>
        <w:rPr>
          <w:rFonts w:ascii="Times New Roman" w:cs="Times New Roman" w:eastAsia="Times New Roman" w:hAnsi="Times New Roman"/>
          <w:sz w:val="20"/>
          <w:szCs w:val="20"/>
          <w:color w:val="auto"/>
        </w:rPr>
        <w:t>We are not able to foresee when the shortage of manufacturing capacity will subside, but we are beginning to see some indicators of improvement of such supply shortage situation. However, the global shortage for semiconductor products over the prior two years has led to overbooking backordered demand and oversupply. As a result, the current global macroeconomic conditions, including COVID-19 pandemic, higher inflation and interest rates and uncertainty caused by the Russian-Ukraine war, have led to weaker end-market demand and an oversupply of inventory. We continue to monitor these trends and uncertainties, and any decline in end-market demand and increase in inventory levels could negatively impact our financial condition and results of operations.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COVID-19 Pandemic</w:t>
      </w:r>
    </w:p>
    <w:p>
      <w:pPr>
        <w:spacing w:after="0" w:line="120" w:lineRule="exact"/>
        <w:rPr>
          <w:sz w:val="20"/>
          <w:szCs w:val="20"/>
          <w:color w:val="auto"/>
        </w:rPr>
      </w:pPr>
    </w:p>
    <w:p>
      <w:pPr>
        <w:ind w:right="20" w:firstLine="400"/>
        <w:spacing w:after="0" w:line="239" w:lineRule="auto"/>
        <w:rPr>
          <w:sz w:val="20"/>
          <w:szCs w:val="20"/>
          <w:color w:val="auto"/>
        </w:rPr>
      </w:pPr>
      <w:r>
        <w:rPr>
          <w:rFonts w:ascii="Times New Roman" w:cs="Times New Roman" w:eastAsia="Times New Roman" w:hAnsi="Times New Roman"/>
          <w:sz w:val="20"/>
          <w:szCs w:val="20"/>
          <w:color w:val="auto"/>
        </w:rPr>
        <w:t>In December 2019, a strain of coronavirus causing a disease known as COVID-19 surfaced in Wuhan, China, resulting in significant disruptions among Chinese manufacturing and other facilities and travel throughout</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80"/>
          </w:cols>
          <w:pgMar w:left="1420" w:top="899" w:right="1440" w:bottom="182" w:gutter="0" w:footer="0" w:header="0"/>
          <w:type w:val="continuous"/>
        </w:sectPr>
      </w:pPr>
    </w:p>
    <w:bookmarkStart w:id="42" w:name="page43"/>
    <w:bookmarkEnd w:id="42"/>
    <w:p>
      <w:pPr>
        <w:ind w:right="20"/>
        <w:spacing w:after="0" w:line="248" w:lineRule="auto"/>
        <w:rPr>
          <w:sz w:val="20"/>
          <w:szCs w:val="20"/>
          <w:color w:val="auto"/>
        </w:rPr>
      </w:pPr>
      <w:r>
        <w:rPr>
          <w:rFonts w:ascii="Times New Roman" w:cs="Times New Roman" w:eastAsia="Times New Roman" w:hAnsi="Times New Roman"/>
          <w:sz w:val="20"/>
          <w:szCs w:val="20"/>
          <w:color w:val="auto"/>
        </w:rPr>
        <w:t>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36"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We experienced some minor disruption in our Power Solutions business line from assembly and test subcontractors located in China in the first quarter of 2020 as a result of the COVID-19 pandemic. To date, our external Display Solutions business line contractors and sub-contractors have not been materially impacted by the COVID-19 pandemic. We are, however, unable to accurately predict the full impact that the COVID-19 pandemic will have on future results of operations due to numerous uncertainties. The extent to which the COVID-19 pandemic impacts our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the COVID-19 pandemic, such as new strains of the virus that may emerge, which may impact rates of infection and vaccination efforts, developments or perceptions regarding the safety of vaccines and the extent and effectiveness of actions to contain the COVID-19 pandemic or treat its impact, including vaccination campaigns and lockdown measures, among others. In addition, recurrences or additional waves of COVID-19 cases could cause other widespread or more severe impacts depending on where infection rates are highest. We cannot presently predict the scope and severity of any potential business shutdowns or disruptions, but if we or any of our customers and suppliers were to experience prolonged business shutdowns or other disruptions, our ability to conduct our business could be materially and negatively affected, which could have a material adverse impact on our business, results of operations and financial condition.</w:t>
      </w:r>
    </w:p>
    <w:p>
      <w:pPr>
        <w:spacing w:after="0" w:line="144" w:lineRule="exact"/>
        <w:rPr>
          <w:sz w:val="20"/>
          <w:szCs w:val="20"/>
          <w:color w:val="auto"/>
        </w:rPr>
      </w:pPr>
    </w:p>
    <w:p>
      <w:pPr>
        <w:ind w:right="40" w:firstLine="400"/>
        <w:spacing w:after="0" w:line="246" w:lineRule="auto"/>
        <w:rPr>
          <w:sz w:val="20"/>
          <w:szCs w:val="20"/>
          <w:color w:val="auto"/>
        </w:rPr>
      </w:pPr>
      <w:r>
        <w:rPr>
          <w:rFonts w:ascii="Times New Roman" w:cs="Times New Roman" w:eastAsia="Times New Roman" w:hAnsi="Times New Roman"/>
          <w:sz w:val="20"/>
          <w:szCs w:val="20"/>
          <w:color w:val="auto"/>
        </w:rPr>
        <w:t>We continue to closely monitor and evaluate the nature and scope of the impact of the COVID-19 pandemic to our business, consolidated results of operations, and financial condition, and may take further actions altering our business operations and managing our costs and liquidity that we deem necessary or appropriate to respond to this ongoing and uncertain global health crisis and the resulting global economic consequences.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Developments in Export Control Regulations</w:t>
      </w:r>
    </w:p>
    <w:p>
      <w:pPr>
        <w:spacing w:after="0" w:line="120" w:lineRule="exact"/>
        <w:rPr>
          <w:sz w:val="20"/>
          <w:szCs w:val="20"/>
          <w:color w:val="auto"/>
        </w:rPr>
      </w:pPr>
    </w:p>
    <w:p>
      <w:pPr>
        <w:ind w:right="140" w:firstLine="400"/>
        <w:spacing w:after="0" w:line="249" w:lineRule="auto"/>
        <w:rPr>
          <w:sz w:val="20"/>
          <w:szCs w:val="20"/>
          <w:color w:val="auto"/>
        </w:rPr>
      </w:pPr>
      <w:r>
        <w:rPr>
          <w:rFonts w:ascii="Times New Roman" w:cs="Times New Roman" w:eastAsia="Times New Roman" w:hAnsi="Times New Roman"/>
          <w:sz w:val="20"/>
          <w:szCs w:val="20"/>
          <w:color w:val="auto"/>
        </w:rPr>
        <w:t>On October 7, 2022, the Bureau of Industry and Security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the Bureau of Industry and Security brought into effect a series of new Foreign Direct Product (FDP) rules and various new controls on advanced computing items, significantly expanding the scope of items that are subject to export control under the U.S. Export Regulations. Based on our understanding of the current U.S. Export Regulations and related rules, we do not anticipate that they will have a material impact on our business. Additional changes to the U.S. Export Regulations are expected, but the scope or timing of such changes is unknown. We will continue to monitor such developments, including potential additional trade restrictions, and other regulatory or policy changes by the U.S. and foreign governments.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Explanation and Reconciliation of Non-U.S. GAAP Measures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EBITDA, Adjusted Operating Income and Adjusted Net Income</w:t>
      </w:r>
    </w:p>
    <w:p>
      <w:pPr>
        <w:spacing w:after="0" w:line="120" w:lineRule="exact"/>
        <w:rPr>
          <w:sz w:val="20"/>
          <w:szCs w:val="20"/>
          <w:color w:val="auto"/>
        </w:rPr>
      </w:pPr>
    </w:p>
    <w:p>
      <w:pPr>
        <w:ind w:right="100" w:firstLine="400"/>
        <w:spacing w:after="0" w:line="248" w:lineRule="auto"/>
        <w:rPr>
          <w:sz w:val="20"/>
          <w:szCs w:val="20"/>
          <w:color w:val="auto"/>
        </w:rPr>
      </w:pPr>
      <w:r>
        <w:rPr>
          <w:rFonts w:ascii="Times New Roman" w:cs="Times New Roman" w:eastAsia="Times New Roman" w:hAnsi="Times New Roman"/>
          <w:sz w:val="20"/>
          <w:szCs w:val="20"/>
          <w:color w:val="auto"/>
        </w:rPr>
        <w:t>We use the terms Adjusted EBITDA, Adjusted Operating Income and Adjusted Net Income (including on a per share basis) in this Report. Adjusted EBITDA, as we define it, is a non-U.S. GAAP measure. We define Adjusted EBITDA for the periods indicated as EBITDA (as defined below), adjusted to exclude (i) equity-based compensation expense, (ii) foreign currency loss, net, (iii) derivative valuation gain, net, (iv) inventory reserve related to Huawei impact of downstream trade restrictions, (v) merger-related income, net and (vi) other charges, net. EBITDA for the periods indicated is defined as net income (loss) before interest income, interest expense, income tax expense, and depreciation and amortization.</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80"/>
          </w:cols>
          <w:pgMar w:left="1420" w:top="899" w:right="1440" w:bottom="182" w:gutter="0" w:footer="0" w:header="0"/>
          <w:type w:val="continuous"/>
        </w:sectPr>
      </w:pPr>
    </w:p>
    <w:bookmarkStart w:id="43" w:name="page44"/>
    <w:bookmarkEnd w:id="43"/>
    <w:p>
      <w:pPr>
        <w:ind w:right="480" w:firstLine="400"/>
        <w:spacing w:after="0" w:line="239" w:lineRule="auto"/>
        <w:rPr>
          <w:sz w:val="20"/>
          <w:szCs w:val="20"/>
          <w:color w:val="auto"/>
        </w:rPr>
      </w:pPr>
      <w:r>
        <w:rPr>
          <w:rFonts w:ascii="Times New Roman" w:cs="Times New Roman" w:eastAsia="Times New Roman" w:hAnsi="Times New Roman"/>
          <w:sz w:val="20"/>
          <w:szCs w:val="20"/>
          <w:color w:val="auto"/>
        </w:rPr>
        <w:t>See the footnotes to the table below for further information regarding these items. We present Adjusted EBITDA as a supplemental measure of our performance because:</w:t>
      </w:r>
    </w:p>
    <w:p>
      <w:pPr>
        <w:spacing w:after="0" w:line="142" w:lineRule="exact"/>
        <w:rPr>
          <w:sz w:val="20"/>
          <w:szCs w:val="20"/>
          <w:color w:val="auto"/>
        </w:rPr>
      </w:pPr>
    </w:p>
    <w:p>
      <w:pPr>
        <w:ind w:left="800" w:right="360" w:hanging="394"/>
        <w:spacing w:after="0" w:line="241" w:lineRule="auto"/>
        <w:tabs>
          <w:tab w:leader="none" w:pos="80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141" w:lineRule="exact"/>
        <w:rPr>
          <w:rFonts w:ascii="Symbol" w:cs="Symbol" w:eastAsia="Symbol" w:hAnsi="Symbol"/>
          <w:sz w:val="20"/>
          <w:szCs w:val="20"/>
          <w:color w:val="auto"/>
        </w:rPr>
      </w:pPr>
    </w:p>
    <w:p>
      <w:pPr>
        <w:ind w:left="800" w:right="20" w:hanging="394"/>
        <w:spacing w:after="0" w:line="241" w:lineRule="auto"/>
        <w:tabs>
          <w:tab w:leader="none" w:pos="80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w:t>
      </w:r>
    </w:p>
    <w:p>
      <w:pPr>
        <w:spacing w:after="0" w:line="141" w:lineRule="exact"/>
        <w:rPr>
          <w:rFonts w:ascii="Symbol" w:cs="Symbol" w:eastAsia="Symbol" w:hAnsi="Symbol"/>
          <w:sz w:val="20"/>
          <w:szCs w:val="20"/>
          <w:color w:val="auto"/>
        </w:rPr>
      </w:pPr>
    </w:p>
    <w:p>
      <w:pPr>
        <w:ind w:left="800" w:right="200" w:hanging="394"/>
        <w:spacing w:after="0" w:line="238" w:lineRule="auto"/>
        <w:tabs>
          <w:tab w:leader="none" w:pos="80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we believe that Adjusted EBITDA is useful for investors, among other reasons, to assess a company’s period-to-period core operating performance and to understand and assess the manner in which management analyzes operating performance.</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We use Adjusted EBITDA in a number of ways, including:</w:t>
      </w:r>
    </w:p>
    <w:p>
      <w:pPr>
        <w:spacing w:after="0" w:line="115" w:lineRule="exact"/>
        <w:rPr>
          <w:sz w:val="20"/>
          <w:szCs w:val="20"/>
          <w:color w:val="auto"/>
        </w:rPr>
      </w:pPr>
    </w:p>
    <w:p>
      <w:pPr>
        <w:ind w:left="800" w:hanging="394"/>
        <w:spacing w:after="0"/>
        <w:tabs>
          <w:tab w:leader="none" w:pos="80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for planning purposes, including the preparation of our annual operating budget;</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to evaluate the effectiveness of our enterprise level business strategies;</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in communications with our Board of Directors concerning our consolidated financial performance; and</w:t>
      </w:r>
    </w:p>
    <w:p>
      <w:pPr>
        <w:spacing w:after="0" w:line="140" w:lineRule="exact"/>
        <w:rPr>
          <w:rFonts w:ascii="Symbol" w:cs="Symbol" w:eastAsia="Symbol" w:hAnsi="Symbol"/>
          <w:sz w:val="20"/>
          <w:szCs w:val="20"/>
          <w:color w:val="auto"/>
        </w:rPr>
      </w:pPr>
    </w:p>
    <w:p>
      <w:pPr>
        <w:ind w:left="800" w:right="60" w:hanging="394"/>
        <w:spacing w:after="0" w:line="232" w:lineRule="auto"/>
        <w:tabs>
          <w:tab w:leader="none" w:pos="80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in certain of our compensation plans as a performance measure for determining incentive compensation payments.</w:t>
      </w:r>
    </w:p>
    <w:p>
      <w:pPr>
        <w:spacing w:after="0" w:line="141" w:lineRule="exact"/>
        <w:rPr>
          <w:sz w:val="20"/>
          <w:szCs w:val="20"/>
          <w:color w:val="auto"/>
        </w:rPr>
      </w:pPr>
    </w:p>
    <w:p>
      <w:pPr>
        <w:ind w:right="120" w:firstLine="400"/>
        <w:spacing w:after="0" w:line="248" w:lineRule="auto"/>
        <w:rPr>
          <w:sz w:val="20"/>
          <w:szCs w:val="20"/>
          <w:color w:val="auto"/>
        </w:rPr>
      </w:pPr>
      <w:r>
        <w:rPr>
          <w:rFonts w:ascii="Times New Roman" w:cs="Times New Roman" w:eastAsia="Times New Roman" w:hAnsi="Times New Roman"/>
          <w:sz w:val="20"/>
          <w:szCs w:val="20"/>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net income or any other performance measure derived in accordance with U.S GAAP, or as an alternative to cash flows from operating activities as a measure of liquidity. A reconciliation of net income (loss) to Adjusted EBITDA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80"/>
        </w:trPr>
        <w:tc>
          <w:tcPr>
            <w:tcW w:w="7340" w:type="dxa"/>
            <w:vAlign w:val="bottom"/>
          </w:tcPr>
          <w:p>
            <w:pPr>
              <w:spacing w:after="0"/>
              <w:rPr>
                <w:sz w:val="15"/>
                <w:szCs w:val="15"/>
                <w:color w:val="auto"/>
              </w:rPr>
            </w:pPr>
          </w:p>
        </w:tc>
        <w:tc>
          <w:tcPr>
            <w:tcW w:w="1080" w:type="dxa"/>
            <w:vAlign w:val="bottom"/>
            <w:gridSpan w:val="4"/>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85"/>
        </w:trPr>
        <w:tc>
          <w:tcPr>
            <w:tcW w:w="7340" w:type="dxa"/>
            <w:vAlign w:val="bottom"/>
          </w:tcPr>
          <w:p>
            <w:pPr>
              <w:spacing w:after="0"/>
              <w:rPr>
                <w:sz w:val="16"/>
                <w:szCs w:val="16"/>
                <w:color w:val="auto"/>
              </w:rPr>
            </w:pPr>
          </w:p>
        </w:tc>
        <w:tc>
          <w:tcPr>
            <w:tcW w:w="700" w:type="dxa"/>
            <w:vAlign w:val="bottom"/>
            <w:tcBorders>
              <w:bottom w:val="single" w:sz="8" w:color="auto"/>
            </w:tcBorders>
            <w:gridSpan w:val="2"/>
          </w:tcPr>
          <w:p>
            <w:pPr>
              <w:jc w:val="center"/>
              <w:ind w:left="165"/>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auto"/>
            </w:tcBorders>
          </w:tcPr>
          <w:p>
            <w:pPr>
              <w:spacing w:after="0"/>
              <w:rPr>
                <w:sz w:val="16"/>
                <w:szCs w:val="16"/>
                <w:color w:val="auto"/>
              </w:rPr>
            </w:pPr>
          </w:p>
        </w:tc>
      </w:tr>
      <w:tr>
        <w:trPr>
          <w:trHeight w:val="212"/>
        </w:trPr>
        <w:tc>
          <w:tcPr>
            <w:tcW w:w="7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313"/>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Net income (loss) . . . . . . . . . . . . . . . . . . . . . . . . . . . . . . . . . . . . . . . . . . . . . . . . . . . . . . . . .</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 (8.0)</w:t>
            </w: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$ 56.7</w:t>
            </w:r>
          </w:p>
        </w:tc>
        <w:tc>
          <w:tcPr>
            <w:tcW w:w="200" w:type="dxa"/>
            <w:vAlign w:val="bottom"/>
          </w:tcPr>
          <w:p>
            <w:pPr>
              <w:spacing w:after="0"/>
              <w:rPr>
                <w:sz w:val="24"/>
                <w:szCs w:val="24"/>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 . . . . . . . .</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(6.0)</w:t>
            </w:r>
          </w:p>
        </w:tc>
        <w:tc>
          <w:tcPr>
            <w:tcW w:w="140" w:type="dxa"/>
            <w:vAlign w:val="bottom"/>
          </w:tcPr>
          <w:p>
            <w:pPr>
              <w:spacing w:after="0"/>
              <w:rPr>
                <w:sz w:val="22"/>
                <w:szCs w:val="22"/>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(2.6)</w:t>
            </w: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0" w:type="dxa"/>
            <w:vAlign w:val="bottom"/>
          </w:tcPr>
          <w:p>
            <w:pPr>
              <w:spacing w:after="0"/>
              <w:rPr>
                <w:sz w:val="22"/>
                <w:szCs w:val="22"/>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Income tax expense . . . . . . . . . . . . . . . . . . . . . . .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200" w:type="dxa"/>
            <w:vAlign w:val="bottom"/>
          </w:tcPr>
          <w:p>
            <w:pPr>
              <w:spacing w:after="0"/>
              <w:rPr>
                <w:sz w:val="22"/>
                <w:szCs w:val="22"/>
                <w:color w:val="auto"/>
              </w:rPr>
            </w:pPr>
          </w:p>
        </w:tc>
      </w:tr>
      <w:tr>
        <w:trPr>
          <w:trHeight w:val="253"/>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 . . . . . . . .</w:t>
            </w:r>
          </w:p>
        </w:tc>
        <w:tc>
          <w:tcPr>
            <w:tcW w:w="240" w:type="dxa"/>
            <w:vAlign w:val="bottom"/>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200" w:type="dxa"/>
            <w:vAlign w:val="bottom"/>
          </w:tcPr>
          <w:p>
            <w:pPr>
              <w:spacing w:after="0"/>
              <w:rPr>
                <w:sz w:val="22"/>
                <w:szCs w:val="22"/>
                <w:color w:val="auto"/>
              </w:rPr>
            </w:pPr>
          </w:p>
        </w:tc>
      </w:tr>
      <w:tr>
        <w:trPr>
          <w:trHeight w:val="287"/>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EBITDA. . . . . . . . . . . . . . . . . . . . . . . . . . . . . . . . . .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$ 87.0</w:t>
            </w:r>
          </w:p>
        </w:tc>
        <w:tc>
          <w:tcPr>
            <w:tcW w:w="200" w:type="dxa"/>
            <w:vAlign w:val="bottom"/>
          </w:tcPr>
          <w:p>
            <w:pPr>
              <w:spacing w:after="0"/>
              <w:rPr>
                <w:sz w:val="24"/>
                <w:szCs w:val="24"/>
                <w:color w:val="auto"/>
              </w:rPr>
            </w:pPr>
          </w:p>
        </w:tc>
      </w:tr>
      <w:tr>
        <w:trPr>
          <w:trHeight w:val="255"/>
        </w:trPr>
        <w:tc>
          <w:tcPr>
            <w:tcW w:w="7340" w:type="dxa"/>
            <w:vAlign w:val="bottom"/>
          </w:tcPr>
          <w:p>
            <w:pPr>
              <w:jc w:val="right"/>
              <w:ind w:right="6160"/>
              <w:spacing w:after="0"/>
              <w:rPr>
                <w:sz w:val="20"/>
                <w:szCs w:val="20"/>
                <w:color w:val="auto"/>
              </w:rPr>
            </w:pPr>
            <w:r>
              <w:rPr>
                <w:rFonts w:ascii="Times New Roman" w:cs="Times New Roman" w:eastAsia="Times New Roman" w:hAnsi="Times New Roman"/>
                <w:sz w:val="20"/>
                <w:szCs w:val="20"/>
                <w:color w:val="auto"/>
                <w:w w:val="99"/>
              </w:rPr>
              <w:t>Adjustments:</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68"/>
        </w:trPr>
        <w:tc>
          <w:tcPr>
            <w:tcW w:w="7340" w:type="dxa"/>
            <w:vAlign w:val="bottom"/>
          </w:tcPr>
          <w:p>
            <w:pPr>
              <w:jc w:val="right"/>
              <w:ind w:right="40"/>
              <w:spacing w:after="0" w:line="268" w:lineRule="exact"/>
              <w:rPr>
                <w:sz w:val="20"/>
                <w:szCs w:val="20"/>
                <w:color w:val="auto"/>
              </w:rPr>
            </w:pPr>
            <w:r>
              <w:rPr>
                <w:rFonts w:ascii="Times New Roman" w:cs="Times New Roman" w:eastAsia="Times New Roman" w:hAnsi="Times New Roman"/>
                <w:sz w:val="20"/>
                <w:szCs w:val="20"/>
                <w:color w:val="auto"/>
              </w:rPr>
              <w:t>Equity-based compensation expense</w:t>
            </w:r>
            <w:r>
              <w:rPr>
                <w:rFonts w:ascii="Times New Roman" w:cs="Times New Roman" w:eastAsia="Times New Roman" w:hAnsi="Times New Roman"/>
                <w:sz w:val="26"/>
                <w:szCs w:val="26"/>
                <w:color w:val="auto"/>
                <w:vertAlign w:val="superscript"/>
              </w:rPr>
              <w:t>(a)</w:t>
            </w:r>
            <w:r>
              <w:rPr>
                <w:rFonts w:ascii="Times New Roman" w:cs="Times New Roman" w:eastAsia="Times New Roman" w:hAnsi="Times New Roman"/>
                <w:sz w:val="20"/>
                <w:szCs w:val="20"/>
                <w:color w:val="auto"/>
              </w:rPr>
              <w:t xml:space="preserve"> . . . . . . . .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00" w:type="dxa"/>
            <w:vAlign w:val="bottom"/>
          </w:tcPr>
          <w:p>
            <w:pPr>
              <w:spacing w:after="0"/>
              <w:rPr>
                <w:sz w:val="23"/>
                <w:szCs w:val="23"/>
                <w:color w:val="auto"/>
              </w:rPr>
            </w:pPr>
          </w:p>
        </w:tc>
      </w:tr>
      <w:tr>
        <w:trPr>
          <w:trHeight w:val="255"/>
        </w:trPr>
        <w:tc>
          <w:tcPr>
            <w:tcW w:w="7340" w:type="dxa"/>
            <w:vAlign w:val="bottom"/>
          </w:tcPr>
          <w:p>
            <w:pPr>
              <w:jc w:val="right"/>
              <w:ind w:right="40"/>
              <w:spacing w:after="0" w:line="255" w:lineRule="exact"/>
              <w:rPr>
                <w:sz w:val="20"/>
                <w:szCs w:val="20"/>
                <w:color w:val="auto"/>
              </w:rPr>
            </w:pPr>
            <w:r>
              <w:rPr>
                <w:rFonts w:ascii="Times New Roman" w:cs="Times New Roman" w:eastAsia="Times New Roman" w:hAnsi="Times New Roman"/>
                <w:sz w:val="20"/>
                <w:szCs w:val="20"/>
                <w:color w:val="auto"/>
              </w:rPr>
              <w:t>Foreign currency loss, net</w:t>
            </w:r>
            <w:r>
              <w:rPr>
                <w:rFonts w:ascii="Times New Roman" w:cs="Times New Roman" w:eastAsia="Times New Roman" w:hAnsi="Times New Roman"/>
                <w:sz w:val="26"/>
                <w:szCs w:val="26"/>
                <w:color w:val="auto"/>
                <w:vertAlign w:val="superscript"/>
              </w:rPr>
              <w:t>(b)</w:t>
            </w:r>
            <w:r>
              <w:rPr>
                <w:rFonts w:ascii="Times New Roman" w:cs="Times New Roman" w:eastAsia="Times New Roman" w:hAnsi="Times New Roman"/>
                <w:sz w:val="20"/>
                <w:szCs w:val="20"/>
                <w:color w:val="auto"/>
              </w:rPr>
              <w:t xml:space="preserve"> . . . . . . . . . . . . . . . .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200" w:type="dxa"/>
            <w:vAlign w:val="bottom"/>
          </w:tcPr>
          <w:p>
            <w:pPr>
              <w:spacing w:after="0"/>
              <w:rPr>
                <w:sz w:val="22"/>
                <w:szCs w:val="22"/>
                <w:color w:val="auto"/>
              </w:rPr>
            </w:pPr>
          </w:p>
        </w:tc>
      </w:tr>
      <w:tr>
        <w:trPr>
          <w:trHeight w:val="255"/>
        </w:trPr>
        <w:tc>
          <w:tcPr>
            <w:tcW w:w="7340" w:type="dxa"/>
            <w:vAlign w:val="bottom"/>
          </w:tcPr>
          <w:p>
            <w:pPr>
              <w:jc w:val="right"/>
              <w:ind w:right="40"/>
              <w:spacing w:after="0" w:line="255" w:lineRule="exact"/>
              <w:rPr>
                <w:sz w:val="20"/>
                <w:szCs w:val="20"/>
                <w:color w:val="auto"/>
              </w:rPr>
            </w:pPr>
            <w:r>
              <w:rPr>
                <w:rFonts w:ascii="Times New Roman" w:cs="Times New Roman" w:eastAsia="Times New Roman" w:hAnsi="Times New Roman"/>
                <w:sz w:val="20"/>
                <w:szCs w:val="20"/>
                <w:color w:val="auto"/>
              </w:rPr>
              <w:t>Derivative valuation gain, net</w:t>
            </w:r>
            <w:r>
              <w:rPr>
                <w:rFonts w:ascii="Times New Roman" w:cs="Times New Roman" w:eastAsia="Times New Roman" w:hAnsi="Times New Roman"/>
                <w:sz w:val="26"/>
                <w:szCs w:val="26"/>
                <w:color w:val="auto"/>
                <w:vertAlign w:val="superscript"/>
              </w:rPr>
              <w:t>(c)</w:t>
            </w:r>
            <w:r>
              <w:rPr>
                <w:rFonts w:ascii="Times New Roman" w:cs="Times New Roman" w:eastAsia="Times New Roman" w:hAnsi="Times New Roman"/>
                <w:sz w:val="20"/>
                <w:szCs w:val="20"/>
                <w:color w:val="auto"/>
              </w:rPr>
              <w:t xml:space="preserve"> . . . . . . . . . . . . . . . . . . . . . . . . . . . . . . . . . . . . . . . . . . . .</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(0.1)</w:t>
            </w:r>
          </w:p>
        </w:tc>
        <w:tc>
          <w:tcPr>
            <w:tcW w:w="140" w:type="dxa"/>
            <w:vAlign w:val="bottom"/>
          </w:tcPr>
          <w:p>
            <w:pPr>
              <w:spacing w:after="0"/>
              <w:rPr>
                <w:sz w:val="22"/>
                <w:szCs w:val="22"/>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(0.1)</w:t>
            </w:r>
          </w:p>
        </w:tc>
      </w:tr>
      <w:tr>
        <w:trPr>
          <w:trHeight w:val="255"/>
        </w:trPr>
        <w:tc>
          <w:tcPr>
            <w:tcW w:w="7340" w:type="dxa"/>
            <w:vAlign w:val="bottom"/>
          </w:tcPr>
          <w:p>
            <w:pPr>
              <w:jc w:val="right"/>
              <w:ind w:right="40"/>
              <w:spacing w:after="0" w:line="255" w:lineRule="exact"/>
              <w:rPr>
                <w:sz w:val="20"/>
                <w:szCs w:val="20"/>
                <w:color w:val="auto"/>
              </w:rPr>
            </w:pPr>
            <w:r>
              <w:rPr>
                <w:rFonts w:ascii="Times New Roman" w:cs="Times New Roman" w:eastAsia="Times New Roman" w:hAnsi="Times New Roman"/>
                <w:sz w:val="20"/>
                <w:szCs w:val="20"/>
                <w:color w:val="auto"/>
              </w:rPr>
              <w:t>Inventory reserve related to Huawei impact of downstream trade restrictions</w:t>
            </w:r>
            <w:r>
              <w:rPr>
                <w:rFonts w:ascii="Times New Roman" w:cs="Times New Roman" w:eastAsia="Times New Roman" w:hAnsi="Times New Roman"/>
                <w:sz w:val="26"/>
                <w:szCs w:val="26"/>
                <w:color w:val="auto"/>
                <w:vertAlign w:val="superscript"/>
              </w:rPr>
              <w:t>(d)</w:t>
            </w:r>
            <w:r>
              <w:rPr>
                <w:rFonts w:ascii="Times New Roman" w:cs="Times New Roman" w:eastAsia="Times New Roman" w:hAnsi="Times New Roman"/>
                <w:sz w:val="20"/>
                <w:szCs w:val="20"/>
                <w:color w:val="auto"/>
              </w:rPr>
              <w:t xml:space="preserve"> . . . . . .</w:t>
            </w:r>
          </w:p>
        </w:tc>
        <w:tc>
          <w:tcPr>
            <w:tcW w:w="240" w:type="dxa"/>
            <w:vAlign w:val="bottom"/>
          </w:tcPr>
          <w:p>
            <w:pPr>
              <w:spacing w:after="0"/>
              <w:rPr>
                <w:sz w:val="22"/>
                <w:szCs w:val="22"/>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(1.5)</w:t>
            </w:r>
          </w:p>
        </w:tc>
      </w:tr>
      <w:tr>
        <w:trPr>
          <w:trHeight w:val="255"/>
        </w:trPr>
        <w:tc>
          <w:tcPr>
            <w:tcW w:w="7340" w:type="dxa"/>
            <w:vAlign w:val="bottom"/>
          </w:tcPr>
          <w:p>
            <w:pPr>
              <w:jc w:val="right"/>
              <w:ind w:right="40"/>
              <w:spacing w:after="0" w:line="255" w:lineRule="exact"/>
              <w:rPr>
                <w:sz w:val="20"/>
                <w:szCs w:val="20"/>
                <w:color w:val="auto"/>
              </w:rPr>
            </w:pPr>
            <w:r>
              <w:rPr>
                <w:rFonts w:ascii="Times New Roman" w:cs="Times New Roman" w:eastAsia="Times New Roman" w:hAnsi="Times New Roman"/>
                <w:sz w:val="20"/>
                <w:szCs w:val="20"/>
                <w:color w:val="auto"/>
              </w:rPr>
              <w:t>Merger-related income, net</w:t>
            </w:r>
            <w:r>
              <w:rPr>
                <w:rFonts w:ascii="Times New Roman" w:cs="Times New Roman" w:eastAsia="Times New Roman" w:hAnsi="Times New Roman"/>
                <w:sz w:val="26"/>
                <w:szCs w:val="26"/>
                <w:color w:val="auto"/>
                <w:vertAlign w:val="superscript"/>
              </w:rPr>
              <w:t>(e)</w:t>
            </w:r>
            <w:r>
              <w:rPr>
                <w:rFonts w:ascii="Times New Roman" w:cs="Times New Roman" w:eastAsia="Times New Roman" w:hAnsi="Times New Roman"/>
                <w:sz w:val="20"/>
                <w:szCs w:val="20"/>
                <w:color w:val="auto"/>
              </w:rPr>
              <w:t xml:space="preserve">  . . . . . . . . . . . . . . . . . . . . . . . . . . . . . . . . . . . . . . . . . . . . . .</w:t>
            </w:r>
          </w:p>
        </w:tc>
        <w:tc>
          <w:tcPr>
            <w:tcW w:w="240" w:type="dxa"/>
            <w:vAlign w:val="bottom"/>
          </w:tcPr>
          <w:p>
            <w:pPr>
              <w:spacing w:after="0"/>
              <w:rPr>
                <w:sz w:val="22"/>
                <w:szCs w:val="22"/>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(35.5)</w:t>
            </w:r>
          </w:p>
        </w:tc>
      </w:tr>
      <w:tr>
        <w:trPr>
          <w:trHeight w:val="240"/>
        </w:trPr>
        <w:tc>
          <w:tcPr>
            <w:tcW w:w="7340" w:type="dxa"/>
            <w:vAlign w:val="bottom"/>
          </w:tcPr>
          <w:p>
            <w:pPr>
              <w:jc w:val="right"/>
              <w:ind w:right="40"/>
              <w:spacing w:after="0" w:line="240" w:lineRule="exact"/>
              <w:rPr>
                <w:sz w:val="20"/>
                <w:szCs w:val="20"/>
                <w:color w:val="auto"/>
              </w:rPr>
            </w:pPr>
            <w:r>
              <w:rPr>
                <w:rFonts w:ascii="Times New Roman" w:cs="Times New Roman" w:eastAsia="Times New Roman" w:hAnsi="Times New Roman"/>
                <w:sz w:val="20"/>
                <w:szCs w:val="20"/>
                <w:color w:val="auto"/>
              </w:rPr>
              <w:t>Other charges, net</w:t>
            </w:r>
            <w:r>
              <w:rPr>
                <w:rFonts w:ascii="Times New Roman" w:cs="Times New Roman" w:eastAsia="Times New Roman" w:hAnsi="Times New Roman"/>
                <w:sz w:val="26"/>
                <w:szCs w:val="26"/>
                <w:color w:val="auto"/>
                <w:vertAlign w:val="superscript"/>
              </w:rPr>
              <w:t>(f)</w:t>
            </w:r>
            <w:r>
              <w:rPr>
                <w:rFonts w:ascii="Times New Roman" w:cs="Times New Roman" w:eastAsia="Times New Roman" w:hAnsi="Times New Roman"/>
                <w:sz w:val="20"/>
                <w:szCs w:val="20"/>
                <w:color w:val="auto"/>
              </w:rPr>
              <w:t>. . . . . . . . . . . . . . . . . . . . . . . . . . . . . . . . . . . . . . . . . . . . . . . . . . . . . .</w:t>
            </w:r>
          </w:p>
        </w:tc>
        <w:tc>
          <w:tcPr>
            <w:tcW w:w="24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0" w:type="dxa"/>
            <w:vAlign w:val="bottom"/>
          </w:tcPr>
          <w:p>
            <w:pPr>
              <w:spacing w:after="0"/>
              <w:rPr>
                <w:sz w:val="20"/>
                <w:szCs w:val="20"/>
                <w:color w:val="auto"/>
              </w:rPr>
            </w:pPr>
          </w:p>
        </w:tc>
      </w:tr>
      <w:tr>
        <w:trPr>
          <w:trHeight w:val="28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Adjusted EBITDA . . . . . . . . . . . . . . . . . . . . . . . . . .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19.5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$ 70.7</w:t>
            </w:r>
          </w:p>
        </w:tc>
        <w:tc>
          <w:tcPr>
            <w:tcW w:w="200" w:type="dxa"/>
            <w:vAlign w:val="bottom"/>
          </w:tcPr>
          <w:p>
            <w:pPr>
              <w:spacing w:after="0"/>
              <w:rPr>
                <w:sz w:val="24"/>
                <w:szCs w:val="24"/>
                <w:color w:val="auto"/>
              </w:rPr>
            </w:pPr>
          </w:p>
        </w:tc>
      </w:tr>
      <w:tr>
        <w:trPr>
          <w:trHeight w:val="20"/>
        </w:trPr>
        <w:tc>
          <w:tcPr>
            <w:tcW w:w="7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203200</wp:posOffset>
                </wp:positionV>
                <wp:extent cx="9144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6pt" to="72.3pt,16pt" o:allowincell="f" strokecolor="#000000" strokeweight="0.5pt"/>
            </w:pict>
          </mc:Fallback>
        </mc:AlternateContent>
      </w:r>
    </w:p>
    <w:p>
      <w:pPr>
        <w:spacing w:after="0" w:line="200" w:lineRule="exact"/>
        <w:rPr>
          <w:sz w:val="20"/>
          <w:szCs w:val="20"/>
          <w:color w:val="auto"/>
        </w:rPr>
      </w:pPr>
    </w:p>
    <w:p>
      <w:pPr>
        <w:spacing w:after="0" w:line="203" w:lineRule="exact"/>
        <w:rPr>
          <w:sz w:val="20"/>
          <w:szCs w:val="20"/>
          <w:color w:val="auto"/>
        </w:rPr>
      </w:pPr>
    </w:p>
    <w:p>
      <w:pPr>
        <w:ind w:left="400" w:right="100" w:hanging="394"/>
        <w:spacing w:after="0" w:line="233" w:lineRule="auto"/>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65" w:lineRule="exact"/>
        <w:rPr>
          <w:rFonts w:ascii="Times New Roman" w:cs="Times New Roman" w:eastAsia="Times New Roman" w:hAnsi="Times New Roman"/>
          <w:sz w:val="16"/>
          <w:szCs w:val="16"/>
          <w:color w:val="auto"/>
        </w:rPr>
      </w:pPr>
    </w:p>
    <w:p>
      <w:pPr>
        <w:ind w:left="400" w:right="160" w:hanging="394"/>
        <w:spacing w:after="0" w:line="232" w:lineRule="auto"/>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80"/>
          </w:cols>
          <w:pgMar w:left="1420" w:top="899" w:right="1440" w:bottom="182" w:gutter="0" w:footer="0" w:header="0"/>
          <w:type w:val="continuous"/>
        </w:sectPr>
      </w:pPr>
    </w:p>
    <w:bookmarkStart w:id="44" w:name="page45"/>
    <w:bookmarkEnd w:id="44"/>
    <w:p>
      <w:pPr>
        <w:ind w:left="400" w:right="100"/>
        <w:spacing w:after="0" w:line="244" w:lineRule="auto"/>
        <w:rPr>
          <w:sz w:val="20"/>
          <w:szCs w:val="20"/>
          <w:color w:val="auto"/>
        </w:rPr>
      </w:pPr>
      <w:r>
        <w:rPr>
          <w:rFonts w:ascii="Times New Roman" w:cs="Times New Roman" w:eastAsia="Times New Roman" w:hAnsi="Times New Roman"/>
          <w:sz w:val="16"/>
          <w:szCs w:val="16"/>
          <w:color w:val="auto"/>
        </w:rPr>
        <w:t>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72" w:lineRule="exact"/>
        <w:rPr>
          <w:sz w:val="20"/>
          <w:szCs w:val="20"/>
          <w:color w:val="auto"/>
        </w:rPr>
      </w:pPr>
    </w:p>
    <w:p>
      <w:pPr>
        <w:ind w:left="400" w:right="40" w:hanging="394"/>
        <w:spacing w:after="0" w:line="245" w:lineRule="auto"/>
        <w:tabs>
          <w:tab w:leader="none" w:pos="4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70" w:lineRule="exact"/>
        <w:rPr>
          <w:rFonts w:ascii="Times New Roman" w:cs="Times New Roman" w:eastAsia="Times New Roman" w:hAnsi="Times New Roman"/>
          <w:sz w:val="16"/>
          <w:szCs w:val="16"/>
          <w:color w:val="auto"/>
        </w:rPr>
      </w:pPr>
    </w:p>
    <w:p>
      <w:pPr>
        <w:ind w:left="400" w:right="320" w:hanging="394"/>
        <w:spacing w:after="0" w:line="245" w:lineRule="auto"/>
        <w:tabs>
          <w:tab w:leader="none" w:pos="4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2021, this adjustment eliminates the impact of sales of inventories for which excess and obsolete reserves were previously recognized in relation to the U.S. Government’s export restrictions on Huawei, which is a downstream customer of some of our direct customers, as these reserved inventories were subsequently sold to certain other customers. As this charge and the timing of its reversal meaningfully impacted our operational results and are not expected to represent an ongoing operating expense subject to our ability to foresee and control, we believe our operating performance results are more meaningfully compared if this charge and related reversal are excluded.</w:t>
      </w:r>
    </w:p>
    <w:p>
      <w:pPr>
        <w:spacing w:after="0" w:line="73" w:lineRule="exact"/>
        <w:rPr>
          <w:rFonts w:ascii="Times New Roman" w:cs="Times New Roman" w:eastAsia="Times New Roman" w:hAnsi="Times New Roman"/>
          <w:sz w:val="16"/>
          <w:szCs w:val="16"/>
          <w:color w:val="auto"/>
        </w:rPr>
      </w:pPr>
    </w:p>
    <w:p>
      <w:pPr>
        <w:ind w:left="400" w:right="60" w:hanging="394"/>
        <w:spacing w:after="0" w:line="245" w:lineRule="auto"/>
        <w:tabs>
          <w:tab w:leader="none" w:pos="4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2021, this adjustment eliminates $70.2 million income from the recognition of a reverse termination fee as a result of the termination of the merger transaction, which was offset in part by a $34.7 million of professional service fees and expenses incurred in connection with the contemplated merger transaction that was terminated in December 2021.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70" w:lineRule="exact"/>
        <w:rPr>
          <w:rFonts w:ascii="Times New Roman" w:cs="Times New Roman" w:eastAsia="Times New Roman" w:hAnsi="Times New Roman"/>
          <w:sz w:val="16"/>
          <w:szCs w:val="16"/>
          <w:color w:val="auto"/>
        </w:rPr>
      </w:pPr>
    </w:p>
    <w:p>
      <w:pPr>
        <w:ind w:left="400" w:right="40" w:hanging="394"/>
        <w:spacing w:after="0" w:line="246" w:lineRule="auto"/>
        <w:tabs>
          <w:tab w:leader="none" w:pos="4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this adjustment eliminates $2.8 million of one-time employee incentives and professional service fees and expenses of $1.0 million incurred in connection with certain strategic evaluations, which was offset in part by a $0.5 million gain on sale of certain legacy equipment of the closed back-end line in our fabrication facility in Gumi. For the year ended December 31, 2021, this adjustment eliminates $3.4 million non-recurring professional service fees and expenses incurred in connection with the regulatory requests, which was offset in part by $1.4 million gain on sale of certain legacy equipment of the closed back-end line in our fabrication facility in Gumi, and $0.7 million legal settlement gain related to certain expenses incurred in prior periods in connection with our legacy Fab 4 (which was sold during the year ended December 31, 2020) and awarded in the third quarter of 2021.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262" w:lineRule="exact"/>
        <w:rPr>
          <w:rFonts w:ascii="Times New Roman" w:cs="Times New Roman" w:eastAsia="Times New Roman" w:hAnsi="Times New Roman"/>
          <w:sz w:val="16"/>
          <w:szCs w:val="16"/>
          <w:color w:val="auto"/>
        </w:rPr>
      </w:pPr>
    </w:p>
    <w:p>
      <w:pPr>
        <w:ind w:left="400" w:right="6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has limitations as an analytical tool, and you should not consider it in isolation, or as a substitute for analysis of our results as reported under U.S. GAAP. Some of these limitations are:</w:t>
      </w:r>
    </w:p>
    <w:p>
      <w:pPr>
        <w:spacing w:after="0" w:line="125" w:lineRule="exact"/>
        <w:rPr>
          <w:rFonts w:ascii="Times New Roman" w:cs="Times New Roman" w:eastAsia="Times New Roman" w:hAnsi="Times New Roman"/>
          <w:sz w:val="16"/>
          <w:szCs w:val="16"/>
          <w:color w:val="auto"/>
        </w:rPr>
      </w:pPr>
    </w:p>
    <w:p>
      <w:pPr>
        <w:ind w:left="800" w:right="700" w:hanging="394"/>
        <w:spacing w:after="0" w:line="224" w:lineRule="auto"/>
        <w:tabs>
          <w:tab w:leader="none" w:pos="800" w:val="left"/>
        </w:tabs>
        <w:numPr>
          <w:ilvl w:val="1"/>
          <w:numId w:val="29"/>
        </w:numPr>
        <w:rPr>
          <w:rFonts w:ascii="Symbol" w:cs="Symbol" w:eastAsia="Symbol" w:hAnsi="Symbol"/>
          <w:sz w:val="16"/>
          <w:szCs w:val="16"/>
          <w:color w:val="auto"/>
        </w:rPr>
      </w:pPr>
      <w:r>
        <w:rPr>
          <w:rFonts w:ascii="Times New Roman" w:cs="Times New Roman" w:eastAsia="Times New Roman" w:hAnsi="Times New Roman"/>
          <w:sz w:val="16"/>
          <w:szCs w:val="16"/>
          <w:color w:val="auto"/>
        </w:rPr>
        <w:t>Adjusted EBITDA does not reflect our cash expenditures, or future requirements, for capital expenditures or contractual commitments;</w:t>
      </w:r>
    </w:p>
    <w:p>
      <w:pPr>
        <w:spacing w:after="0" w:line="105" w:lineRule="exact"/>
        <w:rPr>
          <w:rFonts w:ascii="Symbol" w:cs="Symbol" w:eastAsia="Symbol" w:hAnsi="Symbol"/>
          <w:sz w:val="16"/>
          <w:szCs w:val="16"/>
          <w:color w:val="auto"/>
        </w:rPr>
      </w:pPr>
    </w:p>
    <w:p>
      <w:pPr>
        <w:ind w:left="800" w:hanging="394"/>
        <w:spacing w:after="0"/>
        <w:tabs>
          <w:tab w:leader="none" w:pos="800" w:val="left"/>
        </w:tabs>
        <w:numPr>
          <w:ilvl w:val="1"/>
          <w:numId w:val="29"/>
        </w:numPr>
        <w:rPr>
          <w:rFonts w:ascii="Symbol" w:cs="Symbol" w:eastAsia="Symbol" w:hAnsi="Symbol"/>
          <w:sz w:val="16"/>
          <w:szCs w:val="16"/>
          <w:color w:val="auto"/>
        </w:rPr>
      </w:pPr>
      <w:r>
        <w:rPr>
          <w:rFonts w:ascii="Times New Roman" w:cs="Times New Roman" w:eastAsia="Times New Roman" w:hAnsi="Times New Roman"/>
          <w:sz w:val="16"/>
          <w:szCs w:val="16"/>
          <w:color w:val="auto"/>
        </w:rPr>
        <w:t>Adjusted EBITDA does not reflect changes in, or cash requirements for, our working capital needs;</w:t>
      </w:r>
    </w:p>
    <w:p>
      <w:pPr>
        <w:spacing w:after="0" w:line="124" w:lineRule="exact"/>
        <w:rPr>
          <w:rFonts w:ascii="Symbol" w:cs="Symbol" w:eastAsia="Symbol" w:hAnsi="Symbol"/>
          <w:sz w:val="16"/>
          <w:szCs w:val="16"/>
          <w:color w:val="auto"/>
        </w:rPr>
      </w:pPr>
    </w:p>
    <w:p>
      <w:pPr>
        <w:ind w:left="800" w:right="560" w:hanging="394"/>
        <w:spacing w:after="0" w:line="224" w:lineRule="auto"/>
        <w:tabs>
          <w:tab w:leader="none" w:pos="800" w:val="left"/>
        </w:tabs>
        <w:numPr>
          <w:ilvl w:val="1"/>
          <w:numId w:val="29"/>
        </w:numPr>
        <w:rPr>
          <w:rFonts w:ascii="Symbol" w:cs="Symbol" w:eastAsia="Symbol" w:hAnsi="Symbol"/>
          <w:sz w:val="16"/>
          <w:szCs w:val="16"/>
          <w:color w:val="auto"/>
        </w:rPr>
      </w:pPr>
      <w:r>
        <w:rPr>
          <w:rFonts w:ascii="Times New Roman" w:cs="Times New Roman" w:eastAsia="Times New Roman" w:hAnsi="Times New Roman"/>
          <w:sz w:val="16"/>
          <w:szCs w:val="16"/>
          <w:color w:val="auto"/>
        </w:rPr>
        <w:t>Adjusted EBITDA does not reflect the interest expense, or the cash requirements necessary to service interest or principal payments, on our debt;</w:t>
      </w:r>
    </w:p>
    <w:p>
      <w:pPr>
        <w:spacing w:after="0" w:line="125" w:lineRule="exact"/>
        <w:rPr>
          <w:rFonts w:ascii="Symbol" w:cs="Symbol" w:eastAsia="Symbol" w:hAnsi="Symbol"/>
          <w:sz w:val="16"/>
          <w:szCs w:val="16"/>
          <w:color w:val="auto"/>
        </w:rPr>
      </w:pPr>
    </w:p>
    <w:p>
      <w:pPr>
        <w:ind w:left="800" w:right="300" w:hanging="394"/>
        <w:spacing w:after="0" w:line="224" w:lineRule="auto"/>
        <w:tabs>
          <w:tab w:leader="none" w:pos="800" w:val="left"/>
        </w:tabs>
        <w:numPr>
          <w:ilvl w:val="1"/>
          <w:numId w:val="29"/>
        </w:numPr>
        <w:rPr>
          <w:rFonts w:ascii="Symbol" w:cs="Symbol" w:eastAsia="Symbol" w:hAnsi="Symbol"/>
          <w:sz w:val="16"/>
          <w:szCs w:val="16"/>
          <w:color w:val="auto"/>
        </w:rPr>
      </w:pPr>
      <w:r>
        <w:rPr>
          <w:rFonts w:ascii="Times New Roman" w:cs="Times New Roman" w:eastAsia="Times New Roman" w:hAnsi="Times New Roman"/>
          <w:sz w:val="16"/>
          <w:szCs w:val="16"/>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125" w:lineRule="exact"/>
        <w:rPr>
          <w:rFonts w:ascii="Symbol" w:cs="Symbol" w:eastAsia="Symbol" w:hAnsi="Symbol"/>
          <w:sz w:val="16"/>
          <w:szCs w:val="16"/>
          <w:color w:val="auto"/>
        </w:rPr>
      </w:pPr>
    </w:p>
    <w:p>
      <w:pPr>
        <w:ind w:left="800" w:right="320" w:hanging="394"/>
        <w:spacing w:after="0" w:line="224" w:lineRule="auto"/>
        <w:tabs>
          <w:tab w:leader="none" w:pos="800" w:val="left"/>
        </w:tabs>
        <w:numPr>
          <w:ilvl w:val="1"/>
          <w:numId w:val="29"/>
        </w:numPr>
        <w:rPr>
          <w:rFonts w:ascii="Symbol" w:cs="Symbol" w:eastAsia="Symbol" w:hAnsi="Symbol"/>
          <w:sz w:val="16"/>
          <w:szCs w:val="16"/>
          <w:color w:val="auto"/>
        </w:rPr>
      </w:pPr>
      <w:r>
        <w:rPr>
          <w:rFonts w:ascii="Times New Roman" w:cs="Times New Roman" w:eastAsia="Times New Roman" w:hAnsi="Times New Roman"/>
          <w:sz w:val="16"/>
          <w:szCs w:val="16"/>
          <w:color w:val="auto"/>
        </w:rPr>
        <w:t>Adjusted EBITDA does not consider the potentially dilutive impact of issuing equity-based compensation to our management team and employees;</w:t>
      </w:r>
    </w:p>
    <w:p>
      <w:pPr>
        <w:spacing w:after="0" w:line="105" w:lineRule="exact"/>
        <w:rPr>
          <w:rFonts w:ascii="Symbol" w:cs="Symbol" w:eastAsia="Symbol" w:hAnsi="Symbol"/>
          <w:sz w:val="16"/>
          <w:szCs w:val="16"/>
          <w:color w:val="auto"/>
        </w:rPr>
      </w:pPr>
    </w:p>
    <w:p>
      <w:pPr>
        <w:ind w:left="800" w:hanging="394"/>
        <w:spacing w:after="0"/>
        <w:tabs>
          <w:tab w:leader="none" w:pos="800" w:val="left"/>
        </w:tabs>
        <w:numPr>
          <w:ilvl w:val="1"/>
          <w:numId w:val="29"/>
        </w:numPr>
        <w:rPr>
          <w:rFonts w:ascii="Symbol" w:cs="Symbol" w:eastAsia="Symbol" w:hAnsi="Symbol"/>
          <w:sz w:val="16"/>
          <w:szCs w:val="16"/>
          <w:color w:val="auto"/>
        </w:rPr>
      </w:pPr>
      <w:r>
        <w:rPr>
          <w:rFonts w:ascii="Times New Roman" w:cs="Times New Roman" w:eastAsia="Times New Roman" w:hAnsi="Times New Roman"/>
          <w:sz w:val="16"/>
          <w:szCs w:val="16"/>
          <w:color w:val="auto"/>
        </w:rPr>
        <w:t>Adjusted EBITDA does not reflect the costs of holding certain assets and liabilities in foreign currencies; and</w:t>
      </w:r>
    </w:p>
    <w:p>
      <w:pPr>
        <w:spacing w:after="0" w:line="124" w:lineRule="exact"/>
        <w:rPr>
          <w:rFonts w:ascii="Symbol" w:cs="Symbol" w:eastAsia="Symbol" w:hAnsi="Symbol"/>
          <w:sz w:val="16"/>
          <w:szCs w:val="16"/>
          <w:color w:val="auto"/>
        </w:rPr>
      </w:pPr>
    </w:p>
    <w:p>
      <w:pPr>
        <w:ind w:left="800" w:right="100" w:hanging="394"/>
        <w:spacing w:after="0" w:line="224" w:lineRule="auto"/>
        <w:tabs>
          <w:tab w:leader="none" w:pos="800" w:val="left"/>
        </w:tabs>
        <w:numPr>
          <w:ilvl w:val="1"/>
          <w:numId w:val="29"/>
        </w:numPr>
        <w:rPr>
          <w:rFonts w:ascii="Symbol" w:cs="Symbol" w:eastAsia="Symbol" w:hAnsi="Symbol"/>
          <w:sz w:val="16"/>
          <w:szCs w:val="16"/>
          <w:color w:val="auto"/>
        </w:rPr>
      </w:pPr>
      <w:r>
        <w:rPr>
          <w:rFonts w:ascii="Times New Roman" w:cs="Times New Roman" w:eastAsia="Times New Roman" w:hAnsi="Times New Roman"/>
          <w:sz w:val="16"/>
          <w:szCs w:val="16"/>
          <w:color w:val="auto"/>
        </w:rPr>
        <w:t>other companies in our industry may calculate Adjusted EBITDA differently than we do, limiting its usefulness as a comparative measure.</w:t>
      </w:r>
    </w:p>
    <w:p>
      <w:pPr>
        <w:spacing w:after="0" w:line="75" w:lineRule="exact"/>
        <w:rPr>
          <w:sz w:val="20"/>
          <w:szCs w:val="20"/>
          <w:color w:val="auto"/>
        </w:rPr>
      </w:pPr>
    </w:p>
    <w:p>
      <w:pPr>
        <w:ind w:left="400" w:right="40"/>
        <w:spacing w:after="0" w:line="242" w:lineRule="auto"/>
        <w:rPr>
          <w:sz w:val="20"/>
          <w:szCs w:val="20"/>
          <w:color w:val="auto"/>
        </w:rPr>
      </w:pPr>
      <w:r>
        <w:rPr>
          <w:rFonts w:ascii="Times New Roman" w:cs="Times New Roman" w:eastAsia="Times New Roman" w:hAnsi="Times New Roman"/>
          <w:sz w:val="16"/>
          <w:szCs w:val="16"/>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28" w:lineRule="exact"/>
        <w:rPr>
          <w:sz w:val="20"/>
          <w:szCs w:val="20"/>
          <w:color w:val="auto"/>
        </w:rPr>
      </w:pPr>
    </w:p>
    <w:p>
      <w:pPr>
        <w:ind w:right="40" w:firstLine="400"/>
        <w:spacing w:after="0" w:line="258" w:lineRule="auto"/>
        <w:rPr>
          <w:sz w:val="20"/>
          <w:szCs w:val="20"/>
          <w:color w:val="auto"/>
        </w:rPr>
      </w:pPr>
      <w:r>
        <w:rPr>
          <w:rFonts w:ascii="Times New Roman" w:cs="Times New Roman" w:eastAsia="Times New Roman" w:hAnsi="Times New Roman"/>
          <w:sz w:val="20"/>
          <w:szCs w:val="20"/>
          <w:color w:val="auto"/>
        </w:rPr>
        <w:t>We present Adjusted Operating Income as supplemental measures of our performance. We prepare Adjusted Operating Income by adjusting operating income (loss) to eliminate the impact of equity-based compensation expenses and other items that may be either one time or recurring that we do not consider to be indicative of our core ongoing operating performance. We believe that Adjusted Operating Income is useful to investors to provide a supplemental way to understand our underlying operating performance and allows investors to monitor and understand changes in our ability to generate income from ongoing business operations.</w:t>
      </w:r>
    </w:p>
    <w:p>
      <w:pPr>
        <w:spacing w:after="0" w:line="137" w:lineRule="exact"/>
        <w:rPr>
          <w:sz w:val="20"/>
          <w:szCs w:val="20"/>
          <w:color w:val="auto"/>
        </w:rPr>
      </w:pPr>
    </w:p>
    <w:p>
      <w:pPr>
        <w:ind w:right="60" w:firstLine="400"/>
        <w:spacing w:after="0" w:line="258" w:lineRule="auto"/>
        <w:rPr>
          <w:sz w:val="20"/>
          <w:szCs w:val="20"/>
          <w:color w:val="auto"/>
        </w:rPr>
      </w:pPr>
      <w:r>
        <w:rPr>
          <w:rFonts w:ascii="Times New Roman" w:cs="Times New Roman" w:eastAsia="Times New Roman" w:hAnsi="Times New Roman"/>
          <w:sz w:val="20"/>
          <w:szCs w:val="20"/>
          <w:color w:val="auto"/>
        </w:rPr>
        <w:t>Adjusted Operating Income is not a measure defined in accordance with U.S. GAAP and should not be construed as an alternative to operating income or any other performance measure derived in accordance with U.S GAAP. We encourage you to evaluate each adjustment and the reasons we consider them appropriate. Other companies in our industry may calculate Adjusted Operating Income differently than we do, limiting its usefulness as a comparative measure. In addition, in evaluating Adjusted Operating Income, you should be aware that in the future we may incur expenses similar to the adjustments in this presentation. We define Adjusted</w:t>
      </w:r>
    </w:p>
    <w:p>
      <w:pPr>
        <w:sectPr>
          <w:pgSz w:w="12240" w:h="15840" w:orient="portrait"/>
          <w:cols w:equalWidth="0" w:num="1">
            <w:col w:w="9380"/>
          </w:cols>
          <w:pgMar w:left="1420" w:top="905"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80"/>
          </w:cols>
          <w:pgMar w:left="1420" w:top="905" w:right="1440" w:bottom="182" w:gutter="0" w:footer="0" w:header="0"/>
          <w:type w:val="continuous"/>
        </w:sectPr>
      </w:pPr>
    </w:p>
    <w:bookmarkStart w:id="45" w:name="page46"/>
    <w:bookmarkEnd w:id="45"/>
    <w:p>
      <w:pPr>
        <w:ind w:right="840"/>
        <w:spacing w:after="0" w:line="255" w:lineRule="auto"/>
        <w:rPr>
          <w:sz w:val="20"/>
          <w:szCs w:val="20"/>
          <w:color w:val="auto"/>
        </w:rPr>
      </w:pPr>
      <w:r>
        <w:rPr>
          <w:rFonts w:ascii="Times New Roman" w:cs="Times New Roman" w:eastAsia="Times New Roman" w:hAnsi="Times New Roman"/>
          <w:sz w:val="20"/>
          <w:szCs w:val="20"/>
          <w:color w:val="auto"/>
        </w:rPr>
        <w:t>Operating Income for the periods indicated as operating income adjusted to exclude (i) equity-based compensation expense, (ii) inventory reserve related to Huawei impact of downstream trade restrictions, (iii) merger-related income, net and (iv) other charges, net.</w:t>
      </w:r>
    </w:p>
    <w:p>
      <w:pPr>
        <w:spacing w:after="0" w:line="137" w:lineRule="exact"/>
        <w:rPr>
          <w:sz w:val="20"/>
          <w:szCs w:val="20"/>
          <w:color w:val="auto"/>
        </w:rPr>
      </w:pPr>
    </w:p>
    <w:p>
      <w:pPr>
        <w:ind w:right="700" w:firstLine="400"/>
        <w:spacing w:after="0" w:line="250" w:lineRule="auto"/>
        <w:rPr>
          <w:sz w:val="20"/>
          <w:szCs w:val="20"/>
          <w:color w:val="auto"/>
        </w:rPr>
      </w:pPr>
      <w:r>
        <w:rPr>
          <w:rFonts w:ascii="Times New Roman" w:cs="Times New Roman" w:eastAsia="Times New Roman" w:hAnsi="Times New Roman"/>
          <w:sz w:val="20"/>
          <w:szCs w:val="20"/>
          <w:color w:val="auto"/>
        </w:rPr>
        <w:t>The following table summarizes the adjustments to operating income (loss) that we make in order to calculate Adjusted Operating Income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80"/>
        </w:trPr>
        <w:tc>
          <w:tcPr>
            <w:tcW w:w="7340" w:type="dxa"/>
            <w:vAlign w:val="bottom"/>
          </w:tcPr>
          <w:p>
            <w:pPr>
              <w:spacing w:after="0"/>
              <w:rPr>
                <w:sz w:val="15"/>
                <w:szCs w:val="15"/>
                <w:color w:val="auto"/>
              </w:rPr>
            </w:pPr>
          </w:p>
        </w:tc>
        <w:tc>
          <w:tcPr>
            <w:tcW w:w="1080" w:type="dxa"/>
            <w:vAlign w:val="bottom"/>
            <w:gridSpan w:val="4"/>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85"/>
        </w:trPr>
        <w:tc>
          <w:tcPr>
            <w:tcW w:w="7340" w:type="dxa"/>
            <w:vAlign w:val="bottom"/>
          </w:tcPr>
          <w:p>
            <w:pPr>
              <w:spacing w:after="0"/>
              <w:rPr>
                <w:sz w:val="16"/>
                <w:szCs w:val="16"/>
                <w:color w:val="auto"/>
              </w:rPr>
            </w:pPr>
          </w:p>
        </w:tc>
        <w:tc>
          <w:tcPr>
            <w:tcW w:w="680" w:type="dxa"/>
            <w:vAlign w:val="bottom"/>
            <w:tcBorders>
              <w:bottom w:val="single" w:sz="8" w:color="auto"/>
            </w:tcBorders>
            <w:gridSpan w:val="2"/>
          </w:tcPr>
          <w:p>
            <w:pPr>
              <w:jc w:val="center"/>
              <w:ind w:left="190"/>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2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auto"/>
            </w:tcBorders>
          </w:tcPr>
          <w:p>
            <w:pPr>
              <w:spacing w:after="0"/>
              <w:rPr>
                <w:sz w:val="16"/>
                <w:szCs w:val="16"/>
                <w:color w:val="auto"/>
              </w:rPr>
            </w:pPr>
          </w:p>
        </w:tc>
      </w:tr>
      <w:tr>
        <w:trPr>
          <w:trHeight w:val="212"/>
        </w:trPr>
        <w:tc>
          <w:tcPr>
            <w:tcW w:w="7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313"/>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Operating income (loss) . . . . . . . . . . . . . . . . . . . . . . . . . . . . . . . . . . . . . . . . . . . . . . . . . . . .</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$(5.2)</w:t>
            </w: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$ 83.4</w:t>
            </w:r>
          </w:p>
        </w:tc>
        <w:tc>
          <w:tcPr>
            <w:tcW w:w="200" w:type="dxa"/>
            <w:vAlign w:val="bottom"/>
          </w:tcPr>
          <w:p>
            <w:pPr>
              <w:spacing w:after="0"/>
              <w:rPr>
                <w:sz w:val="24"/>
                <w:szCs w:val="24"/>
                <w:color w:val="auto"/>
              </w:rPr>
            </w:pPr>
          </w:p>
        </w:tc>
      </w:tr>
      <w:tr>
        <w:trPr>
          <w:trHeight w:val="255"/>
        </w:trPr>
        <w:tc>
          <w:tcPr>
            <w:tcW w:w="7340" w:type="dxa"/>
            <w:vAlign w:val="bottom"/>
          </w:tcPr>
          <w:p>
            <w:pPr>
              <w:jc w:val="right"/>
              <w:ind w:right="6160"/>
              <w:spacing w:after="0"/>
              <w:rPr>
                <w:sz w:val="20"/>
                <w:szCs w:val="20"/>
                <w:color w:val="auto"/>
              </w:rPr>
            </w:pPr>
            <w:r>
              <w:rPr>
                <w:rFonts w:ascii="Times New Roman" w:cs="Times New Roman" w:eastAsia="Times New Roman" w:hAnsi="Times New Roman"/>
                <w:sz w:val="20"/>
                <w:szCs w:val="20"/>
                <w:color w:val="auto"/>
                <w:w w:val="99"/>
              </w:rPr>
              <w:t>Adjustments:</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68"/>
        </w:trPr>
        <w:tc>
          <w:tcPr>
            <w:tcW w:w="7340" w:type="dxa"/>
            <w:vAlign w:val="bottom"/>
          </w:tcPr>
          <w:p>
            <w:pPr>
              <w:jc w:val="right"/>
              <w:ind w:right="40"/>
              <w:spacing w:after="0" w:line="268" w:lineRule="exact"/>
              <w:rPr>
                <w:sz w:val="20"/>
                <w:szCs w:val="20"/>
                <w:color w:val="auto"/>
              </w:rPr>
            </w:pPr>
            <w:r>
              <w:rPr>
                <w:rFonts w:ascii="Times New Roman" w:cs="Times New Roman" w:eastAsia="Times New Roman" w:hAnsi="Times New Roman"/>
                <w:sz w:val="20"/>
                <w:szCs w:val="20"/>
                <w:color w:val="auto"/>
              </w:rPr>
              <w:t>Equity-based compensation expense</w:t>
            </w:r>
            <w:r>
              <w:rPr>
                <w:rFonts w:ascii="Times New Roman" w:cs="Times New Roman" w:eastAsia="Times New Roman" w:hAnsi="Times New Roman"/>
                <w:sz w:val="26"/>
                <w:szCs w:val="26"/>
                <w:color w:val="auto"/>
                <w:vertAlign w:val="superscript"/>
              </w:rPr>
              <w:t>(a)</w:t>
            </w:r>
            <w:r>
              <w:rPr>
                <w:rFonts w:ascii="Times New Roman" w:cs="Times New Roman" w:eastAsia="Times New Roman" w:hAnsi="Times New Roman"/>
                <w:sz w:val="20"/>
                <w:szCs w:val="20"/>
                <w:color w:val="auto"/>
              </w:rPr>
              <w:t xml:space="preserve"> . .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00" w:type="dxa"/>
            <w:vAlign w:val="bottom"/>
          </w:tcPr>
          <w:p>
            <w:pPr>
              <w:spacing w:after="0"/>
              <w:rPr>
                <w:sz w:val="23"/>
                <w:szCs w:val="23"/>
                <w:color w:val="auto"/>
              </w:rPr>
            </w:pPr>
          </w:p>
        </w:tc>
      </w:tr>
      <w:tr>
        <w:trPr>
          <w:trHeight w:val="255"/>
        </w:trPr>
        <w:tc>
          <w:tcPr>
            <w:tcW w:w="7340" w:type="dxa"/>
            <w:vAlign w:val="bottom"/>
          </w:tcPr>
          <w:p>
            <w:pPr>
              <w:jc w:val="right"/>
              <w:ind w:right="40"/>
              <w:spacing w:after="0" w:line="255" w:lineRule="exact"/>
              <w:rPr>
                <w:sz w:val="20"/>
                <w:szCs w:val="20"/>
                <w:color w:val="auto"/>
              </w:rPr>
            </w:pPr>
            <w:r>
              <w:rPr>
                <w:rFonts w:ascii="Times New Roman" w:cs="Times New Roman" w:eastAsia="Times New Roman" w:hAnsi="Times New Roman"/>
                <w:sz w:val="20"/>
                <w:szCs w:val="20"/>
                <w:color w:val="auto"/>
              </w:rPr>
              <w:t>Inventory reserve related to Huawei impact of downstream trade restrictions</w:t>
            </w:r>
            <w:r>
              <w:rPr>
                <w:rFonts w:ascii="Times New Roman" w:cs="Times New Roman" w:eastAsia="Times New Roman" w:hAnsi="Times New Roman"/>
                <w:sz w:val="26"/>
                <w:szCs w:val="26"/>
                <w:color w:val="auto"/>
                <w:vertAlign w:val="superscript"/>
              </w:rPr>
              <w:t>(b)</w:t>
            </w:r>
            <w:r>
              <w:rPr>
                <w:rFonts w:ascii="Times New Roman" w:cs="Times New Roman" w:eastAsia="Times New Roman" w:hAnsi="Times New Roman"/>
                <w:sz w:val="20"/>
                <w:szCs w:val="20"/>
                <w:color w:val="auto"/>
              </w:rPr>
              <w:t xml:space="preserve"> . . . . . .</w:t>
            </w:r>
          </w:p>
        </w:tc>
        <w:tc>
          <w:tcPr>
            <w:tcW w:w="260" w:type="dxa"/>
            <w:vAlign w:val="bottom"/>
          </w:tcPr>
          <w:p>
            <w:pPr>
              <w:spacing w:after="0"/>
              <w:rPr>
                <w:sz w:val="22"/>
                <w:szCs w:val="22"/>
                <w:color w:val="auto"/>
              </w:rPr>
            </w:pPr>
          </w:p>
        </w:tc>
        <w:tc>
          <w:tcPr>
            <w:tcW w:w="82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(1.5)</w:t>
            </w:r>
          </w:p>
        </w:tc>
      </w:tr>
      <w:tr>
        <w:trPr>
          <w:trHeight w:val="255"/>
        </w:trPr>
        <w:tc>
          <w:tcPr>
            <w:tcW w:w="7340" w:type="dxa"/>
            <w:vAlign w:val="bottom"/>
          </w:tcPr>
          <w:p>
            <w:pPr>
              <w:jc w:val="right"/>
              <w:ind w:right="40"/>
              <w:spacing w:after="0" w:line="255" w:lineRule="exact"/>
              <w:rPr>
                <w:sz w:val="20"/>
                <w:szCs w:val="20"/>
                <w:color w:val="auto"/>
              </w:rPr>
            </w:pPr>
            <w:r>
              <w:rPr>
                <w:rFonts w:ascii="Times New Roman" w:cs="Times New Roman" w:eastAsia="Times New Roman" w:hAnsi="Times New Roman"/>
                <w:sz w:val="20"/>
                <w:szCs w:val="20"/>
                <w:color w:val="auto"/>
              </w:rPr>
              <w:t>Merger-related income, net</w:t>
            </w:r>
            <w:r>
              <w:rPr>
                <w:rFonts w:ascii="Times New Roman" w:cs="Times New Roman" w:eastAsia="Times New Roman" w:hAnsi="Times New Roman"/>
                <w:sz w:val="26"/>
                <w:szCs w:val="26"/>
                <w:color w:val="auto"/>
                <w:vertAlign w:val="superscript"/>
              </w:rPr>
              <w:t>(c)</w:t>
            </w:r>
            <w:r>
              <w:rPr>
                <w:rFonts w:ascii="Times New Roman" w:cs="Times New Roman" w:eastAsia="Times New Roman" w:hAnsi="Times New Roman"/>
                <w:sz w:val="20"/>
                <w:szCs w:val="20"/>
                <w:color w:val="auto"/>
              </w:rPr>
              <w:t xml:space="preserve">  . . . . . . . . . . . . . . . . . . . . . . . . . . . . . . . . . . . . . . . . . . . . . .</w:t>
            </w:r>
          </w:p>
        </w:tc>
        <w:tc>
          <w:tcPr>
            <w:tcW w:w="260" w:type="dxa"/>
            <w:vAlign w:val="bottom"/>
          </w:tcPr>
          <w:p>
            <w:pPr>
              <w:spacing w:after="0"/>
              <w:rPr>
                <w:sz w:val="22"/>
                <w:szCs w:val="22"/>
                <w:color w:val="auto"/>
              </w:rPr>
            </w:pPr>
          </w:p>
        </w:tc>
        <w:tc>
          <w:tcPr>
            <w:tcW w:w="82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(35.5)</w:t>
            </w:r>
          </w:p>
        </w:tc>
      </w:tr>
      <w:tr>
        <w:trPr>
          <w:trHeight w:val="240"/>
        </w:trPr>
        <w:tc>
          <w:tcPr>
            <w:tcW w:w="7340" w:type="dxa"/>
            <w:vAlign w:val="bottom"/>
          </w:tcPr>
          <w:p>
            <w:pPr>
              <w:jc w:val="right"/>
              <w:ind w:right="40"/>
              <w:spacing w:after="0" w:line="240" w:lineRule="exact"/>
              <w:rPr>
                <w:sz w:val="20"/>
                <w:szCs w:val="20"/>
                <w:color w:val="auto"/>
              </w:rPr>
            </w:pPr>
            <w:r>
              <w:rPr>
                <w:rFonts w:ascii="Times New Roman" w:cs="Times New Roman" w:eastAsia="Times New Roman" w:hAnsi="Times New Roman"/>
                <w:sz w:val="20"/>
                <w:szCs w:val="20"/>
                <w:color w:val="auto"/>
              </w:rPr>
              <w:t>Other charges, net</w:t>
            </w:r>
            <w:r>
              <w:rPr>
                <w:rFonts w:ascii="Times New Roman" w:cs="Times New Roman" w:eastAsia="Times New Roman" w:hAnsi="Times New Roman"/>
                <w:sz w:val="26"/>
                <w:szCs w:val="26"/>
                <w:color w:val="auto"/>
                <w:vertAlign w:val="superscript"/>
              </w:rPr>
              <w:t>(d)</w:t>
            </w:r>
            <w:r>
              <w:rPr>
                <w:rFonts w:ascii="Times New Roman" w:cs="Times New Roman" w:eastAsia="Times New Roman" w:hAnsi="Times New Roman"/>
                <w:sz w:val="20"/>
                <w:szCs w:val="20"/>
                <w:color w:val="auto"/>
              </w:rPr>
              <w:t xml:space="preserve">  . . . . . . . . . . . . . . . . . . . . . . . . . . . . . . . . . . . . . . . . . . . . . . . . . . . . .</w:t>
            </w: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0" w:type="dxa"/>
            <w:vAlign w:val="bottom"/>
          </w:tcPr>
          <w:p>
            <w:pPr>
              <w:spacing w:after="0"/>
              <w:rPr>
                <w:sz w:val="20"/>
                <w:szCs w:val="20"/>
                <w:color w:val="auto"/>
              </w:rPr>
            </w:pPr>
          </w:p>
        </w:tc>
      </w:tr>
      <w:tr>
        <w:trPr>
          <w:trHeight w:val="28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Adjusted Operating Income . . . . . . . . . . . .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$ 56.1</w:t>
            </w:r>
          </w:p>
        </w:tc>
        <w:tc>
          <w:tcPr>
            <w:tcW w:w="200" w:type="dxa"/>
            <w:vAlign w:val="bottom"/>
          </w:tcPr>
          <w:p>
            <w:pPr>
              <w:spacing w:after="0"/>
              <w:rPr>
                <w:sz w:val="24"/>
                <w:szCs w:val="24"/>
                <w:color w:val="auto"/>
              </w:rPr>
            </w:pPr>
          </w:p>
        </w:tc>
      </w:tr>
      <w:tr>
        <w:trPr>
          <w:trHeight w:val="20"/>
        </w:trPr>
        <w:tc>
          <w:tcPr>
            <w:tcW w:w="7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247650</wp:posOffset>
                </wp:positionV>
                <wp:extent cx="9144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72.3pt,19.5pt" o:allowincell="f" strokecolor="#000000" strokeweight="0.5pt"/>
            </w:pict>
          </mc:Fallback>
        </mc:AlternateContent>
      </w:r>
    </w:p>
    <w:p>
      <w:pPr>
        <w:spacing w:after="0" w:line="200" w:lineRule="exact"/>
        <w:rPr>
          <w:sz w:val="20"/>
          <w:szCs w:val="20"/>
          <w:color w:val="auto"/>
        </w:rPr>
      </w:pPr>
    </w:p>
    <w:p>
      <w:pPr>
        <w:spacing w:after="0" w:line="283" w:lineRule="exact"/>
        <w:rPr>
          <w:sz w:val="20"/>
          <w:szCs w:val="20"/>
          <w:color w:val="auto"/>
        </w:rPr>
      </w:pPr>
    </w:p>
    <w:p>
      <w:pPr>
        <w:ind w:left="400" w:right="100" w:hanging="394"/>
        <w:spacing w:after="0" w:line="244" w:lineRule="auto"/>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71" w:lineRule="exact"/>
        <w:rPr>
          <w:rFonts w:ascii="Times New Roman" w:cs="Times New Roman" w:eastAsia="Times New Roman" w:hAnsi="Times New Roman"/>
          <w:sz w:val="16"/>
          <w:szCs w:val="16"/>
          <w:color w:val="auto"/>
        </w:rPr>
      </w:pPr>
    </w:p>
    <w:p>
      <w:pPr>
        <w:ind w:left="400" w:right="320" w:hanging="394"/>
        <w:spacing w:after="0" w:line="245" w:lineRule="auto"/>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2021, this adjustment eliminates the impact of sales of inventories for which excess and obsolete reserves were previously recognized in relation to the U.S. Government’s export restrictions on Huawei, which is a downstream customer of some of our direct customers, as these reserved inventories were subsequently sold to certain other customers. As this charge and the timing of its reversal meaningfully impacted our operational results and are not expected to represent an ongoing operating expense subject to our ability to foresee and control, we believe our operating performance results are more meaningfully compared if this charge and related reversal are excluded.</w:t>
      </w:r>
    </w:p>
    <w:p>
      <w:pPr>
        <w:spacing w:after="0" w:line="73" w:lineRule="exact"/>
        <w:rPr>
          <w:rFonts w:ascii="Times New Roman" w:cs="Times New Roman" w:eastAsia="Times New Roman" w:hAnsi="Times New Roman"/>
          <w:sz w:val="16"/>
          <w:szCs w:val="16"/>
          <w:color w:val="auto"/>
        </w:rPr>
      </w:pPr>
    </w:p>
    <w:p>
      <w:pPr>
        <w:ind w:left="400" w:right="60" w:hanging="394"/>
        <w:spacing w:after="0" w:line="245" w:lineRule="auto"/>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2021, this adjustment eliminates $70.2 million income from the recognition of a reverse termination fee as a result of the termination of the merger transaction, which was offset in part by a $34.7 million of professional service fees and expenses incurred in connection with the contemplated merger transaction that was terminated in December 2021.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70" w:lineRule="exact"/>
        <w:rPr>
          <w:rFonts w:ascii="Times New Roman" w:cs="Times New Roman" w:eastAsia="Times New Roman" w:hAnsi="Times New Roman"/>
          <w:sz w:val="16"/>
          <w:szCs w:val="16"/>
          <w:color w:val="auto"/>
        </w:rPr>
      </w:pPr>
    </w:p>
    <w:p>
      <w:pPr>
        <w:ind w:left="400" w:right="40" w:hanging="394"/>
        <w:spacing w:after="0" w:line="246" w:lineRule="auto"/>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this adjustment eliminates $2.8 million of one-time employee incentives and professional service fees and expenses of $1.0 million incurred in connection with certain strategic evaluations, which was offset in part by a $0.5 million gain on sale of certain legacy equipment of the closed back-end line in our fabrication facility in Gumi. For the year ended December 31, 2021, this adjustment eliminates $3.4 million non-recurring professional service fees and expenses incurred in connection with the regulatory requests, which was offset in part by $1.4 million gain on sale of certain legacy equipment of the closed back-end line in our fabrication facility in Gumi.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314" w:lineRule="exact"/>
        <w:rPr>
          <w:sz w:val="20"/>
          <w:szCs w:val="20"/>
          <w:color w:val="auto"/>
        </w:rPr>
      </w:pPr>
    </w:p>
    <w:p>
      <w:pPr>
        <w:ind w:right="120" w:firstLine="400"/>
        <w:spacing w:after="0" w:line="259" w:lineRule="auto"/>
        <w:rPr>
          <w:sz w:val="20"/>
          <w:szCs w:val="20"/>
          <w:color w:val="auto"/>
        </w:rPr>
      </w:pPr>
      <w:r>
        <w:rPr>
          <w:rFonts w:ascii="Times New Roman" w:cs="Times New Roman" w:eastAsia="Times New Roman" w:hAnsi="Times New Roman"/>
          <w:sz w:val="20"/>
          <w:szCs w:val="20"/>
          <w:color w:val="auto"/>
        </w:rPr>
        <w:t>We present Adjusted Net Income (including on a per share basis) as a further supplemental measure of our performance. We prepare Adjusted Net Income (including on a per share basis) by adjusting income (loss) to eliminate the impact of a number of non-cash expenses and other items that may be either one time or recurring that we do not consider to be indicative of our core ongoing operating performance. We believe that Adjusted Net Income (including on a per share basis) is particularly useful because it reflects the impact of our asset base and capital structure on our operating performance. We present Adjusted Net Income (including on a per share basis) for a number of reasons, including:</w:t>
      </w:r>
    </w:p>
    <w:p>
      <w:pPr>
        <w:spacing w:after="0" w:line="123" w:lineRule="exact"/>
        <w:rPr>
          <w:sz w:val="20"/>
          <w:szCs w:val="20"/>
          <w:color w:val="auto"/>
        </w:rPr>
      </w:pPr>
    </w:p>
    <w:p>
      <w:pPr>
        <w:ind w:left="800" w:right="100" w:hanging="394"/>
        <w:spacing w:after="0" w:line="241" w:lineRule="auto"/>
        <w:tabs>
          <w:tab w:leader="none" w:pos="80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we use Adjusted Net Income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141" w:lineRule="exact"/>
        <w:rPr>
          <w:rFonts w:ascii="Symbol" w:cs="Symbol" w:eastAsia="Symbol" w:hAnsi="Symbol"/>
          <w:sz w:val="20"/>
          <w:szCs w:val="20"/>
          <w:color w:val="auto"/>
        </w:rPr>
      </w:pPr>
    </w:p>
    <w:p>
      <w:pPr>
        <w:ind w:left="800" w:right="220" w:hanging="394"/>
        <w:spacing w:after="0" w:line="241" w:lineRule="auto"/>
        <w:tabs>
          <w:tab w:leader="none" w:pos="80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we believe that reporting Adjusted Net Income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80"/>
          </w:cols>
          <w:pgMar w:left="1420" w:top="899" w:right="1440" w:bottom="182" w:gutter="0" w:footer="0" w:header="0"/>
          <w:type w:val="continuous"/>
        </w:sectPr>
      </w:pPr>
    </w:p>
    <w:bookmarkStart w:id="46" w:name="page47"/>
    <w:bookmarkEnd w:id="46"/>
    <w:p>
      <w:pPr>
        <w:ind w:right="100" w:firstLine="400"/>
        <w:spacing w:after="0" w:line="255" w:lineRule="auto"/>
        <w:rPr>
          <w:sz w:val="20"/>
          <w:szCs w:val="20"/>
          <w:color w:val="auto"/>
        </w:rPr>
      </w:pPr>
      <w:r>
        <w:rPr>
          <w:rFonts w:ascii="Times New Roman" w:cs="Times New Roman" w:eastAsia="Times New Roman" w:hAnsi="Times New Roman"/>
          <w:sz w:val="20"/>
          <w:szCs w:val="20"/>
          <w:color w:val="auto"/>
        </w:rPr>
        <w:t>Adjusted Net Income (including on a per share basis) is not a measure defined in accordance with U.S. GAAP and should not be construed as an alternative to net income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(including on a per share basis) differently than we do, limiting its usefulness as a comparative measure. In addition, in evaluating Adjusted Net Income (including on a per share basis), you should be aware that in the future we may incur expenses similar to the adjustments in this presentation. We define Adjusted Net Income (including on a per share basis); for the periods indicated as income (loss), adjusted to exclude (i) equity-based compensation expense, (ii) foreign currency loss, net,</w:t>
      </w:r>
    </w:p>
    <w:p>
      <w:pPr>
        <w:spacing w:after="0" w:line="11" w:lineRule="exact"/>
        <w:rPr>
          <w:sz w:val="20"/>
          <w:szCs w:val="20"/>
          <w:color w:val="auto"/>
        </w:rPr>
      </w:pPr>
    </w:p>
    <w:p>
      <w:pPr>
        <w:ind w:right="500" w:firstLine="6"/>
        <w:spacing w:after="0" w:line="245" w:lineRule="auto"/>
        <w:tabs>
          <w:tab w:leader="none" w:pos="36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valuation gain, net, (iv) inventory reserve related to Huawei impact of downstream trade restrictions, (v) merger-related income, net, (vi) other charges, net and (vii) income tax effect on non-GAAP adjustments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the adjustments to income (loss) that we make in order to calculate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Net Income (including on a per share basis)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1440" w:type="dxa"/>
            <w:vAlign w:val="bottom"/>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171"/>
        </w:trPr>
        <w:tc>
          <w:tcPr>
            <w:tcW w:w="6920" w:type="dxa"/>
            <w:vAlign w:val="bottom"/>
          </w:tcPr>
          <w:p>
            <w:pPr>
              <w:spacing w:after="0"/>
              <w:rPr>
                <w:sz w:val="14"/>
                <w:szCs w:val="14"/>
                <w:color w:val="auto"/>
              </w:rPr>
            </w:pPr>
          </w:p>
        </w:tc>
        <w:tc>
          <w:tcPr>
            <w:tcW w:w="1440" w:type="dxa"/>
            <w:vAlign w:val="bottom"/>
            <w:gridSpan w:val="4"/>
          </w:tcPr>
          <w:p>
            <w:pPr>
              <w:jc w:val="center"/>
              <w:ind w:right="440"/>
              <w:spacing w:after="0" w:line="17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gridSpan w:val="3"/>
          </w:tcPr>
          <w:p>
            <w:pPr>
              <w:jc w:val="center"/>
              <w:ind w:right="60"/>
              <w:spacing w:after="0" w:line="17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7"/>
        </w:trPr>
        <w:tc>
          <w:tcPr>
            <w:tcW w:w="6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
              <w:spacing w:after="0" w:line="197" w:lineRule="exact"/>
              <w:rPr>
                <w:sz w:val="20"/>
                <w:szCs w:val="20"/>
                <w:color w:val="auto"/>
              </w:rPr>
            </w:pPr>
            <w:r>
              <w:rPr>
                <w:rFonts w:ascii="Times New Roman" w:cs="Times New Roman" w:eastAsia="Times New Roman" w:hAnsi="Times New Roman"/>
                <w:sz w:val="16"/>
                <w:szCs w:val="16"/>
                <w:b w:val="1"/>
                <w:bCs w:val="1"/>
                <w:color w:val="auto"/>
                <w:w w:val="99"/>
              </w:rPr>
              <w:t>2021</w:t>
            </w:r>
            <w:r>
              <w:rPr>
                <w:rFonts w:ascii="Times New Roman" w:cs="Times New Roman" w:eastAsia="Times New Roman" w:hAnsi="Times New Roman"/>
                <w:sz w:val="20"/>
                <w:szCs w:val="20"/>
                <w:b w:val="1"/>
                <w:bCs w:val="1"/>
                <w:color w:val="auto"/>
                <w:w w:val="99"/>
                <w:vertAlign w:val="superscript"/>
              </w:rPr>
              <w:t>(h)</w:t>
            </w:r>
          </w:p>
        </w:tc>
        <w:tc>
          <w:tcPr>
            <w:tcW w:w="60" w:type="dxa"/>
            <w:vAlign w:val="bottom"/>
          </w:tcPr>
          <w:p>
            <w:pPr>
              <w:spacing w:after="0"/>
              <w:rPr>
                <w:sz w:val="17"/>
                <w:szCs w:val="17"/>
                <w:color w:val="auto"/>
              </w:rPr>
            </w:pPr>
          </w:p>
        </w:tc>
      </w:tr>
      <w:tr>
        <w:trPr>
          <w:trHeight w:val="207"/>
        </w:trPr>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(Dollars in millions, except per</w:t>
            </w:r>
          </w:p>
        </w:tc>
      </w:tr>
      <w:tr>
        <w:trPr>
          <w:trHeight w:val="182"/>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900"/>
              <w:spacing w:after="0" w:line="182" w:lineRule="exact"/>
              <w:rPr>
                <w:sz w:val="20"/>
                <w:szCs w:val="20"/>
                <w:color w:val="auto"/>
              </w:rPr>
            </w:pPr>
            <w:r>
              <w:rPr>
                <w:rFonts w:ascii="Times New Roman" w:cs="Times New Roman" w:eastAsia="Times New Roman" w:hAnsi="Times New Roman"/>
                <w:sz w:val="16"/>
                <w:szCs w:val="16"/>
                <w:b w:val="1"/>
                <w:bCs w:val="1"/>
                <w:color w:val="auto"/>
              </w:rPr>
              <w:t>share data)</w:t>
            </w:r>
          </w:p>
        </w:tc>
      </w:tr>
      <w:tr>
        <w:trPr>
          <w:trHeight w:val="313"/>
        </w:trPr>
        <w:tc>
          <w:tcPr>
            <w:tcW w:w="69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Net income (loss)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(8.0)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60" w:type="dxa"/>
            <w:vAlign w:val="bottom"/>
          </w:tcPr>
          <w:p>
            <w:pPr>
              <w:spacing w:after="0"/>
              <w:rPr>
                <w:sz w:val="24"/>
                <w:szCs w:val="24"/>
                <w:color w:val="auto"/>
              </w:rPr>
            </w:pPr>
          </w:p>
        </w:tc>
      </w:tr>
      <w:tr>
        <w:trPr>
          <w:trHeight w:val="255"/>
        </w:trPr>
        <w:tc>
          <w:tcPr>
            <w:tcW w:w="6920" w:type="dxa"/>
            <w:vAlign w:val="bottom"/>
          </w:tcPr>
          <w:p>
            <w:pPr>
              <w:jc w:val="right"/>
              <w:ind w:right="5740"/>
              <w:spacing w:after="0"/>
              <w:rPr>
                <w:sz w:val="20"/>
                <w:szCs w:val="20"/>
                <w:color w:val="auto"/>
              </w:rPr>
            </w:pPr>
            <w:r>
              <w:rPr>
                <w:rFonts w:ascii="Times New Roman" w:cs="Times New Roman" w:eastAsia="Times New Roman" w:hAnsi="Times New Roman"/>
                <w:sz w:val="20"/>
                <w:szCs w:val="20"/>
                <w:color w:val="auto"/>
                <w:w w:val="99"/>
              </w:rPr>
              <w:t>Adjustments: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6920" w:type="dxa"/>
            <w:vAlign w:val="bottom"/>
          </w:tcPr>
          <w:p>
            <w:pPr>
              <w:jc w:val="right"/>
              <w:ind w:right="340"/>
              <w:spacing w:after="0" w:line="268" w:lineRule="exact"/>
              <w:rPr>
                <w:sz w:val="20"/>
                <w:szCs w:val="20"/>
                <w:color w:val="auto"/>
              </w:rPr>
            </w:pPr>
            <w:r>
              <w:rPr>
                <w:rFonts w:ascii="Times New Roman" w:cs="Times New Roman" w:eastAsia="Times New Roman" w:hAnsi="Times New Roman"/>
                <w:sz w:val="20"/>
                <w:szCs w:val="20"/>
                <w:color w:val="auto"/>
              </w:rPr>
              <w:t>Equity-based compensation expense</w:t>
            </w:r>
            <w:r>
              <w:rPr>
                <w:rFonts w:ascii="Times New Roman" w:cs="Times New Roman" w:eastAsia="Times New Roman" w:hAnsi="Times New Roman"/>
                <w:sz w:val="26"/>
                <w:szCs w:val="26"/>
                <w:color w:val="auto"/>
                <w:vertAlign w:val="superscript"/>
              </w:rPr>
              <w:t>(a)</w:t>
            </w:r>
            <w:r>
              <w:rPr>
                <w:rFonts w:ascii="Times New Roman" w:cs="Times New Roman" w:eastAsia="Times New Roman" w:hAnsi="Times New Roman"/>
                <w:sz w:val="20"/>
                <w:szCs w:val="20"/>
                <w:color w:val="auto"/>
              </w:rPr>
              <w:t xml:space="preserve"> . . . . . . . . . . . . . . . . . . . . . . . . . . . . . . . .</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60" w:type="dxa"/>
            <w:vAlign w:val="bottom"/>
          </w:tcPr>
          <w:p>
            <w:pPr>
              <w:spacing w:after="0"/>
              <w:rPr>
                <w:sz w:val="23"/>
                <w:szCs w:val="23"/>
                <w:color w:val="auto"/>
              </w:rPr>
            </w:pPr>
          </w:p>
        </w:tc>
      </w:tr>
      <w:tr>
        <w:trPr>
          <w:trHeight w:val="255"/>
        </w:trPr>
        <w:tc>
          <w:tcPr>
            <w:tcW w:w="6920" w:type="dxa"/>
            <w:vAlign w:val="bottom"/>
          </w:tcPr>
          <w:p>
            <w:pPr>
              <w:jc w:val="right"/>
              <w:ind w:right="340"/>
              <w:spacing w:after="0" w:line="255" w:lineRule="exact"/>
              <w:rPr>
                <w:sz w:val="20"/>
                <w:szCs w:val="20"/>
                <w:color w:val="auto"/>
              </w:rPr>
            </w:pPr>
            <w:r>
              <w:rPr>
                <w:rFonts w:ascii="Times New Roman" w:cs="Times New Roman" w:eastAsia="Times New Roman" w:hAnsi="Times New Roman"/>
                <w:sz w:val="20"/>
                <w:szCs w:val="20"/>
                <w:color w:val="auto"/>
              </w:rPr>
              <w:t>Foreign currency loss, net</w:t>
            </w:r>
            <w:r>
              <w:rPr>
                <w:rFonts w:ascii="Times New Roman" w:cs="Times New Roman" w:eastAsia="Times New Roman" w:hAnsi="Times New Roman"/>
                <w:sz w:val="26"/>
                <w:szCs w:val="26"/>
                <w:color w:val="auto"/>
                <w:vertAlign w:val="superscript"/>
              </w:rPr>
              <w:t>(b)</w:t>
            </w:r>
            <w:r>
              <w:rPr>
                <w:rFonts w:ascii="Times New Roman" w:cs="Times New Roman" w:eastAsia="Times New Roman" w:hAnsi="Times New Roman"/>
                <w:sz w:val="20"/>
                <w:szCs w:val="20"/>
                <w:color w:val="auto"/>
              </w:rPr>
              <w:t xml:space="preserve"> . . . . . . . . . . . . . . . . . . . . . . . . . . . . . . . . . . . . . . . .</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2"/>
                <w:szCs w:val="22"/>
                <w:color w:val="auto"/>
              </w:rPr>
            </w:pPr>
          </w:p>
        </w:tc>
      </w:tr>
      <w:tr>
        <w:trPr>
          <w:trHeight w:val="277"/>
        </w:trPr>
        <w:tc>
          <w:tcPr>
            <w:tcW w:w="6920" w:type="dxa"/>
            <w:vAlign w:val="bottom"/>
          </w:tcPr>
          <w:p>
            <w:pPr>
              <w:jc w:val="right"/>
              <w:ind w:right="340"/>
              <w:spacing w:after="0" w:line="277" w:lineRule="exact"/>
              <w:rPr>
                <w:sz w:val="20"/>
                <w:szCs w:val="20"/>
                <w:color w:val="auto"/>
              </w:rPr>
            </w:pPr>
            <w:r>
              <w:rPr>
                <w:rFonts w:ascii="Times New Roman" w:cs="Times New Roman" w:eastAsia="Times New Roman" w:hAnsi="Times New Roman"/>
                <w:sz w:val="20"/>
                <w:szCs w:val="20"/>
                <w:color w:val="auto"/>
              </w:rPr>
              <w:t>Derivative valuation gain, net</w:t>
            </w:r>
            <w:r>
              <w:rPr>
                <w:rFonts w:ascii="Times New Roman" w:cs="Times New Roman" w:eastAsia="Times New Roman" w:hAnsi="Times New Roman"/>
                <w:sz w:val="26"/>
                <w:szCs w:val="26"/>
                <w:color w:val="auto"/>
                <w:vertAlign w:val="superscript"/>
              </w:rPr>
              <w:t>(c)</w:t>
            </w:r>
            <w:r>
              <w:rPr>
                <w:rFonts w:ascii="Times New Roman" w:cs="Times New Roman" w:eastAsia="Times New Roman" w:hAnsi="Times New Roman"/>
                <w:sz w:val="20"/>
                <w:szCs w:val="20"/>
                <w:color w:val="auto"/>
              </w:rPr>
              <w:t xml:space="preserve"> . . . . . . . . . . . . . . . . . . . . . . . . . . . . . . . . . . . . .</w:t>
            </w:r>
          </w:p>
        </w:tc>
        <w:tc>
          <w:tcPr>
            <w:tcW w:w="100" w:type="dxa"/>
            <w:vAlign w:val="bottom"/>
          </w:tcPr>
          <w:p>
            <w:pPr>
              <w:spacing w:after="0"/>
              <w:rPr>
                <w:sz w:val="24"/>
                <w:szCs w:val="24"/>
                <w:color w:val="auto"/>
              </w:rPr>
            </w:pPr>
          </w:p>
        </w:tc>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(0.1)</w:t>
            </w:r>
          </w:p>
        </w:tc>
        <w:tc>
          <w:tcPr>
            <w:tcW w:w="1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18"/>
        </w:trPr>
        <w:tc>
          <w:tcPr>
            <w:tcW w:w="6920" w:type="dxa"/>
            <w:vAlign w:val="bottom"/>
          </w:tcPr>
          <w:p>
            <w:pPr>
              <w:jc w:val="right"/>
              <w:ind w:right="1320"/>
              <w:spacing w:after="0" w:line="218" w:lineRule="exact"/>
              <w:rPr>
                <w:sz w:val="20"/>
                <w:szCs w:val="20"/>
                <w:color w:val="auto"/>
              </w:rPr>
            </w:pPr>
            <w:r>
              <w:rPr>
                <w:rFonts w:ascii="Times New Roman" w:cs="Times New Roman" w:eastAsia="Times New Roman" w:hAnsi="Times New Roman"/>
                <w:sz w:val="20"/>
                <w:szCs w:val="20"/>
                <w:color w:val="auto"/>
              </w:rPr>
              <w:t>Inventory reserve related to Huawei impact of downstream trade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5"/>
        </w:trPr>
        <w:tc>
          <w:tcPr>
            <w:tcW w:w="6920" w:type="dxa"/>
            <w:vAlign w:val="bottom"/>
          </w:tcPr>
          <w:p>
            <w:pPr>
              <w:jc w:val="right"/>
              <w:ind w:right="340"/>
              <w:spacing w:after="0" w:line="255" w:lineRule="exact"/>
              <w:rPr>
                <w:sz w:val="20"/>
                <w:szCs w:val="20"/>
                <w:color w:val="auto"/>
              </w:rPr>
            </w:pPr>
            <w:r>
              <w:rPr>
                <w:rFonts w:ascii="Times New Roman" w:cs="Times New Roman" w:eastAsia="Times New Roman" w:hAnsi="Times New Roman"/>
                <w:sz w:val="20"/>
                <w:szCs w:val="20"/>
                <w:color w:val="auto"/>
              </w:rPr>
              <w:t>restrictions</w:t>
            </w:r>
            <w:r>
              <w:rPr>
                <w:rFonts w:ascii="Times New Roman" w:cs="Times New Roman" w:eastAsia="Times New Roman" w:hAnsi="Times New Roman"/>
                <w:sz w:val="26"/>
                <w:szCs w:val="26"/>
                <w:color w:val="auto"/>
                <w:vertAlign w:val="superscript"/>
              </w:rPr>
              <w:t>(d)</w:t>
            </w:r>
            <w:r>
              <w:rPr>
                <w:rFonts w:ascii="Times New Roman" w:cs="Times New Roman" w:eastAsia="Times New Roman" w:hAnsi="Times New Roman"/>
                <w:sz w:val="20"/>
                <w:szCs w:val="20"/>
                <w:color w:val="auto"/>
              </w:rPr>
              <w:t xml:space="preserve"> . . . . . . . . . . . . . . . . . . . . . . . . . . . . . . . . . . . . . . . . . . . . . . . . . .</w:t>
            </w:r>
          </w:p>
        </w:tc>
        <w:tc>
          <w:tcPr>
            <w:tcW w:w="100" w:type="dxa"/>
            <w:vAlign w:val="bottom"/>
          </w:tcPr>
          <w:p>
            <w:pPr>
              <w:spacing w:after="0"/>
              <w:rPr>
                <w:sz w:val="22"/>
                <w:szCs w:val="22"/>
                <w:color w:val="auto"/>
              </w:rPr>
            </w:pP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5"/>
        </w:trPr>
        <w:tc>
          <w:tcPr>
            <w:tcW w:w="6920" w:type="dxa"/>
            <w:vAlign w:val="bottom"/>
          </w:tcPr>
          <w:p>
            <w:pPr>
              <w:jc w:val="right"/>
              <w:ind w:right="340"/>
              <w:spacing w:after="0" w:line="255" w:lineRule="exact"/>
              <w:rPr>
                <w:sz w:val="20"/>
                <w:szCs w:val="20"/>
                <w:color w:val="auto"/>
              </w:rPr>
            </w:pPr>
            <w:r>
              <w:rPr>
                <w:rFonts w:ascii="Times New Roman" w:cs="Times New Roman" w:eastAsia="Times New Roman" w:hAnsi="Times New Roman"/>
                <w:sz w:val="20"/>
                <w:szCs w:val="20"/>
                <w:color w:val="auto"/>
              </w:rPr>
              <w:t>Merger-related income, net</w:t>
            </w:r>
            <w:r>
              <w:rPr>
                <w:rFonts w:ascii="Times New Roman" w:cs="Times New Roman" w:eastAsia="Times New Roman" w:hAnsi="Times New Roman"/>
                <w:sz w:val="26"/>
                <w:szCs w:val="26"/>
                <w:color w:val="auto"/>
                <w:vertAlign w:val="superscript"/>
              </w:rPr>
              <w:t>(e)</w:t>
            </w:r>
            <w:r>
              <w:rPr>
                <w:rFonts w:ascii="Times New Roman" w:cs="Times New Roman" w:eastAsia="Times New Roman" w:hAnsi="Times New Roman"/>
                <w:sz w:val="20"/>
                <w:szCs w:val="20"/>
                <w:color w:val="auto"/>
              </w:rPr>
              <w:t xml:space="preserve"> . . . . . . . . . . . . . . . . . . . . . . . . . . . . . . . . . . . . . . .</w:t>
            </w:r>
          </w:p>
        </w:tc>
        <w:tc>
          <w:tcPr>
            <w:tcW w:w="100" w:type="dxa"/>
            <w:vAlign w:val="bottom"/>
          </w:tcPr>
          <w:p>
            <w:pPr>
              <w:spacing w:after="0"/>
              <w:rPr>
                <w:sz w:val="22"/>
                <w:szCs w:val="22"/>
                <w:color w:val="auto"/>
              </w:rPr>
            </w:pP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(35.5)</w:t>
            </w:r>
          </w:p>
        </w:tc>
      </w:tr>
      <w:tr>
        <w:trPr>
          <w:trHeight w:val="255"/>
        </w:trPr>
        <w:tc>
          <w:tcPr>
            <w:tcW w:w="6920" w:type="dxa"/>
            <w:vAlign w:val="bottom"/>
          </w:tcPr>
          <w:p>
            <w:pPr>
              <w:jc w:val="right"/>
              <w:ind w:right="340"/>
              <w:spacing w:after="0" w:line="255" w:lineRule="exact"/>
              <w:rPr>
                <w:sz w:val="20"/>
                <w:szCs w:val="20"/>
                <w:color w:val="auto"/>
              </w:rPr>
            </w:pPr>
            <w:r>
              <w:rPr>
                <w:rFonts w:ascii="Times New Roman" w:cs="Times New Roman" w:eastAsia="Times New Roman" w:hAnsi="Times New Roman"/>
                <w:sz w:val="20"/>
                <w:szCs w:val="20"/>
                <w:color w:val="auto"/>
              </w:rPr>
              <w:t>Other charges, net</w:t>
            </w:r>
            <w:r>
              <w:rPr>
                <w:rFonts w:ascii="Times New Roman" w:cs="Times New Roman" w:eastAsia="Times New Roman" w:hAnsi="Times New Roman"/>
                <w:sz w:val="26"/>
                <w:szCs w:val="26"/>
                <w:color w:val="auto"/>
                <w:vertAlign w:val="superscript"/>
              </w:rPr>
              <w:t>(f)</w:t>
            </w:r>
            <w:r>
              <w:rPr>
                <w:rFonts w:ascii="Times New Roman" w:cs="Times New Roman" w:eastAsia="Times New Roman" w:hAnsi="Times New Roman"/>
                <w:sz w:val="20"/>
                <w:szCs w:val="20"/>
                <w:color w:val="auto"/>
              </w:rPr>
              <w:t xml:space="preserve">  . . . . . . . . . . . . . . . . . . . . . . . . . . . . . . . . . . . . . . . . . . . . . .</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2"/>
                <w:szCs w:val="22"/>
                <w:color w:val="auto"/>
              </w:rPr>
            </w:pPr>
          </w:p>
        </w:tc>
      </w:tr>
      <w:tr>
        <w:trPr>
          <w:trHeight w:val="240"/>
        </w:trPr>
        <w:tc>
          <w:tcPr>
            <w:tcW w:w="6920" w:type="dxa"/>
            <w:vAlign w:val="bottom"/>
          </w:tcPr>
          <w:p>
            <w:pPr>
              <w:jc w:val="right"/>
              <w:ind w:right="340"/>
              <w:spacing w:after="0" w:line="240" w:lineRule="exact"/>
              <w:rPr>
                <w:sz w:val="20"/>
                <w:szCs w:val="20"/>
                <w:color w:val="auto"/>
              </w:rPr>
            </w:pPr>
            <w:r>
              <w:rPr>
                <w:rFonts w:ascii="Times New Roman" w:cs="Times New Roman" w:eastAsia="Times New Roman" w:hAnsi="Times New Roman"/>
                <w:sz w:val="20"/>
                <w:szCs w:val="20"/>
                <w:color w:val="auto"/>
              </w:rPr>
              <w:t>Income tax effect on non-GAAP adjustments</w:t>
            </w:r>
            <w:r>
              <w:rPr>
                <w:rFonts w:ascii="Times New Roman" w:cs="Times New Roman" w:eastAsia="Times New Roman" w:hAnsi="Times New Roman"/>
                <w:sz w:val="26"/>
                <w:szCs w:val="26"/>
                <w:color w:val="auto"/>
                <w:vertAlign w:val="superscript"/>
              </w:rPr>
              <w:t>(g)</w:t>
            </w:r>
            <w:r>
              <w:rPr>
                <w:rFonts w:ascii="Times New Roman" w:cs="Times New Roman" w:eastAsia="Times New Roman" w:hAnsi="Times New Roman"/>
                <w:sz w:val="20"/>
                <w:szCs w:val="20"/>
                <w:color w:val="auto"/>
              </w:rPr>
              <w:t xml:space="preserve"> . . . . . . . . . . . . . . . . . . . . . . . .</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60" w:type="dxa"/>
            <w:vAlign w:val="bottom"/>
          </w:tcPr>
          <w:p>
            <w:pPr>
              <w:spacing w:after="0"/>
              <w:rPr>
                <w:sz w:val="20"/>
                <w:szCs w:val="20"/>
                <w:color w:val="auto"/>
              </w:rPr>
            </w:pPr>
          </w:p>
        </w:tc>
      </w:tr>
      <w:tr>
        <w:trPr>
          <w:trHeight w:val="285"/>
        </w:trPr>
        <w:tc>
          <w:tcPr>
            <w:tcW w:w="6920" w:type="dxa"/>
            <w:vAlign w:val="bottom"/>
          </w:tcPr>
          <w:p>
            <w:pPr>
              <w:jc w:val="right"/>
              <w:ind w:right="340"/>
              <w:spacing w:after="0" w:line="285" w:lineRule="exact"/>
              <w:rPr>
                <w:sz w:val="20"/>
                <w:szCs w:val="20"/>
                <w:color w:val="auto"/>
              </w:rPr>
            </w:pPr>
            <w:r>
              <w:rPr>
                <w:rFonts w:ascii="Times New Roman" w:cs="Times New Roman" w:eastAsia="Times New Roman" w:hAnsi="Times New Roman"/>
                <w:sz w:val="20"/>
                <w:szCs w:val="20"/>
                <w:color w:val="auto"/>
                <w:w w:val="99"/>
              </w:rPr>
              <w:t>Adjusted Net Income</w:t>
            </w:r>
            <w:r>
              <w:rPr>
                <w:rFonts w:ascii="Times New Roman" w:cs="Times New Roman" w:eastAsia="Times New Roman" w:hAnsi="Times New Roman"/>
                <w:sz w:val="26"/>
                <w:szCs w:val="26"/>
                <w:color w:val="auto"/>
                <w:w w:val="99"/>
                <w:vertAlign w:val="superscript"/>
              </w:rPr>
              <w:t>(h)</w:t>
            </w:r>
            <w:r>
              <w:rPr>
                <w:rFonts w:ascii="Times New Roman" w:cs="Times New Roman" w:eastAsia="Times New Roman" w:hAnsi="Times New Roman"/>
                <w:sz w:val="20"/>
                <w:szCs w:val="20"/>
                <w:color w:val="auto"/>
                <w:w w:val="99"/>
              </w:rPr>
              <w:t xml:space="preserve"> . . . . . . . . . . . . . . . . . . . . . . . . . . . . . . . . . . . . . . . . . . . . .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w:t>
            </w:r>
          </w:p>
        </w:tc>
        <w:tc>
          <w:tcPr>
            <w:tcW w:w="60" w:type="dxa"/>
            <w:vAlign w:val="bottom"/>
          </w:tcPr>
          <w:p>
            <w:pPr>
              <w:spacing w:after="0"/>
              <w:rPr>
                <w:sz w:val="24"/>
                <w:szCs w:val="24"/>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7"/>
        </w:trPr>
        <w:tc>
          <w:tcPr>
            <w:tcW w:w="69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Reported earnings (loss) per share—basic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(0.18)</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60" w:type="dxa"/>
            <w:vAlign w:val="bottom"/>
          </w:tcPr>
          <w:p>
            <w:pPr>
              <w:spacing w:after="0"/>
              <w:rPr>
                <w:sz w:val="24"/>
                <w:szCs w:val="24"/>
                <w:color w:val="auto"/>
              </w:rPr>
            </w:pPr>
          </w:p>
        </w:tc>
      </w:tr>
      <w:tr>
        <w:trPr>
          <w:trHeight w:val="255"/>
        </w:trPr>
        <w:tc>
          <w:tcPr>
            <w:tcW w:w="69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Reported earnings (loss) per share—diluted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(0.18)</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60" w:type="dxa"/>
            <w:vAlign w:val="bottom"/>
          </w:tcPr>
          <w:p>
            <w:pPr>
              <w:spacing w:after="0"/>
              <w:rPr>
                <w:sz w:val="22"/>
                <w:szCs w:val="22"/>
                <w:color w:val="auto"/>
              </w:rPr>
            </w:pPr>
          </w:p>
        </w:tc>
      </w:tr>
      <w:tr>
        <w:trPr>
          <w:trHeight w:val="255"/>
        </w:trPr>
        <w:tc>
          <w:tcPr>
            <w:tcW w:w="69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Weighted average number of shares—basic . . . . . . . . . . . . . . . . . . . . . . . . . . . . .</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44,850,791</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44,879,412</w:t>
            </w:r>
          </w:p>
        </w:tc>
        <w:tc>
          <w:tcPr>
            <w:tcW w:w="60" w:type="dxa"/>
            <w:vAlign w:val="bottom"/>
          </w:tcPr>
          <w:p>
            <w:pPr>
              <w:spacing w:after="0"/>
              <w:rPr>
                <w:sz w:val="22"/>
                <w:szCs w:val="22"/>
                <w:color w:val="auto"/>
              </w:rPr>
            </w:pPr>
          </w:p>
        </w:tc>
      </w:tr>
      <w:tr>
        <w:trPr>
          <w:trHeight w:val="255"/>
        </w:trPr>
        <w:tc>
          <w:tcPr>
            <w:tcW w:w="69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Weighted average number of shares—diluted . . . . . . . . . . . . . . . . . . . . . . . . . . . .</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44,850,791</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47,709,373</w:t>
            </w:r>
          </w:p>
        </w:tc>
        <w:tc>
          <w:tcPr>
            <w:tcW w:w="60" w:type="dxa"/>
            <w:vAlign w:val="bottom"/>
          </w:tcPr>
          <w:p>
            <w:pPr>
              <w:spacing w:after="0"/>
              <w:rPr>
                <w:sz w:val="22"/>
                <w:szCs w:val="22"/>
                <w:color w:val="auto"/>
              </w:rPr>
            </w:pPr>
          </w:p>
        </w:tc>
      </w:tr>
      <w:tr>
        <w:trPr>
          <w:trHeight w:val="255"/>
        </w:trPr>
        <w:tc>
          <w:tcPr>
            <w:tcW w:w="69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Adjusted earnings per share—basic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0.20</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2"/>
                <w:szCs w:val="22"/>
                <w:color w:val="auto"/>
              </w:rPr>
            </w:pPr>
          </w:p>
        </w:tc>
      </w:tr>
      <w:tr>
        <w:trPr>
          <w:trHeight w:val="255"/>
        </w:trPr>
        <w:tc>
          <w:tcPr>
            <w:tcW w:w="69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Adjusted earnings per share—diluted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0.19</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2"/>
                <w:szCs w:val="22"/>
                <w:color w:val="auto"/>
              </w:rPr>
            </w:pPr>
          </w:p>
        </w:tc>
      </w:tr>
      <w:tr>
        <w:trPr>
          <w:trHeight w:val="255"/>
        </w:trPr>
        <w:tc>
          <w:tcPr>
            <w:tcW w:w="69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Weighted average number of shares—basic . . . . . . . . . . . . . . . . . . . . . . . . . . . . .</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44,850,791</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44,879,412</w:t>
            </w:r>
          </w:p>
        </w:tc>
        <w:tc>
          <w:tcPr>
            <w:tcW w:w="60" w:type="dxa"/>
            <w:vAlign w:val="bottom"/>
          </w:tcPr>
          <w:p>
            <w:pPr>
              <w:spacing w:after="0"/>
              <w:rPr>
                <w:sz w:val="22"/>
                <w:szCs w:val="22"/>
                <w:color w:val="auto"/>
              </w:rPr>
            </w:pPr>
          </w:p>
        </w:tc>
      </w:tr>
      <w:tr>
        <w:trPr>
          <w:trHeight w:val="255"/>
        </w:trPr>
        <w:tc>
          <w:tcPr>
            <w:tcW w:w="69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Weighted average number of shares—diluted . . . . . . . . . . . . . . . . . . . . . . . . . . . .</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45,795,559</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47,709,373</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214630</wp:posOffset>
                </wp:positionV>
                <wp:extent cx="9144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6.9pt" to="72.3pt,16.9pt" o:allowincell="f" strokecolor="#000000" strokeweight="0.5pt"/>
            </w:pict>
          </mc:Fallback>
        </mc:AlternateContent>
      </w:r>
    </w:p>
    <w:p>
      <w:pPr>
        <w:spacing w:after="0" w:line="200" w:lineRule="exact"/>
        <w:rPr>
          <w:sz w:val="20"/>
          <w:szCs w:val="20"/>
          <w:color w:val="auto"/>
        </w:rPr>
      </w:pPr>
    </w:p>
    <w:p>
      <w:pPr>
        <w:spacing w:after="0" w:line="221" w:lineRule="exact"/>
        <w:rPr>
          <w:sz w:val="20"/>
          <w:szCs w:val="20"/>
          <w:color w:val="auto"/>
        </w:rPr>
      </w:pPr>
    </w:p>
    <w:p>
      <w:pPr>
        <w:ind w:left="400" w:right="140" w:hanging="394"/>
        <w:spacing w:after="0" w:line="233" w:lineRule="auto"/>
        <w:tabs>
          <w:tab w:leader="none" w:pos="4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65" w:lineRule="exact"/>
        <w:rPr>
          <w:rFonts w:ascii="Times New Roman" w:cs="Times New Roman" w:eastAsia="Times New Roman" w:hAnsi="Times New Roman"/>
          <w:sz w:val="16"/>
          <w:szCs w:val="16"/>
          <w:color w:val="auto"/>
        </w:rPr>
      </w:pPr>
    </w:p>
    <w:p>
      <w:pPr>
        <w:ind w:left="400" w:right="140" w:hanging="394"/>
        <w:spacing w:after="0" w:line="233" w:lineRule="auto"/>
        <w:tabs>
          <w:tab w:leader="none" w:pos="4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68" w:lineRule="exact"/>
        <w:rPr>
          <w:rFonts w:ascii="Times New Roman" w:cs="Times New Roman" w:eastAsia="Times New Roman" w:hAnsi="Times New Roman"/>
          <w:sz w:val="16"/>
          <w:szCs w:val="16"/>
          <w:color w:val="auto"/>
        </w:rPr>
      </w:pPr>
    </w:p>
    <w:p>
      <w:pPr>
        <w:ind w:left="400" w:right="80" w:hanging="394"/>
        <w:spacing w:after="0" w:line="233" w:lineRule="auto"/>
        <w:tabs>
          <w:tab w:leader="none" w:pos="4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66" w:lineRule="exact"/>
        <w:rPr>
          <w:rFonts w:ascii="Times New Roman" w:cs="Times New Roman" w:eastAsia="Times New Roman" w:hAnsi="Times New Roman"/>
          <w:sz w:val="16"/>
          <w:szCs w:val="16"/>
          <w:color w:val="auto"/>
        </w:rPr>
      </w:pPr>
    </w:p>
    <w:p>
      <w:pPr>
        <w:ind w:left="400" w:right="380" w:hanging="394"/>
        <w:spacing w:after="0" w:line="232" w:lineRule="auto"/>
        <w:tabs>
          <w:tab w:leader="none" w:pos="4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2021, this adjustment eliminates the impact of sales of inventories for which excess and obsolete reserves were previously recognized in relation to the U.S. Government’s export restrictions on Huawei, which is a downstream</w:t>
      </w:r>
    </w:p>
    <w:p>
      <w:pPr>
        <w:sectPr>
          <w:pgSz w:w="12240" w:h="15840" w:orient="portrait"/>
          <w:cols w:equalWidth="0" w:num="1">
            <w:col w:w="9420"/>
          </w:cols>
          <w:pgMar w:left="1420" w:top="899" w:right="1400" w:bottom="182"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420"/>
          </w:cols>
          <w:pgMar w:left="1420" w:top="899" w:right="1400" w:bottom="182" w:gutter="0" w:footer="0" w:header="0"/>
          <w:type w:val="continuous"/>
        </w:sectPr>
      </w:pPr>
    </w:p>
    <w:bookmarkStart w:id="47" w:name="page48"/>
    <w:bookmarkEnd w:id="47"/>
    <w:p>
      <w:pPr>
        <w:ind w:left="400" w:right="320"/>
        <w:spacing w:after="0" w:line="233" w:lineRule="auto"/>
        <w:rPr>
          <w:sz w:val="20"/>
          <w:szCs w:val="20"/>
          <w:color w:val="auto"/>
        </w:rPr>
      </w:pPr>
      <w:r>
        <w:rPr>
          <w:rFonts w:ascii="Times New Roman" w:cs="Times New Roman" w:eastAsia="Times New Roman" w:hAnsi="Times New Roman"/>
          <w:sz w:val="16"/>
          <w:szCs w:val="16"/>
          <w:color w:val="auto"/>
        </w:rPr>
        <w:t>customer of some of our direct customers, as these reserved inventories were subsequently sold to certain other customers. As this charge and the timing of its reversal meaningfully impacted our operational results and are not expected to represent an ongoing operating expense subject to our ability to foresee and control, we believe our operating performance results are more meaningfully compared if this charge and related reversal are excluded.</w:t>
      </w:r>
    </w:p>
    <w:p>
      <w:pPr>
        <w:spacing w:after="0" w:line="66" w:lineRule="exact"/>
        <w:rPr>
          <w:sz w:val="20"/>
          <w:szCs w:val="20"/>
          <w:color w:val="auto"/>
        </w:rPr>
      </w:pPr>
    </w:p>
    <w:p>
      <w:pPr>
        <w:ind w:left="400" w:right="60" w:hanging="394"/>
        <w:spacing w:after="0" w:line="233" w:lineRule="auto"/>
        <w:tabs>
          <w:tab w:leader="none" w:pos="4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2021, this adjustment eliminates $70.2 million income from the recognition of a reverse termination fee as a result of the termination of the merger transaction, which was offset in part by a $34.7 million of professional service fees and expenses incurred in connection with the contemplated merger transaction that was terminated in December 2021.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66" w:lineRule="exact"/>
        <w:rPr>
          <w:rFonts w:ascii="Times New Roman" w:cs="Times New Roman" w:eastAsia="Times New Roman" w:hAnsi="Times New Roman"/>
          <w:sz w:val="16"/>
          <w:szCs w:val="16"/>
          <w:color w:val="auto"/>
        </w:rPr>
      </w:pPr>
    </w:p>
    <w:p>
      <w:pPr>
        <w:ind w:left="400" w:right="40" w:hanging="394"/>
        <w:spacing w:after="0"/>
        <w:tabs>
          <w:tab w:leader="none" w:pos="4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this adjustment eliminates $2.8 million of one-time employee incentives and professional service fees and expenses of $1.0 million incurred in connection with certain strategic evaluations, which was offset in part by a $0.5 million gain on sale of certain legacy equipment of the closed back-end line in our fabrication facility in Gumi. For the year ended December 31, 2021, this adjustment eliminates $3.4 million non-recurring professional service fees and expenses incurred in connection with the regulatory requests, which was offset in part by $1.4 million gain on sale of certain legacy equipment of the closed back-end line in our fabrication facility in Gumi, and $0.7 million legal settlement gain related to certain expenses incurred in prior periods in connection with our legacy Fab 4 (which was sold during the year ended December 31, 2020) and awarded in the third quarter of 2021.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204" w:lineRule="exact"/>
        <w:rPr>
          <w:rFonts w:ascii="Times New Roman" w:cs="Times New Roman" w:eastAsia="Times New Roman" w:hAnsi="Times New Roman"/>
          <w:sz w:val="16"/>
          <w:szCs w:val="16"/>
          <w:color w:val="auto"/>
        </w:rPr>
      </w:pPr>
    </w:p>
    <w:p>
      <w:pPr>
        <w:ind w:left="400" w:right="60" w:hanging="394"/>
        <w:spacing w:after="0" w:line="233" w:lineRule="auto"/>
        <w:tabs>
          <w:tab w:leader="none" w:pos="4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2022 and 2021, income tax effect on non-GAAP adjustments were calculated by calculating the tax expense of each jurisdiction with or without the non-GAAP adjustments. For the year ended December 31, 2022, income tax effect on non-GAAP adjustments related to our Korean subsidiary and the U.S parent entity were $6.2 million and negative $1.7 million, respectively. For the year ended December 31, 2021, income tax effect on non-GAAP adjustments related to our Korean subsidiary and the U.S parent entity were $2.8 million and $6.9 million, respectively.</w:t>
      </w:r>
    </w:p>
    <w:p>
      <w:pPr>
        <w:spacing w:after="0" w:line="66" w:lineRule="exact"/>
        <w:rPr>
          <w:rFonts w:ascii="Times New Roman" w:cs="Times New Roman" w:eastAsia="Times New Roman" w:hAnsi="Times New Roman"/>
          <w:sz w:val="16"/>
          <w:szCs w:val="16"/>
          <w:color w:val="auto"/>
        </w:rPr>
      </w:pPr>
    </w:p>
    <w:p>
      <w:pPr>
        <w:ind w:left="400" w:right="100" w:hanging="394"/>
        <w:spacing w:after="0" w:line="232" w:lineRule="auto"/>
        <w:tabs>
          <w:tab w:leader="none" w:pos="4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adjustment for GAAP and cash tax expense difference in connection with the release of valuation allowances will no longer be an adjustment included in this non-GAAP financial measure. The reconciliation for the year ended December 31, 2021 presented above has been recast to reflect the removal of this adjustment in accordance with Securities and Exchange Commission guidance.</w:t>
      </w:r>
    </w:p>
    <w:p>
      <w:pPr>
        <w:spacing w:after="0" w:line="66" w:lineRule="exact"/>
        <w:rPr>
          <w:rFonts w:ascii="Times New Roman" w:cs="Times New Roman" w:eastAsia="Times New Roman" w:hAnsi="Times New Roman"/>
          <w:sz w:val="16"/>
          <w:szCs w:val="16"/>
          <w:color w:val="auto"/>
        </w:rPr>
      </w:pPr>
    </w:p>
    <w:p>
      <w:pPr>
        <w:ind w:left="400" w:right="180"/>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believe that all adjustments to income (loss) used to calculate Adjusted Net Income was applied consistently to the periods presented. Adjusted Net Income has limitations as an analytical tool, and you should not consider it in isolation, or as a substitute for analysis of our results as reported under U.S. GAAP. Some of these limitations are:</w:t>
      </w:r>
    </w:p>
    <w:p>
      <w:pPr>
        <w:spacing w:after="0" w:line="106" w:lineRule="exact"/>
        <w:rPr>
          <w:rFonts w:ascii="Times New Roman" w:cs="Times New Roman" w:eastAsia="Times New Roman" w:hAnsi="Times New Roman"/>
          <w:sz w:val="16"/>
          <w:szCs w:val="16"/>
          <w:color w:val="auto"/>
        </w:rPr>
      </w:pPr>
    </w:p>
    <w:p>
      <w:pPr>
        <w:ind w:left="800" w:hanging="394"/>
        <w:spacing w:after="0"/>
        <w:tabs>
          <w:tab w:leader="none" w:pos="800" w:val="left"/>
        </w:tabs>
        <w:numPr>
          <w:ilvl w:val="1"/>
          <w:numId w:val="34"/>
        </w:numPr>
        <w:rPr>
          <w:rFonts w:ascii="Symbol" w:cs="Symbol" w:eastAsia="Symbol" w:hAnsi="Symbol"/>
          <w:sz w:val="16"/>
          <w:szCs w:val="16"/>
          <w:color w:val="auto"/>
        </w:rPr>
      </w:pPr>
      <w:r>
        <w:rPr>
          <w:rFonts w:ascii="Times New Roman" w:cs="Times New Roman" w:eastAsia="Times New Roman" w:hAnsi="Times New Roman"/>
          <w:sz w:val="16"/>
          <w:szCs w:val="16"/>
          <w:color w:val="auto"/>
        </w:rPr>
        <w:t>Adjusted Net Income does not reflect changes in, or cash requirements for, our working capital needs;</w:t>
      </w:r>
    </w:p>
    <w:p>
      <w:pPr>
        <w:spacing w:after="0" w:line="124" w:lineRule="exact"/>
        <w:rPr>
          <w:rFonts w:ascii="Symbol" w:cs="Symbol" w:eastAsia="Symbol" w:hAnsi="Symbol"/>
          <w:sz w:val="16"/>
          <w:szCs w:val="16"/>
          <w:color w:val="auto"/>
        </w:rPr>
      </w:pPr>
    </w:p>
    <w:p>
      <w:pPr>
        <w:ind w:left="800" w:right="140" w:hanging="394"/>
        <w:spacing w:after="0" w:line="224" w:lineRule="auto"/>
        <w:tabs>
          <w:tab w:leader="none" w:pos="800" w:val="left"/>
        </w:tabs>
        <w:numPr>
          <w:ilvl w:val="1"/>
          <w:numId w:val="34"/>
        </w:numPr>
        <w:rPr>
          <w:rFonts w:ascii="Symbol" w:cs="Symbol" w:eastAsia="Symbol" w:hAnsi="Symbol"/>
          <w:sz w:val="16"/>
          <w:szCs w:val="16"/>
          <w:color w:val="auto"/>
        </w:rPr>
      </w:pPr>
      <w:r>
        <w:rPr>
          <w:rFonts w:ascii="Times New Roman" w:cs="Times New Roman" w:eastAsia="Times New Roman" w:hAnsi="Times New Roman"/>
          <w:sz w:val="16"/>
          <w:szCs w:val="16"/>
          <w:color w:val="auto"/>
        </w:rPr>
        <w:t>Adjusted Net Income does not consider the potentially dilutive impact of issuing equity-based compensation to our management team and employees;</w:t>
      </w:r>
    </w:p>
    <w:p>
      <w:pPr>
        <w:spacing w:after="0" w:line="105" w:lineRule="exact"/>
        <w:rPr>
          <w:rFonts w:ascii="Symbol" w:cs="Symbol" w:eastAsia="Symbol" w:hAnsi="Symbol"/>
          <w:sz w:val="16"/>
          <w:szCs w:val="16"/>
          <w:color w:val="auto"/>
        </w:rPr>
      </w:pPr>
    </w:p>
    <w:p>
      <w:pPr>
        <w:ind w:left="800" w:hanging="394"/>
        <w:spacing w:after="0"/>
        <w:tabs>
          <w:tab w:leader="none" w:pos="800" w:val="left"/>
        </w:tabs>
        <w:numPr>
          <w:ilvl w:val="1"/>
          <w:numId w:val="34"/>
        </w:numPr>
        <w:rPr>
          <w:rFonts w:ascii="Symbol" w:cs="Symbol" w:eastAsia="Symbol" w:hAnsi="Symbol"/>
          <w:sz w:val="16"/>
          <w:szCs w:val="16"/>
          <w:color w:val="auto"/>
        </w:rPr>
      </w:pPr>
      <w:r>
        <w:rPr>
          <w:rFonts w:ascii="Times New Roman" w:cs="Times New Roman" w:eastAsia="Times New Roman" w:hAnsi="Times New Roman"/>
          <w:sz w:val="16"/>
          <w:szCs w:val="16"/>
          <w:color w:val="auto"/>
        </w:rPr>
        <w:t>Adjusted Net Income does not reflect the costs of holding certain assets and liabilities in foreign currencies; and</w:t>
      </w:r>
    </w:p>
    <w:p>
      <w:pPr>
        <w:spacing w:after="0" w:line="124" w:lineRule="exact"/>
        <w:rPr>
          <w:rFonts w:ascii="Symbol" w:cs="Symbol" w:eastAsia="Symbol" w:hAnsi="Symbol"/>
          <w:sz w:val="16"/>
          <w:szCs w:val="16"/>
          <w:color w:val="auto"/>
        </w:rPr>
      </w:pPr>
    </w:p>
    <w:p>
      <w:pPr>
        <w:ind w:left="800" w:right="760" w:hanging="394"/>
        <w:spacing w:after="0" w:line="224" w:lineRule="auto"/>
        <w:tabs>
          <w:tab w:leader="none" w:pos="800" w:val="left"/>
        </w:tabs>
        <w:numPr>
          <w:ilvl w:val="1"/>
          <w:numId w:val="34"/>
        </w:numPr>
        <w:rPr>
          <w:rFonts w:ascii="Symbol" w:cs="Symbol" w:eastAsia="Symbol" w:hAnsi="Symbol"/>
          <w:sz w:val="16"/>
          <w:szCs w:val="16"/>
          <w:color w:val="auto"/>
        </w:rPr>
      </w:pPr>
      <w:r>
        <w:rPr>
          <w:rFonts w:ascii="Times New Roman" w:cs="Times New Roman" w:eastAsia="Times New Roman" w:hAnsi="Times New Roman"/>
          <w:sz w:val="16"/>
          <w:szCs w:val="16"/>
          <w:color w:val="auto"/>
        </w:rPr>
        <w:t>other companies in our industry may calculate Adjusted Net Income differently than we do, limiting its usefulness as a comparative measure.</w:t>
      </w:r>
    </w:p>
    <w:p>
      <w:pPr>
        <w:spacing w:after="0" w:line="65" w:lineRule="exact"/>
        <w:rPr>
          <w:sz w:val="20"/>
          <w:szCs w:val="20"/>
          <w:color w:val="auto"/>
        </w:rPr>
      </w:pPr>
    </w:p>
    <w:p>
      <w:pPr>
        <w:ind w:left="400" w:right="120"/>
        <w:spacing w:after="0" w:line="232" w:lineRule="auto"/>
        <w:rPr>
          <w:sz w:val="20"/>
          <w:szCs w:val="20"/>
          <w:color w:val="auto"/>
        </w:rPr>
      </w:pPr>
      <w:r>
        <w:rPr>
          <w:rFonts w:ascii="Times New Roman" w:cs="Times New Roman" w:eastAsia="Times New Roman" w:hAnsi="Times New Roman"/>
          <w:sz w:val="16"/>
          <w:szCs w:val="16"/>
          <w:color w:val="auto"/>
        </w:rPr>
        <w:t>Because of these limitations, Adjusted Net Income should not be considered as a measure of profitability of our business. We compensate for these limitations by relying primarily on our U.S. GAAP results and using Adjusted Net Income only as a supplement.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Affecting Our Results of Operations</w:t>
      </w:r>
    </w:p>
    <w:p>
      <w:pPr>
        <w:spacing w:after="0" w:line="114"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Sales. </w:t>
      </w:r>
      <w:r>
        <w:rPr>
          <w:rFonts w:ascii="Times New Roman" w:cs="Times New Roman" w:eastAsia="Times New Roman" w:hAnsi="Times New Roman"/>
          <w:sz w:val="20"/>
          <w:szCs w:val="20"/>
          <w:color w:val="auto"/>
        </w:rPr>
        <w:t>We derive substantially all of our sales (net of sales returns and allowances) from our standard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products business. We outsource manufacturing of mobile OLED products to external 12-inch foundries.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offices near concentrations of major customers. Our sales offices are located in Korea, Japan, Taiwan and Greater China. Our network of authorized agents and distributors is in the U.S., Europe and the Asia Pacific region.</w:t>
      </w:r>
    </w:p>
    <w:p>
      <w:pPr>
        <w:spacing w:after="0" w:line="136" w:lineRule="exact"/>
        <w:rPr>
          <w:sz w:val="20"/>
          <w:szCs w:val="20"/>
          <w:color w:val="auto"/>
        </w:rPr>
      </w:pPr>
    </w:p>
    <w:p>
      <w:pPr>
        <w:ind w:right="160" w:firstLine="400"/>
        <w:spacing w:after="0" w:line="247" w:lineRule="auto"/>
        <w:rPr>
          <w:sz w:val="20"/>
          <w:szCs w:val="20"/>
          <w:color w:val="auto"/>
        </w:rPr>
      </w:pPr>
      <w:r>
        <w:rPr>
          <w:rFonts w:ascii="Times New Roman" w:cs="Times New Roman" w:eastAsia="Times New Roman" w:hAnsi="Times New Roman"/>
          <w:sz w:val="20"/>
          <w:szCs w:val="20"/>
          <w:color w:val="auto"/>
        </w:rPr>
        <w:t>We recognize revenue when a customer obtains control of the product, which is generally upon product shipment, delivery at the customer’s location or upon customer acceptance, depending on the terms of the arrangement. For the years ended December 31, 2022 and 2021, we sold products to 175 and 177 customers, respectively, and our net sales to our ten largest customers represented 69% and 80% of our net sales—standard products business, respectively.</w:t>
      </w:r>
    </w:p>
    <w:p>
      <w:pPr>
        <w:spacing w:after="0" w:line="137" w:lineRule="exact"/>
        <w:rPr>
          <w:sz w:val="20"/>
          <w:szCs w:val="20"/>
          <w:color w:val="auto"/>
        </w:rPr>
      </w:pPr>
    </w:p>
    <w:p>
      <w:pPr>
        <w:ind w:right="280" w:firstLine="400"/>
        <w:spacing w:after="0" w:line="239" w:lineRule="auto"/>
        <w:rPr>
          <w:sz w:val="20"/>
          <w:szCs w:val="20"/>
          <w:color w:val="auto"/>
        </w:rPr>
      </w:pPr>
      <w:r>
        <w:rPr>
          <w:rFonts w:ascii="Times New Roman" w:cs="Times New Roman" w:eastAsia="Times New Roman" w:hAnsi="Times New Roman"/>
          <w:sz w:val="20"/>
          <w:szCs w:val="20"/>
          <w:color w:val="auto"/>
        </w:rPr>
        <w:t>We will provide the Transitional Fab 3 Foundry Services up to September 1, 2023 at an agreed upon cost plus a mark-up.</w:t>
      </w:r>
    </w:p>
    <w:p>
      <w:pPr>
        <w:spacing w:after="0" w:line="136" w:lineRule="exact"/>
        <w:rPr>
          <w:sz w:val="20"/>
          <w:szCs w:val="20"/>
          <w:color w:val="auto"/>
        </w:rPr>
      </w:pPr>
    </w:p>
    <w:p>
      <w:pPr>
        <w:ind w:right="28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Gross Profit. </w:t>
      </w:r>
      <w:r>
        <w:rPr>
          <w:rFonts w:ascii="Times New Roman" w:cs="Times New Roman" w:eastAsia="Times New Roman" w:hAnsi="Times New Roman"/>
          <w:sz w:val="20"/>
          <w:szCs w:val="20"/>
          <w:color w:val="auto"/>
        </w:rPr>
        <w:t>Our overall gross profit generally fluctuates as a result of changes in overall sales volumes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in the average 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ectPr>
          <w:pgSz w:w="12240" w:h="15840" w:orient="portrait"/>
          <w:cols w:equalWidth="0" w:num="1">
            <w:col w:w="9380"/>
          </w:cols>
          <w:pgMar w:left="1420" w:top="905" w:right="1440" w:bottom="182"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80"/>
          </w:cols>
          <w:pgMar w:left="1420" w:top="905" w:right="1440" w:bottom="182" w:gutter="0" w:footer="0" w:header="0"/>
          <w:type w:val="continuous"/>
        </w:sectPr>
      </w:pPr>
    </w:p>
    <w:bookmarkStart w:id="48" w:name="page49"/>
    <w:bookmarkEnd w:id="48"/>
    <w:p>
      <w:pPr>
        <w:ind w:right="20" w:firstLine="40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Average Selling Prices. </w:t>
      </w:r>
      <w:r>
        <w:rPr>
          <w:rFonts w:ascii="Times New Roman" w:cs="Times New Roman" w:eastAsia="Times New Roman" w:hAnsi="Times New Roman"/>
          <w:sz w:val="20"/>
          <w:szCs w:val="20"/>
          <w:color w:val="auto"/>
        </w:rPr>
        <w:t>Average selling prices for our products tend to be highest at the time of introduction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new products which utilize the 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375" w:lineRule="exact"/>
        <w:rPr>
          <w:sz w:val="20"/>
          <w:szCs w:val="20"/>
          <w:color w:val="auto"/>
        </w:rPr>
      </w:pPr>
    </w:p>
    <w:p>
      <w:pPr>
        <w:ind w:right="40" w:firstLine="4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Material Costs. </w:t>
      </w:r>
      <w:r>
        <w:rPr>
          <w:rFonts w:ascii="Times New Roman" w:cs="Times New Roman" w:eastAsia="Times New Roman" w:hAnsi="Times New Roman"/>
          <w:sz w:val="20"/>
          <w:szCs w:val="20"/>
          <w:color w:val="auto"/>
        </w:rPr>
        <w:t>Our material costs consist of costs of raw materials, such as silicon wafers, chemicals, gases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tape and packaging supplies. We 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17" w:lineRule="exact"/>
        <w:rPr>
          <w:sz w:val="20"/>
          <w:szCs w:val="20"/>
          <w:color w:val="auto"/>
        </w:rPr>
      </w:pPr>
    </w:p>
    <w:p>
      <w:pPr>
        <w:ind w:right="22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Labor Costs. </w:t>
      </w:r>
      <w:r>
        <w:rPr>
          <w:rFonts w:ascii="Times New Roman" w:cs="Times New Roman" w:eastAsia="Times New Roman" w:hAnsi="Times New Roman"/>
          <w:sz w:val="20"/>
          <w:szCs w:val="20"/>
          <w:color w:val="auto"/>
        </w:rPr>
        <w:t>A significant portion of our employees are located in Korea. Under Korean labor laws, most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employees and certain executive officers with one or more years of service are entitled to severance benefits upon the termination of their employment based on their length of service and rate of pay. As of December 31, 2022, approximately 97% of our employees were eligible for severance benefits.</w:t>
      </w:r>
    </w:p>
    <w:p>
      <w:pPr>
        <w:spacing w:after="0" w:line="126"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Depreciation Expense. </w:t>
      </w:r>
      <w:r>
        <w:rPr>
          <w:rFonts w:ascii="Times New Roman" w:cs="Times New Roman" w:eastAsia="Times New Roman" w:hAnsi="Times New Roman"/>
          <w:sz w:val="20"/>
          <w:szCs w:val="20"/>
          <w:color w:val="auto"/>
        </w:rPr>
        <w:t>We periodically evaluate the carrying values of long-lived assets, including property,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plant and equipment and intangible assets, as well as the related depreciation periods. We depreciated our property, plant and equipment using the straight-line method over the estimated useful lives of our assets. Depreciation rates vary from 30-40 years on buildings to 3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31" w:lineRule="exact"/>
        <w:rPr>
          <w:sz w:val="20"/>
          <w:szCs w:val="20"/>
          <w:color w:val="auto"/>
        </w:rPr>
      </w:pPr>
    </w:p>
    <w:p>
      <w:pPr>
        <w:ind w:right="8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Selling Expenses. </w:t>
      </w:r>
      <w:r>
        <w:rPr>
          <w:rFonts w:ascii="Times New Roman" w:cs="Times New Roman" w:eastAsia="Times New Roman" w:hAnsi="Times New Roman"/>
          <w:sz w:val="20"/>
          <w:szCs w:val="20"/>
          <w:color w:val="auto"/>
        </w:rPr>
        <w:t>We sell our products worldwide through a direct sales force as well as a network of sales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agents and 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27" w:lineRule="exact"/>
        <w:rPr>
          <w:sz w:val="20"/>
          <w:szCs w:val="20"/>
          <w:color w:val="auto"/>
        </w:rPr>
      </w:pPr>
    </w:p>
    <w:p>
      <w:pPr>
        <w:ind w:right="18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and Administrative Expenses. </w:t>
      </w:r>
      <w:r>
        <w:rPr>
          <w:rFonts w:ascii="Times New Roman" w:cs="Times New Roman" w:eastAsia="Times New Roman" w:hAnsi="Times New Roman"/>
          <w:sz w:val="20"/>
          <w:szCs w:val="20"/>
          <w:color w:val="auto"/>
        </w:rPr>
        <w:t>General and administrative expenses consist of the costs of various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corporate operations, including finance, legal, human resources and other administrative functions. These expenses primarily consist of payroll-related expenses, consulting and other professional fees and office facility-related expenses.</w:t>
      </w:r>
    </w:p>
    <w:p>
      <w:pPr>
        <w:spacing w:after="0" w:line="126" w:lineRule="exact"/>
        <w:rPr>
          <w:sz w:val="20"/>
          <w:szCs w:val="20"/>
          <w:color w:val="auto"/>
        </w:rPr>
      </w:pPr>
    </w:p>
    <w:p>
      <w:pPr>
        <w:ind w:right="100" w:firstLine="40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Research and Development. </w:t>
      </w:r>
      <w:r>
        <w:rPr>
          <w:rFonts w:ascii="Times New Roman" w:cs="Times New Roman" w:eastAsia="Times New Roman" w:hAnsi="Times New Roman"/>
          <w:sz w:val="20"/>
          <w:szCs w:val="20"/>
          <w:color w:val="auto"/>
        </w:rPr>
        <w:t>The rapid technological change and product obsolescence that characterize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industry require us to make 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28-nanometer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w:t>
      </w:r>
    </w:p>
    <w:p>
      <w:pPr>
        <w:spacing w:after="0" w:line="125"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Impact of Foreign Currency Exchange Rates on Reported Results of Operations. </w:t>
      </w:r>
      <w:r>
        <w:rPr>
          <w:rFonts w:ascii="Times New Roman" w:cs="Times New Roman" w:eastAsia="Times New Roman" w:hAnsi="Times New Roman"/>
          <w:sz w:val="20"/>
          <w:szCs w:val="20"/>
          <w:color w:val="auto"/>
        </w:rPr>
        <w:t>Historically, a portion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revenues and cost of sales and 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w:t>
      </w:r>
    </w:p>
    <w:p>
      <w:pPr>
        <w:sectPr>
          <w:pgSz w:w="12240" w:h="15840" w:orient="portrait"/>
          <w:cols w:equalWidth="0" w:num="1">
            <w:col w:w="9380"/>
          </w:cols>
          <w:pgMar w:left="1420" w:top="893" w:right="1440" w:bottom="18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80"/>
          </w:cols>
          <w:pgMar w:left="1420" w:top="893" w:right="1440" w:bottom="182" w:gutter="0" w:footer="0" w:header="0"/>
          <w:type w:val="continuous"/>
        </w:sectPr>
      </w:pPr>
    </w:p>
    <w:bookmarkStart w:id="49" w:name="page50"/>
    <w:bookmarkEnd w:id="49"/>
    <w:p>
      <w:pPr>
        <w:ind w:right="40"/>
        <w:spacing w:after="0" w:line="260" w:lineRule="auto"/>
        <w:rPr>
          <w:sz w:val="20"/>
          <w:szCs w:val="20"/>
          <w:color w:val="auto"/>
        </w:rPr>
      </w:pPr>
      <w:r>
        <w:rPr>
          <w:rFonts w:ascii="Times New Roman" w:cs="Times New Roman" w:eastAsia="Times New Roman" w:hAnsi="Times New Roman"/>
          <w:sz w:val="20"/>
          <w:szCs w:val="20"/>
          <w:color w:val="auto"/>
        </w:rPr>
        <w:t>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December 31, 2022, the outstanding intercompany loan balance including accrued interest between our Korean subsidiary and our Dutch subsidiary was $311.0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379" w:lineRule="exact"/>
        <w:rPr>
          <w:sz w:val="20"/>
          <w:szCs w:val="20"/>
          <w:color w:val="auto"/>
        </w:rPr>
      </w:pPr>
    </w:p>
    <w:p>
      <w:pPr>
        <w:ind w:right="40" w:firstLine="400"/>
        <w:spacing w:after="0" w:line="259" w:lineRule="auto"/>
        <w:rPr>
          <w:sz w:val="20"/>
          <w:szCs w:val="20"/>
          <w:color w:val="auto"/>
        </w:rPr>
      </w:pPr>
      <w:r>
        <w:rPr>
          <w:rFonts w:ascii="Times New Roman" w:cs="Times New Roman" w:eastAsia="Times New Roman" w:hAnsi="Times New Roman"/>
          <w:sz w:val="20"/>
          <w:szCs w:val="20"/>
          <w:color w:val="auto"/>
        </w:rPr>
        <w:t>From time to time, we may engage in exchange rate hedging activities in an effort to mitigate the impact of exchange rate fluctuations. Our Korean subsidiary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See ‘‘Note 10. Derivative Financial Instruments’’ to our consolidated financial statements under ‘‘Item 8. Financial Statements and Supplementary Data’’ for additional information regarding our foreign exchange hedging activities.</w:t>
      </w:r>
    </w:p>
    <w:p>
      <w:pPr>
        <w:spacing w:after="0" w:line="134" w:lineRule="exact"/>
        <w:rPr>
          <w:sz w:val="20"/>
          <w:szCs w:val="20"/>
          <w:color w:val="auto"/>
        </w:rPr>
      </w:pPr>
    </w:p>
    <w:p>
      <w:pPr>
        <w:ind w:right="10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Foreign Currency Gain or Loss. </w:t>
      </w:r>
      <w:r>
        <w:rPr>
          <w:rFonts w:ascii="Times New Roman" w:cs="Times New Roman" w:eastAsia="Times New Roman" w:hAnsi="Times New Roman"/>
          <w:sz w:val="20"/>
          <w:szCs w:val="20"/>
          <w:color w:val="auto"/>
        </w:rPr>
        <w:t>Foreign currency translation gains or losses on transactions by us or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subsidiaries in a currency other than our 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28" w:lineRule="exact"/>
        <w:rPr>
          <w:sz w:val="20"/>
          <w:szCs w:val="20"/>
          <w:color w:val="auto"/>
        </w:rPr>
      </w:pPr>
    </w:p>
    <w:p>
      <w:pPr>
        <w:ind w:right="10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Taxes. </w:t>
      </w:r>
      <w:r>
        <w:rPr>
          <w:rFonts w:ascii="Times New Roman" w:cs="Times New Roman" w:eastAsia="Times New Roman" w:hAnsi="Times New Roman"/>
          <w:sz w:val="20"/>
          <w:szCs w:val="20"/>
          <w:color w:val="auto"/>
        </w:rPr>
        <w:t>We record our income taxes in each of the tax jurisdictions in which we operate.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process involves using an asset and liability 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40" w:lineRule="exact"/>
        <w:rPr>
          <w:sz w:val="20"/>
          <w:szCs w:val="20"/>
          <w:color w:val="auto"/>
        </w:rPr>
      </w:pPr>
    </w:p>
    <w:p>
      <w:pPr>
        <w:ind w:right="120" w:firstLine="400"/>
        <w:spacing w:after="0" w:line="248" w:lineRule="auto"/>
        <w:rPr>
          <w:sz w:val="20"/>
          <w:szCs w:val="20"/>
          <w:color w:val="auto"/>
        </w:rPr>
      </w:pPr>
      <w:r>
        <w:rPr>
          <w:rFonts w:ascii="Times New Roman" w:cs="Times New Roman" w:eastAsia="Times New Roman" w:hAnsi="Times New Roman"/>
          <w:sz w:val="20"/>
          <w:szCs w:val="20"/>
          <w:color w:val="auto"/>
        </w:rPr>
        <w:t>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363" w:lineRule="exact"/>
        <w:rPr>
          <w:sz w:val="20"/>
          <w:szCs w:val="20"/>
          <w:color w:val="auto"/>
        </w:rPr>
      </w:pPr>
    </w:p>
    <w:p>
      <w:pPr>
        <w:ind w:right="34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Capital Expenditures. </w:t>
      </w:r>
      <w:r>
        <w:rPr>
          <w:rFonts w:ascii="Times New Roman" w:cs="Times New Roman" w:eastAsia="Times New Roman" w:hAnsi="Times New Roman"/>
          <w:sz w:val="20"/>
          <w:szCs w:val="20"/>
          <w:color w:val="auto"/>
        </w:rPr>
        <w:t>We primarily invest in manufacturing equipment, software design tools and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tangible assets mainly 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28"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Inventories. </w:t>
      </w:r>
      <w:r>
        <w:rPr>
          <w:rFonts w:ascii="Times New Roman" w:cs="Times New Roman" w:eastAsia="Times New Roman" w:hAnsi="Times New Roman"/>
          <w:sz w:val="20"/>
          <w:szCs w:val="20"/>
          <w:color w:val="auto"/>
        </w:rPr>
        <w:t>We monitor our inventory levels in light of product development changes and market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expectations. We may be required to take additional charges for quantities in excess of demand, cost in excess of market value and product age. Our analysis may take into consideration historical usage, expected demand,</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80"/>
          </w:cols>
          <w:pgMar w:left="1420" w:top="899" w:right="1440" w:bottom="182" w:gutter="0" w:footer="0" w:header="0"/>
          <w:type w:val="continuous"/>
        </w:sectPr>
      </w:pPr>
    </w:p>
    <w:bookmarkStart w:id="50" w:name="page51"/>
    <w:bookmarkEnd w:id="50"/>
    <w:p>
      <w:pPr>
        <w:ind w:right="140"/>
        <w:spacing w:after="0" w:line="258" w:lineRule="auto"/>
        <w:rPr>
          <w:sz w:val="20"/>
          <w:szCs w:val="20"/>
          <w:color w:val="auto"/>
        </w:rPr>
      </w:pPr>
      <w:r>
        <w:rPr>
          <w:rFonts w:ascii="Times New Roman" w:cs="Times New Roman" w:eastAsia="Times New Roman" w:hAnsi="Times New Roman"/>
          <w:sz w:val="20"/>
          <w:szCs w:val="20"/>
          <w:color w:val="auto"/>
        </w:rPr>
        <w:t>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2022 and 2021</w:t>
      </w:r>
    </w:p>
    <w:p>
      <w:pPr>
        <w:spacing w:after="0" w:line="130" w:lineRule="exact"/>
        <w:rPr>
          <w:sz w:val="20"/>
          <w:szCs w:val="20"/>
          <w:color w:val="auto"/>
        </w:rPr>
      </w:pPr>
    </w:p>
    <w:p>
      <w:pPr>
        <w:ind w:right="140" w:firstLine="400"/>
        <w:spacing w:after="0" w:line="250" w:lineRule="auto"/>
        <w:rPr>
          <w:sz w:val="20"/>
          <w:szCs w:val="20"/>
          <w:color w:val="auto"/>
        </w:rPr>
      </w:pPr>
      <w:r>
        <w:rPr>
          <w:rFonts w:ascii="Times New Roman" w:cs="Times New Roman" w:eastAsia="Times New Roman" w:hAnsi="Times New Roman"/>
          <w:sz w:val="20"/>
          <w:szCs w:val="20"/>
          <w:color w:val="auto"/>
        </w:rPr>
        <w:t>The following table sets forth consolidated results of operations for the years ended December 31,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6"/>
                <w:szCs w:val="16"/>
                <w:color w:val="auto"/>
              </w:rPr>
            </w:pPr>
          </w:p>
        </w:tc>
        <w:tc>
          <w:tcPr>
            <w:tcW w:w="170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5"/>
        </w:trPr>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6"/>
          </w:tcPr>
          <w:p>
            <w:pPr>
              <w:jc w:val="right"/>
              <w:ind w:right="34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2022</w:t>
            </w:r>
          </w:p>
        </w:tc>
        <w:tc>
          <w:tcPr>
            <w:tcW w:w="1800" w:type="dxa"/>
            <w:vAlign w:val="bottom"/>
            <w:gridSpan w:val="6"/>
          </w:tcPr>
          <w:p>
            <w:pPr>
              <w:ind w:left="8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0"/>
        </w:trPr>
        <w:tc>
          <w:tcPr>
            <w:tcW w:w="5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rPr>
              <w:t>% of</w:t>
            </w: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rPr>
              <w:t>%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70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185"/>
        </w:trPr>
        <w:tc>
          <w:tcPr>
            <w:tcW w:w="5120" w:type="dxa"/>
            <w:vAlign w:val="bottom"/>
          </w:tcPr>
          <w:p>
            <w:pPr>
              <w:spacing w:after="0"/>
              <w:rPr>
                <w:sz w:val="16"/>
                <w:szCs w:val="16"/>
                <w:color w:val="auto"/>
              </w:rPr>
            </w:pPr>
          </w:p>
        </w:tc>
        <w:tc>
          <w:tcPr>
            <w:tcW w:w="580" w:type="dxa"/>
            <w:vAlign w:val="bottom"/>
            <w:tcBorders>
              <w:bottom w:val="single" w:sz="8" w:color="auto"/>
            </w:tcBorders>
            <w:gridSpan w:val="4"/>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tcPr>
          <w:p>
            <w:pPr>
              <w:spacing w:after="0"/>
              <w:rPr>
                <w:sz w:val="16"/>
                <w:szCs w:val="16"/>
                <w:color w:val="auto"/>
              </w:rPr>
            </w:pPr>
          </w:p>
        </w:tc>
        <w:tc>
          <w:tcPr>
            <w:tcW w:w="62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revenues</w:t>
            </w:r>
          </w:p>
        </w:tc>
        <w:tc>
          <w:tcPr>
            <w:tcW w:w="320" w:type="dxa"/>
            <w:vAlign w:val="bottom"/>
          </w:tcPr>
          <w:p>
            <w:pPr>
              <w:spacing w:after="0"/>
              <w:rPr>
                <w:sz w:val="16"/>
                <w:szCs w:val="16"/>
                <w:color w:val="auto"/>
              </w:rPr>
            </w:pPr>
          </w:p>
        </w:tc>
        <w:tc>
          <w:tcPr>
            <w:tcW w:w="580" w:type="dxa"/>
            <w:vAlign w:val="bottom"/>
            <w:tcBorders>
              <w:bottom w:val="single" w:sz="8" w:color="auto"/>
            </w:tcBorders>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tcPr>
          <w:p>
            <w:pPr>
              <w:spacing w:after="0"/>
              <w:rPr>
                <w:sz w:val="16"/>
                <w:szCs w:val="16"/>
                <w:color w:val="auto"/>
              </w:rPr>
            </w:pPr>
          </w:p>
        </w:tc>
        <w:tc>
          <w:tcPr>
            <w:tcW w:w="62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300" w:type="dxa"/>
            <w:vAlign w:val="bottom"/>
          </w:tcPr>
          <w:p>
            <w:pPr>
              <w:spacing w:after="0"/>
              <w:rPr>
                <w:sz w:val="16"/>
                <w:szCs w:val="16"/>
                <w:color w:val="auto"/>
              </w:rPr>
            </w:pPr>
          </w:p>
        </w:tc>
        <w:tc>
          <w:tcPr>
            <w:tcW w:w="620" w:type="dxa"/>
            <w:vAlign w:val="bottom"/>
            <w:tcBorders>
              <w:bottom w:val="single" w:sz="8" w:color="auto"/>
            </w:tcBorders>
            <w:gridSpan w:val="2"/>
          </w:tcPr>
          <w:p>
            <w:pPr>
              <w:ind w:left="40"/>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6"/>
                <w:szCs w:val="16"/>
                <w:color w:val="auto"/>
              </w:rPr>
            </w:pPr>
          </w:p>
        </w:tc>
      </w:tr>
      <w:tr>
        <w:trPr>
          <w:trHeight w:val="175"/>
        </w:trPr>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20" w:type="dxa"/>
            <w:vAlign w:val="bottom"/>
            <w:gridSpan w:val="7"/>
          </w:tcPr>
          <w:p>
            <w:pPr>
              <w:jc w:val="right"/>
              <w:ind w:right="800"/>
              <w:spacing w:after="0" w:line="175" w:lineRule="exact"/>
              <w:rPr>
                <w:sz w:val="20"/>
                <w:szCs w:val="20"/>
                <w:color w:val="auto"/>
              </w:rPr>
            </w:pPr>
            <w:r>
              <w:rPr>
                <w:rFonts w:ascii="Times New Roman" w:cs="Times New Roman" w:eastAsia="Times New Roman" w:hAnsi="Times New Roman"/>
                <w:sz w:val="16"/>
                <w:szCs w:val="16"/>
                <w:b w:val="1"/>
                <w:bCs w:val="1"/>
                <w:color w:val="auto"/>
                <w:w w:val="95"/>
              </w:rPr>
              <w:t>(Dollars in millions)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5"/>
        </w:trPr>
        <w:tc>
          <w:tcPr>
            <w:tcW w:w="5120" w:type="dxa"/>
            <w:vAlign w:val="bottom"/>
          </w:tcPr>
          <w:p>
            <w:pPr>
              <w:jc w:val="right"/>
              <w:ind w:right="4240"/>
              <w:spacing w:after="0"/>
              <w:rPr>
                <w:sz w:val="20"/>
                <w:szCs w:val="20"/>
                <w:color w:val="auto"/>
              </w:rPr>
            </w:pPr>
            <w:r>
              <w:rPr>
                <w:rFonts w:ascii="Times New Roman" w:cs="Times New Roman" w:eastAsia="Times New Roman" w:hAnsi="Times New Roman"/>
                <w:sz w:val="20"/>
                <w:szCs w:val="20"/>
                <w:color w:val="auto"/>
                <w:w w:val="97"/>
              </w:rPr>
              <w:t>Revenues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5"/>
        </w:trPr>
        <w:tc>
          <w:tcPr>
            <w:tcW w:w="5120" w:type="dxa"/>
            <w:vAlign w:val="bottom"/>
          </w:tcPr>
          <w:p>
            <w:pPr>
              <w:jc w:val="right"/>
              <w:ind w:right="220"/>
              <w:spacing w:after="0" w:line="215" w:lineRule="exact"/>
              <w:rPr>
                <w:sz w:val="20"/>
                <w:szCs w:val="20"/>
                <w:color w:val="auto"/>
              </w:rPr>
            </w:pPr>
            <w:r>
              <w:rPr>
                <w:rFonts w:ascii="Times New Roman" w:cs="Times New Roman" w:eastAsia="Times New Roman" w:hAnsi="Times New Roman"/>
                <w:sz w:val="20"/>
                <w:szCs w:val="20"/>
                <w:color w:val="auto"/>
              </w:rPr>
              <w:t>Net sales—standard products business . . . . . . . . . . . . . . .</w:t>
            </w:r>
          </w:p>
        </w:tc>
        <w:tc>
          <w:tcPr>
            <w:tcW w:w="120" w:type="dxa"/>
            <w:vAlign w:val="bottom"/>
            <w:gridSpan w:val="2"/>
          </w:tcPr>
          <w:p>
            <w:pPr>
              <w:ind w:left="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93"/>
              </w:rPr>
              <w:t>301.9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89.4%</w:t>
            </w:r>
          </w:p>
        </w:tc>
        <w:tc>
          <w:tcPr>
            <w:tcW w:w="1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97"/>
              </w:rPr>
              <w:t>433.1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line="215" w:lineRule="exact"/>
              <w:rPr>
                <w:sz w:val="20"/>
                <w:szCs w:val="20"/>
                <w:color w:val="auto"/>
              </w:rPr>
            </w:pPr>
            <w:r>
              <w:rPr>
                <w:rFonts w:ascii="Times New Roman" w:cs="Times New Roman" w:eastAsia="Times New Roman" w:hAnsi="Times New Roman"/>
                <w:sz w:val="20"/>
                <w:szCs w:val="20"/>
                <w:color w:val="auto"/>
              </w:rPr>
              <w:t>91.3%</w:t>
            </w:r>
          </w:p>
        </w:tc>
        <w:tc>
          <w:tcPr>
            <w:tcW w:w="1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w w:val="99"/>
              </w:rPr>
              <w:t>(131.2)</w:t>
            </w:r>
          </w:p>
        </w:tc>
      </w:tr>
      <w:tr>
        <w:trPr>
          <w:trHeight w:val="218"/>
        </w:trPr>
        <w:tc>
          <w:tcPr>
            <w:tcW w:w="5120" w:type="dxa"/>
            <w:vAlign w:val="bottom"/>
          </w:tcPr>
          <w:p>
            <w:pPr>
              <w:jc w:val="right"/>
              <w:ind w:right="220"/>
              <w:spacing w:after="0" w:line="218" w:lineRule="exact"/>
              <w:rPr>
                <w:sz w:val="20"/>
                <w:szCs w:val="20"/>
                <w:color w:val="auto"/>
              </w:rPr>
            </w:pPr>
            <w:r>
              <w:rPr>
                <w:rFonts w:ascii="Times New Roman" w:cs="Times New Roman" w:eastAsia="Times New Roman" w:hAnsi="Times New Roman"/>
                <w:sz w:val="20"/>
                <w:szCs w:val="20"/>
                <w:color w:val="auto"/>
              </w:rPr>
              <w:t>Net sales—transitional Fab 3 foundry services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35.8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10.6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41.1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(5.4)</w:t>
            </w: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51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Total revenues . . .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337.7</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474.2</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(136.6)</w:t>
            </w:r>
          </w:p>
        </w:tc>
      </w:tr>
      <w:tr>
        <w:trPr>
          <w:trHeight w:val="215"/>
        </w:trPr>
        <w:tc>
          <w:tcPr>
            <w:tcW w:w="5120" w:type="dxa"/>
            <w:vAlign w:val="bottom"/>
          </w:tcPr>
          <w:p>
            <w:pPr>
              <w:jc w:val="right"/>
              <w:ind w:right="220"/>
              <w:spacing w:after="0" w:line="215" w:lineRule="exact"/>
              <w:rPr>
                <w:sz w:val="20"/>
                <w:szCs w:val="20"/>
                <w:color w:val="auto"/>
              </w:rPr>
            </w:pPr>
            <w:r>
              <w:rPr>
                <w:rFonts w:ascii="Times New Roman" w:cs="Times New Roman" w:eastAsia="Times New Roman" w:hAnsi="Times New Roman"/>
                <w:sz w:val="20"/>
                <w:szCs w:val="20"/>
                <w:color w:val="auto"/>
              </w:rPr>
              <w:t>Cost of sales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120" w:type="dxa"/>
            <w:vAlign w:val="bottom"/>
          </w:tcPr>
          <w:p>
            <w:pPr>
              <w:jc w:val="right"/>
              <w:ind w:right="220"/>
              <w:spacing w:after="0" w:line="215" w:lineRule="exact"/>
              <w:rPr>
                <w:sz w:val="20"/>
                <w:szCs w:val="20"/>
                <w:color w:val="auto"/>
              </w:rPr>
            </w:pPr>
            <w:r>
              <w:rPr>
                <w:rFonts w:ascii="Times New Roman" w:cs="Times New Roman" w:eastAsia="Times New Roman" w:hAnsi="Times New Roman"/>
                <w:sz w:val="20"/>
                <w:szCs w:val="20"/>
                <w:color w:val="auto"/>
              </w:rPr>
              <w:t>Cost of sales—standard products business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93"/>
              </w:rPr>
              <w:t>202.3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97"/>
              </w:rPr>
              <w:t>283.5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(81.2)</w:t>
            </w:r>
          </w:p>
        </w:tc>
      </w:tr>
      <w:tr>
        <w:trPr>
          <w:trHeight w:val="218"/>
        </w:trPr>
        <w:tc>
          <w:tcPr>
            <w:tcW w:w="5120" w:type="dxa"/>
            <w:vAlign w:val="bottom"/>
          </w:tcPr>
          <w:p>
            <w:pPr>
              <w:jc w:val="right"/>
              <w:ind w:right="220"/>
              <w:spacing w:after="0" w:line="218" w:lineRule="exact"/>
              <w:rPr>
                <w:sz w:val="20"/>
                <w:szCs w:val="20"/>
                <w:color w:val="auto"/>
              </w:rPr>
            </w:pPr>
            <w:r>
              <w:rPr>
                <w:rFonts w:ascii="Times New Roman" w:cs="Times New Roman" w:eastAsia="Times New Roman" w:hAnsi="Times New Roman"/>
                <w:sz w:val="20"/>
                <w:szCs w:val="20"/>
                <w:color w:val="auto"/>
              </w:rPr>
              <w:t>Cost of sales—transitional Fab 3 foundry services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34.0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10.1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37.2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(3.1)</w:t>
            </w: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5"/>
        </w:trPr>
        <w:tc>
          <w:tcPr>
            <w:tcW w:w="51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Total cost of sales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236.4</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320.7</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(84.3)</w:t>
            </w: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51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Gross profit . . . . . . . . .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101.3</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153.5</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(52.3)</w:t>
            </w:r>
          </w:p>
        </w:tc>
      </w:tr>
      <w:tr>
        <w:trPr>
          <w:trHeight w:val="215"/>
        </w:trPr>
        <w:tc>
          <w:tcPr>
            <w:tcW w:w="5120" w:type="dxa"/>
            <w:vAlign w:val="bottom"/>
          </w:tcPr>
          <w:p>
            <w:pPr>
              <w:jc w:val="right"/>
              <w:ind w:right="220"/>
              <w:spacing w:after="0" w:line="215" w:lineRule="exact"/>
              <w:rPr>
                <w:sz w:val="20"/>
                <w:szCs w:val="20"/>
                <w:color w:val="auto"/>
              </w:rPr>
            </w:pPr>
            <w:r>
              <w:rPr>
                <w:rFonts w:ascii="Times New Roman" w:cs="Times New Roman" w:eastAsia="Times New Roman" w:hAnsi="Times New Roman"/>
                <w:sz w:val="20"/>
                <w:szCs w:val="20"/>
                <w:color w:val="auto"/>
              </w:rPr>
              <w:t>Selling, general and administrative expenses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(1.6)</w:t>
            </w:r>
          </w:p>
        </w:tc>
      </w:tr>
      <w:tr>
        <w:trPr>
          <w:trHeight w:val="215"/>
        </w:trPr>
        <w:tc>
          <w:tcPr>
            <w:tcW w:w="5120" w:type="dxa"/>
            <w:vAlign w:val="bottom"/>
          </w:tcPr>
          <w:p>
            <w:pPr>
              <w:jc w:val="right"/>
              <w:ind w:right="220"/>
              <w:spacing w:after="0" w:line="215" w:lineRule="exact"/>
              <w:rPr>
                <w:sz w:val="20"/>
                <w:szCs w:val="20"/>
                <w:color w:val="auto"/>
              </w:rPr>
            </w:pPr>
            <w:r>
              <w:rPr>
                <w:rFonts w:ascii="Times New Roman" w:cs="Times New Roman" w:eastAsia="Times New Roman" w:hAnsi="Times New Roman"/>
                <w:sz w:val="20"/>
                <w:szCs w:val="20"/>
                <w:color w:val="auto"/>
              </w:rPr>
              <w:t>Research and development expenses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52.3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51.2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rPr>
              <w:t>1.1</w:t>
            </w:r>
          </w:p>
        </w:tc>
      </w:tr>
      <w:tr>
        <w:trPr>
          <w:trHeight w:val="215"/>
        </w:trPr>
        <w:tc>
          <w:tcPr>
            <w:tcW w:w="5120" w:type="dxa"/>
            <w:vAlign w:val="bottom"/>
          </w:tcPr>
          <w:p>
            <w:pPr>
              <w:jc w:val="right"/>
              <w:ind w:right="220"/>
              <w:spacing w:after="0" w:line="215" w:lineRule="exact"/>
              <w:rPr>
                <w:sz w:val="20"/>
                <w:szCs w:val="20"/>
                <w:color w:val="auto"/>
              </w:rPr>
            </w:pPr>
            <w:r>
              <w:rPr>
                <w:rFonts w:ascii="Times New Roman" w:cs="Times New Roman" w:eastAsia="Times New Roman" w:hAnsi="Times New Roman"/>
                <w:sz w:val="20"/>
                <w:szCs w:val="20"/>
                <w:color w:val="auto"/>
                <w:w w:val="99"/>
              </w:rPr>
              <w:t>Merger-related income, net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3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260"/>
              <w:spacing w:after="0" w:line="215" w:lineRule="exact"/>
              <w:rPr>
                <w:sz w:val="20"/>
                <w:szCs w:val="20"/>
                <w:color w:val="auto"/>
              </w:rPr>
            </w:pPr>
            <w:r>
              <w:rPr>
                <w:rFonts w:ascii="Times New Roman" w:cs="Times New Roman" w:eastAsia="Times New Roman" w:hAnsi="Times New Roman"/>
                <w:sz w:val="20"/>
                <w:szCs w:val="20"/>
                <w:color w:val="auto"/>
              </w:rPr>
              <w:t>(35.5)</w:t>
            </w:r>
          </w:p>
        </w:tc>
        <w:tc>
          <w:tcPr>
            <w:tcW w:w="6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rPr>
              <w:t>35.5</w:t>
            </w:r>
          </w:p>
        </w:tc>
      </w:tr>
      <w:tr>
        <w:trPr>
          <w:trHeight w:val="218"/>
        </w:trPr>
        <w:tc>
          <w:tcPr>
            <w:tcW w:w="5120" w:type="dxa"/>
            <w:vAlign w:val="bottom"/>
          </w:tcPr>
          <w:p>
            <w:pPr>
              <w:jc w:val="right"/>
              <w:ind w:right="220"/>
              <w:spacing w:after="0" w:line="218" w:lineRule="exact"/>
              <w:rPr>
                <w:sz w:val="20"/>
                <w:szCs w:val="20"/>
                <w:color w:val="auto"/>
              </w:rPr>
            </w:pPr>
            <w:r>
              <w:rPr>
                <w:rFonts w:ascii="Times New Roman" w:cs="Times New Roman" w:eastAsia="Times New Roman" w:hAnsi="Times New Roman"/>
                <w:sz w:val="20"/>
                <w:szCs w:val="20"/>
                <w:color w:val="auto"/>
              </w:rPr>
              <w:t>Other charges, net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line="218" w:lineRule="exact"/>
              <w:rPr>
                <w:sz w:val="20"/>
                <w:szCs w:val="20"/>
                <w:color w:val="auto"/>
              </w:rPr>
            </w:pPr>
            <w:r>
              <w:rPr>
                <w:rFonts w:ascii="Times New Roman" w:cs="Times New Roman" w:eastAsia="Times New Roman" w:hAnsi="Times New Roman"/>
                <w:sz w:val="20"/>
                <w:szCs w:val="20"/>
                <w:color w:val="auto"/>
              </w:rPr>
              <w:t>1.3</w:t>
            </w: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51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Operating income (loss)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(5.2)</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(88.7)</w:t>
            </w:r>
          </w:p>
        </w:tc>
      </w:tr>
      <w:tr>
        <w:trPr>
          <w:trHeight w:val="215"/>
        </w:trPr>
        <w:tc>
          <w:tcPr>
            <w:tcW w:w="5120" w:type="dxa"/>
            <w:vAlign w:val="bottom"/>
          </w:tcPr>
          <w:p>
            <w:pPr>
              <w:jc w:val="right"/>
              <w:ind w:right="220"/>
              <w:spacing w:after="0" w:line="215" w:lineRule="exact"/>
              <w:rPr>
                <w:sz w:val="20"/>
                <w:szCs w:val="20"/>
                <w:color w:val="auto"/>
              </w:rPr>
            </w:pPr>
            <w:r>
              <w:rPr>
                <w:rFonts w:ascii="Times New Roman" w:cs="Times New Roman" w:eastAsia="Times New Roman" w:hAnsi="Times New Roman"/>
                <w:sz w:val="20"/>
                <w:szCs w:val="20"/>
                <w:color w:val="auto"/>
              </w:rPr>
              <w:t>Interest income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rPr>
              <w:t>3.4</w:t>
            </w:r>
          </w:p>
        </w:tc>
      </w:tr>
      <w:tr>
        <w:trPr>
          <w:trHeight w:val="215"/>
        </w:trPr>
        <w:tc>
          <w:tcPr>
            <w:tcW w:w="5120" w:type="dxa"/>
            <w:vAlign w:val="bottom"/>
          </w:tcPr>
          <w:p>
            <w:pPr>
              <w:jc w:val="right"/>
              <w:ind w:right="220"/>
              <w:spacing w:after="0" w:line="215" w:lineRule="exact"/>
              <w:rPr>
                <w:sz w:val="20"/>
                <w:szCs w:val="20"/>
                <w:color w:val="auto"/>
              </w:rPr>
            </w:pPr>
            <w:r>
              <w:rPr>
                <w:rFonts w:ascii="Times New Roman" w:cs="Times New Roman" w:eastAsia="Times New Roman" w:hAnsi="Times New Roman"/>
                <w:sz w:val="20"/>
                <w:szCs w:val="20"/>
                <w:color w:val="auto"/>
                <w:w w:val="99"/>
              </w:rPr>
              <w:t>Interest expense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60"/>
              <w:spacing w:after="0" w:line="215" w:lineRule="exact"/>
              <w:rPr>
                <w:sz w:val="20"/>
                <w:szCs w:val="20"/>
                <w:color w:val="auto"/>
              </w:rPr>
            </w:pPr>
            <w:r>
              <w:rPr>
                <w:rFonts w:ascii="Times New Roman" w:cs="Times New Roman" w:eastAsia="Times New Roman" w:hAnsi="Times New Roman"/>
                <w:sz w:val="20"/>
                <w:szCs w:val="20"/>
                <w:color w:val="auto"/>
              </w:rPr>
              <w:t>(1.2)</w:t>
            </w:r>
          </w:p>
        </w:tc>
        <w:tc>
          <w:tcPr>
            <w:tcW w:w="6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60"/>
              <w:spacing w:after="0" w:line="215" w:lineRule="exact"/>
              <w:rPr>
                <w:sz w:val="20"/>
                <w:szCs w:val="20"/>
                <w:color w:val="auto"/>
              </w:rPr>
            </w:pPr>
            <w:r>
              <w:rPr>
                <w:rFonts w:ascii="Times New Roman" w:cs="Times New Roman" w:eastAsia="Times New Roman" w:hAnsi="Times New Roman"/>
                <w:sz w:val="20"/>
                <w:szCs w:val="20"/>
                <w:color w:val="auto"/>
              </w:rPr>
              <w:t>(1.4)</w:t>
            </w:r>
          </w:p>
        </w:tc>
        <w:tc>
          <w:tcPr>
            <w:tcW w:w="6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rPr>
              <w:t>0.2</w:t>
            </w:r>
          </w:p>
        </w:tc>
      </w:tr>
      <w:tr>
        <w:trPr>
          <w:trHeight w:val="215"/>
        </w:trPr>
        <w:tc>
          <w:tcPr>
            <w:tcW w:w="5120" w:type="dxa"/>
            <w:vAlign w:val="bottom"/>
          </w:tcPr>
          <w:p>
            <w:pPr>
              <w:jc w:val="right"/>
              <w:ind w:right="220"/>
              <w:spacing w:after="0" w:line="215" w:lineRule="exact"/>
              <w:rPr>
                <w:sz w:val="20"/>
                <w:szCs w:val="20"/>
                <w:color w:val="auto"/>
              </w:rPr>
            </w:pPr>
            <w:r>
              <w:rPr>
                <w:rFonts w:ascii="Times New Roman" w:cs="Times New Roman" w:eastAsia="Times New Roman" w:hAnsi="Times New Roman"/>
                <w:sz w:val="20"/>
                <w:szCs w:val="20"/>
                <w:color w:val="auto"/>
              </w:rPr>
              <w:t>Foreign currency loss, net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60"/>
              <w:spacing w:after="0" w:line="215" w:lineRule="exact"/>
              <w:rPr>
                <w:sz w:val="20"/>
                <w:szCs w:val="20"/>
                <w:color w:val="auto"/>
              </w:rPr>
            </w:pPr>
            <w:r>
              <w:rPr>
                <w:rFonts w:ascii="Times New Roman" w:cs="Times New Roman" w:eastAsia="Times New Roman" w:hAnsi="Times New Roman"/>
                <w:sz w:val="20"/>
                <w:szCs w:val="20"/>
                <w:color w:val="auto"/>
              </w:rPr>
              <w:t>(3.0)</w:t>
            </w:r>
          </w:p>
        </w:tc>
        <w:tc>
          <w:tcPr>
            <w:tcW w:w="6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60"/>
              <w:spacing w:after="0" w:line="215" w:lineRule="exact"/>
              <w:rPr>
                <w:sz w:val="20"/>
                <w:szCs w:val="20"/>
                <w:color w:val="auto"/>
              </w:rPr>
            </w:pPr>
            <w:r>
              <w:rPr>
                <w:rFonts w:ascii="Times New Roman" w:cs="Times New Roman" w:eastAsia="Times New Roman" w:hAnsi="Times New Roman"/>
                <w:sz w:val="20"/>
                <w:szCs w:val="20"/>
                <w:color w:val="auto"/>
              </w:rPr>
              <w:t>(11.9)</w:t>
            </w:r>
          </w:p>
        </w:tc>
        <w:tc>
          <w:tcPr>
            <w:tcW w:w="6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rPr>
              <w:t>8.8</w:t>
            </w:r>
          </w:p>
        </w:tc>
      </w:tr>
      <w:tr>
        <w:trPr>
          <w:trHeight w:val="218"/>
        </w:trPr>
        <w:tc>
          <w:tcPr>
            <w:tcW w:w="5120" w:type="dxa"/>
            <w:vAlign w:val="bottom"/>
          </w:tcPr>
          <w:p>
            <w:pPr>
              <w:jc w:val="right"/>
              <w:ind w:right="220"/>
              <w:spacing w:after="0" w:line="218" w:lineRule="exact"/>
              <w:rPr>
                <w:sz w:val="20"/>
                <w:szCs w:val="20"/>
                <w:color w:val="auto"/>
              </w:rPr>
            </w:pPr>
            <w:r>
              <w:rPr>
                <w:rFonts w:ascii="Times New Roman" w:cs="Times New Roman" w:eastAsia="Times New Roman" w:hAnsi="Times New Roman"/>
                <w:sz w:val="20"/>
                <w:szCs w:val="20"/>
                <w:color w:val="auto"/>
              </w:rPr>
              <w:t>Others, net . .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0.6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(0.6)</w:t>
            </w: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5"/>
        </w:trPr>
        <w:tc>
          <w:tcPr>
            <w:tcW w:w="5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(9.4)</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11.8</w:t>
            </w: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51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Income (loss) before income tax expense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(2.9)</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(76.8)</w:t>
            </w:r>
          </w:p>
        </w:tc>
      </w:tr>
      <w:tr>
        <w:trPr>
          <w:trHeight w:val="218"/>
        </w:trPr>
        <w:tc>
          <w:tcPr>
            <w:tcW w:w="5120" w:type="dxa"/>
            <w:vAlign w:val="bottom"/>
          </w:tcPr>
          <w:p>
            <w:pPr>
              <w:jc w:val="right"/>
              <w:ind w:right="220"/>
              <w:spacing w:after="0" w:line="218" w:lineRule="exact"/>
              <w:rPr>
                <w:sz w:val="20"/>
                <w:szCs w:val="20"/>
                <w:color w:val="auto"/>
              </w:rPr>
            </w:pPr>
            <w:r>
              <w:rPr>
                <w:rFonts w:ascii="Times New Roman" w:cs="Times New Roman" w:eastAsia="Times New Roman" w:hAnsi="Times New Roman"/>
                <w:sz w:val="20"/>
                <w:szCs w:val="20"/>
                <w:color w:val="auto"/>
                <w:w w:val="99"/>
              </w:rPr>
              <w:t>Income tax expense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5.2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17.3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(12.1)</w:t>
            </w: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5"/>
        </w:trPr>
        <w:tc>
          <w:tcPr>
            <w:tcW w:w="51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Net income (loss) . . . . . . . . . . . . . . . . . . . . . . . . . . . . . . . . .</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(8.0)</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(2.4)%</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12.0%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(64.7)</w:t>
            </w: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440"/>
          </w:cols>
          <w:pgMar w:left="1420" w:top="899" w:right="138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440"/>
          </w:cols>
          <w:pgMar w:left="1420" w:top="899" w:right="1380" w:bottom="182"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by business line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6"/>
                <w:szCs w:val="16"/>
                <w:color w:val="auto"/>
              </w:rPr>
            </w:pPr>
          </w:p>
        </w:tc>
        <w:tc>
          <w:tcPr>
            <w:tcW w:w="1640" w:type="dxa"/>
            <w:vAlign w:val="bottom"/>
            <w:gridSpan w:val="11"/>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7"/>
          </w:tcPr>
          <w:p>
            <w:pPr>
              <w:jc w:val="center"/>
              <w:ind w:right="24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Pr>
          <w:p>
            <w:pPr>
              <w:spacing w:after="0"/>
              <w:rPr>
                <w:sz w:val="16"/>
                <w:szCs w:val="16"/>
                <w:color w:val="auto"/>
              </w:rPr>
            </w:pPr>
          </w:p>
        </w:tc>
        <w:tc>
          <w:tcPr>
            <w:tcW w:w="1640" w:type="dxa"/>
            <w:vAlign w:val="bottom"/>
            <w:gridSpan w:val="11"/>
          </w:tcPr>
          <w:p>
            <w:pPr>
              <w:jc w:val="right"/>
              <w:ind w:right="34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0"/>
        </w:trPr>
        <w:tc>
          <w:tcPr>
            <w:tcW w:w="55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2"/>
          </w:tcPr>
          <w:p>
            <w:pPr>
              <w:jc w:val="center"/>
              <w:ind w:right="140"/>
              <w:spacing w:after="0" w:line="170" w:lineRule="exact"/>
              <w:rPr>
                <w:sz w:val="20"/>
                <w:szCs w:val="20"/>
                <w:color w:val="auto"/>
              </w:rPr>
            </w:pPr>
            <w:r>
              <w:rPr>
                <w:rFonts w:ascii="Times New Roman" w:cs="Times New Roman" w:eastAsia="Times New Roman" w:hAnsi="Times New Roman"/>
                <w:sz w:val="16"/>
                <w:szCs w:val="16"/>
                <w:b w:val="1"/>
                <w:bCs w:val="1"/>
                <w:color w:val="auto"/>
              </w:rPr>
              <w:t>%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3"/>
          </w:tcPr>
          <w:p>
            <w:pPr>
              <w:jc w:val="center"/>
              <w:ind w:right="80"/>
              <w:spacing w:after="0" w:line="170" w:lineRule="exact"/>
              <w:rPr>
                <w:sz w:val="20"/>
                <w:szCs w:val="20"/>
                <w:color w:val="auto"/>
              </w:rPr>
            </w:pPr>
            <w:r>
              <w:rPr>
                <w:rFonts w:ascii="Times New Roman" w:cs="Times New Roman" w:eastAsia="Times New Roman" w:hAnsi="Times New Roman"/>
                <w:sz w:val="16"/>
                <w:szCs w:val="16"/>
                <w:b w:val="1"/>
                <w:bCs w:val="1"/>
                <w:color w:val="auto"/>
              </w:rPr>
              <w:t>% of</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4"/>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185"/>
        </w:trPr>
        <w:tc>
          <w:tcPr>
            <w:tcW w:w="5500" w:type="dxa"/>
            <w:vAlign w:val="bottom"/>
          </w:tcPr>
          <w:p>
            <w:pPr>
              <w:spacing w:after="0"/>
              <w:rPr>
                <w:sz w:val="16"/>
                <w:szCs w:val="16"/>
                <w:color w:val="auto"/>
              </w:rPr>
            </w:pPr>
          </w:p>
        </w:tc>
        <w:tc>
          <w:tcPr>
            <w:tcW w:w="56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6"/>
              </w:rPr>
              <w:t>Amount</w:t>
            </w:r>
          </w:p>
        </w:tc>
        <w:tc>
          <w:tcPr>
            <w:tcW w:w="240" w:type="dxa"/>
            <w:vAlign w:val="bottom"/>
          </w:tcPr>
          <w:p>
            <w:pPr>
              <w:spacing w:after="0"/>
              <w:rPr>
                <w:sz w:val="16"/>
                <w:szCs w:val="16"/>
                <w:color w:val="auto"/>
              </w:rPr>
            </w:pPr>
          </w:p>
        </w:tc>
        <w:tc>
          <w:tcPr>
            <w:tcW w:w="620" w:type="dxa"/>
            <w:vAlign w:val="bottom"/>
            <w:tcBorders>
              <w:bottom w:val="single" w:sz="8" w:color="auto"/>
            </w:tcBorders>
            <w:gridSpan w:val="3"/>
          </w:tcPr>
          <w:p>
            <w:pPr>
              <w:jc w:val="center"/>
              <w:ind w:right="20"/>
              <w:spacing w:after="0" w:line="182" w:lineRule="exact"/>
              <w:rPr>
                <w:sz w:val="20"/>
                <w:szCs w:val="20"/>
                <w:color w:val="auto"/>
              </w:rPr>
            </w:pPr>
            <w:r>
              <w:rPr>
                <w:rFonts w:ascii="Times New Roman" w:cs="Times New Roman" w:eastAsia="Times New Roman" w:hAnsi="Times New Roman"/>
                <w:sz w:val="16"/>
                <w:szCs w:val="16"/>
                <w:b w:val="1"/>
                <w:bCs w:val="1"/>
                <w:color w:val="auto"/>
                <w:w w:val="99"/>
              </w:rPr>
              <w:t>revenues</w:t>
            </w:r>
          </w:p>
        </w:tc>
        <w:tc>
          <w:tcPr>
            <w:tcW w:w="200" w:type="dxa"/>
            <w:vAlign w:val="bottom"/>
            <w:gridSpan w:val="2"/>
          </w:tcPr>
          <w:p>
            <w:pPr>
              <w:spacing w:after="0"/>
              <w:rPr>
                <w:sz w:val="16"/>
                <w:szCs w:val="16"/>
                <w:color w:val="auto"/>
              </w:rPr>
            </w:pPr>
          </w:p>
        </w:tc>
        <w:tc>
          <w:tcPr>
            <w:tcW w:w="580" w:type="dxa"/>
            <w:vAlign w:val="bottom"/>
            <w:tcBorders>
              <w:bottom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gridSpan w:val="2"/>
          </w:tcPr>
          <w:p>
            <w:pPr>
              <w:spacing w:after="0"/>
              <w:rPr>
                <w:sz w:val="16"/>
                <w:szCs w:val="16"/>
                <w:color w:val="auto"/>
              </w:rPr>
            </w:pPr>
          </w:p>
        </w:tc>
        <w:tc>
          <w:tcPr>
            <w:tcW w:w="620" w:type="dxa"/>
            <w:vAlign w:val="bottom"/>
            <w:tcBorders>
              <w:bottom w:val="single" w:sz="8" w:color="auto"/>
            </w:tcBorders>
            <w:gridSpan w:val="5"/>
          </w:tcPr>
          <w:p>
            <w:pPr>
              <w:jc w:val="center"/>
              <w:ind w:right="20"/>
              <w:spacing w:after="0" w:line="182" w:lineRule="exact"/>
              <w:rPr>
                <w:sz w:val="20"/>
                <w:szCs w:val="20"/>
                <w:color w:val="auto"/>
              </w:rPr>
            </w:pPr>
            <w:r>
              <w:rPr>
                <w:rFonts w:ascii="Times New Roman" w:cs="Times New Roman" w:eastAsia="Times New Roman" w:hAnsi="Times New Roman"/>
                <w:sz w:val="16"/>
                <w:szCs w:val="16"/>
                <w:b w:val="1"/>
                <w:bCs w:val="1"/>
                <w:color w:val="auto"/>
                <w:w w:val="99"/>
              </w:rPr>
              <w:t>revenues</w:t>
            </w:r>
          </w:p>
        </w:tc>
        <w:tc>
          <w:tcPr>
            <w:tcW w:w="280" w:type="dxa"/>
            <w:vAlign w:val="bottom"/>
            <w:gridSpan w:val="2"/>
          </w:tcPr>
          <w:p>
            <w:pPr>
              <w:spacing w:after="0"/>
              <w:rPr>
                <w:sz w:val="16"/>
                <w:szCs w:val="16"/>
                <w:color w:val="auto"/>
              </w:rPr>
            </w:pPr>
          </w:p>
        </w:tc>
        <w:tc>
          <w:tcPr>
            <w:tcW w:w="52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85"/>
              </w:rPr>
              <w:t>Amount</w:t>
            </w:r>
          </w:p>
        </w:tc>
        <w:tc>
          <w:tcPr>
            <w:tcW w:w="100" w:type="dxa"/>
            <w:vAlign w:val="bottom"/>
          </w:tcPr>
          <w:p>
            <w:pPr>
              <w:spacing w:after="0"/>
              <w:rPr>
                <w:sz w:val="16"/>
                <w:szCs w:val="16"/>
                <w:color w:val="auto"/>
              </w:rPr>
            </w:pPr>
          </w:p>
        </w:tc>
      </w:tr>
      <w:tr>
        <w:trPr>
          <w:trHeight w:val="175"/>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16"/>
          </w:tcPr>
          <w:p>
            <w:pPr>
              <w:jc w:val="center"/>
              <w:ind w:right="400"/>
              <w:spacing w:after="0" w:line="175" w:lineRule="exact"/>
              <w:rPr>
                <w:sz w:val="20"/>
                <w:szCs w:val="20"/>
                <w:color w:val="auto"/>
              </w:rPr>
            </w:pPr>
            <w:r>
              <w:rPr>
                <w:rFonts w:ascii="Times New Roman" w:cs="Times New Roman" w:eastAsia="Times New Roman" w:hAnsi="Times New Roman"/>
                <w:sz w:val="16"/>
                <w:szCs w:val="16"/>
                <w:b w:val="1"/>
                <w:bCs w:val="1"/>
                <w:color w:val="auto"/>
              </w:rPr>
              <w:t>(Dollars in millions)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5"/>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5"/>
        </w:trPr>
        <w:tc>
          <w:tcPr>
            <w:tcW w:w="5500" w:type="dxa"/>
            <w:vAlign w:val="bottom"/>
          </w:tcPr>
          <w:p>
            <w:pPr>
              <w:jc w:val="right"/>
              <w:ind w:right="2080"/>
              <w:spacing w:after="0" w:line="215" w:lineRule="exact"/>
              <w:rPr>
                <w:sz w:val="20"/>
                <w:szCs w:val="20"/>
                <w:color w:val="auto"/>
              </w:rPr>
            </w:pPr>
            <w:r>
              <w:rPr>
                <w:rFonts w:ascii="Times New Roman" w:cs="Times New Roman" w:eastAsia="Times New Roman" w:hAnsi="Times New Roman"/>
                <w:sz w:val="20"/>
                <w:szCs w:val="20"/>
                <w:color w:val="auto"/>
              </w:rPr>
              <w:t>Net sales—standard products business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500" w:type="dxa"/>
            <w:vAlign w:val="bottom"/>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Display Solutions . . . . . . . . . . . . . . . . . . . . . . . . . . . . . . . . . .</w:t>
            </w:r>
          </w:p>
        </w:tc>
        <w:tc>
          <w:tcPr>
            <w:tcW w:w="5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71.4</w:t>
            </w:r>
          </w:p>
        </w:tc>
        <w:tc>
          <w:tcPr>
            <w:tcW w:w="720" w:type="dxa"/>
            <w:vAlign w:val="bottom"/>
            <w:gridSpan w:val="3"/>
          </w:tcPr>
          <w:p>
            <w:pPr>
              <w:jc w:val="right"/>
              <w:spacing w:after="0" w:line="215" w:lineRule="exact"/>
              <w:rPr>
                <w:sz w:val="20"/>
                <w:szCs w:val="20"/>
                <w:color w:val="auto"/>
              </w:rPr>
            </w:pPr>
            <w:r>
              <w:rPr>
                <w:rFonts w:ascii="Times New Roman" w:cs="Times New Roman" w:eastAsia="Times New Roman" w:hAnsi="Times New Roman"/>
                <w:sz w:val="20"/>
                <w:szCs w:val="20"/>
                <w:color w:val="auto"/>
              </w:rPr>
              <w:t>21.2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205.3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4"/>
          </w:tcPr>
          <w:p>
            <w:pPr>
              <w:jc w:val="right"/>
              <w:spacing w:after="0" w:line="215" w:lineRule="exact"/>
              <w:rPr>
                <w:sz w:val="20"/>
                <w:szCs w:val="20"/>
                <w:color w:val="auto"/>
              </w:rPr>
            </w:pPr>
            <w:r>
              <w:rPr>
                <w:rFonts w:ascii="Times New Roman" w:cs="Times New Roman" w:eastAsia="Times New Roman" w:hAnsi="Times New Roman"/>
                <w:sz w:val="20"/>
                <w:szCs w:val="20"/>
                <w:color w:val="auto"/>
              </w:rPr>
              <w:t>43.3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(133.9)</w:t>
            </w:r>
          </w:p>
        </w:tc>
      </w:tr>
      <w:tr>
        <w:trPr>
          <w:trHeight w:val="218"/>
        </w:trPr>
        <w:tc>
          <w:tcPr>
            <w:tcW w:w="5500" w:type="dxa"/>
            <w:vAlign w:val="bottom"/>
          </w:tcPr>
          <w:p>
            <w:pPr>
              <w:jc w:val="right"/>
              <w:ind w:right="120"/>
              <w:spacing w:after="0" w:line="218" w:lineRule="exact"/>
              <w:rPr>
                <w:sz w:val="20"/>
                <w:szCs w:val="20"/>
                <w:color w:val="auto"/>
              </w:rPr>
            </w:pPr>
            <w:r>
              <w:rPr>
                <w:rFonts w:ascii="Times New Roman" w:cs="Times New Roman" w:eastAsia="Times New Roman" w:hAnsi="Times New Roman"/>
                <w:sz w:val="20"/>
                <w:szCs w:val="20"/>
                <w:color w:val="auto"/>
              </w:rPr>
              <w:t>Power Solutions . . . . . . . . . . . . . . . . . . . . . . . . . . . . . . . . . . .</w:t>
            </w:r>
          </w:p>
        </w:tc>
        <w:tc>
          <w:tcPr>
            <w:tcW w:w="2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230.5</w:t>
            </w:r>
          </w:p>
        </w:tc>
        <w:tc>
          <w:tcPr>
            <w:tcW w:w="380" w:type="dxa"/>
            <w:vAlign w:val="bottom"/>
            <w:gridSpan w:val="2"/>
          </w:tcPr>
          <w:p>
            <w:pPr>
              <w:spacing w:after="0"/>
              <w:rPr>
                <w:sz w:val="18"/>
                <w:szCs w:val="18"/>
                <w:color w:val="auto"/>
              </w:rPr>
            </w:pPr>
          </w:p>
        </w:tc>
        <w:tc>
          <w:tcPr>
            <w:tcW w:w="34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68.3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227.8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440" w:type="dxa"/>
            <w:vAlign w:val="bottom"/>
            <w:tcBorders>
              <w:bottom w:val="single" w:sz="8" w:color="auto"/>
            </w:tcBorders>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48.0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2.7</w:t>
            </w:r>
          </w:p>
        </w:tc>
        <w:tc>
          <w:tcPr>
            <w:tcW w:w="100" w:type="dxa"/>
            <w:vAlign w:val="bottom"/>
          </w:tcPr>
          <w:p>
            <w:pPr>
              <w:spacing w:after="0"/>
              <w:rPr>
                <w:sz w:val="18"/>
                <w:szCs w:val="18"/>
                <w:color w:val="auto"/>
              </w:rPr>
            </w:pPr>
          </w:p>
        </w:tc>
      </w:tr>
      <w:tr>
        <w:trPr>
          <w:trHeight w:val="242"/>
        </w:trPr>
        <w:tc>
          <w:tcPr>
            <w:tcW w:w="55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Total standard products business . . . . . . . . . . . . . . . . . .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89.4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433.1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(131.2)</w:t>
            </w:r>
          </w:p>
        </w:tc>
      </w:tr>
      <w:tr>
        <w:trPr>
          <w:trHeight w:val="218"/>
        </w:trPr>
        <w:tc>
          <w:tcPr>
            <w:tcW w:w="5500" w:type="dxa"/>
            <w:vAlign w:val="bottom"/>
          </w:tcPr>
          <w:p>
            <w:pPr>
              <w:jc w:val="right"/>
              <w:ind w:right="120"/>
              <w:spacing w:after="0" w:line="218" w:lineRule="exact"/>
              <w:rPr>
                <w:sz w:val="20"/>
                <w:szCs w:val="20"/>
                <w:color w:val="auto"/>
              </w:rPr>
            </w:pPr>
            <w:r>
              <w:rPr>
                <w:rFonts w:ascii="Times New Roman" w:cs="Times New Roman" w:eastAsia="Times New Roman" w:hAnsi="Times New Roman"/>
                <w:sz w:val="20"/>
                <w:szCs w:val="20"/>
                <w:color w:val="auto"/>
              </w:rPr>
              <w:t>Net sales—transitional Fab 3 foundry services . . . . . . . . . . . . . . .</w:t>
            </w:r>
          </w:p>
        </w:tc>
        <w:tc>
          <w:tcPr>
            <w:tcW w:w="20" w:type="dxa"/>
            <w:vAlign w:val="bottom"/>
          </w:tcPr>
          <w:p>
            <w:pPr>
              <w:spacing w:after="0"/>
              <w:rPr>
                <w:sz w:val="18"/>
                <w:szCs w:val="18"/>
                <w:color w:val="auto"/>
              </w:rPr>
            </w:pPr>
          </w:p>
        </w:tc>
        <w:tc>
          <w:tcPr>
            <w:tcW w:w="54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35.8</w:t>
            </w:r>
          </w:p>
        </w:tc>
        <w:tc>
          <w:tcPr>
            <w:tcW w:w="380" w:type="dxa"/>
            <w:vAlign w:val="bottom"/>
            <w:gridSpan w:val="2"/>
          </w:tcPr>
          <w:p>
            <w:pPr>
              <w:spacing w:after="0"/>
              <w:rPr>
                <w:sz w:val="18"/>
                <w:szCs w:val="18"/>
                <w:color w:val="auto"/>
              </w:rPr>
            </w:pPr>
          </w:p>
        </w:tc>
        <w:tc>
          <w:tcPr>
            <w:tcW w:w="34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10.6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41.1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44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(5.4)</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45"/>
        </w:trPr>
        <w:tc>
          <w:tcPr>
            <w:tcW w:w="55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Total revenues . . . . . . . . . . . . . . . . . . . . . . . . . . . . . . . . .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337.7</w:t>
            </w:r>
          </w:p>
        </w:tc>
        <w:tc>
          <w:tcPr>
            <w:tcW w:w="1060" w:type="dxa"/>
            <w:vAlign w:val="bottom"/>
            <w:gridSpan w:val="6"/>
          </w:tcPr>
          <w:p>
            <w:pPr>
              <w:jc w:val="right"/>
              <w:ind w:right="120"/>
              <w:spacing w:after="0"/>
              <w:rPr>
                <w:sz w:val="20"/>
                <w:szCs w:val="20"/>
                <w:color w:val="auto"/>
              </w:rPr>
            </w:pPr>
            <w:r>
              <w:rPr>
                <w:rFonts w:ascii="Times New Roman" w:cs="Times New Roman" w:eastAsia="Times New Roman" w:hAnsi="Times New Roman"/>
                <w:sz w:val="20"/>
                <w:szCs w:val="20"/>
                <w:color w:val="auto"/>
              </w:rPr>
              <w:t>100.0%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474.2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7"/>
          </w:tcPr>
          <w:p>
            <w:pPr>
              <w:jc w:val="right"/>
              <w:ind w:right="200"/>
              <w:spacing w:after="0"/>
              <w:rPr>
                <w:sz w:val="20"/>
                <w:szCs w:val="20"/>
                <w:color w:val="auto"/>
              </w:rPr>
            </w:pPr>
            <w:r>
              <w:rPr>
                <w:rFonts w:ascii="Times New Roman" w:cs="Times New Roman" w:eastAsia="Times New Roman" w:hAnsi="Times New Roman"/>
                <w:sz w:val="20"/>
                <w:szCs w:val="20"/>
                <w:color w:val="auto"/>
              </w:rPr>
              <w:t>100.0%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87"/>
              </w:rPr>
              <w:t>$</w:t>
            </w:r>
            <w:r>
              <w:rPr>
                <w:rFonts w:ascii="Times New Roman" w:cs="Times New Roman" w:eastAsia="Times New Roman" w:hAnsi="Times New Roman"/>
                <w:sz w:val="20"/>
                <w:szCs w:val="20"/>
                <w:color w:val="auto"/>
                <w:w w:val="87"/>
              </w:rPr>
              <w:t>(136.6)</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7"/>
        </w:trPr>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7"/>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24"/>
                <w:szCs w:val="24"/>
                <w:color w:val="auto"/>
              </w:rPr>
            </w:pPr>
          </w:p>
        </w:tc>
        <w:tc>
          <w:tcPr>
            <w:tcW w:w="1640" w:type="dxa"/>
            <w:vAlign w:val="bottom"/>
            <w:gridSpan w:val="11"/>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7"/>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Pr>
          <w:p>
            <w:pPr>
              <w:spacing w:after="0"/>
              <w:rPr>
                <w:sz w:val="15"/>
                <w:szCs w:val="15"/>
                <w:color w:val="auto"/>
              </w:rPr>
            </w:pPr>
          </w:p>
        </w:tc>
        <w:tc>
          <w:tcPr>
            <w:tcW w:w="1640" w:type="dxa"/>
            <w:vAlign w:val="bottom"/>
            <w:gridSpan w:val="11"/>
          </w:tcPr>
          <w:p>
            <w:pPr>
              <w:jc w:val="right"/>
              <w:ind w:right="30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gridSpan w:val="3"/>
          </w:tcPr>
          <w:p>
            <w:pPr>
              <w:jc w:val="center"/>
              <w:ind w:right="160"/>
              <w:spacing w:after="0" w:line="173" w:lineRule="exact"/>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gridSpan w:val="3"/>
          </w:tcPr>
          <w:p>
            <w:pPr>
              <w:jc w:val="center"/>
              <w:ind w:right="140"/>
              <w:spacing w:after="0" w:line="173" w:lineRule="exact"/>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620" w:type="dxa"/>
            <w:vAlign w:val="bottom"/>
            <w:gridSpan w:val="2"/>
          </w:tcPr>
          <w:p>
            <w:pPr>
              <w:jc w:val="right"/>
              <w:ind w:right="100"/>
              <w:spacing w:after="0" w:line="173" w:lineRule="exact"/>
              <w:rPr>
                <w:sz w:val="20"/>
                <w:szCs w:val="20"/>
                <w:color w:val="auto"/>
              </w:rPr>
            </w:pPr>
            <w:r>
              <w:rPr>
                <w:rFonts w:ascii="Times New Roman" w:cs="Times New Roman" w:eastAsia="Times New Roman" w:hAnsi="Times New Roman"/>
                <w:sz w:val="16"/>
                <w:szCs w:val="16"/>
                <w:b w:val="1"/>
                <w:bCs w:val="1"/>
                <w:color w:val="auto"/>
                <w:w w:val="95"/>
              </w:rPr>
              <w:t>Change</w:t>
            </w:r>
          </w:p>
        </w:tc>
      </w:tr>
      <w:tr>
        <w:trPr>
          <w:trHeight w:val="185"/>
        </w:trPr>
        <w:tc>
          <w:tcPr>
            <w:tcW w:w="5500" w:type="dxa"/>
            <w:vAlign w:val="bottom"/>
          </w:tcPr>
          <w:p>
            <w:pPr>
              <w:spacing w:after="0"/>
              <w:rPr>
                <w:sz w:val="16"/>
                <w:szCs w:val="16"/>
                <w:color w:val="auto"/>
              </w:rPr>
            </w:pPr>
          </w:p>
        </w:tc>
        <w:tc>
          <w:tcPr>
            <w:tcW w:w="5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6"/>
                <w:szCs w:val="16"/>
                <w:color w:val="auto"/>
              </w:rPr>
            </w:pPr>
          </w:p>
        </w:tc>
        <w:tc>
          <w:tcPr>
            <w:tcW w:w="820" w:type="dxa"/>
            <w:vAlign w:val="bottom"/>
            <w:gridSpan w:val="5"/>
          </w:tcPr>
          <w:p>
            <w:pPr>
              <w:jc w:val="center"/>
              <w:ind w:right="180"/>
              <w:spacing w:after="0" w:line="182"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60" w:type="dxa"/>
            <w:vAlign w:val="bottom"/>
          </w:tcPr>
          <w:p>
            <w:pPr>
              <w:spacing w:after="0"/>
              <w:rPr>
                <w:sz w:val="16"/>
                <w:szCs w:val="16"/>
                <w:color w:val="auto"/>
              </w:rPr>
            </w:pPr>
          </w:p>
        </w:tc>
        <w:tc>
          <w:tcPr>
            <w:tcW w:w="740" w:type="dxa"/>
            <w:vAlign w:val="bottom"/>
            <w:gridSpan w:val="4"/>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6"/>
              </w:rPr>
              <w:t>Amount</w:t>
            </w:r>
          </w:p>
        </w:tc>
        <w:tc>
          <w:tcPr>
            <w:tcW w:w="900" w:type="dxa"/>
            <w:vAlign w:val="bottom"/>
            <w:gridSpan w:val="7"/>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6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Amount</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175"/>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16"/>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(Dollars in millions)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5"/>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Gross Profit</w:t>
            </w: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5"/>
        </w:trPr>
        <w:tc>
          <w:tcPr>
            <w:tcW w:w="5500" w:type="dxa"/>
            <w:vAlign w:val="bottom"/>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Gross profit—standard products business . . . . . . . . . . . . . . . . .</w:t>
            </w:r>
          </w:p>
        </w:tc>
        <w:tc>
          <w:tcPr>
            <w:tcW w:w="5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99.5</w:t>
            </w:r>
          </w:p>
        </w:tc>
        <w:tc>
          <w:tcPr>
            <w:tcW w:w="720" w:type="dxa"/>
            <w:vAlign w:val="bottom"/>
            <w:gridSpan w:val="3"/>
          </w:tcPr>
          <w:p>
            <w:pPr>
              <w:jc w:val="right"/>
              <w:spacing w:after="0" w:line="215" w:lineRule="exact"/>
              <w:rPr>
                <w:sz w:val="20"/>
                <w:szCs w:val="20"/>
                <w:color w:val="auto"/>
              </w:rPr>
            </w:pPr>
            <w:r>
              <w:rPr>
                <w:rFonts w:ascii="Times New Roman" w:cs="Times New Roman" w:eastAsia="Times New Roman" w:hAnsi="Times New Roman"/>
                <w:sz w:val="20"/>
                <w:szCs w:val="20"/>
                <w:color w:val="auto"/>
              </w:rPr>
              <w:t>33.0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4"/>
          </w:tcPr>
          <w:p>
            <w:pPr>
              <w:jc w:val="right"/>
              <w:spacing w:after="0" w:line="215" w:lineRule="exact"/>
              <w:rPr>
                <w:sz w:val="20"/>
                <w:szCs w:val="20"/>
                <w:color w:val="auto"/>
              </w:rPr>
            </w:pPr>
            <w:r>
              <w:rPr>
                <w:rFonts w:ascii="Times New Roman" w:cs="Times New Roman" w:eastAsia="Times New Roman" w:hAnsi="Times New Roman"/>
                <w:sz w:val="20"/>
                <w:szCs w:val="20"/>
                <w:color w:val="auto"/>
              </w:rPr>
              <w:t>149.6</w:t>
            </w:r>
          </w:p>
        </w:tc>
        <w:tc>
          <w:tcPr>
            <w:tcW w:w="200" w:type="dxa"/>
            <w:vAlign w:val="bottom"/>
          </w:tcPr>
          <w:p>
            <w:pPr>
              <w:spacing w:after="0"/>
              <w:rPr>
                <w:sz w:val="18"/>
                <w:szCs w:val="18"/>
                <w:color w:val="auto"/>
              </w:rPr>
            </w:pPr>
          </w:p>
        </w:tc>
        <w:tc>
          <w:tcPr>
            <w:tcW w:w="520" w:type="dxa"/>
            <w:vAlign w:val="bottom"/>
            <w:gridSpan w:val="4"/>
          </w:tcPr>
          <w:p>
            <w:pPr>
              <w:jc w:val="right"/>
              <w:spacing w:after="0" w:line="215" w:lineRule="exact"/>
              <w:rPr>
                <w:sz w:val="20"/>
                <w:szCs w:val="20"/>
                <w:color w:val="auto"/>
              </w:rPr>
            </w:pPr>
            <w:r>
              <w:rPr>
                <w:rFonts w:ascii="Times New Roman" w:cs="Times New Roman" w:eastAsia="Times New Roman" w:hAnsi="Times New Roman"/>
                <w:sz w:val="20"/>
                <w:szCs w:val="20"/>
                <w:color w:val="auto"/>
              </w:rPr>
              <w:t>34.5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(50.0)</w:t>
            </w:r>
          </w:p>
        </w:tc>
      </w:tr>
      <w:tr>
        <w:trPr>
          <w:trHeight w:val="218"/>
        </w:trPr>
        <w:tc>
          <w:tcPr>
            <w:tcW w:w="5500" w:type="dxa"/>
            <w:vAlign w:val="bottom"/>
          </w:tcPr>
          <w:p>
            <w:pPr>
              <w:jc w:val="right"/>
              <w:ind w:right="120"/>
              <w:spacing w:after="0" w:line="218" w:lineRule="exact"/>
              <w:rPr>
                <w:sz w:val="20"/>
                <w:szCs w:val="20"/>
                <w:color w:val="auto"/>
              </w:rPr>
            </w:pPr>
            <w:r>
              <w:rPr>
                <w:rFonts w:ascii="Times New Roman" w:cs="Times New Roman" w:eastAsia="Times New Roman" w:hAnsi="Times New Roman"/>
                <w:sz w:val="20"/>
                <w:szCs w:val="20"/>
                <w:color w:val="auto"/>
              </w:rPr>
              <w:t>Gross profit—transitional Fab 3 foundry services. . . . . . . . . . .</w:t>
            </w:r>
          </w:p>
        </w:tc>
        <w:tc>
          <w:tcPr>
            <w:tcW w:w="20" w:type="dxa"/>
            <w:vAlign w:val="bottom"/>
          </w:tcPr>
          <w:p>
            <w:pPr>
              <w:spacing w:after="0"/>
              <w:rPr>
                <w:sz w:val="18"/>
                <w:szCs w:val="18"/>
                <w:color w:val="auto"/>
              </w:rPr>
            </w:pPr>
          </w:p>
        </w:tc>
        <w:tc>
          <w:tcPr>
            <w:tcW w:w="54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1.7</w:t>
            </w:r>
          </w:p>
        </w:tc>
        <w:tc>
          <w:tcPr>
            <w:tcW w:w="380" w:type="dxa"/>
            <w:vAlign w:val="bottom"/>
            <w:gridSpan w:val="2"/>
          </w:tcPr>
          <w:p>
            <w:pPr>
              <w:spacing w:after="0"/>
              <w:rPr>
                <w:sz w:val="18"/>
                <w:szCs w:val="18"/>
                <w:color w:val="auto"/>
              </w:rPr>
            </w:pPr>
          </w:p>
        </w:tc>
        <w:tc>
          <w:tcPr>
            <w:tcW w:w="34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line="218" w:lineRule="exact"/>
              <w:rPr>
                <w:sz w:val="20"/>
                <w:szCs w:val="20"/>
                <w:color w:val="auto"/>
              </w:rPr>
            </w:pPr>
            <w:r>
              <w:rPr>
                <w:rFonts w:ascii="Times New Roman" w:cs="Times New Roman" w:eastAsia="Times New Roman" w:hAnsi="Times New Roman"/>
                <w:sz w:val="20"/>
                <w:szCs w:val="20"/>
                <w:color w:val="auto"/>
              </w:rPr>
              <w:t>3.9</w:t>
            </w:r>
          </w:p>
        </w:tc>
        <w:tc>
          <w:tcPr>
            <w:tcW w:w="200" w:type="dxa"/>
            <w:vAlign w:val="bottom"/>
          </w:tcPr>
          <w:p>
            <w:pPr>
              <w:spacing w:after="0"/>
              <w:rPr>
                <w:sz w:val="18"/>
                <w:szCs w:val="18"/>
                <w:color w:val="auto"/>
              </w:rPr>
            </w:pPr>
          </w:p>
        </w:tc>
        <w:tc>
          <w:tcPr>
            <w:tcW w:w="160" w:type="dxa"/>
            <w:vAlign w:val="bottom"/>
            <w:gridSpan w:val="3"/>
          </w:tcPr>
          <w:p>
            <w:pPr>
              <w:spacing w:after="0"/>
              <w:rPr>
                <w:sz w:val="18"/>
                <w:szCs w:val="18"/>
                <w:color w:val="auto"/>
              </w:rPr>
            </w:pPr>
          </w:p>
        </w:tc>
        <w:tc>
          <w:tcPr>
            <w:tcW w:w="36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line="218" w:lineRule="exact"/>
              <w:rPr>
                <w:sz w:val="20"/>
                <w:szCs w:val="20"/>
                <w:color w:val="auto"/>
              </w:rPr>
            </w:pPr>
            <w:r>
              <w:rPr>
                <w:rFonts w:ascii="Times New Roman" w:cs="Times New Roman" w:eastAsia="Times New Roman" w:hAnsi="Times New Roman"/>
                <w:sz w:val="20"/>
                <w:szCs w:val="20"/>
                <w:color w:val="auto"/>
              </w:rPr>
              <w:t>(2.2)</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55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Total gross profit . . . . . . . . . . . . . . . . . . . . . . . . . . . . . . . . .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101.3</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20"/>
                <w:szCs w:val="20"/>
                <w:color w:val="auto"/>
              </w:rPr>
              <w:t>30.0%</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153.5</w:t>
            </w:r>
          </w:p>
        </w:tc>
        <w:tc>
          <w:tcPr>
            <w:tcW w:w="200" w:type="dxa"/>
            <w:vAlign w:val="bottom"/>
          </w:tcPr>
          <w:p>
            <w:pPr>
              <w:spacing w:after="0"/>
              <w:rPr>
                <w:sz w:val="21"/>
                <w:szCs w:val="21"/>
                <w:color w:val="auto"/>
              </w:rPr>
            </w:pPr>
          </w:p>
        </w:tc>
        <w:tc>
          <w:tcPr>
            <w:tcW w:w="900" w:type="dxa"/>
            <w:vAlign w:val="bottom"/>
            <w:gridSpan w:val="7"/>
          </w:tcPr>
          <w:p>
            <w:pPr>
              <w:jc w:val="right"/>
              <w:ind w:right="220"/>
              <w:spacing w:after="0"/>
              <w:rPr>
                <w:sz w:val="20"/>
                <w:szCs w:val="20"/>
                <w:color w:val="auto"/>
              </w:rPr>
            </w:pPr>
            <w:r>
              <w:rPr>
                <w:rFonts w:ascii="Times New Roman" w:cs="Times New Roman" w:eastAsia="Times New Roman" w:hAnsi="Times New Roman"/>
                <w:sz w:val="20"/>
                <w:szCs w:val="20"/>
                <w:color w:val="auto"/>
              </w:rPr>
              <w:t>32.4%</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u w:val="single" w:color="auto"/>
                <w:color w:val="auto"/>
                <w:w w:val="99"/>
              </w:rPr>
              <w:t>$</w:t>
            </w:r>
            <w:r>
              <w:rPr>
                <w:rFonts w:ascii="Times New Roman" w:cs="Times New Roman" w:eastAsia="Times New Roman" w:hAnsi="Times New Roman"/>
                <w:sz w:val="20"/>
                <w:szCs w:val="20"/>
                <w:color w:val="auto"/>
                <w:w w:val="99"/>
              </w:rPr>
              <w:t>(52.3)</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20" w:lineRule="exact"/>
        <w:rPr>
          <w:sz w:val="20"/>
          <w:szCs w:val="20"/>
          <w:color w:val="auto"/>
        </w:rPr>
      </w:pPr>
    </w:p>
    <w:p>
      <w:pPr>
        <w:ind w:right="180" w:firstLine="400"/>
        <w:spacing w:after="0" w:line="245" w:lineRule="auto"/>
        <w:rPr>
          <w:sz w:val="20"/>
          <w:szCs w:val="20"/>
          <w:color w:val="auto"/>
        </w:rPr>
      </w:pPr>
      <w:r>
        <w:rPr>
          <w:rFonts w:ascii="Times New Roman" w:cs="Times New Roman" w:eastAsia="Times New Roman" w:hAnsi="Times New Roman"/>
          <w:sz w:val="20"/>
          <w:szCs w:val="20"/>
          <w:color w:val="auto"/>
        </w:rPr>
        <w:t>Total revenues were $337.7 million for the year ended December 31, 2022, a $136.6 million, or 28.8%, decrease compared to $474.2 million for the year ended December 31, 2021. This decrease was primarily due to a decrease in revenue related to our standard products business as described below.</w:t>
      </w:r>
    </w:p>
    <w:p>
      <w:pPr>
        <w:spacing w:after="0" w:line="130" w:lineRule="exact"/>
        <w:rPr>
          <w:sz w:val="20"/>
          <w:szCs w:val="20"/>
          <w:color w:val="auto"/>
        </w:rPr>
      </w:pPr>
    </w:p>
    <w:p>
      <w:pPr>
        <w:ind w:right="10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standard products business. </w:t>
      </w:r>
      <w:r>
        <w:rPr>
          <w:rFonts w:ascii="Times New Roman" w:cs="Times New Roman" w:eastAsia="Times New Roman" w:hAnsi="Times New Roman"/>
          <w:sz w:val="20"/>
          <w:szCs w:val="20"/>
          <w:color w:val="auto"/>
        </w:rPr>
        <w:t>Net sales from our standard products business were $301.9 million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2022, a $131.2 million, or 30.3%, decrease compared to $433.1 million for the year ended December 31, 2021. Net sales from our Display Solutions business line was significantly decreased due primarily to a decrease in revenue from our mobile OLED display driver ICs stemming from a lower customer demand resulting from a slowdown in the Chinese smartphone market, and a lack of secured manufacturing capacity (in particular for 28nm 12-inch OLED wafers) at external 12-inch foundries, which was offset in part by a higher demand for our OLED TV display driver ICs and auto-LCD display driver ICs. The slight increase in net sales from our Power Solutions business line was attributable to a strong demand for power products such as high-end MOSFETs for computing and lighting solutions, and IGBTs mainly for solar inverters, which was offset in part by a lower demand for MOSFETs primarily for smartphones and e-bikes.</w:t>
      </w:r>
    </w:p>
    <w:p>
      <w:pPr>
        <w:spacing w:after="0" w:line="134" w:lineRule="exact"/>
        <w:rPr>
          <w:sz w:val="20"/>
          <w:szCs w:val="20"/>
          <w:color w:val="auto"/>
        </w:rPr>
      </w:pPr>
    </w:p>
    <w:p>
      <w:pPr>
        <w:ind w:right="700" w:firstLine="4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transitional Fab 3 foundry services. </w:t>
      </w:r>
      <w:r>
        <w:rPr>
          <w:rFonts w:ascii="Times New Roman" w:cs="Times New Roman" w:eastAsia="Times New Roman" w:hAnsi="Times New Roman"/>
          <w:sz w:val="20"/>
          <w:szCs w:val="20"/>
          <w:color w:val="auto"/>
        </w:rPr>
        <w:t>Net sales from the transitional Fab 3 foundry services were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$35.8 million and $41.1 million for the years ended December 31, 2022 and 2021, respectively.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Profit</w:t>
      </w:r>
    </w:p>
    <w:p>
      <w:pPr>
        <w:spacing w:after="0" w:line="120" w:lineRule="exact"/>
        <w:rPr>
          <w:sz w:val="20"/>
          <w:szCs w:val="20"/>
          <w:color w:val="auto"/>
        </w:rPr>
      </w:pPr>
    </w:p>
    <w:p>
      <w:pPr>
        <w:ind w:right="100" w:firstLine="400"/>
        <w:spacing w:after="0" w:line="248" w:lineRule="auto"/>
        <w:rPr>
          <w:sz w:val="20"/>
          <w:szCs w:val="20"/>
          <w:color w:val="auto"/>
        </w:rPr>
      </w:pPr>
      <w:r>
        <w:rPr>
          <w:rFonts w:ascii="Times New Roman" w:cs="Times New Roman" w:eastAsia="Times New Roman" w:hAnsi="Times New Roman"/>
          <w:sz w:val="20"/>
          <w:szCs w:val="20"/>
          <w:color w:val="auto"/>
        </w:rPr>
        <w:t>Total gross profit was $101.3 million for the year ended December 31, 2022 compared to $153.5 million for the year ended December 31, 2021, representing a $52.3 million, or 34.0%, decrease. Gross profit as a percentage of total revenues for the year ended December 31, 2022 decreased to 30.0% compared to 32.4% for the year ended December 31, 2021. The decrease in gross profit and gross profit as a percentage of net sales was primarily due to the decrease in gross profit and gross profit as a percentage of net sales from our standard products business as further described below.</w:t>
      </w:r>
    </w:p>
    <w:p>
      <w:pPr>
        <w:spacing w:after="0" w:line="128" w:lineRule="exact"/>
        <w:rPr>
          <w:sz w:val="20"/>
          <w:szCs w:val="20"/>
          <w:color w:val="auto"/>
        </w:rPr>
      </w:pPr>
    </w:p>
    <w:p>
      <w:pPr>
        <w:ind w:right="10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standard products business. </w:t>
      </w:r>
      <w:r>
        <w:rPr>
          <w:rFonts w:ascii="Times New Roman" w:cs="Times New Roman" w:eastAsia="Times New Roman" w:hAnsi="Times New Roman"/>
          <w:sz w:val="20"/>
          <w:szCs w:val="20"/>
          <w:color w:val="auto"/>
        </w:rPr>
        <w:t>Gross profit from our standard products business was $99.5 million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2022, representing a $50.0 million, or 33.5%, decrease from $149.6 million for the year ended December 31, 2021. The decrease in gross profit was primarily attributable to a significant decrease in net sales from our Display Solutions business line as explained above. Gross profit as a percentage of net sales for the year ended December 31, 2022 decreased to 33.0% compared to 34.5% for the year ended</w:t>
      </w:r>
    </w:p>
    <w:p>
      <w:pPr>
        <w:sectPr>
          <w:pgSz w:w="12240" w:h="15840" w:orient="portrait"/>
          <w:cols w:equalWidth="0" w:num="1">
            <w:col w:w="9440"/>
          </w:cols>
          <w:pgMar w:left="1420" w:top="889" w:right="1380" w:bottom="182"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440"/>
          </w:cols>
          <w:pgMar w:left="1420" w:top="889" w:right="1380" w:bottom="182" w:gutter="0" w:footer="0" w:header="0"/>
          <w:type w:val="continuous"/>
        </w:sectPr>
      </w:pPr>
    </w:p>
    <w:bookmarkStart w:id="52" w:name="page53"/>
    <w:bookmarkEnd w:id="52"/>
    <w:p>
      <w:pPr>
        <w:ind w:right="100"/>
        <w:spacing w:after="0" w:line="245" w:lineRule="auto"/>
        <w:rPr>
          <w:sz w:val="20"/>
          <w:szCs w:val="20"/>
          <w:color w:val="auto"/>
        </w:rPr>
      </w:pPr>
      <w:r>
        <w:rPr>
          <w:rFonts w:ascii="Times New Roman" w:cs="Times New Roman" w:eastAsia="Times New Roman" w:hAnsi="Times New Roman"/>
          <w:sz w:val="20"/>
          <w:szCs w:val="20"/>
          <w:color w:val="auto"/>
        </w:rPr>
        <w:t>December 31, 2021. The decrease in gross profit as a percentage of net sales was primarily attributable to certain inventory reserves and scrap cost related to 12-inch display products resulted from lower demand for China smartphones.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Sales—Standard Products Business by Geographic Region</w:t>
      </w:r>
    </w:p>
    <w:p>
      <w:pPr>
        <w:spacing w:after="0" w:line="120" w:lineRule="exact"/>
        <w:rPr>
          <w:sz w:val="20"/>
          <w:szCs w:val="20"/>
          <w:color w:val="auto"/>
        </w:rPr>
      </w:pPr>
    </w:p>
    <w:p>
      <w:pPr>
        <w:ind w:right="80" w:firstLine="400"/>
        <w:spacing w:after="0" w:line="246" w:lineRule="auto"/>
        <w:rPr>
          <w:sz w:val="20"/>
          <w:szCs w:val="20"/>
          <w:color w:val="auto"/>
        </w:rPr>
      </w:pPr>
      <w:r>
        <w:rPr>
          <w:rFonts w:ascii="Times New Roman" w:cs="Times New Roman" w:eastAsia="Times New Roman" w:hAnsi="Times New Roman"/>
          <w:sz w:val="20"/>
          <w:szCs w:val="20"/>
          <w:color w:val="auto"/>
        </w:rPr>
        <w:t>We report net sales—standard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years ended December 31, 2022 and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72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Pr>
          <w:p>
            <w:pPr>
              <w:spacing w:after="0"/>
              <w:rPr>
                <w:sz w:val="16"/>
                <w:szCs w:val="16"/>
                <w:color w:val="auto"/>
              </w:rPr>
            </w:pPr>
          </w:p>
        </w:tc>
        <w:tc>
          <w:tcPr>
            <w:tcW w:w="1700" w:type="dxa"/>
            <w:vAlign w:val="bottom"/>
            <w:gridSpan w:val="7"/>
          </w:tcPr>
          <w:p>
            <w:pPr>
              <w:ind w:left="3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5"/>
        </w:trPr>
        <w:tc>
          <w:tcPr>
            <w:tcW w:w="5060" w:type="dxa"/>
            <w:vAlign w:val="bottom"/>
          </w:tcPr>
          <w:p>
            <w:pPr>
              <w:spacing w:after="0"/>
              <w:rPr>
                <w:sz w:val="16"/>
                <w:szCs w:val="16"/>
                <w:color w:val="auto"/>
              </w:rPr>
            </w:pPr>
          </w:p>
        </w:tc>
        <w:tc>
          <w:tcPr>
            <w:tcW w:w="1600" w:type="dxa"/>
            <w:vAlign w:val="bottom"/>
            <w:tcBorders>
              <w:bottom w:val="single" w:sz="8" w:color="auto"/>
            </w:tcBorders>
            <w:gridSpan w:val="5"/>
          </w:tcPr>
          <w:p>
            <w:pPr>
              <w:jc w:val="right"/>
              <w:ind w:right="6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Borders>
              <w:bottom w:val="single" w:sz="8" w:color="auto"/>
            </w:tcBorders>
            <w:gridSpan w:val="6"/>
          </w:tcPr>
          <w:p>
            <w:pPr>
              <w:jc w:val="right"/>
              <w:ind w:right="14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0"/>
        </w:trPr>
        <w:tc>
          <w:tcPr>
            <w:tcW w:w="5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0"/>
        </w:trPr>
        <w:tc>
          <w:tcPr>
            <w:tcW w:w="5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4"/>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Net Sales –</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5"/>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Net Sales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4"/>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standard</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4"/>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standard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4"/>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products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4"/>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products</w:t>
            </w:r>
          </w:p>
        </w:tc>
        <w:tc>
          <w:tcPr>
            <w:tcW w:w="120" w:type="dxa"/>
            <w:vAlign w:val="bottom"/>
          </w:tcPr>
          <w:p>
            <w:pPr>
              <w:spacing w:after="0"/>
              <w:rPr>
                <w:sz w:val="15"/>
                <w:szCs w:val="15"/>
                <w:color w:val="auto"/>
              </w:rPr>
            </w:pPr>
          </w:p>
        </w:tc>
        <w:tc>
          <w:tcPr>
            <w:tcW w:w="70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185"/>
        </w:trPr>
        <w:tc>
          <w:tcPr>
            <w:tcW w:w="5060" w:type="dxa"/>
            <w:vAlign w:val="bottom"/>
          </w:tcPr>
          <w:p>
            <w:pPr>
              <w:spacing w:after="0"/>
              <w:rPr>
                <w:sz w:val="16"/>
                <w:szCs w:val="16"/>
                <w:color w:val="auto"/>
              </w:rPr>
            </w:pPr>
          </w:p>
        </w:tc>
        <w:tc>
          <w:tcPr>
            <w:tcW w:w="8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4"/>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auto"/>
                <w:w w:val="98"/>
              </w:rPr>
              <w:t>business</w:t>
            </w:r>
          </w:p>
        </w:tc>
        <w:tc>
          <w:tcPr>
            <w:tcW w:w="820" w:type="dxa"/>
            <w:vAlign w:val="bottom"/>
            <w:gridSpan w:val="3"/>
          </w:tcPr>
          <w:p>
            <w:pPr>
              <w:ind w:left="120"/>
              <w:spacing w:after="0" w:line="18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6"/>
                <w:szCs w:val="16"/>
                <w:color w:val="auto"/>
              </w:rPr>
            </w:pPr>
          </w:p>
        </w:tc>
        <w:tc>
          <w:tcPr>
            <w:tcW w:w="900" w:type="dxa"/>
            <w:vAlign w:val="bottom"/>
            <w:gridSpan w:val="4"/>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auto"/>
              </w:rPr>
              <w:t>business</w:t>
            </w:r>
          </w:p>
        </w:tc>
        <w:tc>
          <w:tcPr>
            <w:tcW w:w="120" w:type="dxa"/>
            <w:vAlign w:val="bottom"/>
          </w:tcPr>
          <w:p>
            <w:pPr>
              <w:spacing w:after="0"/>
              <w:rPr>
                <w:sz w:val="16"/>
                <w:szCs w:val="16"/>
                <w:color w:val="auto"/>
              </w:rPr>
            </w:pPr>
          </w:p>
        </w:tc>
        <w:tc>
          <w:tcPr>
            <w:tcW w:w="700" w:type="dxa"/>
            <w:vAlign w:val="bottom"/>
            <w:gridSpan w:val="3"/>
          </w:tcPr>
          <w:p>
            <w:pPr>
              <w:jc w:val="right"/>
              <w:ind w:right="100"/>
              <w:spacing w:after="0" w:line="182" w:lineRule="exact"/>
              <w:rPr>
                <w:sz w:val="20"/>
                <w:szCs w:val="20"/>
                <w:color w:val="auto"/>
              </w:rPr>
            </w:pPr>
            <w:r>
              <w:rPr>
                <w:rFonts w:ascii="Times New Roman" w:cs="Times New Roman" w:eastAsia="Times New Roman" w:hAnsi="Times New Roman"/>
                <w:sz w:val="16"/>
                <w:szCs w:val="16"/>
                <w:b w:val="1"/>
                <w:bCs w:val="1"/>
                <w:color w:val="auto"/>
              </w:rPr>
              <w:t>Amount</w:t>
            </w:r>
          </w:p>
        </w:tc>
      </w:tr>
      <w:tr>
        <w:trPr>
          <w:trHeight w:val="20"/>
        </w:trPr>
        <w:tc>
          <w:tcPr>
            <w:tcW w:w="5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5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40" w:type="dxa"/>
            <w:vAlign w:val="bottom"/>
            <w:gridSpan w:val="10"/>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13"/>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Korea . . . . . . . . . . . . . . . . . .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$105.3</w:t>
            </w:r>
          </w:p>
        </w:tc>
        <w:tc>
          <w:tcPr>
            <w:tcW w:w="260" w:type="dxa"/>
            <w:vAlign w:val="bottom"/>
          </w:tcPr>
          <w:p>
            <w:pPr>
              <w:spacing w:after="0"/>
              <w:rPr>
                <w:sz w:val="24"/>
                <w:szCs w:val="24"/>
                <w:color w:val="auto"/>
              </w:rPr>
            </w:pP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34.9%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$113.8</w:t>
            </w:r>
          </w:p>
        </w:tc>
        <w:tc>
          <w:tcPr>
            <w:tcW w:w="140" w:type="dxa"/>
            <w:vAlign w:val="bottom"/>
          </w:tcPr>
          <w:p>
            <w:pPr>
              <w:spacing w:after="0"/>
              <w:rPr>
                <w:sz w:val="24"/>
                <w:szCs w:val="24"/>
                <w:color w:val="auto"/>
              </w:rPr>
            </w:pPr>
          </w:p>
        </w:tc>
        <w:tc>
          <w:tcPr>
            <w:tcW w:w="102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26.3%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5"/>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Asia Pacific (other than Korea)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179.6</w:t>
            </w:r>
          </w:p>
        </w:tc>
        <w:tc>
          <w:tcPr>
            <w:tcW w:w="2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306.3</w:t>
            </w:r>
          </w:p>
        </w:tc>
        <w:tc>
          <w:tcPr>
            <w:tcW w:w="14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(126.8)</w:t>
            </w:r>
          </w:p>
        </w:tc>
      </w:tr>
      <w:tr>
        <w:trPr>
          <w:trHeight w:val="255"/>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 . . . . . . . . . . . .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4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2"/>
                <w:szCs w:val="22"/>
                <w:color w:val="auto"/>
              </w:rPr>
            </w:pPr>
          </w:p>
        </w:tc>
      </w:tr>
      <w:tr>
        <w:trPr>
          <w:trHeight w:val="255"/>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Europe . . . . . . . . . . . . . . . . .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4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2"/>
                <w:szCs w:val="22"/>
                <w:color w:val="auto"/>
              </w:rPr>
            </w:pPr>
          </w:p>
        </w:tc>
      </w:tr>
      <w:tr>
        <w:trPr>
          <w:trHeight w:val="253"/>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Others. . . . . . . . . . . . . . . . . .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4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0"/>
        </w:trPr>
        <w:tc>
          <w:tcPr>
            <w:tcW w:w="5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50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301.9</w:t>
            </w:r>
          </w:p>
        </w:tc>
        <w:tc>
          <w:tcPr>
            <w:tcW w:w="260" w:type="dxa"/>
            <w:vAlign w:val="bottom"/>
          </w:tcPr>
          <w:p>
            <w:pPr>
              <w:spacing w:after="0"/>
              <w:rPr>
                <w:sz w:val="24"/>
                <w:szCs w:val="24"/>
                <w:color w:val="auto"/>
              </w:rPr>
            </w:pP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100.0%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433.1</w:t>
            </w:r>
          </w:p>
        </w:tc>
        <w:tc>
          <w:tcPr>
            <w:tcW w:w="140" w:type="dxa"/>
            <w:vAlign w:val="bottom"/>
          </w:tcPr>
          <w:p>
            <w:pPr>
              <w:spacing w:after="0"/>
              <w:rPr>
                <w:sz w:val="24"/>
                <w:szCs w:val="24"/>
                <w:color w:val="auto"/>
              </w:rPr>
            </w:pPr>
          </w:p>
        </w:tc>
        <w:tc>
          <w:tcPr>
            <w:tcW w:w="102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100.0%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(131.2)</w:t>
            </w:r>
          </w:p>
        </w:tc>
      </w:tr>
      <w:tr>
        <w:trPr>
          <w:trHeight w:val="20"/>
        </w:trPr>
        <w:tc>
          <w:tcPr>
            <w:tcW w:w="5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Net sales—standard products business in Korea for the year ended December 31, 2022 decreased from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$113.8 million to $105.3 million compared to the year ended December 31, 2021, or by $8.5 million, or 7.5%,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primarily due to weaker demand for power products such as MOSFETs, including high-end MOSFETs, primarily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TVs and smartphone applications, which was offset in part by an increase in revenue from our mobile OLED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display driver ICs in the first half of 2022 and OLED TV display driver ICs.</w:t>
      </w:r>
    </w:p>
    <w:p>
      <w:pPr>
        <w:spacing w:after="0" w:line="140" w:lineRule="exact"/>
        <w:rPr>
          <w:sz w:val="20"/>
          <w:szCs w:val="20"/>
          <w:color w:val="auto"/>
        </w:rPr>
      </w:pPr>
    </w:p>
    <w:p>
      <w:pPr>
        <w:ind w:right="200" w:firstLine="400"/>
        <w:spacing w:after="0" w:line="248" w:lineRule="auto"/>
        <w:rPr>
          <w:sz w:val="20"/>
          <w:szCs w:val="20"/>
          <w:color w:val="auto"/>
        </w:rPr>
      </w:pPr>
      <w:r>
        <w:rPr>
          <w:rFonts w:ascii="Times New Roman" w:cs="Times New Roman" w:eastAsia="Times New Roman" w:hAnsi="Times New Roman"/>
          <w:sz w:val="20"/>
          <w:szCs w:val="20"/>
          <w:color w:val="auto"/>
        </w:rPr>
        <w:t>Net sales—standard products business in the Asia Pacific for the year ended December 31, 2022 decreased from $306.3 million to $179.6 million compared to the year ended December 31, 2021, or by $126.8 million, or 41.4%, primarily due to a significant decrease in revenue from our mobile OLED display driver ICs stemming from a lower customer demand resulting from a slowdown in the Chinese smartphone market, and a lack of secured manufacturing capacity (in particular for 28nm 12-inch OLED wafers) at external 12-inch foundries, which was offset in part by a higher demand for power products such as high-end MOSFETs, primarily for computing, and IGBTs mainly for solar inverters. The increased demand for our auto-LCD display driver ICs also favorably affected this year.</w:t>
      </w:r>
    </w:p>
    <w:p>
      <w:pPr>
        <w:spacing w:after="0" w:line="139" w:lineRule="exact"/>
        <w:rPr>
          <w:sz w:val="20"/>
          <w:szCs w:val="20"/>
          <w:color w:val="auto"/>
        </w:rPr>
      </w:pPr>
    </w:p>
    <w:p>
      <w:pPr>
        <w:ind w:right="340" w:firstLine="400"/>
        <w:spacing w:after="0" w:line="246" w:lineRule="auto"/>
        <w:rPr>
          <w:sz w:val="20"/>
          <w:szCs w:val="20"/>
          <w:color w:val="auto"/>
        </w:rPr>
      </w:pPr>
      <w:r>
        <w:rPr>
          <w:rFonts w:ascii="Times New Roman" w:cs="Times New Roman" w:eastAsia="Times New Roman" w:hAnsi="Times New Roman"/>
          <w:sz w:val="20"/>
          <w:szCs w:val="20"/>
          <w:color w:val="auto"/>
        </w:rPr>
        <w:t>Net sales—standard products business in the U.S. for the year ended December 31, 2022 increased from $6.1 million to $10.4 million compared to the year ended December 31, 2021, or by $4.3 million, or 71.3%, primarily due to a change in billing location of a global customer who offers lighting solutions combined with the increase of high-end MOSFET design wins with the customer.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Selling, General and Administrative Expenses. </w:t>
      </w:r>
      <w:r>
        <w:rPr>
          <w:rFonts w:ascii="Times New Roman" w:cs="Times New Roman" w:eastAsia="Times New Roman" w:hAnsi="Times New Roman"/>
          <w:sz w:val="20"/>
          <w:szCs w:val="20"/>
          <w:color w:val="auto"/>
        </w:rPr>
        <w:t>Selling, general and administrative expenses were</w:t>
      </w:r>
    </w:p>
    <w:p>
      <w:pPr>
        <w:spacing w:after="0" w:line="2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$50.9 million, or 15.1% of total revenues for the year ended December 31, 2022, compared to $52.4 million, or 11.1% of total revenues for the year ended December 31, 2021. The decrease of $1.6 million, or 3.0%, was primarily attributable to a net decrease in estimated employee compensation reflecting the current year’s financial performance, and a decrease in running royalties recognized based on the sale of certain mobile OLED display driver ICs.</w:t>
      </w:r>
    </w:p>
    <w:p>
      <w:pPr>
        <w:spacing w:after="0" w:line="131" w:lineRule="exact"/>
        <w:rPr>
          <w:sz w:val="20"/>
          <w:szCs w:val="20"/>
          <w:color w:val="auto"/>
        </w:rPr>
      </w:pPr>
    </w:p>
    <w:p>
      <w:pPr>
        <w:ind w:right="10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Research and Development Expenses. </w:t>
      </w:r>
      <w:r>
        <w:rPr>
          <w:rFonts w:ascii="Times New Roman" w:cs="Times New Roman" w:eastAsia="Times New Roman" w:hAnsi="Times New Roman"/>
          <w:sz w:val="20"/>
          <w:szCs w:val="20"/>
          <w:color w:val="auto"/>
        </w:rPr>
        <w:t>Research and development expenses were $52.3 million, or 15.5%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total revenues for the year ended December 31, 2022, compared to $51.2 million, or 10.8%, of total revenues for the year ended December 31, 2021. The increase of $1.1 million, or 2.2%, was primarily attributable to an increase in outside service fees, including those for software design tools.</w:t>
      </w:r>
    </w:p>
    <w:p>
      <w:pPr>
        <w:sectPr>
          <w:pgSz w:w="12240" w:h="15840" w:orient="portrait"/>
          <w:cols w:equalWidth="0" w:num="1">
            <w:col w:w="9440"/>
          </w:cols>
          <w:pgMar w:left="1420" w:top="899" w:right="1380" w:bottom="182"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440"/>
          </w:cols>
          <w:pgMar w:left="1420" w:top="899" w:right="1380" w:bottom="182" w:gutter="0" w:footer="0" w:header="0"/>
          <w:type w:val="continuous"/>
        </w:sectPr>
      </w:pPr>
    </w:p>
    <w:bookmarkStart w:id="53" w:name="page54"/>
    <w:bookmarkEnd w:id="53"/>
    <w:p>
      <w:pPr>
        <w:jc w:val="both"/>
        <w:ind w:right="20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Merger-related Income, Net. </w:t>
      </w:r>
      <w:r>
        <w:rPr>
          <w:rFonts w:ascii="Times New Roman" w:cs="Times New Roman" w:eastAsia="Times New Roman" w:hAnsi="Times New Roman"/>
          <w:sz w:val="20"/>
          <w:szCs w:val="20"/>
          <w:color w:val="auto"/>
        </w:rPr>
        <w:t>For the year ended December 31, 2021, we recorded a $70.2 million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the recognition of a reverse termination fee as a result of the termination of the merger transaction, which was offset in part by a $34.7 million of professional service fees and expenses incurred in connection with the contemplated merger transaction that was terminated in December 2021.</w:t>
      </w:r>
    </w:p>
    <w:p>
      <w:pPr>
        <w:spacing w:after="0" w:line="126" w:lineRule="exact"/>
        <w:rPr>
          <w:sz w:val="20"/>
          <w:szCs w:val="20"/>
          <w:color w:val="auto"/>
        </w:rPr>
      </w:pPr>
    </w:p>
    <w:p>
      <w:pPr>
        <w:ind w:right="12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Charges, Net. </w:t>
      </w:r>
      <w:r>
        <w:rPr>
          <w:rFonts w:ascii="Times New Roman" w:cs="Times New Roman" w:eastAsia="Times New Roman" w:hAnsi="Times New Roman"/>
          <w:sz w:val="20"/>
          <w:szCs w:val="20"/>
          <w:color w:val="auto"/>
        </w:rPr>
        <w:t>For the year ended December 31, 2022, we recorded a $2.8 million of one-time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 incentives and professional service fees and expenses of $1.0 million incurred in connection with certain strategic evaluations, which was offset in part by a $0.5 million gain on sale of certain legacy equipment of the closed back-end line in our fabrication facility in Gumi. For the year ended December 31, 2021, we recorded a $3.4 million of non-recurring professional service fees and expenses incurred in connection with the regulatory requests, which was offset in part by a $1.4 million gain on sale of certain legacy equipment of the closed back-end line in our fabrication facility in Gumi.</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Income (Loss)</w:t>
      </w:r>
    </w:p>
    <w:p>
      <w:pPr>
        <w:spacing w:after="0" w:line="120" w:lineRule="exact"/>
        <w:rPr>
          <w:sz w:val="20"/>
          <w:szCs w:val="20"/>
          <w:color w:val="auto"/>
        </w:rPr>
      </w:pPr>
    </w:p>
    <w:p>
      <w:pPr>
        <w:ind w:right="240" w:firstLine="400"/>
        <w:spacing w:after="0" w:line="246" w:lineRule="auto"/>
        <w:rPr>
          <w:sz w:val="20"/>
          <w:szCs w:val="20"/>
          <w:color w:val="auto"/>
        </w:rPr>
      </w:pPr>
      <w:r>
        <w:rPr>
          <w:rFonts w:ascii="Times New Roman" w:cs="Times New Roman" w:eastAsia="Times New Roman" w:hAnsi="Times New Roman"/>
          <w:sz w:val="20"/>
          <w:szCs w:val="20"/>
          <w:color w:val="auto"/>
        </w:rPr>
        <w:t>As a result of the foregoing, operating loss of $5.2 million was recorded for the year ended December 31, 2022 compared to operating income of $83.4 million the year ended December 31, 2021. The decrease in operating income of $88.7 million resulted primarily from a $52.3 million decrease in gross profit and a $35.5 million net decrease in merger-related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114"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Income. </w:t>
      </w:r>
      <w:r>
        <w:rPr>
          <w:rFonts w:ascii="Times New Roman" w:cs="Times New Roman" w:eastAsia="Times New Roman" w:hAnsi="Times New Roman"/>
          <w:sz w:val="20"/>
          <w:szCs w:val="20"/>
          <w:color w:val="auto"/>
        </w:rPr>
        <w:t>Interest income was $6.0 million and $2.6 million for the years ended December 31, 2022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December 31, 2021, respectively. The increase of $3.4 million, or 129.2%, was primarily attributable to an increase in interest income on cash and cash equivalents held by our Korean subsidiary, which benefited from the favorable financial market environment.</w:t>
      </w:r>
    </w:p>
    <w:p>
      <w:pPr>
        <w:spacing w:after="0" w:line="126" w:lineRule="exact"/>
        <w:rPr>
          <w:sz w:val="20"/>
          <w:szCs w:val="20"/>
          <w:color w:val="auto"/>
        </w:rPr>
      </w:pPr>
    </w:p>
    <w:p>
      <w:pPr>
        <w:ind w:right="440" w:firstLine="4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Expense. </w:t>
      </w:r>
      <w:r>
        <w:rPr>
          <w:rFonts w:ascii="Times New Roman" w:cs="Times New Roman" w:eastAsia="Times New Roman" w:hAnsi="Times New Roman"/>
          <w:sz w:val="20"/>
          <w:szCs w:val="20"/>
          <w:color w:val="auto"/>
        </w:rPr>
        <w:t>Interest expense was $1.2 million and $1.4 million for the years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2022 and December 31, 2021, respectively.</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Foreign Currency Loss, Net. </w:t>
      </w:r>
      <w:r>
        <w:rPr>
          <w:rFonts w:ascii="Times New Roman" w:cs="Times New Roman" w:eastAsia="Times New Roman" w:hAnsi="Times New Roman"/>
          <w:sz w:val="20"/>
          <w:szCs w:val="20"/>
          <w:color w:val="auto"/>
        </w:rPr>
        <w:t>Net foreign currency loss for the year ended December 31, 2022 was</w:t>
      </w:r>
    </w:p>
    <w:p>
      <w:pPr>
        <w:spacing w:after="0" w:line="20"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20"/>
          <w:szCs w:val="20"/>
          <w:color w:val="auto"/>
        </w:rPr>
        <w:t>$3.0 million compared to net foreign currency loss of $11.9 million for the year ended December 31, 2021. The net foreign currency losses for the years ended December 31, 2022 and 2021 were due to the depreciation in the value of the Korean won relative to the U.S. dollar during each period.</w:t>
      </w:r>
    </w:p>
    <w:p>
      <w:pPr>
        <w:spacing w:after="0" w:line="136"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 U.S. dollar. As of December 31, 2022 and 2021, the outstanding intercompany loan balance including accrued interest between our Korean subsidiary and our Dutch subsidiary was $311.0 million and $344.4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33"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Others, Net. </w:t>
      </w:r>
      <w:r>
        <w:rPr>
          <w:rFonts w:ascii="Times New Roman" w:cs="Times New Roman" w:eastAsia="Times New Roman" w:hAnsi="Times New Roman"/>
          <w:sz w:val="20"/>
          <w:szCs w:val="20"/>
          <w:color w:val="auto"/>
        </w:rPr>
        <w:t>Others were comprised of rental income and gains and losses from valuation of derivatives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were designated as hedging instruments. Others, net for the years ended December 31, 2022 and 2021 was $0.6 million and $1.2 million, respectively. Others, net for the year ended December 31, 2021, included a</w:t>
      </w:r>
    </w:p>
    <w:p>
      <w:pPr>
        <w:spacing w:after="0" w:line="13" w:lineRule="exact"/>
        <w:rPr>
          <w:sz w:val="20"/>
          <w:szCs w:val="20"/>
          <w:color w:val="auto"/>
        </w:rPr>
      </w:pPr>
    </w:p>
    <w:p>
      <w:pPr>
        <w:jc w:val="both"/>
        <w:ind w:right="380"/>
        <w:spacing w:after="0" w:line="245" w:lineRule="auto"/>
        <w:rPr>
          <w:sz w:val="20"/>
          <w:szCs w:val="20"/>
          <w:color w:val="auto"/>
        </w:rPr>
      </w:pPr>
      <w:r>
        <w:rPr>
          <w:rFonts w:ascii="Times New Roman" w:cs="Times New Roman" w:eastAsia="Times New Roman" w:hAnsi="Times New Roman"/>
          <w:sz w:val="20"/>
          <w:szCs w:val="20"/>
          <w:color w:val="auto"/>
        </w:rPr>
        <w:t>$0.7 million legal settlement gain related to certain expenses incurred in prior periods in connection with our legacy Fab 4 (which was sold during the year ended December 31, 2020) and awarded in the third quarter of 2021.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120" w:lineRule="exact"/>
        <w:rPr>
          <w:sz w:val="20"/>
          <w:szCs w:val="20"/>
          <w:color w:val="auto"/>
        </w:rPr>
      </w:pPr>
    </w:p>
    <w:p>
      <w:pPr>
        <w:ind w:right="560" w:firstLine="400"/>
        <w:spacing w:after="0" w:line="239" w:lineRule="auto"/>
        <w:rPr>
          <w:sz w:val="20"/>
          <w:szCs w:val="20"/>
          <w:color w:val="auto"/>
        </w:rPr>
      </w:pPr>
      <w:r>
        <w:rPr>
          <w:rFonts w:ascii="Times New Roman" w:cs="Times New Roman" w:eastAsia="Times New Roman" w:hAnsi="Times New Roman"/>
          <w:sz w:val="20"/>
          <w:szCs w:val="20"/>
          <w:color w:val="auto"/>
        </w:rPr>
        <w:t>We are subject to income taxes in the U.S. and many foreign jurisdictions and our effective tax rate is affected by changes in the mix of earnings between countries with differing tax rates.</w:t>
      </w:r>
    </w:p>
    <w:p>
      <w:pPr>
        <w:spacing w:after="0" w:line="142" w:lineRule="exact"/>
        <w:rPr>
          <w:sz w:val="20"/>
          <w:szCs w:val="20"/>
          <w:color w:val="auto"/>
        </w:rPr>
      </w:pPr>
    </w:p>
    <w:p>
      <w:pPr>
        <w:ind w:right="200" w:firstLine="400"/>
        <w:spacing w:after="0" w:line="248" w:lineRule="auto"/>
        <w:rPr>
          <w:sz w:val="20"/>
          <w:szCs w:val="20"/>
          <w:color w:val="auto"/>
        </w:rPr>
      </w:pPr>
      <w:r>
        <w:rPr>
          <w:rFonts w:ascii="Times New Roman" w:cs="Times New Roman" w:eastAsia="Times New Roman" w:hAnsi="Times New Roman"/>
          <w:sz w:val="20"/>
          <w:szCs w:val="20"/>
          <w:color w:val="auto"/>
        </w:rPr>
        <w:t>We recorded a $5.2 million income tax expense for the year ended December 31, 2022, which is primarily composed of income tax expense from our Korean subsidiary due mainly to its realized foreign currency gains resulting in taxable income for the year, and this expense was partially offset by income tax benefit from our Dutch subsidiary. The Dutch subsidiary’s tax benefit was mainly attributable to the reversal of withholding tax with respect to the waiver of the accrued interest on the loans granted to our Korean subsidiary by our Dutch subsidiary.</w:t>
      </w:r>
    </w:p>
    <w:p>
      <w:pPr>
        <w:sectPr>
          <w:pgSz w:w="12240" w:h="15840" w:orient="portrait"/>
          <w:cols w:equalWidth="0" w:num="1">
            <w:col w:w="9380"/>
          </w:cols>
          <w:pgMar w:left="1420" w:top="893" w:right="1440" w:bottom="182"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80"/>
          </w:cols>
          <w:pgMar w:left="1420" w:top="893" w:right="1440" w:bottom="182" w:gutter="0" w:footer="0" w:header="0"/>
          <w:type w:val="continuous"/>
        </w:sectPr>
      </w:pPr>
    </w:p>
    <w:bookmarkStart w:id="54" w:name="page55"/>
    <w:bookmarkEnd w:id="54"/>
    <w:p>
      <w:pPr>
        <w:ind w:right="220" w:firstLine="400"/>
        <w:spacing w:after="0" w:line="247" w:lineRule="auto"/>
        <w:rPr>
          <w:sz w:val="20"/>
          <w:szCs w:val="20"/>
          <w:color w:val="auto"/>
        </w:rPr>
      </w:pPr>
      <w:r>
        <w:rPr>
          <w:rFonts w:ascii="Times New Roman" w:cs="Times New Roman" w:eastAsia="Times New Roman" w:hAnsi="Times New Roman"/>
          <w:sz w:val="20"/>
          <w:szCs w:val="20"/>
          <w:color w:val="auto"/>
        </w:rPr>
        <w:t>We recorded a $17.3 million income tax expense for the year ended December 31, 2021, which was primarily composed of the income tax expense of $6.9 million from our Korean subsidiary, primarily due to its taxable income for the year, and the income tax expense of $8.2 million from the parent entity in the U.S. The U.S. parent’s tax expense was mainly attributable to the recognition of income and expenses related to the Merger combined with the utilization of its available net operating loss carry-forwards.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w:t>
      </w:r>
    </w:p>
    <w:p>
      <w:pPr>
        <w:spacing w:after="0" w:line="120" w:lineRule="exact"/>
        <w:rPr>
          <w:sz w:val="20"/>
          <w:szCs w:val="20"/>
          <w:color w:val="auto"/>
        </w:rPr>
      </w:pPr>
    </w:p>
    <w:p>
      <w:pPr>
        <w:ind w:right="280" w:firstLine="400"/>
        <w:spacing w:after="0" w:line="239" w:lineRule="auto"/>
        <w:rPr>
          <w:sz w:val="20"/>
          <w:szCs w:val="20"/>
          <w:color w:val="auto"/>
        </w:rPr>
      </w:pPr>
      <w:r>
        <w:rPr>
          <w:rFonts w:ascii="Times New Roman" w:cs="Times New Roman" w:eastAsia="Times New Roman" w:hAnsi="Times New Roman"/>
          <w:sz w:val="20"/>
          <w:szCs w:val="20"/>
          <w:color w:val="auto"/>
        </w:rPr>
        <w:t>As a result of the foregoing, net loss of $8.0 million was recorded for the year ended December 31, 2022 compared to net income of $56.7 million for the year ended December 31, 2021. As discussed above, the</w:t>
      </w:r>
    </w:p>
    <w:p>
      <w:pPr>
        <w:spacing w:after="0" w:line="2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$64.7 million decrease in net income was primarily attributable to an $88.7 million decrease in operating income, which was offset in part by a $12.1 million decrease in income tax expense, an $8.8 million improvement in net foreign currency loss and a $3.4 million increase in interest income.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0" w:lineRule="exact"/>
        <w:rPr>
          <w:sz w:val="20"/>
          <w:szCs w:val="20"/>
          <w:color w:val="auto"/>
        </w:rPr>
      </w:pPr>
    </w:p>
    <w:p>
      <w:pPr>
        <w:jc w:val="both"/>
        <w:ind w:right="120" w:firstLine="400"/>
        <w:spacing w:after="0" w:line="245" w:lineRule="auto"/>
        <w:rPr>
          <w:sz w:val="20"/>
          <w:szCs w:val="20"/>
          <w:color w:val="auto"/>
        </w:rPr>
      </w:pPr>
      <w:r>
        <w:rPr>
          <w:rFonts w:ascii="Times New Roman" w:cs="Times New Roman" w:eastAsia="Times New Roman" w:hAnsi="Times New Roman"/>
          <w:sz w:val="20"/>
          <w:szCs w:val="20"/>
          <w:color w:val="auto"/>
        </w:rPr>
        <w:t>Our principal capital requirements are to fund sales and marketing, invest in research and development and capital equipment, and to fund working capital needs. We calculate working capital as current assets less current liabilities.</w:t>
      </w:r>
    </w:p>
    <w:p>
      <w:pPr>
        <w:spacing w:after="0" w:line="136" w:lineRule="exact"/>
        <w:rPr>
          <w:sz w:val="20"/>
          <w:szCs w:val="20"/>
          <w:color w:val="auto"/>
        </w:rPr>
      </w:pPr>
    </w:p>
    <w:p>
      <w:pPr>
        <w:ind w:right="140" w:firstLine="400"/>
        <w:spacing w:after="0" w:line="248" w:lineRule="auto"/>
        <w:rPr>
          <w:sz w:val="20"/>
          <w:szCs w:val="20"/>
          <w:color w:val="auto"/>
        </w:rPr>
      </w:pPr>
      <w:r>
        <w:rPr>
          <w:rFonts w:ascii="Times New Roman" w:cs="Times New Roman" w:eastAsia="Times New Roman" w:hAnsi="Times New Roman"/>
          <w:sz w:val="20"/>
          <w:szCs w:val="20"/>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December 31, 2022, we did not have any accounts payable on extended terms or payment deferment with our vendors.</w:t>
      </w:r>
    </w:p>
    <w:p>
      <w:pPr>
        <w:spacing w:after="0" w:line="136" w:lineRule="exact"/>
        <w:rPr>
          <w:sz w:val="20"/>
          <w:szCs w:val="20"/>
          <w:color w:val="auto"/>
        </w:rPr>
      </w:pPr>
    </w:p>
    <w:p>
      <w:pPr>
        <w:ind w:right="420" w:firstLine="400"/>
        <w:spacing w:after="0" w:line="239" w:lineRule="auto"/>
        <w:rPr>
          <w:sz w:val="20"/>
          <w:szCs w:val="20"/>
          <w:color w:val="auto"/>
        </w:rPr>
      </w:pPr>
      <w:r>
        <w:rPr>
          <w:rFonts w:ascii="Times New Roman" w:cs="Times New Roman" w:eastAsia="Times New Roman" w:hAnsi="Times New Roman"/>
          <w:sz w:val="20"/>
          <w:szCs w:val="20"/>
          <w:color w:val="auto"/>
        </w:rPr>
        <w:t>As of June 29, 2018, our Korean subsidiary entered into an arrangement whereby it (i) acquired a water treatment facility from SK hynix for $4.2 million to support our fabrication facility in Gumi, Korea, and</w:t>
      </w:r>
    </w:p>
    <w:p>
      <w:pPr>
        <w:spacing w:after="0" w:line="22" w:lineRule="exact"/>
        <w:rPr>
          <w:sz w:val="20"/>
          <w:szCs w:val="20"/>
          <w:color w:val="auto"/>
        </w:rPr>
      </w:pPr>
    </w:p>
    <w:p>
      <w:pPr>
        <w:jc w:val="both"/>
        <w:ind w:right="100" w:firstLine="6"/>
        <w:spacing w:after="0" w:line="245" w:lineRule="auto"/>
        <w:tabs>
          <w:tab w:leader="none" w:pos="311"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subsequently sold the water treatment facility for $4.2 million to a third party management company that we engaged to run the facility for a 10-year term beginning July 1, 2018. As of December 31, 2022, the outstanding obligation of this arrangement is approximately $24.8 million for remaining service term through 2028.</w:t>
      </w:r>
    </w:p>
    <w:p>
      <w:pPr>
        <w:spacing w:after="0" w:line="136" w:lineRule="exact"/>
        <w:rPr>
          <w:sz w:val="20"/>
          <w:szCs w:val="20"/>
          <w:color w:val="auto"/>
        </w:rPr>
      </w:pPr>
    </w:p>
    <w:p>
      <w:pPr>
        <w:ind w:right="260" w:firstLine="400"/>
        <w:spacing w:after="0" w:line="246" w:lineRule="auto"/>
        <w:rPr>
          <w:sz w:val="20"/>
          <w:szCs w:val="20"/>
          <w:color w:val="auto"/>
        </w:rPr>
      </w:pPr>
      <w:r>
        <w:rPr>
          <w:rFonts w:ascii="Times New Roman" w:cs="Times New Roman" w:eastAsia="Times New Roman" w:hAnsi="Times New Roman"/>
          <w:sz w:val="20"/>
          <w:szCs w:val="20"/>
          <w:color w:val="auto"/>
        </w:rPr>
        <w:t>As of December 31, 2022, cash and cash equivalents held by our Korean subsidiary were $207.9 million, which represents 92% of our total cash and cash equivalents on a consolidated basis. We currently believe that we will have sufficient cash reserves from cash on hand and expected cash from operations to fund our operations as well as capital expenditures for the next twelve months and the foreseeable future.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Year ended December 31, 2022 compared to year ended December 31, 2021</w:t>
      </w:r>
    </w:p>
    <w:p>
      <w:pPr>
        <w:spacing w:after="0" w:line="120" w:lineRule="exact"/>
        <w:rPr>
          <w:sz w:val="20"/>
          <w:szCs w:val="20"/>
          <w:color w:val="auto"/>
        </w:rPr>
      </w:pPr>
    </w:p>
    <w:p>
      <w:pPr>
        <w:ind w:right="600" w:firstLine="400"/>
        <w:spacing w:after="0" w:line="239" w:lineRule="auto"/>
        <w:rPr>
          <w:sz w:val="20"/>
          <w:szCs w:val="20"/>
          <w:color w:val="auto"/>
        </w:rPr>
      </w:pPr>
      <w:r>
        <w:rPr>
          <w:rFonts w:ascii="Times New Roman" w:cs="Times New Roman" w:eastAsia="Times New Roman" w:hAnsi="Times New Roman"/>
          <w:sz w:val="20"/>
          <w:szCs w:val="20"/>
          <w:color w:val="auto"/>
        </w:rPr>
        <w:t>As of December 31, 2022, our cash and cash equivalents balance was $225.5 million, a $54.1 million decrease compared to $279.5 million as of December 31, 2021.</w:t>
      </w:r>
    </w:p>
    <w:p>
      <w:pPr>
        <w:spacing w:after="0" w:line="142" w:lineRule="exact"/>
        <w:rPr>
          <w:sz w:val="20"/>
          <w:szCs w:val="20"/>
          <w:color w:val="auto"/>
        </w:rPr>
      </w:pPr>
    </w:p>
    <w:p>
      <w:pPr>
        <w:ind w:right="20" w:firstLine="400"/>
        <w:spacing w:after="0" w:line="239" w:lineRule="auto"/>
        <w:rPr>
          <w:sz w:val="20"/>
          <w:szCs w:val="20"/>
          <w:color w:val="auto"/>
        </w:rPr>
      </w:pPr>
      <w:r>
        <w:rPr>
          <w:rFonts w:ascii="Times New Roman" w:cs="Times New Roman" w:eastAsia="Times New Roman" w:hAnsi="Times New Roman"/>
          <w:sz w:val="20"/>
          <w:szCs w:val="20"/>
          <w:color w:val="auto"/>
        </w:rPr>
        <w:t>Cash inflow provided by operating activities totaled $5.2 million for the year ended December 31, 2022, compared to $87.7 million of cash inflow provided by operating activities for the year ended December 31, 2021.</w:t>
      </w:r>
    </w:p>
    <w:p>
      <w:pPr>
        <w:spacing w:after="0" w:line="142" w:lineRule="exact"/>
        <w:rPr>
          <w:sz w:val="20"/>
          <w:szCs w:val="20"/>
          <w:color w:val="auto"/>
        </w:rPr>
      </w:pPr>
    </w:p>
    <w:p>
      <w:pPr>
        <w:ind w:right="20" w:firstLine="400"/>
        <w:spacing w:after="0" w:line="246" w:lineRule="auto"/>
        <w:rPr>
          <w:sz w:val="20"/>
          <w:szCs w:val="20"/>
          <w:color w:val="auto"/>
        </w:rPr>
      </w:pPr>
      <w:r>
        <w:rPr>
          <w:rFonts w:ascii="Times New Roman" w:cs="Times New Roman" w:eastAsia="Times New Roman" w:hAnsi="Times New Roman"/>
          <w:sz w:val="20"/>
          <w:szCs w:val="20"/>
          <w:color w:val="auto"/>
        </w:rPr>
        <w:t>The net operating cash inflow for the year ended December 31, 2022 reflects our net loss of $8.0 million, as adjusted favorably by $57.6 million, which mainly consisted of depreciation and amortization, provision for severance benefits, net foreign currency loss and stock-based compensation, and net unfavorable impact of $44.4 million from changes of operating assets and liabilities.</w:t>
      </w:r>
    </w:p>
    <w:p>
      <w:pPr>
        <w:spacing w:after="0" w:line="137"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auto"/>
        </w:rPr>
        <w:t>Our working capital balance as of December 31, 2022 was $290.6 million compared to $323.6 million as of December 31, 2021. The $33.0 million decrease was primarily attributable to a $54.1 million decrease in cash and cash equivalents and a $18.0 million decrease in other receivables mainly resulted from receipt of reverse termination fee, which was offset in part by a $19.6 million decrease in accounts payable, a $10.4 million decrease in accrued expenses and a $4.9 million increase in advance payments to certain suppliers, including external foundries to meet our planned production.</w:t>
      </w:r>
    </w:p>
    <w:p>
      <w:pPr>
        <w:spacing w:after="0" w:line="134" w:lineRule="exact"/>
        <w:rPr>
          <w:sz w:val="20"/>
          <w:szCs w:val="20"/>
          <w:color w:val="auto"/>
        </w:rPr>
      </w:pPr>
    </w:p>
    <w:p>
      <w:pPr>
        <w:jc w:val="center"/>
        <w:ind w:right="180"/>
        <w:spacing w:after="0" w:line="239" w:lineRule="auto"/>
        <w:rPr>
          <w:sz w:val="20"/>
          <w:szCs w:val="20"/>
          <w:color w:val="auto"/>
        </w:rPr>
      </w:pPr>
      <w:r>
        <w:rPr>
          <w:rFonts w:ascii="Times New Roman" w:cs="Times New Roman" w:eastAsia="Times New Roman" w:hAnsi="Times New Roman"/>
          <w:sz w:val="20"/>
          <w:szCs w:val="20"/>
          <w:color w:val="auto"/>
        </w:rPr>
        <w:t>Cash outflow used in investing activities totaled $24.9 million for the year ended December 31, 2022, compared to a $31.4 million of cash outflow used in investing activities for the year ended December 31, 2021.</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80"/>
          </w:cols>
          <w:pgMar w:left="1420" w:top="899" w:right="1440" w:bottom="182" w:gutter="0" w:footer="0" w:header="0"/>
          <w:type w:val="continuous"/>
        </w:sectPr>
      </w:pPr>
    </w:p>
    <w:bookmarkStart w:id="55" w:name="page56"/>
    <w:bookmarkEnd w:id="55"/>
    <w:p>
      <w:pPr>
        <w:ind w:right="260"/>
        <w:spacing w:after="0" w:line="255" w:lineRule="auto"/>
        <w:rPr>
          <w:sz w:val="20"/>
          <w:szCs w:val="20"/>
          <w:color w:val="auto"/>
        </w:rPr>
      </w:pPr>
      <w:r>
        <w:rPr>
          <w:rFonts w:ascii="Times New Roman" w:cs="Times New Roman" w:eastAsia="Times New Roman" w:hAnsi="Times New Roman"/>
          <w:sz w:val="20"/>
          <w:szCs w:val="20"/>
          <w:color w:val="auto"/>
        </w:rPr>
        <w:t>The $6.5 million decrease in cash outflow was attributable to an $8.8 million decrease in purchase of property, plant and equipment, which was offset in part by a $1.9 million net increase in hedge collateral and a $0.9 million decrease in proceeds from disposal of property, plant and equipment.</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Cash outflow used in financing activities totaled $12.7 million for the year ended December 31, 2022,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compared to $35.5 million of cash outflow used in financing activities for the year ended December 31, 2021.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financing cash outflow for the year ended December 31, 2022 was primarily attributable to a payment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$12.1 million for the repurchases of our common stock in 2022 pursuant to our stock repurchase program and 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 of $1.8 million for the repurchase of our common stock to satisfy tax withholding obligations 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connection with the vesting of restricted stock units, which was offset in part by $1.8 million of proceeds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received from the issuance of common stock in connection with the exercise of stock options. The financing cash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outflow for the year ended December 31, 2021 was primarily attributable to a payment of $37.5 million for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accelerated stock repurchase program and a payment of $1.7 million for the repurchase of our common stock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satisfy tax withholding obligations in connection with the vesting of restricted stock units, which was offset 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by $4.3 million of proceeds received from the issuance of common stock in connection with the exercise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options.</w:t>
      </w:r>
    </w:p>
    <w:p>
      <w:pPr>
        <w:spacing w:after="0" w:line="150" w:lineRule="exact"/>
        <w:rPr>
          <w:sz w:val="20"/>
          <w:szCs w:val="20"/>
          <w:color w:val="auto"/>
        </w:rPr>
      </w:pPr>
    </w:p>
    <w:p>
      <w:pPr>
        <w:ind w:right="80" w:firstLine="400"/>
        <w:spacing w:after="0" w:line="258" w:lineRule="auto"/>
        <w:rPr>
          <w:sz w:val="20"/>
          <w:szCs w:val="20"/>
          <w:color w:val="auto"/>
        </w:rPr>
      </w:pPr>
      <w:r>
        <w:rPr>
          <w:rFonts w:ascii="Times New Roman" w:cs="Times New Roman" w:eastAsia="Times New Roman" w:hAnsi="Times New Roman"/>
          <w:sz w:val="20"/>
          <w:szCs w:val="20"/>
          <w:color w:val="auto"/>
        </w:rPr>
        <w:t>We routinely make capital expenditures for fabrication facility maintenance, enhancement of our existing facility and reinforcement of our global research and development capability. For the year ended December 31, 2022, capital expenditures for property, plant and equipment were $23.4 million, an $8.8 million, or 27.4%, decrease from $32.2 million for the year ended December 31, 2021. The capital expenditures for the years ended December 31, 2022 and 2021 were related to meeting our customer demand and supporting technology and facility improvement at our fabrication facility.</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30" w:lineRule="exact"/>
        <w:rPr>
          <w:sz w:val="20"/>
          <w:szCs w:val="20"/>
          <w:color w:val="auto"/>
        </w:rPr>
      </w:pPr>
    </w:p>
    <w:p>
      <w:pPr>
        <w:ind w:right="20" w:firstLine="400"/>
        <w:spacing w:after="0" w:line="257" w:lineRule="auto"/>
        <w:rPr>
          <w:sz w:val="20"/>
          <w:szCs w:val="20"/>
          <w:color w:val="auto"/>
        </w:rPr>
      </w:pPr>
      <w:r>
        <w:rPr>
          <w:rFonts w:ascii="Times New Roman" w:cs="Times New Roman" w:eastAsia="Times New Roman" w:hAnsi="Times New Roman"/>
          <w:sz w:val="20"/>
          <w:szCs w:val="20"/>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35" w:lineRule="exact"/>
        <w:rPr>
          <w:sz w:val="20"/>
          <w:szCs w:val="20"/>
          <w:color w:val="auto"/>
        </w:rPr>
      </w:pPr>
    </w:p>
    <w:p>
      <w:pPr>
        <w:ind w:right="160" w:firstLine="400"/>
        <w:spacing w:after="0" w:line="259" w:lineRule="auto"/>
        <w:rPr>
          <w:sz w:val="20"/>
          <w:szCs w:val="20"/>
          <w:color w:val="auto"/>
        </w:rPr>
      </w:pPr>
      <w:r>
        <w:rPr>
          <w:rFonts w:ascii="Times New Roman" w:cs="Times New Roman" w:eastAsia="Times New Roman" w:hAnsi="Times New Roman"/>
          <w:sz w:val="20"/>
          <w:szCs w:val="20"/>
          <w:color w:val="auto"/>
        </w:rPr>
        <w:t>We believe that the accounting policies discussed below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130" w:lineRule="exact"/>
        <w:rPr>
          <w:sz w:val="20"/>
          <w:szCs w:val="20"/>
          <w:color w:val="auto"/>
        </w:rPr>
      </w:pPr>
    </w:p>
    <w:p>
      <w:pPr>
        <w:ind w:right="20" w:firstLine="400"/>
        <w:spacing w:after="0" w:line="252" w:lineRule="auto"/>
        <w:rPr>
          <w:sz w:val="20"/>
          <w:szCs w:val="20"/>
          <w:color w:val="auto"/>
        </w:rPr>
      </w:pPr>
      <w:r>
        <w:rPr>
          <w:rFonts w:ascii="Times New Roman" w:cs="Times New Roman" w:eastAsia="Times New Roman" w:hAnsi="Times New Roman"/>
          <w:sz w:val="20"/>
          <w:szCs w:val="20"/>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We evaluate the sufficiency of inventory reserves and take into consideration historical usage, expected demand, anticipated sales price, new product development schedules, the effect new products might have on the sale of existing products, product age and other factors. Reserves are also established for excess inventory based on our current inventory levels and projected demand and our ability to sell those specific 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80"/>
          </w:cols>
          <w:pgMar w:left="1420" w:top="899" w:right="1440" w:bottom="182" w:gutter="0" w:footer="0" w:header="0"/>
          <w:type w:val="continuous"/>
        </w:sectPr>
      </w:pPr>
    </w:p>
    <w:bookmarkStart w:id="56" w:name="page57"/>
    <w:bookmarkEnd w:id="56"/>
    <w:p>
      <w:pPr>
        <w:ind w:right="320" w:firstLine="400"/>
        <w:spacing w:after="0" w:line="246" w:lineRule="auto"/>
        <w:rPr>
          <w:sz w:val="20"/>
          <w:szCs w:val="20"/>
          <w:color w:val="auto"/>
        </w:rPr>
      </w:pPr>
      <w:r>
        <w:rPr>
          <w:rFonts w:ascii="Times New Roman" w:cs="Times New Roman" w:eastAsia="Times New Roman" w:hAnsi="Times New Roman"/>
          <w:sz w:val="20"/>
          <w:szCs w:val="20"/>
          <w:color w:val="auto"/>
        </w:rPr>
        <w:t>The gross amount of inventory reserves charged to cost of sales totaled $13.3 million and $7.6 million in the fiscal years ended December 31, 2022 and 2021, respectively. The new cost base related to the sale of inventory that was previously written down totaled $3.6 million and $5.3 million in the fiscal years ended December 31, 2022 and 2021, respectively.</w:t>
      </w:r>
    </w:p>
    <w:p>
      <w:pPr>
        <w:spacing w:after="0" w:line="137" w:lineRule="exact"/>
        <w:rPr>
          <w:sz w:val="20"/>
          <w:szCs w:val="20"/>
          <w:color w:val="auto"/>
        </w:rPr>
      </w:pPr>
    </w:p>
    <w:p>
      <w:pPr>
        <w:ind w:right="120" w:firstLine="400"/>
        <w:spacing w:after="0" w:line="248" w:lineRule="auto"/>
        <w:rPr>
          <w:sz w:val="20"/>
          <w:szCs w:val="20"/>
          <w:color w:val="auto"/>
        </w:rPr>
      </w:pPr>
      <w:r>
        <w:rPr>
          <w:rFonts w:ascii="Times New Roman" w:cs="Times New Roman" w:eastAsia="Times New Roman" w:hAnsi="Times New Roman"/>
          <w:sz w:val="20"/>
          <w:szCs w:val="20"/>
          <w:color w:val="auto"/>
        </w:rPr>
        <w:t>As prescribed in ASC 330, ‘‘Inventory,’’ once a reserve is established for a particular item based on our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 those under normal capacity are charged to cost of sales rather than capitalized as inventories.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ind w:right="40" w:firstLine="400"/>
        <w:spacing w:after="0" w:line="239" w:lineRule="auto"/>
        <w:rPr>
          <w:sz w:val="20"/>
          <w:szCs w:val="20"/>
          <w:color w:val="auto"/>
        </w:rPr>
      </w:pPr>
      <w:r>
        <w:rPr>
          <w:rFonts w:ascii="Times New Roman" w:cs="Times New Roman" w:eastAsia="Times New Roman" w:hAnsi="Times New Roman"/>
          <w:sz w:val="20"/>
          <w:szCs w:val="20"/>
          <w:color w:val="auto"/>
        </w:rPr>
        <w:t>We are subject to income taxes in the U.S. and foreign jurisdictions. Significant judgments and estimates are required in evaluating our uncertain tax positions and determining our provision for income taxes.</w:t>
      </w:r>
    </w:p>
    <w:p>
      <w:pPr>
        <w:spacing w:after="0" w:line="142" w:lineRule="exact"/>
        <w:rPr>
          <w:sz w:val="20"/>
          <w:szCs w:val="20"/>
          <w:color w:val="auto"/>
        </w:rPr>
      </w:pPr>
    </w:p>
    <w:p>
      <w:pPr>
        <w:ind w:right="100" w:firstLine="400"/>
        <w:spacing w:after="0" w:line="248" w:lineRule="auto"/>
        <w:rPr>
          <w:sz w:val="20"/>
          <w:szCs w:val="20"/>
          <w:color w:val="auto"/>
        </w:rPr>
      </w:pPr>
      <w:r>
        <w:rPr>
          <w:rFonts w:ascii="Times New Roman" w:cs="Times New Roman" w:eastAsia="Times New Roman" w:hAnsi="Times New Roman"/>
          <w:sz w:val="20"/>
          <w:szCs w:val="20"/>
          <w:color w:val="auto"/>
        </w:rPr>
        <w:t>We make an ongoing assessment of our deferred tax assets for recoverability considering historical profitability, projected future taxable income, the expected timing of the reversals of existing temporary differences, expiration of tax credits and net operating loss carry-forwards and tax planning strategies. Then, if necessary, we record valuation allowances against our deferred tax assets in order for the net amount of deferred tax assets to be recorded only to the extent that we conclude that it is more likely than not that our net deferred tax assets will be realized. We will continue to evaluate the ability to realize our net deferred tax assets on an ongoing basis to identify whether any significant changes in circumstances or assumptions have occurred that could materially affect the ability to realize deferred tax assets.</w:t>
      </w:r>
    </w:p>
    <w:p>
      <w:pPr>
        <w:spacing w:after="0" w:line="139"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We recognize and measure uncertain tax positions taken or expected to be taken in a tax return utilizing a two-step process. In the first step, recognition, we determine whether it is more likely than not that a tax position will be sustained upon examination, including resolution of any related appeals or litigation processes, based on the technical merits of the position. The second step addresses measurement of a tax position that meets the more likely than not criteria. The tax position is measured at the largest amount of benefit that has a likelihood of greater than 50 percent of being realized upon ultimate settlement.</w:t>
      </w:r>
    </w:p>
    <w:p>
      <w:pPr>
        <w:spacing w:after="0" w:line="134"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auto"/>
        </w:rPr>
        <w:t>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provisions for income taxes in the period in which such determination is made. The provision for income taxes includes the effect of reserve provisions and changes to reserves that are considered appropriate, as well as the related net interest and penalties.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20" w:lineRule="exact"/>
        <w:rPr>
          <w:sz w:val="20"/>
          <w:szCs w:val="20"/>
          <w:color w:val="auto"/>
        </w:rPr>
      </w:pPr>
    </w:p>
    <w:p>
      <w:pPr>
        <w:ind w:right="100" w:firstLine="400"/>
        <w:spacing w:after="0" w:line="245" w:lineRule="auto"/>
        <w:rPr>
          <w:sz w:val="20"/>
          <w:szCs w:val="20"/>
          <w:color w:val="auto"/>
        </w:rPr>
      </w:pPr>
      <w:r>
        <w:rPr>
          <w:rFonts w:ascii="Times New Roman" w:cs="Times New Roman" w:eastAsia="Times New Roman" w:hAnsi="Times New Roman"/>
          <w:sz w:val="20"/>
          <w:szCs w:val="20"/>
          <w:color w:val="auto"/>
        </w:rPr>
        <w:t>See Note 1 ‘‘Business, Basis of Presentation and Summary of Significant Accounting Policies’’ in the Notes to the Consolidated Financial Statements in Item 8 of Part II of this Report, for a full description of recent accounting pronouncements, including the expected dates of adoption, which is incorporated herein by reference.</w:t>
      </w:r>
    </w:p>
    <w:p>
      <w:pPr>
        <w:spacing w:after="0" w:line="32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7A.</w:t>
        <w:tab/>
        <w:t>Quantitative and Qualitative Disclosures About Market Risk</w:t>
      </w:r>
    </w:p>
    <w:p>
      <w:pPr>
        <w:spacing w:after="0" w:line="120" w:lineRule="exact"/>
        <w:rPr>
          <w:sz w:val="20"/>
          <w:szCs w:val="20"/>
          <w:color w:val="auto"/>
        </w:rPr>
      </w:pPr>
    </w:p>
    <w:p>
      <w:pPr>
        <w:ind w:right="240" w:firstLine="400"/>
        <w:spacing w:after="0" w:line="245" w:lineRule="auto"/>
        <w:rPr>
          <w:sz w:val="20"/>
          <w:szCs w:val="20"/>
          <w:color w:val="auto"/>
        </w:rPr>
      </w:pPr>
      <w:r>
        <w:rPr>
          <w:rFonts w:ascii="Times New Roman" w:cs="Times New Roman" w:eastAsia="Times New Roman" w:hAnsi="Times New Roman"/>
          <w:sz w:val="20"/>
          <w:szCs w:val="20"/>
          <w:color w:val="auto"/>
        </w:rPr>
        <w:t>We are exposed to the market risk that the value of a financial instrument will fluctuate due to changes in market conditions, primarily from changes in foreign currency exchange rates. In the normal course of our business, we are subject to market risks associated with currency movements on our assets and liabilities.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Exposures</w:t>
      </w:r>
    </w:p>
    <w:p>
      <w:pPr>
        <w:spacing w:after="0" w:line="120" w:lineRule="exact"/>
        <w:rPr>
          <w:sz w:val="20"/>
          <w:szCs w:val="20"/>
          <w:color w:val="auto"/>
        </w:rPr>
      </w:pPr>
    </w:p>
    <w:p>
      <w:pPr>
        <w:ind w:right="40" w:firstLine="400"/>
        <w:spacing w:after="0" w:line="246" w:lineRule="auto"/>
        <w:rPr>
          <w:sz w:val="20"/>
          <w:szCs w:val="20"/>
          <w:color w:val="auto"/>
        </w:rPr>
      </w:pPr>
      <w:r>
        <w:rPr>
          <w:rFonts w:ascii="Times New Roman" w:cs="Times New Roman" w:eastAsia="Times New Roman" w:hAnsi="Times New Roman"/>
          <w:sz w:val="20"/>
          <w:szCs w:val="20"/>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80"/>
          </w:cols>
          <w:pgMar w:left="1420" w:top="899" w:right="1440" w:bottom="182" w:gutter="0" w:footer="0" w:header="0"/>
          <w:type w:val="continuous"/>
        </w:sectPr>
      </w:pPr>
    </w:p>
    <w:bookmarkStart w:id="57" w:name="page58"/>
    <w:bookmarkEnd w:id="57"/>
    <w:p>
      <w:pPr>
        <w:ind w:right="100"/>
        <w:spacing w:after="0" w:line="259" w:lineRule="auto"/>
        <w:rPr>
          <w:sz w:val="20"/>
          <w:szCs w:val="20"/>
          <w:color w:val="auto"/>
        </w:rPr>
      </w:pPr>
      <w:r>
        <w:rPr>
          <w:rFonts w:ascii="Times New Roman" w:cs="Times New Roman" w:eastAsia="Times New Roman" w:hAnsi="Times New Roman"/>
          <w:sz w:val="20"/>
          <w:szCs w:val="20"/>
          <w:color w:val="auto"/>
        </w:rPr>
        <w:t>material in regards to foreign currency movements. However, based on the cash and financial instruments balance at December 31, 2022 for our Korean subsidiary, a 10% devaluation of the Korean won against the U.S. dollar would have resulted in a decrease of $0.7 million in our U.S. dollar financial instruments and cash balances.</w:t>
      </w:r>
    </w:p>
    <w:p>
      <w:pPr>
        <w:spacing w:after="0" w:line="375" w:lineRule="exact"/>
        <w:rPr>
          <w:sz w:val="20"/>
          <w:szCs w:val="20"/>
          <w:color w:val="auto"/>
        </w:rPr>
      </w:pPr>
    </w:p>
    <w:p>
      <w:pPr>
        <w:ind w:right="40" w:firstLine="400"/>
        <w:spacing w:after="0" w:line="258" w:lineRule="auto"/>
        <w:rPr>
          <w:sz w:val="20"/>
          <w:szCs w:val="20"/>
          <w:color w:val="auto"/>
        </w:rPr>
      </w:pPr>
      <w:r>
        <w:rPr>
          <w:rFonts w:ascii="Times New Roman" w:cs="Times New Roman" w:eastAsia="Times New Roman" w:hAnsi="Times New Roman"/>
          <w:sz w:val="20"/>
          <w:szCs w:val="20"/>
          <w:color w:val="auto"/>
        </w:rPr>
        <w:t>See ‘‘Note 10. Derivative Financial Instruments’’ to our consolidated financial statements under ‘‘Item 8. Financial Statements and Supplementary Data’’ and ‘‘Item 7.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80"/>
          </w:cols>
          <w:pgMar w:left="1420" w:top="899" w:right="1440" w:bottom="182" w:gutter="0" w:footer="0" w:header="0"/>
          <w:type w:val="continuous"/>
        </w:sectPr>
      </w:pPr>
    </w:p>
    <w:bookmarkStart w:id="58" w:name="page59"/>
    <w:bookmarkEnd w:id="58"/>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20"/>
          <w:szCs w:val="20"/>
          <w:b w:val="1"/>
          <w:bCs w:val="1"/>
          <w:color w:val="auto"/>
        </w:rPr>
        <w:t>Financial Statements and Supplementary Data</w:t>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4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Report of Independent Registered Public Accounting Firm (PCAOB ID 1103) . . . . . . . . . . . . . . . . . . . . . . . . . 58 Magnachip Semiconductor Corporation Consolidated Balance Sheets as of December 31, 2022 and 2021 . . . 60 Magnachip Semiconductor Corporation Consolidated Statements of Operations for the Years Ended</w:t>
      </w:r>
    </w:p>
    <w:p>
      <w:pPr>
        <w:spacing w:after="0" w:line="3" w:lineRule="exact"/>
        <w:rPr>
          <w:sz w:val="20"/>
          <w:szCs w:val="20"/>
          <w:color w:val="auto"/>
        </w:rPr>
      </w:pPr>
    </w:p>
    <w:p>
      <w:pPr>
        <w:jc w:val="both"/>
        <w:ind w:right="20" w:firstLine="200"/>
        <w:spacing w:after="0" w:line="255" w:lineRule="auto"/>
        <w:rPr>
          <w:sz w:val="20"/>
          <w:szCs w:val="20"/>
          <w:color w:val="auto"/>
        </w:rPr>
      </w:pPr>
      <w:r>
        <w:rPr>
          <w:rFonts w:ascii="Times New Roman" w:cs="Times New Roman" w:eastAsia="Times New Roman" w:hAnsi="Times New Roman"/>
          <w:sz w:val="20"/>
          <w:szCs w:val="20"/>
          <w:color w:val="auto"/>
        </w:rPr>
        <w:t>December 31, 2022, 2021 and 2020 . . . . . . . . . . . . . . . . . . . . . . . . . . . . . . . . . . . . . . . . . . . . . . . . . . . . . . . . . 61 Magnachip Semiconductor Corporation Consolidated Statements of Comprehensive Income (Loss) for the</w:t>
      </w:r>
    </w:p>
    <w:p>
      <w:pPr>
        <w:spacing w:after="0" w:line="6" w:lineRule="exact"/>
        <w:rPr>
          <w:sz w:val="20"/>
          <w:szCs w:val="20"/>
          <w:color w:val="auto"/>
        </w:rPr>
      </w:pPr>
    </w:p>
    <w:p>
      <w:pPr>
        <w:jc w:val="both"/>
        <w:ind w:right="20" w:firstLine="200"/>
        <w:spacing w:after="0" w:line="255" w:lineRule="auto"/>
        <w:rPr>
          <w:sz w:val="20"/>
          <w:szCs w:val="20"/>
          <w:color w:val="auto"/>
        </w:rPr>
      </w:pPr>
      <w:r>
        <w:rPr>
          <w:rFonts w:ascii="Times New Roman" w:cs="Times New Roman" w:eastAsia="Times New Roman" w:hAnsi="Times New Roman"/>
          <w:sz w:val="20"/>
          <w:szCs w:val="20"/>
          <w:color w:val="auto"/>
        </w:rPr>
        <w:t>Years Ended December 31, 2022, 2021 and 2020 . . . . . . . . . . . . . . . . . . . . . . . . . . . . . . . . . . . . . . . . . . . . . . 62 Magnachip Semiconductor Corporation Consolidated Statements of Changes in Stockholders’ Equity for the</w:t>
      </w:r>
    </w:p>
    <w:p>
      <w:pPr>
        <w:spacing w:after="0" w:line="6" w:lineRule="exact"/>
        <w:rPr>
          <w:sz w:val="20"/>
          <w:szCs w:val="20"/>
          <w:color w:val="auto"/>
        </w:rPr>
      </w:pPr>
    </w:p>
    <w:p>
      <w:pPr>
        <w:jc w:val="both"/>
        <w:ind w:right="20" w:firstLine="200"/>
        <w:spacing w:after="0" w:line="255" w:lineRule="auto"/>
        <w:rPr>
          <w:sz w:val="20"/>
          <w:szCs w:val="20"/>
          <w:color w:val="auto"/>
        </w:rPr>
      </w:pPr>
      <w:r>
        <w:rPr>
          <w:rFonts w:ascii="Times New Roman" w:cs="Times New Roman" w:eastAsia="Times New Roman" w:hAnsi="Times New Roman"/>
          <w:sz w:val="20"/>
          <w:szCs w:val="20"/>
          <w:color w:val="auto"/>
        </w:rPr>
        <w:t>Years Ended December 31, 2022, 2021 and 2020 . . . . . . . . . . . . . . . . . . . . . . . . . . . . . . . . . . . . . . . . . . . . . . 63 Magnachip Semiconductor Corporation Consolidated Statements of Cash Flows for the Years Ended</w:t>
      </w:r>
    </w:p>
    <w:p>
      <w:pPr>
        <w:spacing w:after="0" w:line="6" w:lineRule="exact"/>
        <w:rPr>
          <w:sz w:val="20"/>
          <w:szCs w:val="20"/>
          <w:color w:val="auto"/>
        </w:rPr>
      </w:pPr>
    </w:p>
    <w:p>
      <w:pPr>
        <w:jc w:val="both"/>
        <w:ind w:right="20" w:firstLine="200"/>
        <w:spacing w:after="0" w:line="255" w:lineRule="auto"/>
        <w:rPr>
          <w:sz w:val="20"/>
          <w:szCs w:val="20"/>
          <w:color w:val="auto"/>
        </w:rPr>
      </w:pPr>
      <w:r>
        <w:rPr>
          <w:rFonts w:ascii="Times New Roman" w:cs="Times New Roman" w:eastAsia="Times New Roman" w:hAnsi="Times New Roman"/>
          <w:sz w:val="20"/>
          <w:szCs w:val="20"/>
          <w:color w:val="auto"/>
        </w:rPr>
        <w:t>December 31, 2022, 2021 and 2020 . . . . . . . . . . . . . . . . . . . . . . . . . . . . . . . . . . . . . . . . . . . . . . . . . . . . . . . . . 64 Magnachip Semiconductor Corporation Notes to Consolidated Financial Statements . . . . . . . . . . . . . . . . . . . . 66</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80"/>
          </w:cols>
          <w:pgMar w:left="1420" w:top="889" w:right="1440" w:bottom="182" w:gutter="0" w:footer="0" w:header="0"/>
          <w:type w:val="continuous"/>
        </w:sectPr>
      </w:pPr>
    </w:p>
    <w:bookmarkStart w:id="59" w:name="page60"/>
    <w:bookmarkEnd w:id="59"/>
    <w:p>
      <w:pPr>
        <w:ind w:left="2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Magnachip Semiconductor Corporation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120"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Magnachip Semiconductor Corporation and its subsidiaries (the ‘‘Company’’) as of December 31, 2022 and 2021, and the related consolidated statements of operations, comprehensive income (loss), changes in stockholders’ equity and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(2013) issued by the Committee of Sponsoring Organizations of the Treadway Commission (COSO).</w:t>
      </w:r>
    </w:p>
    <w:p>
      <w:pPr>
        <w:spacing w:after="0" w:line="136"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(2013) issued by the COSO.</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120"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w:t>
      </w:r>
    </w:p>
    <w:p>
      <w:pPr>
        <w:spacing w:after="0" w:line="16"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U.S. federal securities laws and the applicable rules and regulations of the Securities and Exchange Commission and the PCAOB.</w:t>
      </w:r>
    </w:p>
    <w:p>
      <w:pPr>
        <w:spacing w:after="0" w:line="142" w:lineRule="exact"/>
        <w:rPr>
          <w:sz w:val="20"/>
          <w:szCs w:val="20"/>
          <w:color w:val="auto"/>
        </w:rPr>
      </w:pPr>
    </w:p>
    <w:p>
      <w:pPr>
        <w:ind w:right="200" w:firstLine="400"/>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7" w:lineRule="exact"/>
        <w:rPr>
          <w:sz w:val="20"/>
          <w:szCs w:val="20"/>
          <w:color w:val="auto"/>
        </w:rPr>
      </w:pPr>
    </w:p>
    <w:p>
      <w:pPr>
        <w:ind w:right="100" w:firstLine="400"/>
        <w:spacing w:after="0" w:line="249"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20"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80"/>
          </w:cols>
          <w:pgMar w:left="1420" w:top="889" w:right="1440" w:bottom="182" w:gutter="0" w:footer="0" w:header="0"/>
          <w:type w:val="continuous"/>
        </w:sectPr>
      </w:pPr>
    </w:p>
    <w:bookmarkStart w:id="60" w:name="page61"/>
    <w:bookmarkEnd w:id="60"/>
    <w:p>
      <w:pPr>
        <w:ind w:right="40"/>
        <w:spacing w:after="0" w:line="245" w:lineRule="auto"/>
        <w:rPr>
          <w:sz w:val="20"/>
          <w:szCs w:val="20"/>
          <w:color w:val="auto"/>
        </w:rPr>
      </w:pPr>
      <w:r>
        <w:rPr>
          <w:rFonts w:ascii="Times New Roman" w:cs="Times New Roman" w:eastAsia="Times New Roman" w:hAnsi="Times New Roman"/>
          <w:sz w:val="20"/>
          <w:szCs w:val="20"/>
          <w:color w:val="auto"/>
        </w:rPr>
        <w:t>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6" w:lineRule="exact"/>
        <w:rPr>
          <w:sz w:val="20"/>
          <w:szCs w:val="20"/>
          <w:color w:val="auto"/>
        </w:rPr>
      </w:pPr>
    </w:p>
    <w:p>
      <w:pPr>
        <w:ind w:right="300" w:firstLine="400"/>
        <w:spacing w:after="0" w:line="24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20" w:lineRule="exact"/>
        <w:rPr>
          <w:sz w:val="20"/>
          <w:szCs w:val="20"/>
          <w:color w:val="auto"/>
        </w:rPr>
      </w:pPr>
    </w:p>
    <w:p>
      <w:pPr>
        <w:ind w:right="100" w:firstLine="400"/>
        <w:spacing w:after="0" w:line="245"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w:t>
      </w:r>
    </w:p>
    <w:p>
      <w:pPr>
        <w:spacing w:after="0" w:line="16" w:lineRule="exact"/>
        <w:rPr>
          <w:sz w:val="20"/>
          <w:szCs w:val="20"/>
          <w:color w:val="auto"/>
        </w:rPr>
      </w:pPr>
    </w:p>
    <w:p>
      <w:pPr>
        <w:ind w:right="80" w:firstLine="6"/>
        <w:spacing w:after="0" w:line="246" w:lineRule="auto"/>
        <w:tabs>
          <w:tab w:leader="none" w:pos="31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Realizability of Deferred Tax Assets</w:t>
      </w:r>
    </w:p>
    <w:p>
      <w:pPr>
        <w:spacing w:after="0" w:line="120"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As described in Notes 1 and 16 to the consolidated financial statements, the Company has net deferred tax assets of $38.3 million, including a valuation allowance of $84.6 million, as of December 31, 2022. Management determines deferred tax assets and liabilities based upon the difference between the financial statement carrying amounts and the tax basis of assets and liabilities using enacted tax rates in effect in the years in which the differences are expected to reverse. Valuation allowances are established when it is necessary to reduce deferred tax assets to the amount expected to be realized. The evaluation of the recoverability of the deferred tax asset and the need for a valuation allowance requires management to weigh all positive and negative evidence to reach a conclusion that it is more likely than not that all or some portion of the deferred tax asset will not be realized. Realization of the future tax benefits related to the deferred tax assets is dependent on many factors, including historical operating results, expected timing of the reversals of existing temporary differences, the Company’s ability to generate future taxable income, and tax planning strategies.</w:t>
      </w:r>
    </w:p>
    <w:p>
      <w:pPr>
        <w:spacing w:after="0" w:line="135" w:lineRule="exact"/>
        <w:rPr>
          <w:sz w:val="20"/>
          <w:szCs w:val="20"/>
          <w:color w:val="auto"/>
        </w:rPr>
      </w:pPr>
    </w:p>
    <w:p>
      <w:pPr>
        <w:ind w:right="100" w:firstLine="400"/>
        <w:spacing w:after="0" w:line="248"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realizability of deferred tax assets is a critical audit matter are (i) the significant judgment by management when assessing the available positive and negative evidence surrounding the realizability of deferred tax assets, including the application of tax law to the projected tax calculation and a high degree of estimation uncertainty relative to the estimates of future taxable income, (ii) a high degree of auditor judgment, subjectivity and effort in performing procedures and evaluating audit evidence related to management’s estimates of future taxable income,</w:t>
      </w:r>
    </w:p>
    <w:p>
      <w:pPr>
        <w:spacing w:after="0" w:line="4" w:lineRule="exact"/>
        <w:rPr>
          <w:sz w:val="20"/>
          <w:szCs w:val="20"/>
          <w:color w:val="auto"/>
        </w:rPr>
      </w:pPr>
    </w:p>
    <w:p>
      <w:pPr>
        <w:ind w:left="380" w:hanging="374"/>
        <w:spacing w:after="0"/>
        <w:tabs>
          <w:tab w:leader="none" w:pos="3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auditor judgment in assessing management’s application of tax law to the projected tax calculation, and</w:t>
      </w:r>
    </w:p>
    <w:p>
      <w:pPr>
        <w:spacing w:after="0" w:line="10" w:lineRule="exact"/>
        <w:rPr>
          <w:rFonts w:ascii="Times New Roman" w:cs="Times New Roman" w:eastAsia="Times New Roman" w:hAnsi="Times New Roman"/>
          <w:sz w:val="20"/>
          <w:szCs w:val="20"/>
          <w:color w:val="auto"/>
        </w:rPr>
      </w:pPr>
    </w:p>
    <w:p>
      <w:pPr>
        <w:ind w:left="360" w:hanging="354"/>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 effort involved the use of professionals with specialized skill and knowledge.</w:t>
      </w:r>
    </w:p>
    <w:p>
      <w:pPr>
        <w:spacing w:after="0" w:line="140" w:lineRule="exact"/>
        <w:rPr>
          <w:sz w:val="20"/>
          <w:szCs w:val="20"/>
          <w:color w:val="auto"/>
        </w:rPr>
      </w:pPr>
    </w:p>
    <w:p>
      <w:pPr>
        <w:ind w:right="60" w:firstLine="400"/>
        <w:spacing w:after="0" w:line="263"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realizability of deferred tax assets. These procedures also included, among others, (i) evaluating the appropriateness of management’s calculation used, (ii) testing the completeness, accuracy and relevance of the underlying data used in the calculation, and (iii) evaluating the reasonableness of significant assumptions used in the calculation of future taxable income. Evaluating management’s assumptions related to estimates of future taxable income involved evaluating whether the assumptions used were reasonable considering (i) current and past profitability, (ii) the consistency with external market and industry data, and (iii) whether these assumptions were consistent with evidence obtained in other areas of the audit. Professionals with specialized skill and knowledge were used to assist in evaluating management’s assumptions and calculation for assessing the realizability of deferred tax assets, including the mechanics and application of tax law to the projected tax calculation.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Samil PricewaterhouseCoopers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wp:posOffset>
                </wp:positionV>
                <wp:extent cx="21336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3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1pt" to="168.3pt,0.1pt" o:allowincell="f" strokecolor="#000000" strokeweight="0.5pt"/>
            </w:pict>
          </mc:Fallback>
        </mc:AlternateConten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Seoul, Korea</w:t>
      </w:r>
    </w:p>
    <w:p>
      <w:pPr>
        <w:spacing w:after="0" w:line="224" w:lineRule="auto"/>
        <w:rPr>
          <w:sz w:val="20"/>
          <w:szCs w:val="20"/>
          <w:color w:val="auto"/>
        </w:rPr>
      </w:pPr>
      <w:r>
        <w:rPr>
          <w:rFonts w:ascii="Times New Roman" w:cs="Times New Roman" w:eastAsia="Times New Roman" w:hAnsi="Times New Roman"/>
          <w:sz w:val="20"/>
          <w:szCs w:val="20"/>
          <w:color w:val="auto"/>
        </w:rPr>
        <w:t>February 22,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2004.</w:t>
      </w:r>
    </w:p>
    <w:p>
      <w:pPr>
        <w:sectPr>
          <w:pgSz w:w="12240" w:h="15840" w:orient="portrait"/>
          <w:cols w:equalWidth="0" w:num="1">
            <w:col w:w="9380"/>
          </w:cols>
          <w:pgMar w:left="1420" w:top="899" w:right="1440" w:bottom="182"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80"/>
          </w:cols>
          <w:pgMar w:left="1420" w:top="899" w:right="1440" w:bottom="182"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Pr>
          <w:p>
            <w:pPr>
              <w:spacing w:after="0"/>
              <w:rPr>
                <w:sz w:val="18"/>
                <w:szCs w:val="18"/>
                <w:color w:val="auto"/>
              </w:rPr>
            </w:pPr>
          </w:p>
        </w:tc>
        <w:tc>
          <w:tcPr>
            <w:tcW w:w="2160" w:type="dxa"/>
            <w:vAlign w:val="bottom"/>
            <w:gridSpan w:val="9"/>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tc>
        <w:tc>
          <w:tcPr>
            <w:tcW w:w="0" w:type="dxa"/>
            <w:vAlign w:val="bottom"/>
          </w:tcPr>
          <w:p>
            <w:pPr>
              <w:spacing w:after="0"/>
              <w:rPr>
                <w:sz w:val="1"/>
                <w:szCs w:val="1"/>
                <w:color w:val="auto"/>
              </w:rPr>
            </w:pPr>
          </w:p>
        </w:tc>
      </w:tr>
      <w:tr>
        <w:trPr>
          <w:trHeight w:val="182"/>
        </w:trPr>
        <w:tc>
          <w:tcPr>
            <w:tcW w:w="7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7"/>
          </w:tcPr>
          <w:p>
            <w:pPr>
              <w:jc w:val="right"/>
              <w:ind w:right="440"/>
              <w:spacing w:after="0" w:line="182" w:lineRule="exact"/>
              <w:rPr>
                <w:sz w:val="20"/>
                <w:szCs w:val="20"/>
                <w:color w:val="auto"/>
              </w:rPr>
            </w:pPr>
            <w:r>
              <w:rPr>
                <w:rFonts w:ascii="Times New Roman" w:cs="Times New Roman" w:eastAsia="Times New Roman" w:hAnsi="Times New Roman"/>
                <w:sz w:val="16"/>
                <w:szCs w:val="16"/>
                <w:b w:val="1"/>
                <w:bCs w:val="1"/>
                <w:color w:val="auto"/>
              </w:rPr>
              <w:t>except share data)</w:t>
            </w:r>
          </w:p>
        </w:tc>
        <w:tc>
          <w:tcPr>
            <w:tcW w:w="0" w:type="dxa"/>
            <w:vAlign w:val="bottom"/>
          </w:tcPr>
          <w:p>
            <w:pPr>
              <w:spacing w:after="0"/>
              <w:rPr>
                <w:sz w:val="1"/>
                <w:szCs w:val="1"/>
                <w:color w:val="auto"/>
              </w:rPr>
            </w:pPr>
          </w:p>
        </w:tc>
      </w:tr>
      <w:tr>
        <w:trPr>
          <w:trHeight w:val="313"/>
        </w:trPr>
        <w:tc>
          <w:tcPr>
            <w:tcW w:w="7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 . .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225,477</w:t>
            </w:r>
          </w:p>
        </w:tc>
        <w:tc>
          <w:tcPr>
            <w:tcW w:w="6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279,547</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Accounts receivable, net. . .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35,380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50,954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Inventories, net . . . . . . . . . .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39,883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39,370</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Other receivables (Note 18)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25,895</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Prepaid expenses. . . . . . . . .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7,675</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Hedge collateral (Note 10) .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3,060</w:t>
            </w:r>
          </w:p>
        </w:tc>
        <w:tc>
          <w:tcPr>
            <w:tcW w:w="0" w:type="dxa"/>
            <w:vAlign w:val="bottom"/>
          </w:tcPr>
          <w:p>
            <w:pPr>
              <w:spacing w:after="0"/>
              <w:rPr>
                <w:sz w:val="1"/>
                <w:szCs w:val="1"/>
                <w:color w:val="auto"/>
              </w:rPr>
            </w:pPr>
          </w:p>
        </w:tc>
      </w:tr>
      <w:tr>
        <w:trPr>
          <w:trHeight w:val="253"/>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Other current assets (Note 1) . . . . . . . . . . . . . . . . . . . . . . . . . . . . . . . . . . . . . . . . . . . .</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15,766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current assets . . . . . . . . . . . . . . . . . . . . . . . . . . . . . . . . . . . . . . . . . . . . . . . . .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337,853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409,120</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Property, plant and equipment, net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110,747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107,882</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Operating lease right-of-use assets.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4,275</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Intangible assets, net. . . . . . . .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2,377</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Long-term prepaid expenses .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8,243</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Deferred income taxes (Note 16).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38,324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41,095</w:t>
            </w:r>
          </w:p>
        </w:tc>
        <w:tc>
          <w:tcPr>
            <w:tcW w:w="0" w:type="dxa"/>
            <w:vAlign w:val="bottom"/>
          </w:tcPr>
          <w:p>
            <w:pPr>
              <w:spacing w:after="0"/>
              <w:rPr>
                <w:sz w:val="1"/>
                <w:szCs w:val="1"/>
                <w:color w:val="auto"/>
              </w:rPr>
            </w:pPr>
          </w:p>
        </w:tc>
      </w:tr>
      <w:tr>
        <w:trPr>
          <w:trHeight w:val="253"/>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Other non-current assets . . . . . . . . . . . . . . . . . . . . . . . . . . . . . . . . . . . . . . . . . . . . . . . . . .</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11,587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assets . . . . . . . . . . . . . . . . . . . . . . . . . . . . . . . . . . . . . . . . . . . . . . . . . . . . . . .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516,645</w:t>
            </w:r>
          </w:p>
        </w:tc>
        <w:tc>
          <w:tcPr>
            <w:tcW w:w="6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583,654</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7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 . . . . .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17,998</w:t>
            </w:r>
          </w:p>
        </w:tc>
        <w:tc>
          <w:tcPr>
            <w:tcW w:w="6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37,593</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Other accounts payable . . .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6,289</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Accrued expenses (Note 9)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20,071</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Accrued income taxes . . . .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11,823</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Operating lease liabilities . .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2,323</w:t>
            </w:r>
          </w:p>
        </w:tc>
        <w:tc>
          <w:tcPr>
            <w:tcW w:w="0" w:type="dxa"/>
            <w:vAlign w:val="bottom"/>
          </w:tcPr>
          <w:p>
            <w:pPr>
              <w:spacing w:after="0"/>
              <w:rPr>
                <w:sz w:val="1"/>
                <w:szCs w:val="1"/>
                <w:color w:val="auto"/>
              </w:rPr>
            </w:pPr>
          </w:p>
        </w:tc>
      </w:tr>
      <w:tr>
        <w:trPr>
          <w:trHeight w:val="253"/>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Other current liabilities. . . . . . . . . . . . . . . . . . . . . . . . . . . . . . . . . . . . . . . . . . . . . . . . .</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5,306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current liabilities . . . . . . . . . . . . . . . . . . . . . . . . . . . . . . . . . . . . . . . . . . . . . .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47,245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85,481</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Accrued severance benefits, net.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23,121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33,064</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Non-current operating lease liabilities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1,952</w:t>
            </w:r>
          </w:p>
        </w:tc>
        <w:tc>
          <w:tcPr>
            <w:tcW w:w="0" w:type="dxa"/>
            <w:vAlign w:val="bottom"/>
          </w:tcPr>
          <w:p>
            <w:pPr>
              <w:spacing w:after="0"/>
              <w:rPr>
                <w:sz w:val="1"/>
                <w:szCs w:val="1"/>
                <w:color w:val="auto"/>
              </w:rPr>
            </w:pPr>
          </w:p>
        </w:tc>
      </w:tr>
      <w:tr>
        <w:trPr>
          <w:trHeight w:val="253"/>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Other non-current liabilities . . . . . . . . . . . . . . . . . . . . . . . . . . . . . . . . . . . . . . . . . . . . . . .</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14,035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liabilities . . . . . . . . . . . . . . . . . . . . . . . . . . . . . . . . . . . . . . . . . . . . . . . . . . . .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88,492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130,892</w:t>
            </w:r>
          </w:p>
        </w:tc>
        <w:tc>
          <w:tcPr>
            <w:tcW w:w="0" w:type="dxa"/>
            <w:vAlign w:val="bottom"/>
          </w:tcPr>
          <w:p>
            <w:pPr>
              <w:spacing w:after="0"/>
              <w:rPr>
                <w:sz w:val="1"/>
                <w:szCs w:val="1"/>
                <w:color w:val="auto"/>
              </w:rPr>
            </w:pPr>
          </w:p>
        </w:tc>
      </w:tr>
      <w:tr>
        <w:trPr>
          <w:trHeight w:val="287"/>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19)</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20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Common stock, $0.01 par value, 150,000,000 shares authorized, 56,432,449 shares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20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issued and 43,824,575 outstanding at December 31, 2022 and 55,905,320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issued and 45,659,304 outstanding at December 31, 2021. . . . . . . . . . . . . . . . . . . .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559</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266,058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241,197</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Retained earnings . . . . . . . .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335,506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343,542</w:t>
            </w:r>
          </w:p>
        </w:tc>
        <w:tc>
          <w:tcPr>
            <w:tcW w:w="0" w:type="dxa"/>
            <w:vAlign w:val="bottom"/>
          </w:tcPr>
          <w:p>
            <w:pPr>
              <w:spacing w:after="0"/>
              <w:rPr>
                <w:sz w:val="1"/>
                <w:szCs w:val="1"/>
                <w:color w:val="auto"/>
              </w:rPr>
            </w:pPr>
          </w:p>
        </w:tc>
      </w:tr>
      <w:tr>
        <w:trPr>
          <w:trHeight w:val="25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Treasury stock, 12,607,874 shares at December 31, 2022 and 10,246,016 shares at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December 31, 2021, respectively . . . . . . . . . . . . . . . . . . . . . . . . . . . . . . . . . . . . . .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(161,422)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(130,306)</w:t>
            </w:r>
          </w:p>
        </w:tc>
        <w:tc>
          <w:tcPr>
            <w:tcW w:w="0" w:type="dxa"/>
            <w:vAlign w:val="bottom"/>
          </w:tcPr>
          <w:p>
            <w:pPr>
              <w:spacing w:after="0"/>
              <w:rPr>
                <w:sz w:val="1"/>
                <w:szCs w:val="1"/>
                <w:color w:val="auto"/>
              </w:rPr>
            </w:pPr>
          </w:p>
        </w:tc>
      </w:tr>
      <w:tr>
        <w:trPr>
          <w:trHeight w:val="253"/>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Accumulated other comprehensive loss. . . . .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(12,553)</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(2,230)</w:t>
            </w:r>
          </w:p>
        </w:tc>
        <w:tc>
          <w:tcPr>
            <w:tcW w:w="0" w:type="dxa"/>
            <w:vAlign w:val="bottom"/>
          </w:tcPr>
          <w:p>
            <w:pPr>
              <w:spacing w:after="0"/>
              <w:rPr>
                <w:sz w:val="1"/>
                <w:szCs w:val="1"/>
                <w:color w:val="auto"/>
              </w:rPr>
            </w:pPr>
          </w:p>
        </w:tc>
      </w:tr>
      <w:tr>
        <w:trPr>
          <w:trHeight w:val="28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stockholders’ equity. . . . . . . . . . . . . . . . . . . . . . . . . . . . . . . . . . . . . . . . . . . . .</w:t>
            </w:r>
          </w:p>
        </w:tc>
        <w:tc>
          <w:tcPr>
            <w:tcW w:w="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428,153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452,762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liabilities and stockholders’ equity . . . . . . . . . . . . . . . . . . . . . . . . . . . . . . . .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516,645</w:t>
            </w:r>
          </w:p>
        </w:tc>
        <w:tc>
          <w:tcPr>
            <w:tcW w:w="6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583,654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80"/>
          </w:cols>
          <w:pgMar w:left="1420" w:top="889" w:right="1440" w:bottom="182" w:gutter="0" w:footer="0" w:header="0"/>
        </w:sectPr>
      </w:pP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80"/>
          </w:cols>
          <w:pgMar w:left="1420" w:top="889" w:right="1440" w:bottom="182" w:gutter="0" w:footer="0" w:header="0"/>
          <w:type w:val="continuous"/>
        </w:sectPr>
      </w:pPr>
    </w:p>
    <w:bookmarkStart w:id="62" w:name="page63"/>
    <w:bookmarkEnd w:id="62"/>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13"/>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5"/>
        </w:trPr>
        <w:tc>
          <w:tcPr>
            <w:tcW w:w="59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gridSpan w:val="14"/>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of U.S. dollars, except share data)</w:t>
            </w:r>
          </w:p>
        </w:tc>
        <w:tc>
          <w:tcPr>
            <w:tcW w:w="0" w:type="dxa"/>
            <w:vAlign w:val="bottom"/>
          </w:tcPr>
          <w:p>
            <w:pPr>
              <w:spacing w:after="0"/>
              <w:rPr>
                <w:sz w:val="1"/>
                <w:szCs w:val="1"/>
                <w:color w:val="auto"/>
              </w:rPr>
            </w:pPr>
          </w:p>
        </w:tc>
      </w:tr>
      <w:tr>
        <w:trPr>
          <w:trHeight w:val="313"/>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Revenues: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Net sales—standard products business . . . . . . . . . . . . . . . . . . . . . . . .</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301,896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433,099</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465,519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Net sales—transitional Fab 3 foundry services . . . . . . . . . . . . . . . . . .</w:t>
            </w: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35,762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41,131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41,540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Total revenues . . . . . . . . . . . . . . . . . . . . . . . . . . . . . . . . . . . . . . . . .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337,658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474,230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507,059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Cost of sales—standard products business . .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202,347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283,503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338,420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Cost of sales—transitional Fab 3 foundry services. . . . . . . . . . . . . . .</w:t>
            </w: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34,047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37,184</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40,322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Total cost of sales . . . . . . . . . . . . . . . . . . . . . . . . . . . . . . . . . . . . . . .</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236,394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320,687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378,742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Gross profit . . . . . . . . . . . . . . . . . . . . . . . . . . . . . . . . . . . . . . . . . . . . . . .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101,264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153,543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Selling, general and administrative expenses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50,872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52,440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49,974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Research and development expenses . . . . . . .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52,338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51,212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45,698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Merger-related costs (income), net. . . . . . . . .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(35,527)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Early termination and other charges, net . . . . . . . . . . . . . . . . . . . . . . .</w:t>
            </w: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Total operating expenses . . . . . . . . . . . . . . . . . . . . . . . . . . . . . . . . .</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106,508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70,136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101,301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Operating income (loss): . . . . . . . . . . . . . . . . . . . . . . . . . . . . . . . . . . . .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(5,244)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83,407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27,016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2,609</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(1,157)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(1,371)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(18,147)</w:t>
            </w:r>
          </w:p>
        </w:tc>
        <w:tc>
          <w:tcPr>
            <w:tcW w:w="0" w:type="dxa"/>
            <w:vAlign w:val="bottom"/>
          </w:tcPr>
          <w:p>
            <w:pPr>
              <w:spacing w:after="0"/>
              <w:rPr>
                <w:sz w:val="1"/>
                <w:szCs w:val="1"/>
                <w:color w:val="auto"/>
              </w:rPr>
            </w:pPr>
          </w:p>
        </w:tc>
      </w:tr>
      <w:tr>
        <w:trPr>
          <w:trHeight w:val="25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Foreign currency loss, net . . . . . . . . . . . . . . .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(3,019)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(11,853)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0" w:type="dxa"/>
            <w:vAlign w:val="bottom"/>
          </w:tcPr>
          <w:p>
            <w:pPr>
              <w:spacing w:after="0"/>
              <w:rPr>
                <w:sz w:val="1"/>
                <w:szCs w:val="1"/>
                <w:color w:val="auto"/>
              </w:rPr>
            </w:pPr>
          </w:p>
        </w:tc>
      </w:tr>
      <w:tr>
        <w:trPr>
          <w:trHeight w:val="25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Loss on early extinguishment of borrowings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(766)</w:t>
            </w:r>
          </w:p>
        </w:tc>
        <w:tc>
          <w:tcPr>
            <w:tcW w:w="0" w:type="dxa"/>
            <w:vAlign w:val="bottom"/>
          </w:tcPr>
          <w:p>
            <w:pPr>
              <w:spacing w:after="0"/>
              <w:rPr>
                <w:sz w:val="1"/>
                <w:szCs w:val="1"/>
                <w:color w:val="auto"/>
              </w:rPr>
            </w:pPr>
          </w:p>
        </w:tc>
      </w:tr>
      <w:tr>
        <w:trPr>
          <w:trHeight w:val="253"/>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Other income, net . . . . . . . . . . . . . . . . . . . . . . . . . . . . . . . . . . . . . . . . .</w:t>
            </w: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continuing operations before income tax expense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(benefit)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(2,879)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73,969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Income tax expense (benefit) . . . . . . . . . . . . . . .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(46,228)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Income (loss) from continuing operations . . . . . . . . . . . . . . . . . . . . . . .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(8,036)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56,708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57,059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Income from discontinued operations, net of tax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287,906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Net income (loss) . . . . . . . . . . . . . . . . . . . . . . . . . . . . . . . . . . . . . . . . . . .</w:t>
            </w: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(8,036)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56,708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344,965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Basic earnings (loss) per common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Continuing operations. . . . . . . . . . . . . . . . . . . . . . . . . . . . . . . . . . . . . .</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(0.18)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Discontinued operations . . . . . . . . . . . . . . . . .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Total. . . . . . . . . . . . . . . . . . . . . . . . . . . . . . . . . . . . . . . . . . . . . . . . . .</w:t>
            </w: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(0.18)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Diluted earnings (loss) per common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Continuing operations. . . . . . . . . . . . . . . . . . . . . . . . . . . . . . . . . . . . . .</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(0.18)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Discontinued operations . . . . . . . . . . . . . . . . .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Total. . . . . . . . . . . . . . . . . . . . . . . . . . . . . . . . . . . . . . . . . . . . . . . . . .</w:t>
            </w: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(0.18)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number of shares—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44,850,791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44,879,412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35,213,525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44,850,791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47,709,373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46,503,586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420"/>
          </w:cols>
          <w:pgMar w:left="1420" w:top="889" w:right="1400" w:bottom="182" w:gutter="0" w:footer="0" w:header="0"/>
        </w:sectPr>
      </w:pPr>
    </w:p>
    <w:p>
      <w:pPr>
        <w:spacing w:after="0" w:line="1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420"/>
          </w:cols>
          <w:pgMar w:left="1420" w:top="889" w:right="1400" w:bottom="182" w:gutter="0" w:footer="0" w:header="0"/>
          <w:type w:val="continuous"/>
        </w:sectPr>
      </w:pPr>
    </w:p>
    <w:bookmarkStart w:id="63" w:name="page64"/>
    <w:bookmarkEnd w:id="63"/>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6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r>
      <w:tr>
        <w:trPr>
          <w:trHeight w:val="212"/>
        </w:trPr>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tc>
      </w:tr>
      <w:tr>
        <w:trPr>
          <w:trHeight w:val="311"/>
        </w:trPr>
        <w:tc>
          <w:tcPr>
            <w:tcW w:w="62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Net income (loss)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(8,036)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56,708</w:t>
            </w:r>
          </w:p>
        </w:tc>
        <w:tc>
          <w:tcPr>
            <w:tcW w:w="2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344,965</w:t>
            </w:r>
          </w:p>
        </w:tc>
        <w:tc>
          <w:tcPr>
            <w:tcW w:w="80" w:type="dxa"/>
            <w:vAlign w:val="bottom"/>
          </w:tcPr>
          <w:p>
            <w:pPr>
              <w:spacing w:after="0"/>
              <w:rPr>
                <w:sz w:val="24"/>
                <w:szCs w:val="24"/>
                <w:color w:val="auto"/>
              </w:rPr>
            </w:pPr>
          </w:p>
        </w:tc>
      </w:tr>
      <w:tr>
        <w:trPr>
          <w:trHeight w:val="287"/>
        </w:trPr>
        <w:tc>
          <w:tcPr>
            <w:tcW w:w="6260" w:type="dxa"/>
            <w:vAlign w:val="bottom"/>
          </w:tcPr>
          <w:p>
            <w:pPr>
              <w:jc w:val="right"/>
              <w:ind w:right="326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55"/>
        </w:trPr>
        <w:tc>
          <w:tcPr>
            <w:tcW w:w="62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Foreign currency translation adjustments . . . . . . . . . . . . . . . . . . . . . .</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6"/>
              </w:rPr>
              <w:t>(10,558)</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(2,839)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6,274</w:t>
            </w:r>
          </w:p>
        </w:tc>
        <w:tc>
          <w:tcPr>
            <w:tcW w:w="80" w:type="dxa"/>
            <w:vAlign w:val="bottom"/>
          </w:tcPr>
          <w:p>
            <w:pPr>
              <w:spacing w:after="0"/>
              <w:rPr>
                <w:sz w:val="22"/>
                <w:szCs w:val="22"/>
                <w:color w:val="auto"/>
              </w:rPr>
            </w:pPr>
          </w:p>
        </w:tc>
      </w:tr>
      <w:tr>
        <w:trPr>
          <w:trHeight w:val="255"/>
        </w:trPr>
        <w:tc>
          <w:tcPr>
            <w:tcW w:w="6260" w:type="dxa"/>
            <w:vAlign w:val="bottom"/>
          </w:tcPr>
          <w:p>
            <w:pPr>
              <w:jc w:val="right"/>
              <w:ind w:right="4080"/>
              <w:spacing w:after="0"/>
              <w:rPr>
                <w:sz w:val="20"/>
                <w:szCs w:val="20"/>
                <w:color w:val="auto"/>
              </w:rPr>
            </w:pPr>
            <w:r>
              <w:rPr>
                <w:rFonts w:ascii="Times New Roman" w:cs="Times New Roman" w:eastAsia="Times New Roman" w:hAnsi="Times New Roman"/>
                <w:sz w:val="20"/>
                <w:szCs w:val="20"/>
                <w:color w:val="auto"/>
              </w:rPr>
              <w:t>Derivative adjustments</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5"/>
        </w:trPr>
        <w:tc>
          <w:tcPr>
            <w:tcW w:w="62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Fair valuation of derivatives . . . . . . . . . . . . . . . . . . . . . . . . . . . . . .</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(8,279)</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(3,913)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1,452</w:t>
            </w:r>
          </w:p>
        </w:tc>
        <w:tc>
          <w:tcPr>
            <w:tcW w:w="80" w:type="dxa"/>
            <w:vAlign w:val="bottom"/>
          </w:tcPr>
          <w:p>
            <w:pPr>
              <w:spacing w:after="0"/>
              <w:rPr>
                <w:sz w:val="22"/>
                <w:szCs w:val="22"/>
                <w:color w:val="auto"/>
              </w:rPr>
            </w:pPr>
          </w:p>
        </w:tc>
      </w:tr>
      <w:tr>
        <w:trPr>
          <w:trHeight w:val="255"/>
        </w:trPr>
        <w:tc>
          <w:tcPr>
            <w:tcW w:w="6260" w:type="dxa"/>
            <w:vAlign w:val="bottom"/>
          </w:tcPr>
          <w:p>
            <w:pPr>
              <w:jc w:val="right"/>
              <w:ind w:right="1100"/>
              <w:spacing w:after="0"/>
              <w:rPr>
                <w:sz w:val="20"/>
                <w:szCs w:val="20"/>
                <w:color w:val="auto"/>
              </w:rPr>
            </w:pPr>
            <w:r>
              <w:rPr>
                <w:rFonts w:ascii="Times New Roman" w:cs="Times New Roman" w:eastAsia="Times New Roman" w:hAnsi="Times New Roman"/>
                <w:sz w:val="20"/>
                <w:szCs w:val="20"/>
                <w:color w:val="auto"/>
              </w:rPr>
              <w:t>Reclassification adjustment for loss (gain) on derivatives</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8"/>
        </w:trPr>
        <w:tc>
          <w:tcPr>
            <w:tcW w:w="62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included in net income (loss) . . . . . . . . . . . . . . . . . . . . . . . . . . . .</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(1,363)</w:t>
            </w:r>
          </w:p>
        </w:tc>
      </w:tr>
      <w:tr>
        <w:trPr>
          <w:trHeight w:val="20"/>
        </w:trPr>
        <w:tc>
          <w:tcPr>
            <w:tcW w:w="6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62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Total other comprehensive income (loss) . . . . . . . . . . . . . . . . . . . . . . . .</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6"/>
              </w:rPr>
              <w:t>(10,323)</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(5,933)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6,363</w:t>
            </w:r>
          </w:p>
        </w:tc>
        <w:tc>
          <w:tcPr>
            <w:tcW w:w="80" w:type="dxa"/>
            <w:vAlign w:val="bottom"/>
          </w:tcPr>
          <w:p>
            <w:pPr>
              <w:spacing w:after="0"/>
              <w:rPr>
                <w:sz w:val="24"/>
                <w:szCs w:val="24"/>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62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Total comprehensive income (loss)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6"/>
              </w:rPr>
              <w:t>(18,359)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50,775</w:t>
            </w:r>
          </w:p>
        </w:tc>
        <w:tc>
          <w:tcPr>
            <w:tcW w:w="2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351,328</w:t>
            </w:r>
          </w:p>
        </w:tc>
        <w:tc>
          <w:tcPr>
            <w:tcW w:w="80" w:type="dxa"/>
            <w:vAlign w:val="bottom"/>
          </w:tcPr>
          <w:p>
            <w:pPr>
              <w:spacing w:after="0"/>
              <w:rPr>
                <w:sz w:val="24"/>
                <w:szCs w:val="24"/>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440"/>
          </w:cols>
          <w:pgMar w:left="1420" w:top="889" w:right="1380" w:bottom="182" w:gutter="0" w:footer="0" w:header="0"/>
        </w:sectPr>
      </w:pPr>
    </w:p>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440"/>
          </w:cols>
          <w:pgMar w:left="1420" w:top="889" w:right="1380" w:bottom="182" w:gutter="0" w:footer="0" w:header="0"/>
          <w:type w:val="continuous"/>
        </w:sectPr>
      </w:pPr>
    </w:p>
    <w:bookmarkStart w:id="64" w:name="page65"/>
    <w:bookmarkEnd w:id="64"/>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ectPr>
          <w:pgSz w:w="12240" w:h="15840" w:orient="portrait"/>
          <w:cols w:equalWidth="0" w:num="1">
            <w:col w:w="9440"/>
          </w:cols>
          <w:pgMar w:left="1420" w:top="889" w:right="1380" w:bottom="182" w:gutter="0" w:footer="0" w:header="0"/>
        </w:sectPr>
      </w:pPr>
    </w:p>
    <w:p>
      <w:pPr>
        <w:spacing w:after="0" w:line="200" w:lineRule="exact"/>
        <w:rPr>
          <w:sz w:val="20"/>
          <w:szCs w:val="20"/>
          <w:color w:val="auto"/>
        </w:rPr>
      </w:pPr>
    </w:p>
    <w:p>
      <w:pPr>
        <w:spacing w:after="0" w:line="360"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6"/>
          <w:szCs w:val="16"/>
          <w:b w:val="1"/>
          <w:bCs w:val="1"/>
          <w:color w:val="auto"/>
        </w:rPr>
        <w:t>(In thousands of U.S. dollars, except share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6350</wp:posOffset>
                </wp:positionV>
                <wp:extent cx="18288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5pt" to="144.3pt,0.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120" w:type="dxa"/>
            <w:vAlign w:val="bottom"/>
          </w:tcPr>
          <w:p>
            <w:pPr>
              <w:spacing w:after="0"/>
              <w:rPr>
                <w:sz w:val="15"/>
                <w:szCs w:val="15"/>
                <w:color w:val="auto"/>
              </w:rPr>
            </w:pPr>
          </w:p>
        </w:tc>
        <w:tc>
          <w:tcPr>
            <w:tcW w:w="7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Retained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8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1"/>
                <w:szCs w:val="11"/>
                <w:color w:val="auto"/>
              </w:rPr>
            </w:pPr>
          </w:p>
        </w:tc>
        <w:tc>
          <w:tcPr>
            <w:tcW w:w="76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1"/>
                <w:szCs w:val="11"/>
                <w:color w:val="auto"/>
              </w:rPr>
            </w:pPr>
          </w:p>
        </w:tc>
        <w:tc>
          <w:tcPr>
            <w:tcW w:w="8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120" w:type="dxa"/>
            <w:vAlign w:val="bottom"/>
          </w:tcPr>
          <w:p>
            <w:pPr>
              <w:spacing w:after="0"/>
              <w:rPr>
                <w:sz w:val="11"/>
                <w:szCs w:val="11"/>
                <w:color w:val="auto"/>
              </w:rPr>
            </w:pPr>
          </w:p>
        </w:tc>
        <w:tc>
          <w:tcPr>
            <w:tcW w:w="1200" w:type="dxa"/>
            <w:vAlign w:val="bottom"/>
            <w:gridSpan w:val="2"/>
            <w:vMerge w:val="restart"/>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900" w:type="dxa"/>
            <w:vAlign w:val="bottom"/>
          </w:tcPr>
          <w:p>
            <w:pPr>
              <w:ind w:left="220"/>
              <w:spacing w:after="0" w:line="18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6"/>
                <w:szCs w:val="16"/>
                <w:color w:val="auto"/>
              </w:rPr>
            </w:pPr>
          </w:p>
        </w:tc>
        <w:tc>
          <w:tcPr>
            <w:tcW w:w="1440" w:type="dxa"/>
            <w:vAlign w:val="bottom"/>
            <w:gridSpan w:val="3"/>
          </w:tcPr>
          <w:p>
            <w:pPr>
              <w:jc w:val="right"/>
              <w:ind w:right="40"/>
              <w:spacing w:after="0" w:line="182" w:lineRule="exact"/>
              <w:rPr>
                <w:sz w:val="20"/>
                <w:szCs w:val="20"/>
                <w:color w:val="auto"/>
              </w:rPr>
            </w:pPr>
            <w:r>
              <w:rPr>
                <w:rFonts w:ascii="Times New Roman" w:cs="Times New Roman" w:eastAsia="Times New Roman" w:hAnsi="Times New Roman"/>
                <w:sz w:val="16"/>
                <w:szCs w:val="16"/>
                <w:b w:val="1"/>
                <w:bCs w:val="1"/>
                <w:color w:val="auto"/>
              </w:rPr>
              <w:t>Amount    Capital</w:t>
            </w:r>
          </w:p>
        </w:tc>
        <w:tc>
          <w:tcPr>
            <w:tcW w:w="120" w:type="dxa"/>
            <w:vAlign w:val="bottom"/>
          </w:tcPr>
          <w:p>
            <w:pPr>
              <w:spacing w:after="0"/>
              <w:rPr>
                <w:sz w:val="16"/>
                <w:szCs w:val="16"/>
                <w:color w:val="auto"/>
              </w:rPr>
            </w:pPr>
          </w:p>
        </w:tc>
        <w:tc>
          <w:tcPr>
            <w:tcW w:w="7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(Deficit)</w:t>
            </w:r>
          </w:p>
        </w:tc>
        <w:tc>
          <w:tcPr>
            <w:tcW w:w="120" w:type="dxa"/>
            <w:vAlign w:val="bottom"/>
          </w:tcPr>
          <w:p>
            <w:pPr>
              <w:spacing w:after="0"/>
              <w:rPr>
                <w:sz w:val="16"/>
                <w:szCs w:val="16"/>
                <w:color w:val="auto"/>
              </w:rPr>
            </w:pPr>
          </w:p>
        </w:tc>
        <w:tc>
          <w:tcPr>
            <w:tcW w:w="8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6"/>
                <w:szCs w:val="16"/>
                <w:color w:val="auto"/>
              </w:rPr>
            </w:pPr>
          </w:p>
        </w:tc>
        <w:tc>
          <w:tcPr>
            <w:tcW w:w="1200" w:type="dxa"/>
            <w:vAlign w:val="bottom"/>
            <w:gridSpan w:val="2"/>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auto"/>
              </w:rPr>
              <w:t>Income (Loss)</w:t>
            </w:r>
          </w:p>
        </w:tc>
        <w:tc>
          <w:tcPr>
            <w:tcW w:w="740" w:type="dxa"/>
            <w:vAlign w:val="bottom"/>
          </w:tcPr>
          <w:p>
            <w:pPr>
              <w:ind w:left="20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ectPr>
          <w:pgSz w:w="12240" w:h="15840" w:orient="portrait"/>
          <w:cols w:equalWidth="0" w:num="2">
            <w:col w:w="2300" w:space="720"/>
            <w:col w:w="6420"/>
          </w:cols>
          <w:pgMar w:left="1420" w:top="889" w:right="1380" w:bottom="182"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Balance at December 31, 2019</w:t>
            </w:r>
            <w:r>
              <w:rPr>
                <w:rFonts w:ascii="Times New Roman" w:cs="Times New Roman" w:eastAsia="Times New Roman" w:hAnsi="Times New Roman"/>
                <w:sz w:val="20"/>
                <w:szCs w:val="20"/>
                <w:color w:val="auto"/>
              </w:rPr>
              <w:t>. . .</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w w:val="95"/>
              </w:rPr>
              <w:t>34,800,312</w:t>
            </w: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439</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152,404</w:t>
            </w:r>
          </w:p>
        </w:tc>
        <w:tc>
          <w:tcPr>
            <w:tcW w:w="120" w:type="dxa"/>
            <w:vAlign w:val="bottom"/>
          </w:tcPr>
          <w:p>
            <w:pPr>
              <w:spacing w:after="0"/>
              <w:rPr>
                <w:sz w:val="19"/>
                <w:szCs w:val="19"/>
                <w:color w:val="auto"/>
              </w:rPr>
            </w:pPr>
          </w:p>
        </w:tc>
        <w:tc>
          <w:tcPr>
            <w:tcW w:w="2000" w:type="dxa"/>
            <w:vAlign w:val="bottom"/>
            <w:gridSpan w:val="11"/>
          </w:tcPr>
          <w:p>
            <w:pPr>
              <w:jc w:val="right"/>
              <w:ind w:right="240"/>
              <w:spacing w:after="0"/>
              <w:rPr>
                <w:sz w:val="20"/>
                <w:szCs w:val="20"/>
                <w:color w:val="auto"/>
              </w:rPr>
            </w:pPr>
            <w:r>
              <w:rPr>
                <w:rFonts w:ascii="Times New Roman" w:cs="Times New Roman" w:eastAsia="Times New Roman" w:hAnsi="Times New Roman"/>
                <w:sz w:val="20"/>
                <w:szCs w:val="20"/>
                <w:color w:val="auto"/>
                <w:w w:val="98"/>
              </w:rPr>
              <w:t xml:space="preserve">$ (58,131) </w:t>
            </w: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(107,033)</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(2,660)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 (14,981)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Stock-based compensation . . . . .</w:t>
            </w:r>
          </w:p>
        </w:tc>
        <w:tc>
          <w:tcPr>
            <w:tcW w:w="108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6,699</w:t>
            </w:r>
          </w:p>
        </w:tc>
        <w:tc>
          <w:tcPr>
            <w:tcW w:w="120" w:type="dxa"/>
            <w:vAlign w:val="bottom"/>
          </w:tcPr>
          <w:p>
            <w:pPr>
              <w:spacing w:after="0"/>
              <w:rPr>
                <w:sz w:val="24"/>
                <w:szCs w:val="24"/>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6,699</w:t>
            </w:r>
          </w:p>
        </w:tc>
        <w:tc>
          <w:tcPr>
            <w:tcW w:w="0" w:type="dxa"/>
            <w:vAlign w:val="bottom"/>
          </w:tcPr>
          <w:p>
            <w:pPr>
              <w:spacing w:after="0"/>
              <w:rPr>
                <w:sz w:val="1"/>
                <w:szCs w:val="1"/>
                <w:color w:val="auto"/>
              </w:rPr>
            </w:pPr>
          </w:p>
        </w:tc>
      </w:tr>
      <w:tr>
        <w:trPr>
          <w:trHeight w:val="255"/>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Exercise of stock options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510,648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3,913</w:t>
            </w:r>
          </w:p>
        </w:tc>
        <w:tc>
          <w:tcPr>
            <w:tcW w:w="120" w:type="dxa"/>
            <w:vAlign w:val="bottom"/>
          </w:tcPr>
          <w:p>
            <w:pPr>
              <w:spacing w:after="0"/>
              <w:rPr>
                <w:sz w:val="22"/>
                <w:szCs w:val="22"/>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0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Settlement of restricted stock</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units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581,215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(6)</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Acquisition of treasury stock . . .</w:t>
            </w:r>
          </w:p>
        </w:tc>
        <w:tc>
          <w:tcPr>
            <w:tcW w:w="108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(108,828)</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(1,364)</w:t>
            </w:r>
          </w:p>
        </w:tc>
        <w:tc>
          <w:tcPr>
            <w:tcW w:w="100" w:type="dxa"/>
            <w:vAlign w:val="bottom"/>
          </w:tcPr>
          <w:p>
            <w:pPr>
              <w:spacing w:after="0"/>
              <w:rPr>
                <w:sz w:val="22"/>
                <w:szCs w:val="22"/>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(1,364)</w:t>
            </w:r>
          </w:p>
        </w:tc>
        <w:tc>
          <w:tcPr>
            <w:tcW w:w="0" w:type="dxa"/>
            <w:vAlign w:val="bottom"/>
          </w:tcPr>
          <w:p>
            <w:pPr>
              <w:spacing w:after="0"/>
              <w:rPr>
                <w:sz w:val="1"/>
                <w:szCs w:val="1"/>
                <w:color w:val="auto"/>
              </w:rPr>
            </w:pPr>
          </w:p>
        </w:tc>
      </w:tr>
      <w:tr>
        <w:trPr>
          <w:trHeight w:val="255"/>
        </w:trPr>
        <w:tc>
          <w:tcPr>
            <w:tcW w:w="30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net . . . . . . . . . . . . . . . . . . . . . .</w:t>
            </w:r>
          </w:p>
        </w:tc>
        <w:tc>
          <w:tcPr>
            <w:tcW w:w="108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Net income . . . . . . . . . . . . . . . . .</w:t>
            </w:r>
          </w:p>
        </w:tc>
        <w:tc>
          <w:tcPr>
            <w:tcW w:w="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344,965</w:t>
            </w:r>
          </w:p>
        </w:tc>
        <w:tc>
          <w:tcPr>
            <w:tcW w:w="80" w:type="dxa"/>
            <w:vAlign w:val="bottom"/>
          </w:tcPr>
          <w:p>
            <w:pPr>
              <w:spacing w:after="0"/>
              <w:rPr>
                <w:sz w:val="21"/>
                <w:szCs w:val="21"/>
                <w:color w:val="auto"/>
              </w:rPr>
            </w:pPr>
          </w:p>
        </w:tc>
        <w:tc>
          <w:tcPr>
            <w:tcW w:w="90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344,965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Balance at December 31, 2020</w:t>
            </w:r>
            <w:r>
              <w:rPr>
                <w:rFonts w:ascii="Times New Roman" w:cs="Times New Roman" w:eastAsia="Times New Roman" w:hAnsi="Times New Roman"/>
                <w:sz w:val="20"/>
                <w:szCs w:val="20"/>
                <w:color w:val="auto"/>
              </w:rPr>
              <w:t>.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35,783,347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450</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163,010</w:t>
            </w:r>
          </w:p>
        </w:tc>
        <w:tc>
          <w:tcPr>
            <w:tcW w:w="1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286,834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u w:val="single" w:color="auto"/>
                <w:color w:val="auto"/>
                <w:w w:val="97"/>
              </w:rPr>
              <w:t>$</w:t>
            </w:r>
            <w:r>
              <w:rPr>
                <w:rFonts w:ascii="Times New Roman" w:cs="Times New Roman" w:eastAsia="Times New Roman" w:hAnsi="Times New Roman"/>
                <w:sz w:val="20"/>
                <w:szCs w:val="20"/>
                <w:color w:val="auto"/>
                <w:w w:val="97"/>
              </w:rPr>
              <w:t>(108,397)</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3,703</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345,600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Stock-based compensation . . . . .</w:t>
            </w:r>
          </w:p>
        </w:tc>
        <w:tc>
          <w:tcPr>
            <w:tcW w:w="108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7,704</w:t>
            </w:r>
          </w:p>
        </w:tc>
        <w:tc>
          <w:tcPr>
            <w:tcW w:w="120" w:type="dxa"/>
            <w:vAlign w:val="bottom"/>
          </w:tcPr>
          <w:p>
            <w:pPr>
              <w:spacing w:after="0"/>
              <w:rPr>
                <w:sz w:val="24"/>
                <w:szCs w:val="24"/>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0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Exchange of exchangeable</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senior note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10,144,131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83,639</w:t>
            </w:r>
          </w:p>
        </w:tc>
        <w:tc>
          <w:tcPr>
            <w:tcW w:w="120" w:type="dxa"/>
            <w:vAlign w:val="bottom"/>
          </w:tcPr>
          <w:p>
            <w:pPr>
              <w:spacing w:after="0"/>
              <w:rPr>
                <w:sz w:val="20"/>
                <w:szCs w:val="20"/>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Exercise of stock options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336,870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4,276</w:t>
            </w:r>
          </w:p>
        </w:tc>
        <w:tc>
          <w:tcPr>
            <w:tcW w:w="120" w:type="dxa"/>
            <w:vAlign w:val="bottom"/>
          </w:tcPr>
          <w:p>
            <w:pPr>
              <w:spacing w:after="0"/>
              <w:rPr>
                <w:sz w:val="22"/>
                <w:szCs w:val="22"/>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0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Settlement of restricted stock</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units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480,465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Accelerated stock repurchase . . .</w:t>
            </w:r>
          </w:p>
        </w:tc>
        <w:tc>
          <w:tcPr>
            <w:tcW w:w="108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(994,695)</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(17,427)</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(20,073)</w:t>
            </w:r>
          </w:p>
        </w:tc>
        <w:tc>
          <w:tcPr>
            <w:tcW w:w="100" w:type="dxa"/>
            <w:vAlign w:val="bottom"/>
          </w:tcPr>
          <w:p>
            <w:pPr>
              <w:spacing w:after="0"/>
              <w:rPr>
                <w:sz w:val="22"/>
                <w:szCs w:val="22"/>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(37,500)</w:t>
            </w:r>
          </w:p>
        </w:tc>
        <w:tc>
          <w:tcPr>
            <w:tcW w:w="0" w:type="dxa"/>
            <w:vAlign w:val="bottom"/>
          </w:tcPr>
          <w:p>
            <w:pPr>
              <w:spacing w:after="0"/>
              <w:rPr>
                <w:sz w:val="1"/>
                <w:szCs w:val="1"/>
                <w:color w:val="auto"/>
              </w:rPr>
            </w:pPr>
          </w:p>
        </w:tc>
      </w:tr>
      <w:tr>
        <w:trPr>
          <w:trHeight w:val="255"/>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Acquisition of treasury stock . . .</w:t>
            </w:r>
          </w:p>
        </w:tc>
        <w:tc>
          <w:tcPr>
            <w:tcW w:w="108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(90,814)</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(1,836)</w:t>
            </w:r>
          </w:p>
        </w:tc>
        <w:tc>
          <w:tcPr>
            <w:tcW w:w="100" w:type="dxa"/>
            <w:vAlign w:val="bottom"/>
          </w:tcPr>
          <w:p>
            <w:pPr>
              <w:spacing w:after="0"/>
              <w:rPr>
                <w:sz w:val="22"/>
                <w:szCs w:val="22"/>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(1,836)</w:t>
            </w:r>
          </w:p>
        </w:tc>
        <w:tc>
          <w:tcPr>
            <w:tcW w:w="0" w:type="dxa"/>
            <w:vAlign w:val="bottom"/>
          </w:tcPr>
          <w:p>
            <w:pPr>
              <w:spacing w:after="0"/>
              <w:rPr>
                <w:sz w:val="1"/>
                <w:szCs w:val="1"/>
                <w:color w:val="auto"/>
              </w:rPr>
            </w:pPr>
          </w:p>
        </w:tc>
      </w:tr>
      <w:tr>
        <w:trPr>
          <w:trHeight w:val="255"/>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Other comprehensive loss, net . .</w:t>
            </w:r>
          </w:p>
        </w:tc>
        <w:tc>
          <w:tcPr>
            <w:tcW w:w="108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9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(5,933)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(5,933)</w:t>
            </w:r>
          </w:p>
        </w:tc>
        <w:tc>
          <w:tcPr>
            <w:tcW w:w="0" w:type="dxa"/>
            <w:vAlign w:val="bottom"/>
          </w:tcPr>
          <w:p>
            <w:pPr>
              <w:spacing w:after="0"/>
              <w:rPr>
                <w:sz w:val="1"/>
                <w:szCs w:val="1"/>
                <w:color w:val="auto"/>
              </w:rPr>
            </w:pPr>
          </w:p>
        </w:tc>
      </w:tr>
      <w:tr>
        <w:trPr>
          <w:trHeight w:val="253"/>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Net income . . . . . . . . . . . . . . . . .</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gridSpan w:val="3"/>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56,708</w:t>
            </w:r>
          </w:p>
        </w:tc>
        <w:tc>
          <w:tcPr>
            <w:tcW w:w="80" w:type="dxa"/>
            <w:vAlign w:val="bottom"/>
          </w:tcPr>
          <w:p>
            <w:pPr>
              <w:spacing w:after="0"/>
              <w:rPr>
                <w:sz w:val="21"/>
                <w:szCs w:val="21"/>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4"/>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56,708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Balance at December 31, 2021</w:t>
            </w:r>
            <w:r>
              <w:rPr>
                <w:rFonts w:ascii="Times New Roman" w:cs="Times New Roman" w:eastAsia="Times New Roman" w:hAnsi="Times New Roman"/>
                <w:sz w:val="20"/>
                <w:szCs w:val="20"/>
                <w:color w:val="auto"/>
              </w:rPr>
              <w:t>.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45,659,304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559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241,197</w:t>
            </w:r>
          </w:p>
        </w:tc>
        <w:tc>
          <w:tcPr>
            <w:tcW w:w="120" w:type="dxa"/>
            <w:vAlign w:val="bottom"/>
          </w:tcPr>
          <w:p>
            <w:pPr>
              <w:spacing w:after="0"/>
              <w:rPr>
                <w:sz w:val="24"/>
                <w:szCs w:val="24"/>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343,542</w:t>
            </w:r>
          </w:p>
        </w:tc>
        <w:tc>
          <w:tcPr>
            <w:tcW w:w="80" w:type="dxa"/>
            <w:vAlign w:val="bottom"/>
          </w:tcPr>
          <w:p>
            <w:pPr>
              <w:spacing w:after="0"/>
              <w:rPr>
                <w:sz w:val="24"/>
                <w:szCs w:val="24"/>
                <w:color w:val="auto"/>
              </w:rPr>
            </w:pPr>
          </w:p>
        </w:tc>
        <w:tc>
          <w:tcPr>
            <w:tcW w:w="11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u w:val="single" w:color="auto"/>
                <w:color w:val="auto"/>
                <w:w w:val="97"/>
              </w:rPr>
              <w:t>$</w:t>
            </w:r>
            <w:r>
              <w:rPr>
                <w:rFonts w:ascii="Times New Roman" w:cs="Times New Roman" w:eastAsia="Times New Roman" w:hAnsi="Times New Roman"/>
                <w:sz w:val="20"/>
                <w:szCs w:val="20"/>
                <w:color w:val="auto"/>
                <w:w w:val="97"/>
              </w:rPr>
              <w:t>(130,306)</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(2,230)</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452,762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Stock-based compensation . . . . .</w:t>
            </w:r>
          </w:p>
        </w:tc>
        <w:tc>
          <w:tcPr>
            <w:tcW w:w="108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6,037</w:t>
            </w:r>
          </w:p>
        </w:tc>
        <w:tc>
          <w:tcPr>
            <w:tcW w:w="120" w:type="dxa"/>
            <w:vAlign w:val="bottom"/>
          </w:tcPr>
          <w:p>
            <w:pPr>
              <w:spacing w:after="0"/>
              <w:rPr>
                <w:sz w:val="24"/>
                <w:szCs w:val="24"/>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Exercise of stock options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152,326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1,785</w:t>
            </w:r>
          </w:p>
        </w:tc>
        <w:tc>
          <w:tcPr>
            <w:tcW w:w="120" w:type="dxa"/>
            <w:vAlign w:val="bottom"/>
          </w:tcPr>
          <w:p>
            <w:pPr>
              <w:spacing w:after="0"/>
              <w:rPr>
                <w:sz w:val="22"/>
                <w:szCs w:val="22"/>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0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Settlement of restricted stock</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units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374,803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(178)</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0" w:type="dxa"/>
            <w:vAlign w:val="bottom"/>
          </w:tcPr>
          <w:p>
            <w:pPr>
              <w:spacing w:after="0"/>
              <w:rPr>
                <w:sz w:val="1"/>
                <w:szCs w:val="1"/>
                <w:color w:val="auto"/>
              </w:rPr>
            </w:pPr>
          </w:p>
        </w:tc>
      </w:tr>
      <w:tr>
        <w:trPr>
          <w:trHeight w:val="255"/>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Accelerated stock repurchase . . .</w:t>
            </w:r>
          </w:p>
        </w:tc>
        <w:tc>
          <w:tcPr>
            <w:tcW w:w="108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w w:val="98"/>
              </w:rPr>
              <w:t>(1,031,576)</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17,217</w:t>
            </w:r>
          </w:p>
        </w:tc>
        <w:tc>
          <w:tcPr>
            <w:tcW w:w="120" w:type="dxa"/>
            <w:vAlign w:val="bottom"/>
          </w:tcPr>
          <w:p>
            <w:pPr>
              <w:spacing w:after="0"/>
              <w:rPr>
                <w:sz w:val="22"/>
                <w:szCs w:val="22"/>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(17,217)</w:t>
            </w:r>
          </w:p>
        </w:tc>
        <w:tc>
          <w:tcPr>
            <w:tcW w:w="100" w:type="dxa"/>
            <w:vAlign w:val="bottom"/>
          </w:tcPr>
          <w:p>
            <w:pPr>
              <w:spacing w:after="0"/>
              <w:rPr>
                <w:sz w:val="22"/>
                <w:szCs w:val="22"/>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Acquisition of treasury stock . . .</w:t>
            </w:r>
          </w:p>
        </w:tc>
        <w:tc>
          <w:tcPr>
            <w:tcW w:w="108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w w:val="98"/>
              </w:rPr>
              <w:t>(1,330,282)</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(13,899)</w:t>
            </w:r>
          </w:p>
        </w:tc>
        <w:tc>
          <w:tcPr>
            <w:tcW w:w="100" w:type="dxa"/>
            <w:vAlign w:val="bottom"/>
          </w:tcPr>
          <w:p>
            <w:pPr>
              <w:spacing w:after="0"/>
              <w:rPr>
                <w:sz w:val="22"/>
                <w:szCs w:val="22"/>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(13,899)</w:t>
            </w:r>
          </w:p>
        </w:tc>
        <w:tc>
          <w:tcPr>
            <w:tcW w:w="0" w:type="dxa"/>
            <w:vAlign w:val="bottom"/>
          </w:tcPr>
          <w:p>
            <w:pPr>
              <w:spacing w:after="0"/>
              <w:rPr>
                <w:sz w:val="1"/>
                <w:szCs w:val="1"/>
                <w:color w:val="auto"/>
              </w:rPr>
            </w:pPr>
          </w:p>
        </w:tc>
      </w:tr>
      <w:tr>
        <w:trPr>
          <w:trHeight w:val="255"/>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Other comprehensive loss, net . .</w:t>
            </w:r>
          </w:p>
        </w:tc>
        <w:tc>
          <w:tcPr>
            <w:tcW w:w="108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9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w w:val="96"/>
              </w:rPr>
              <w:t>(10,323)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(10,323)</w:t>
            </w:r>
          </w:p>
        </w:tc>
        <w:tc>
          <w:tcPr>
            <w:tcW w:w="0" w:type="dxa"/>
            <w:vAlign w:val="bottom"/>
          </w:tcPr>
          <w:p>
            <w:pPr>
              <w:spacing w:after="0"/>
              <w:rPr>
                <w:sz w:val="1"/>
                <w:szCs w:val="1"/>
                <w:color w:val="auto"/>
              </w:rPr>
            </w:pPr>
          </w:p>
        </w:tc>
      </w:tr>
      <w:tr>
        <w:trPr>
          <w:trHeight w:val="253"/>
        </w:trPr>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Net loss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4"/>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(8,036)</w:t>
            </w:r>
          </w:p>
        </w:tc>
        <w:tc>
          <w:tcPr>
            <w:tcW w:w="11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9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(8,036)</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Balance at December 31, 2022</w:t>
            </w:r>
            <w:r>
              <w:rPr>
                <w:rFonts w:ascii="Times New Roman" w:cs="Times New Roman" w:eastAsia="Times New Roman" w:hAnsi="Times New Roman"/>
                <w:sz w:val="20"/>
                <w:szCs w:val="20"/>
                <w:color w:val="auto"/>
              </w:rPr>
              <w:t>. . .</w:t>
            </w: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040" w:type="dxa"/>
            <w:vAlign w:val="bottom"/>
            <w:gridSpan w:val="2"/>
            <w:vMerge w:val="continue"/>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43,824,575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564</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266,058</w:t>
            </w:r>
          </w:p>
        </w:tc>
        <w:tc>
          <w:tcPr>
            <w:tcW w:w="120" w:type="dxa"/>
            <w:vAlign w:val="bottom"/>
          </w:tcPr>
          <w:p>
            <w:pPr>
              <w:spacing w:after="0"/>
              <w:rPr>
                <w:sz w:val="24"/>
                <w:szCs w:val="24"/>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335,506</w:t>
            </w:r>
          </w:p>
        </w:tc>
        <w:tc>
          <w:tcPr>
            <w:tcW w:w="80" w:type="dxa"/>
            <w:vAlign w:val="bottom"/>
          </w:tcPr>
          <w:p>
            <w:pPr>
              <w:spacing w:after="0"/>
              <w:rPr>
                <w:sz w:val="24"/>
                <w:szCs w:val="24"/>
                <w:color w:val="auto"/>
              </w:rPr>
            </w:pPr>
          </w:p>
        </w:tc>
        <w:tc>
          <w:tcPr>
            <w:tcW w:w="11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u w:val="single" w:color="auto"/>
                <w:color w:val="auto"/>
                <w:w w:val="97"/>
              </w:rPr>
              <w:t>$</w:t>
            </w:r>
            <w:r>
              <w:rPr>
                <w:rFonts w:ascii="Times New Roman" w:cs="Times New Roman" w:eastAsia="Times New Roman" w:hAnsi="Times New Roman"/>
                <w:sz w:val="20"/>
                <w:szCs w:val="20"/>
                <w:color w:val="auto"/>
                <w:w w:val="97"/>
              </w:rPr>
              <w:t>(161,422)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9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w w:val="96"/>
              </w:rPr>
              <w:t>(12,553)</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428,153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440"/>
          </w:cols>
          <w:pgMar w:left="1420" w:top="889" w:right="1380" w:bottom="182" w:gutter="0" w:footer="0" w:header="0"/>
          <w:type w:val="continuous"/>
        </w:sectPr>
      </w:pPr>
    </w:p>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440"/>
          </w:cols>
          <w:pgMar w:left="1420" w:top="889" w:right="1380" w:bottom="182" w:gutter="0" w:footer="0" w:header="0"/>
          <w:type w:val="continuous"/>
        </w:sectPr>
      </w:pPr>
    </w:p>
    <w:bookmarkStart w:id="65" w:name="page66"/>
    <w:bookmarkEnd w:id="65"/>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tcBorders>
              <w:bottom w:val="single" w:sz="8" w:color="auto"/>
            </w:tcBorders>
            <w:gridSpan w:val="7"/>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16"/>
                <w:szCs w:val="16"/>
                <w:color w:val="auto"/>
              </w:rPr>
            </w:pPr>
          </w:p>
        </w:tc>
      </w:tr>
      <w:tr>
        <w:trPr>
          <w:trHeight w:val="215"/>
        </w:trPr>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r>
      <w:tr>
        <w:trPr>
          <w:trHeight w:val="212"/>
        </w:trPr>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8"/>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tc>
      </w:tr>
      <w:tr>
        <w:trPr>
          <w:trHeight w:val="313"/>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 . . . . . . . . . . . . . . . . . . . . . . .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 (8,036)</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$ 56,708</w:t>
            </w:r>
          </w:p>
        </w:tc>
        <w:tc>
          <w:tcPr>
            <w:tcW w:w="2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$ 344,965</w:t>
            </w:r>
          </w:p>
        </w:tc>
        <w:tc>
          <w:tcPr>
            <w:tcW w:w="80" w:type="dxa"/>
            <w:vAlign w:val="bottom"/>
          </w:tcPr>
          <w:p>
            <w:pPr>
              <w:spacing w:after="0"/>
              <w:rPr>
                <w:sz w:val="22"/>
                <w:szCs w:val="22"/>
                <w:color w:val="auto"/>
              </w:rPr>
            </w:pPr>
          </w:p>
        </w:tc>
      </w:tr>
      <w:tr>
        <w:trPr>
          <w:trHeight w:val="25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income (loss) to net cash provided by</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0"/>
        </w:trPr>
        <w:tc>
          <w:tcPr>
            <w:tcW w:w="6200" w:type="dxa"/>
            <w:vAlign w:val="bottom"/>
          </w:tcPr>
          <w:p>
            <w:pPr>
              <w:jc w:val="right"/>
              <w:ind w:right="4340"/>
              <w:spacing w:after="0"/>
              <w:rPr>
                <w:sz w:val="20"/>
                <w:szCs w:val="20"/>
                <w:color w:val="auto"/>
              </w:rPr>
            </w:pPr>
            <w:r>
              <w:rPr>
                <w:rFonts w:ascii="Times New Roman" w:cs="Times New Roman" w:eastAsia="Times New Roman" w:hAnsi="Times New Roman"/>
                <w:sz w:val="20"/>
                <w:szCs w:val="20"/>
                <w:color w:val="auto"/>
              </w:rPr>
              <w:t>operating activities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14,239</w:t>
            </w:r>
          </w:p>
        </w:tc>
        <w:tc>
          <w:tcPr>
            <w:tcW w:w="2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16,481</w:t>
            </w:r>
          </w:p>
        </w:tc>
        <w:tc>
          <w:tcPr>
            <w:tcW w:w="80" w:type="dxa"/>
            <w:vAlign w:val="bottom"/>
          </w:tcPr>
          <w:p>
            <w:pPr>
              <w:spacing w:after="0"/>
              <w:rPr>
                <w:sz w:val="22"/>
                <w:szCs w:val="22"/>
                <w:color w:val="auto"/>
              </w:rPr>
            </w:pP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Provision for severance benefits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6,289</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8,282</w:t>
            </w:r>
          </w:p>
        </w:tc>
        <w:tc>
          <w:tcPr>
            <w:tcW w:w="2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16,743</w:t>
            </w:r>
          </w:p>
        </w:tc>
        <w:tc>
          <w:tcPr>
            <w:tcW w:w="80" w:type="dxa"/>
            <w:vAlign w:val="bottom"/>
          </w:tcPr>
          <w:p>
            <w:pPr>
              <w:spacing w:after="0"/>
              <w:rPr>
                <w:sz w:val="22"/>
                <w:szCs w:val="22"/>
                <w:color w:val="auto"/>
              </w:rPr>
            </w:pP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Amortization of debt issuance costs and original issue discount . . . . . .</w:t>
            </w:r>
          </w:p>
        </w:tc>
        <w:tc>
          <w:tcPr>
            <w:tcW w:w="180" w:type="dxa"/>
            <w:vAlign w:val="bottom"/>
          </w:tcPr>
          <w:p>
            <w:pPr>
              <w:spacing w:after="0"/>
              <w:rPr>
                <w:sz w:val="22"/>
                <w:szCs w:val="22"/>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2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2,220</w:t>
            </w:r>
          </w:p>
        </w:tc>
        <w:tc>
          <w:tcPr>
            <w:tcW w:w="80" w:type="dxa"/>
            <w:vAlign w:val="bottom"/>
          </w:tcPr>
          <w:p>
            <w:pPr>
              <w:spacing w:after="0"/>
              <w:rPr>
                <w:sz w:val="22"/>
                <w:szCs w:val="22"/>
                <w:color w:val="auto"/>
              </w:rPr>
            </w:pP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Loss (gain) on foreign currency, net.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19,729</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32,432</w:t>
            </w:r>
          </w:p>
        </w:tc>
        <w:tc>
          <w:tcPr>
            <w:tcW w:w="2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(23,233)</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Provision for inventory reserves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9,574</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2,244</w:t>
            </w:r>
          </w:p>
        </w:tc>
        <w:tc>
          <w:tcPr>
            <w:tcW w:w="2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3,695</w:t>
            </w:r>
          </w:p>
        </w:tc>
        <w:tc>
          <w:tcPr>
            <w:tcW w:w="80" w:type="dxa"/>
            <w:vAlign w:val="bottom"/>
          </w:tcPr>
          <w:p>
            <w:pPr>
              <w:spacing w:after="0"/>
              <w:rPr>
                <w:sz w:val="22"/>
                <w:szCs w:val="22"/>
                <w:color w:val="auto"/>
              </w:rPr>
            </w:pP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6,037</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7,704</w:t>
            </w:r>
          </w:p>
        </w:tc>
        <w:tc>
          <w:tcPr>
            <w:tcW w:w="2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6,699</w:t>
            </w:r>
          </w:p>
        </w:tc>
        <w:tc>
          <w:tcPr>
            <w:tcW w:w="80" w:type="dxa"/>
            <w:vAlign w:val="bottom"/>
          </w:tcPr>
          <w:p>
            <w:pPr>
              <w:spacing w:after="0"/>
              <w:rPr>
                <w:sz w:val="22"/>
                <w:szCs w:val="22"/>
                <w:color w:val="auto"/>
              </w:rPr>
            </w:pP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Loss on early extinguishment of borrowings . . . . . . . . . . . . . . . . . . . . . .</w:t>
            </w:r>
          </w:p>
        </w:tc>
        <w:tc>
          <w:tcPr>
            <w:tcW w:w="180" w:type="dxa"/>
            <w:vAlign w:val="bottom"/>
          </w:tcPr>
          <w:p>
            <w:pPr>
              <w:spacing w:after="0"/>
              <w:rPr>
                <w:sz w:val="22"/>
                <w:szCs w:val="22"/>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766</w:t>
            </w:r>
          </w:p>
        </w:tc>
        <w:tc>
          <w:tcPr>
            <w:tcW w:w="80" w:type="dxa"/>
            <w:vAlign w:val="bottom"/>
          </w:tcPr>
          <w:p>
            <w:pPr>
              <w:spacing w:after="0"/>
              <w:rPr>
                <w:sz w:val="22"/>
                <w:szCs w:val="22"/>
                <w:color w:val="auto"/>
              </w:rPr>
            </w:pP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Gain on sale of discontinued operations . . . . . . . . . . . . . . . . . . . . . . . . .</w:t>
            </w:r>
          </w:p>
        </w:tc>
        <w:tc>
          <w:tcPr>
            <w:tcW w:w="180" w:type="dxa"/>
            <w:vAlign w:val="bottom"/>
          </w:tcPr>
          <w:p>
            <w:pPr>
              <w:spacing w:after="0"/>
              <w:rPr>
                <w:sz w:val="22"/>
                <w:szCs w:val="22"/>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(287,117)</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Deferred income tax assets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2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(44,441)</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net . . . . . . . . . . . .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664</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80" w:type="dxa"/>
            <w:vAlign w:val="bottom"/>
          </w:tcPr>
          <w:p>
            <w:pPr>
              <w:spacing w:after="0"/>
              <w:rPr>
                <w:sz w:val="22"/>
                <w:szCs w:val="22"/>
                <w:color w:val="auto"/>
              </w:rPr>
            </w:pPr>
          </w:p>
        </w:tc>
      </w:tr>
      <w:tr>
        <w:trPr>
          <w:trHeight w:val="25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Accounts receivable, net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10,276</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7,505</w:t>
            </w:r>
          </w:p>
        </w:tc>
        <w:tc>
          <w:tcPr>
            <w:tcW w:w="2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(19,268)</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Unbilled accounts receivable, net . . . . . . . . . . . . . . . . . . . . . . . . . . . . . . .</w:t>
            </w:r>
          </w:p>
        </w:tc>
        <w:tc>
          <w:tcPr>
            <w:tcW w:w="180" w:type="dxa"/>
            <w:vAlign w:val="bottom"/>
          </w:tcPr>
          <w:p>
            <w:pPr>
              <w:spacing w:after="0"/>
              <w:rPr>
                <w:sz w:val="22"/>
                <w:szCs w:val="22"/>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14,260</w:t>
            </w:r>
          </w:p>
        </w:tc>
        <w:tc>
          <w:tcPr>
            <w:tcW w:w="80" w:type="dxa"/>
            <w:vAlign w:val="bottom"/>
          </w:tcPr>
          <w:p>
            <w:pPr>
              <w:spacing w:after="0"/>
              <w:rPr>
                <w:sz w:val="22"/>
                <w:szCs w:val="22"/>
                <w:color w:val="auto"/>
              </w:rPr>
            </w:pP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Inventories . . . . . . . . . . . . . . . . . . . . . . . . . . . .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(12,626)</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(5,939)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(816)</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receivables . . . . . .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18,146</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(21,538)</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6,954</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current assets . . . . . . . . . . . . . . . . . . . . .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(4,150)</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12,397</w:t>
            </w:r>
          </w:p>
        </w:tc>
        <w:tc>
          <w:tcPr>
            <w:tcW w:w="2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13,561</w:t>
            </w:r>
          </w:p>
        </w:tc>
        <w:tc>
          <w:tcPr>
            <w:tcW w:w="80" w:type="dxa"/>
            <w:vAlign w:val="bottom"/>
          </w:tcPr>
          <w:p>
            <w:pPr>
              <w:spacing w:after="0"/>
              <w:rPr>
                <w:sz w:val="22"/>
                <w:szCs w:val="22"/>
                <w:color w:val="auto"/>
              </w:rPr>
            </w:pP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(16,325)</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(11,437)</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4,907</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accounts payable . . . . . . . . . . . . . . . . . .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(9,410)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(7,798)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(12,000)</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(7,228)</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4,637</w:t>
            </w:r>
          </w:p>
        </w:tc>
        <w:tc>
          <w:tcPr>
            <w:tcW w:w="2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(26,201)</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Accrued income taxes . . . . . . . . . . . . . . . . . . .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(8,400)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10,825</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(1,261)</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(131)</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2,174</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current liabilities . . . . . . . . . . . . . . . . . .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(645)</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w:t>
            </w:r>
          </w:p>
        </w:tc>
        <w:tc>
          <w:tcPr>
            <w:tcW w:w="220" w:type="dxa"/>
            <w:vAlign w:val="bottom"/>
          </w:tcPr>
          <w:p>
            <w:pPr>
              <w:spacing w:after="0"/>
              <w:rPr>
                <w:sz w:val="22"/>
                <w:szCs w:val="22"/>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279</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non-current liabilities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(1,398)</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3,521</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Contributions to severance insurance deposit accounts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(7,899)</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(5,688)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(11,921)</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Payment of severance benefits . . . . . . . . . . . .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(6,012)</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(6,679)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(12,076)</w:t>
            </w:r>
          </w:p>
        </w:tc>
      </w:tr>
      <w:tr>
        <w:trPr>
          <w:trHeight w:val="253"/>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net . . . . . . . . . . . . . . . . . . . . . . . . . . . . . . . . . . . . . . . . . . . . . . . . . .</w:t>
            </w:r>
          </w:p>
        </w:tc>
        <w:tc>
          <w:tcPr>
            <w:tcW w:w="1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415</w:t>
            </w: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(3,724)</w:t>
            </w:r>
          </w:p>
        </w:tc>
      </w:tr>
      <w:tr>
        <w:trPr>
          <w:trHeight w:val="20"/>
        </w:trPr>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7"/>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cash provided by operating activities . . . . . . . . . . . . . . . . . . . . . . . . . .</w:t>
            </w:r>
          </w:p>
        </w:tc>
        <w:tc>
          <w:tcPr>
            <w:tcW w:w="18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5,165</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87,743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7,470</w:t>
            </w:r>
          </w:p>
        </w:tc>
      </w:tr>
      <w:tr>
        <w:trPr>
          <w:trHeight w:val="255"/>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Proceeds from settlement of hedge collateral . . . . . . . . . . . . . . . . . . . . .</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15,232</w:t>
            </w: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5,214</w:t>
            </w:r>
          </w:p>
        </w:tc>
        <w:tc>
          <w:tcPr>
            <w:tcW w:w="220" w:type="dxa"/>
            <w:vAlign w:val="bottom"/>
          </w:tcPr>
          <w:p>
            <w:pPr>
              <w:spacing w:after="0"/>
              <w:rPr>
                <w:sz w:val="22"/>
                <w:szCs w:val="22"/>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13,762</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Payment of hedge collateral . . . . . . . . . . . . . .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(15,282)</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(3,349)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(8,839)</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Proceeds from disposal of property, plant and equipment. . . . . . . . . . . .</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550</w:t>
            </w: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w:t>
            </w:r>
          </w:p>
        </w:tc>
        <w:tc>
          <w:tcPr>
            <w:tcW w:w="220" w:type="dxa"/>
            <w:vAlign w:val="bottom"/>
          </w:tcPr>
          <w:p>
            <w:pPr>
              <w:spacing w:after="0"/>
              <w:rPr>
                <w:sz w:val="22"/>
                <w:szCs w:val="22"/>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65</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Purchase of property, plant and equipment . .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(23,394)</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(32,212)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(36,100)</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Payment for intellectual property registration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(390)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(614)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(741)</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Collection of guarantee deposits . . . . . . . . . . . . . . . . . . . . . . . . . . . . . . . .</w:t>
            </w:r>
          </w:p>
        </w:tc>
        <w:tc>
          <w:tcPr>
            <w:tcW w:w="180" w:type="dxa"/>
            <w:vAlign w:val="bottom"/>
          </w:tcPr>
          <w:p>
            <w:pPr>
              <w:spacing w:after="0"/>
              <w:rPr>
                <w:sz w:val="22"/>
                <w:szCs w:val="22"/>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3,192</w:t>
            </w:r>
          </w:p>
        </w:tc>
        <w:tc>
          <w:tcPr>
            <w:tcW w:w="220" w:type="dxa"/>
            <w:vAlign w:val="bottom"/>
          </w:tcPr>
          <w:p>
            <w:pPr>
              <w:spacing w:after="0"/>
              <w:rPr>
                <w:sz w:val="22"/>
                <w:szCs w:val="22"/>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1,024</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Payment of guarantee deposits . . . . . . . . . . . . . . . . . . . . . . . . . . . . . . . . .</w:t>
            </w: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(2,381)</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(5,001)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(1,236)</w:t>
            </w:r>
          </w:p>
        </w:tc>
      </w:tr>
      <w:tr>
        <w:trPr>
          <w:trHeight w:val="255"/>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Proceeds from sale of discontinued operations . . . . . . . . . . . . . . . . . . . .</w:t>
            </w:r>
          </w:p>
        </w:tc>
        <w:tc>
          <w:tcPr>
            <w:tcW w:w="180" w:type="dxa"/>
            <w:vAlign w:val="bottom"/>
          </w:tcPr>
          <w:p>
            <w:pPr>
              <w:spacing w:after="0"/>
              <w:rPr>
                <w:sz w:val="22"/>
                <w:szCs w:val="22"/>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350,553</w:t>
            </w:r>
          </w:p>
        </w:tc>
      </w:tr>
      <w:tr>
        <w:trPr>
          <w:trHeight w:val="253"/>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net . . . . . . . . . . . . . . . . . . . . . . . . . . . . . . . . . . . . . . . . . . . . . . . . . .</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0"/>
        </w:trPr>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7"/>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cash provided by (used in) investing activities . . . . . . . . . . . . . . . . . . .</w:t>
            </w:r>
          </w:p>
        </w:tc>
        <w:tc>
          <w:tcPr>
            <w:tcW w:w="180" w:type="dxa"/>
            <w:vAlign w:val="bottom"/>
          </w:tcPr>
          <w:p>
            <w:pPr>
              <w:spacing w:after="0"/>
              <w:rPr>
                <w:sz w:val="24"/>
                <w:szCs w:val="24"/>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(24,928)</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(31,438)</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318,482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440"/>
          </w:cols>
          <w:pgMar w:left="1420" w:top="889" w:right="1380" w:bottom="182" w:gutter="0" w:footer="0" w:header="0"/>
        </w:sectPr>
      </w:pPr>
    </w:p>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440"/>
          </w:cols>
          <w:pgMar w:left="1420" w:top="889" w:right="1380" w:bottom="182"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9"/>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5"/>
        </w:trPr>
        <w:tc>
          <w:tcPr>
            <w:tcW w:w="6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9"/>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tc>
        <w:tc>
          <w:tcPr>
            <w:tcW w:w="0" w:type="dxa"/>
            <w:vAlign w:val="bottom"/>
          </w:tcPr>
          <w:p>
            <w:pPr>
              <w:spacing w:after="0"/>
              <w:rPr>
                <w:sz w:val="1"/>
                <w:szCs w:val="1"/>
                <w:color w:val="auto"/>
              </w:rPr>
            </w:pPr>
          </w:p>
        </w:tc>
      </w:tr>
      <w:tr>
        <w:trPr>
          <w:trHeight w:val="313"/>
        </w:trPr>
        <w:tc>
          <w:tcPr>
            <w:tcW w:w="6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Repayment of borrowings . . . . . . . . . . . . . . . . . . . . . . . . . . . . . . . . . . . . .</w:t>
            </w:r>
          </w:p>
        </w:tc>
        <w:tc>
          <w:tcPr>
            <w:tcW w:w="260" w:type="dxa"/>
            <w:vAlign w:val="bottom"/>
          </w:tcPr>
          <w:p>
            <w:pPr>
              <w:spacing w:after="0"/>
              <w:rPr>
                <w:sz w:val="22"/>
                <w:szCs w:val="22"/>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(224,250)</w:t>
            </w:r>
          </w:p>
        </w:tc>
        <w:tc>
          <w:tcPr>
            <w:tcW w:w="0" w:type="dxa"/>
            <w:vAlign w:val="bottom"/>
          </w:tcPr>
          <w:p>
            <w:pPr>
              <w:spacing w:after="0"/>
              <w:rPr>
                <w:sz w:val="1"/>
                <w:szCs w:val="1"/>
                <w:color w:val="auto"/>
              </w:rPr>
            </w:pPr>
          </w:p>
        </w:tc>
      </w:tr>
      <w:tr>
        <w:trPr>
          <w:trHeight w:val="255"/>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Proceeds from exercise of stock options . . . . . . . . . . . . . . . . . . . . . . . . .</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1,786</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4,279</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Acquisition of treasury stock . . . . . . . . . . . . . . . . . . . . . . . . . . . . . . . . . .</w:t>
            </w:r>
          </w:p>
        </w:tc>
        <w:tc>
          <w:tcPr>
            <w:tcW w:w="260" w:type="dxa"/>
            <w:vAlign w:val="bottom"/>
          </w:tcPr>
          <w:p>
            <w:pPr>
              <w:spacing w:after="0"/>
              <w:rPr>
                <w:sz w:val="22"/>
                <w:szCs w:val="22"/>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(13,960)</w:t>
            </w:r>
          </w:p>
        </w:tc>
        <w:tc>
          <w:tcPr>
            <w:tcW w:w="8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(1,653)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(1,125)</w:t>
            </w:r>
          </w:p>
        </w:tc>
        <w:tc>
          <w:tcPr>
            <w:tcW w:w="0" w:type="dxa"/>
            <w:vAlign w:val="bottom"/>
          </w:tcPr>
          <w:p>
            <w:pPr>
              <w:spacing w:after="0"/>
              <w:rPr>
                <w:sz w:val="1"/>
                <w:szCs w:val="1"/>
                <w:color w:val="auto"/>
              </w:rPr>
            </w:pPr>
          </w:p>
        </w:tc>
      </w:tr>
      <w:tr>
        <w:trPr>
          <w:trHeight w:val="255"/>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Acquisition of stock under accelerated stock repurchase agreement . . .</w:t>
            </w:r>
          </w:p>
        </w:tc>
        <w:tc>
          <w:tcPr>
            <w:tcW w:w="260" w:type="dxa"/>
            <w:vAlign w:val="bottom"/>
          </w:tcPr>
          <w:p>
            <w:pPr>
              <w:spacing w:after="0"/>
              <w:rPr>
                <w:sz w:val="22"/>
                <w:szCs w:val="22"/>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(20,073)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Payment under accelerated stock repurchase agreement . . . . . . . . . . . . .</w:t>
            </w:r>
          </w:p>
        </w:tc>
        <w:tc>
          <w:tcPr>
            <w:tcW w:w="260" w:type="dxa"/>
            <w:vAlign w:val="bottom"/>
          </w:tcPr>
          <w:p>
            <w:pPr>
              <w:spacing w:after="0"/>
              <w:rPr>
                <w:sz w:val="22"/>
                <w:szCs w:val="22"/>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(17,427)</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6180" w:type="dxa"/>
            <w:vAlign w:val="bottom"/>
          </w:tcPr>
          <w:p>
            <w:pPr>
              <w:jc w:val="right"/>
              <w:ind w:right="1100"/>
              <w:spacing w:after="0"/>
              <w:rPr>
                <w:sz w:val="20"/>
                <w:szCs w:val="20"/>
                <w:color w:val="auto"/>
              </w:rPr>
            </w:pPr>
            <w:r>
              <w:rPr>
                <w:rFonts w:ascii="Times New Roman" w:cs="Times New Roman" w:eastAsia="Times New Roman" w:hAnsi="Times New Roman"/>
                <w:sz w:val="20"/>
                <w:szCs w:val="20"/>
                <w:color w:val="auto"/>
              </w:rPr>
              <w:t>Repayment of financing related to water treatment facility</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arrangement . . . . . . . . . . . . . . . . . . . . . . . . . . . . . . . . . . . . . . . . . . . . . .</w:t>
            </w:r>
          </w:p>
        </w:tc>
        <w:tc>
          <w:tcPr>
            <w:tcW w:w="2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(500)</w:t>
            </w: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(563)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(546)</w:t>
            </w:r>
          </w:p>
        </w:tc>
        <w:tc>
          <w:tcPr>
            <w:tcW w:w="0" w:type="dxa"/>
            <w:vAlign w:val="bottom"/>
          </w:tcPr>
          <w:p>
            <w:pPr>
              <w:spacing w:after="0"/>
              <w:rPr>
                <w:sz w:val="1"/>
                <w:szCs w:val="1"/>
                <w:color w:val="auto"/>
              </w:rPr>
            </w:pPr>
          </w:p>
        </w:tc>
      </w:tr>
      <w:tr>
        <w:trPr>
          <w:trHeight w:val="253"/>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Others. . . . . . . . . . . . . . . . . . . . . . . . . . . . . . . . . . . . . . . . . . . . . . . . . . . . .</w:t>
            </w:r>
          </w:p>
        </w:tc>
        <w:tc>
          <w:tcPr>
            <w:tcW w:w="26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Net cash used in financing activities . . . . . . . . . . . . . . . . . . . . . . . . . . . . . .</w:t>
            </w:r>
          </w:p>
        </w:tc>
        <w:tc>
          <w:tcPr>
            <w:tcW w:w="26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(12,744)</w:t>
            </w:r>
          </w:p>
        </w:tc>
        <w:tc>
          <w:tcPr>
            <w:tcW w:w="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(35,544)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(222,281)</w:t>
            </w:r>
          </w:p>
        </w:tc>
        <w:tc>
          <w:tcPr>
            <w:tcW w:w="0" w:type="dxa"/>
            <w:vAlign w:val="bottom"/>
          </w:tcPr>
          <w:p>
            <w:pPr>
              <w:spacing w:after="0"/>
              <w:rPr>
                <w:sz w:val="1"/>
                <w:szCs w:val="1"/>
                <w:color w:val="auto"/>
              </w:rPr>
            </w:pPr>
          </w:p>
        </w:tc>
      </w:tr>
      <w:tr>
        <w:trPr>
          <w:trHeight w:val="253"/>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Effect of exchange rates on cash and cash equivalents . . . . . . . . . . . . . . . .</w:t>
            </w:r>
          </w:p>
        </w:tc>
        <w:tc>
          <w:tcPr>
            <w:tcW w:w="26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(21,563)</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(21,154)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Net increase (decrease) in cash and cash equivalents . . . . . . . . . . . . . . . . .</w:t>
            </w:r>
          </w:p>
        </w:tc>
        <w:tc>
          <w:tcPr>
            <w:tcW w:w="26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(54,070)</w:t>
            </w:r>
          </w:p>
        </w:tc>
        <w:tc>
          <w:tcPr>
            <w:tcW w:w="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(393)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128,283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Cash and cash equivalents at beginning of period. . . . . . . . . . . . . . . . . . . .</w:t>
            </w:r>
          </w:p>
        </w:tc>
        <w:tc>
          <w:tcPr>
            <w:tcW w:w="26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279,547</w:t>
            </w:r>
          </w:p>
        </w:tc>
        <w:tc>
          <w:tcPr>
            <w:tcW w:w="3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279,940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151,657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Cash and cash equivalents at end of period . . . . . . . . . . . . . . . . . . . . . . . . .</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225,477</w:t>
            </w:r>
          </w:p>
        </w:tc>
        <w:tc>
          <w:tcPr>
            <w:tcW w:w="3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279,547</w:t>
            </w:r>
          </w:p>
        </w:tc>
        <w:tc>
          <w:tcPr>
            <w:tcW w:w="2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279,940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Cash paid for interest . . . . . . . . . . . . . . . . . . . . . . . . . . . . . . . . . . . . . . . . . .</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2,094</w:t>
            </w:r>
          </w:p>
        </w:tc>
        <w:tc>
          <w:tcPr>
            <w:tcW w:w="2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Cash paid for income taxes. . . . . . . . . . . . . . . . . . . . . . . . . . . . . . . . . . . . . .</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18,988</w:t>
            </w:r>
          </w:p>
        </w:tc>
        <w:tc>
          <w:tcPr>
            <w:tcW w:w="36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12,672</w:t>
            </w:r>
          </w:p>
        </w:tc>
        <w:tc>
          <w:tcPr>
            <w:tcW w:w="2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Non-cash investing and financing activities</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Property, plant and equipment additions in other accounts payable . . . . . .</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36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2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Acquisition of treasury stock to satisfy the tax withholding obligations</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in connection with equity-based compensation . . . . . . . . . . . . . . . . . . . .</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3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w:t>
            </w:r>
          </w:p>
        </w:tc>
        <w:tc>
          <w:tcPr>
            <w:tcW w:w="2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Unsettled common stock repurchases . . . . . . . . . . . . . . . . . . . . . . . . . . . . . .</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36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6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Exchange of exchangeable senior notes into common stock . . . . . . . . . . .</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83,740</w:t>
            </w:r>
          </w:p>
        </w:tc>
        <w:tc>
          <w:tcPr>
            <w:tcW w:w="2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440"/>
          </w:cols>
          <w:pgMar w:left="1420" w:top="977" w:right="1380" w:bottom="182" w:gutter="0" w:footer="0" w:header="0"/>
        </w:sectPr>
      </w:pPr>
    </w:p>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440"/>
          </w:cols>
          <w:pgMar w:left="1420" w:top="977" w:right="1380" w:bottom="182"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33" w:lineRule="exact"/>
        <w:rPr>
          <w:sz w:val="20"/>
          <w:szCs w:val="20"/>
          <w:color w:val="auto"/>
        </w:rPr>
      </w:pPr>
    </w:p>
    <w:p>
      <w:pPr>
        <w:ind w:right="3360"/>
        <w:spacing w:after="0" w:line="352" w:lineRule="auto"/>
        <w:rPr>
          <w:sz w:val="20"/>
          <w:szCs w:val="20"/>
          <w:color w:val="auto"/>
        </w:rPr>
      </w:pPr>
      <w:r>
        <w:rPr>
          <w:rFonts w:ascii="Times New Roman" w:cs="Times New Roman" w:eastAsia="Times New Roman" w:hAnsi="Times New Roman"/>
          <w:sz w:val="20"/>
          <w:szCs w:val="20"/>
          <w:b w:val="1"/>
          <w:bCs w:val="1"/>
          <w:color w:val="auto"/>
        </w:rPr>
        <w:t xml:space="preserve">1. Business, Basis of Presentation and Significant Accounting Policies </w:t>
      </w:r>
      <w:r>
        <w:rPr>
          <w:rFonts w:ascii="Times New Roman" w:cs="Times New Roman" w:eastAsia="Times New Roman" w:hAnsi="Times New Roman"/>
          <w:sz w:val="20"/>
          <w:szCs w:val="20"/>
          <w:b w:val="1"/>
          <w:bCs w:val="1"/>
          <w:i w:val="1"/>
          <w:iCs w:val="1"/>
          <w:color w:val="auto"/>
        </w:rPr>
        <w:t>Business</w:t>
      </w:r>
    </w:p>
    <w:p>
      <w:pPr>
        <w:spacing w:after="0" w:line="13" w:lineRule="exact"/>
        <w:rPr>
          <w:sz w:val="20"/>
          <w:szCs w:val="20"/>
          <w:color w:val="auto"/>
        </w:rPr>
      </w:pPr>
    </w:p>
    <w:p>
      <w:pPr>
        <w:ind w:right="320" w:firstLine="400"/>
        <w:spacing w:after="0" w:line="245" w:lineRule="auto"/>
        <w:rPr>
          <w:sz w:val="20"/>
          <w:szCs w:val="20"/>
          <w:color w:val="auto"/>
        </w:rPr>
      </w:pPr>
      <w:r>
        <w:rPr>
          <w:rFonts w:ascii="Times New Roman" w:cs="Times New Roman" w:eastAsia="Times New Roman" w:hAnsi="Times New Roman"/>
          <w:sz w:val="20"/>
          <w:szCs w:val="20"/>
          <w:color w:val="auto"/>
        </w:rPr>
        <w:t>Magnachip Semiconductor Corporation (together with its subsidiaries, the ‘‘Company’’) is a designer and manufacturer of analog and mixed-signal semiconductor platform solutions for communications, Internet of Things (‘‘IoT’’) applications, consumer, computing, industrial and automotive applications.</w:t>
      </w:r>
    </w:p>
    <w:p>
      <w:pPr>
        <w:spacing w:after="0" w:line="136"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On September 1, 2020 (the ‘‘Closing Date’’), the Company completed the sale of the Company’s Foundry Services Group business and its fabrication facility located in Cheongju, Korea, known as ‘‘Fab 4’’ to Key Foundry Co., Ltd. (the ‘‘Buyer’’), a Korean corporation, in exchange for a purchase price equal to approximately $350.6 million in cash, pursuant to the terms of a business transfer agreement (the ‘‘Business Transfer Agreement’’) dated March 31, 2020 by and among the Company and Magnus Semiconductor, LLC, a Korean limited liability company (‘‘Magnus’’). The purchase price was paid in a combination of U.S. Dollars in the amount of $46.5 million and Korean Won in the amount of approximately KRW 360.6 billion. In addition to the purchase price, the Buyer assumed all severance liabilities relating to the transferred employees, which had a value of approximately $100 million. The Buyer is a wholly owned subsidiary of Magnus, which was established by Alchemist Capital Partners Korea Co., Ltd. and Credian Partners, Inc. On April 20, 2020, Magnus assigned, and the Buyer assumed, all rights and obligations of Magnus under the Business Transfer Agreement. This divestiture of the Foundry Services Group business and Fab 4 was made in connection with the Company’s strategic shift of its operational focus to its standard products business. The Foundry Services Group was historically a reportable segment. The Foundry Services Group business was classified as discontinued operations in the Company’s consolidated statements of operations and excluded from both continuing operations and segment results for the 2020 fiscal year. Accordingly, the Company has one reportable segment, its standard products business, together with transitional foundry services associated with its fabrication facility located in Gumi, Korea, known as ‘‘Fab 3,’’ that it expects to perform for the Buyer for a period of up to three years from the Closing Date (the ‘‘Transitional Fab 3 Foundry Services’’).</w:t>
      </w:r>
    </w:p>
    <w:p>
      <w:pPr>
        <w:spacing w:after="0" w:line="385"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auto"/>
        </w:rPr>
        <w:t>The Company’s standard products business includes its Display Solutions and Power Solutions business lines. The Company’s Display Solutions products provide panel display solutions to major suppliers of large and small rigid and flexible panel displays, and a wide range of applications including smartphones, TVs, automotive and IT applications such as monitors, notebook PCs, tablet PCs as well as AR/VRs. The Company’s Power Solutions products include discrete and integrated circuit solutions for power management in communications, consumer, computing, servers, automotive, and industrial applications.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consolidated financial statements are presented in accordance with U.S. GAAP.</w:t>
      </w:r>
    </w:p>
    <w:p>
      <w:pPr>
        <w:spacing w:after="0" w:line="140" w:lineRule="exact"/>
        <w:rPr>
          <w:sz w:val="20"/>
          <w:szCs w:val="20"/>
          <w:color w:val="auto"/>
        </w:rPr>
      </w:pPr>
    </w:p>
    <w:p>
      <w:pPr>
        <w:ind w:right="980" w:firstLine="400"/>
        <w:spacing w:after="0" w:line="239" w:lineRule="auto"/>
        <w:rPr>
          <w:sz w:val="20"/>
          <w:szCs w:val="20"/>
          <w:color w:val="auto"/>
        </w:rPr>
      </w:pPr>
      <w:r>
        <w:rPr>
          <w:rFonts w:ascii="Times New Roman" w:cs="Times New Roman" w:eastAsia="Times New Roman" w:hAnsi="Times New Roman"/>
          <w:sz w:val="20"/>
          <w:szCs w:val="20"/>
          <w:color w:val="auto"/>
        </w:rPr>
        <w:t>Significant accounting policies followed by the Company in the preparation of the accompanying consolidated financial statements are summarized below.</w:t>
      </w:r>
    </w:p>
    <w:p>
      <w:pPr>
        <w:spacing w:after="0" w:line="142"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auto"/>
        </w:rPr>
        <w:t>The consolidated statement of cash flows for the 2020 fiscal year has not been adjusted to separately disclose cash flows related to discontinued operations, but the material items in the operating and investing activities of the cash flow relating to discontinued operations for the same period are disclosed in Note 2. Unless otherwise stated, information in these notes to consolidated financial statements relates to the Company’s continuing operations and excludes the discontinued operations. See Note 2 ‘‘Discontinued Operations’’ for additional information.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120" w:lineRule="exact"/>
        <w:rPr>
          <w:sz w:val="20"/>
          <w:szCs w:val="20"/>
          <w:color w:val="auto"/>
        </w:rPr>
      </w:pPr>
    </w:p>
    <w:p>
      <w:pPr>
        <w:ind w:right="480" w:firstLine="400"/>
        <w:spacing w:after="0" w:line="239"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including its wholly-owned subsidiaries. All intercompany transactions and balances are eliminated in consolidation.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0" w:lineRule="exact"/>
        <w:rPr>
          <w:sz w:val="20"/>
          <w:szCs w:val="20"/>
          <w:color w:val="auto"/>
        </w:rPr>
      </w:pPr>
    </w:p>
    <w:p>
      <w:pPr>
        <w:ind w:right="620" w:firstLine="400"/>
        <w:spacing w:after="0" w:line="239" w:lineRule="auto"/>
        <w:rPr>
          <w:sz w:val="20"/>
          <w:szCs w:val="20"/>
          <w:color w:val="auto"/>
        </w:rPr>
      </w:pPr>
      <w:r>
        <w:rPr>
          <w:rFonts w:ascii="Times New Roman" w:cs="Times New Roman" w:eastAsia="Times New Roman" w:hAnsi="Times New Roman"/>
          <w:sz w:val="20"/>
          <w:szCs w:val="20"/>
          <w:color w:val="auto"/>
        </w:rPr>
        <w:t>The preparation of financial statements in accordance with U.S. GAAP requires management to make estimates and assumptions about future events. These estimates and the underlying assumptions affect the</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80"/>
          </w:cols>
          <w:pgMar w:left="1420" w:top="889" w:right="1440" w:bottom="182" w:gutter="0" w:footer="0" w:header="0"/>
          <w:type w:val="continuous"/>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right="20"/>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amounts of assets and liabilities reported, disclosures about contingent assets and liabilities, and reported amounts of revenue and expenses. Such estimates include the valuation of accounts receivable, inventories, stock-based compensation, property, plant and equipment, leases, other long-lived assets, long-term employee benefits, contingencies liabilities, estimated future cash flows and other assumptions used in long-lived asset impairment tests, and calculation of current and deferred income taxes and deferred tax valuation allowances, among others. Although these estimates and assumptions are based on management’s best knowledge of current events and actions that the Company may undertake in the future, actual results may be significantly different from the estimates. The Company assessed the impact of COVID-19 on the estimates and assumptions to the extent applicable, and determined that there was no material impact on the Company’s consolidated financial statements as of and for the years ended December 31, 2022, 2021 and 2020. However, the Company is not able to predict with certainty the future impact of COVID-19 on its estimates and assumptions due to the rapidly changing nature of the COVID-19 pandemic.</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Discontinued Operations</w:t>
      </w:r>
    </w:p>
    <w:p>
      <w:pPr>
        <w:spacing w:after="0" w:line="120"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The Company reports the results of operations of a business as discontinued operations if a disposal represents a strategic shift that has or will have a major effect on the Company’s operations and financial results when the business is sold and classified as held for sale, in accordance with the criteria of Accounting Standards Codification (‘‘ASC’’) 205, ‘‘Presentation of Financial Statements’’ (‘‘ASC 205’’) and ASC 360, ‘‘Property, Plant and Equipment’’ (‘‘ASC 360’’). The results of discontinued operations are reported in ‘‘Income from discontinued operations, net of tax’’ in the accompanying consolidated statements of operations for the year ended December 31, 2020 commencing in the period in which the business meets the criteria.</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w:t>
      </w:r>
    </w:p>
    <w:p>
      <w:pPr>
        <w:spacing w:after="0" w:line="120" w:lineRule="exact"/>
        <w:rPr>
          <w:sz w:val="20"/>
          <w:szCs w:val="20"/>
          <w:color w:val="auto"/>
        </w:rPr>
      </w:pPr>
    </w:p>
    <w:p>
      <w:pPr>
        <w:ind w:right="100" w:firstLine="400"/>
        <w:spacing w:after="0" w:line="249" w:lineRule="auto"/>
        <w:rPr>
          <w:sz w:val="20"/>
          <w:szCs w:val="20"/>
          <w:color w:val="auto"/>
        </w:rPr>
      </w:pPr>
      <w:r>
        <w:rPr>
          <w:rFonts w:ascii="Times New Roman" w:cs="Times New Roman" w:eastAsia="Times New Roman" w:hAnsi="Times New Roman"/>
          <w:sz w:val="20"/>
          <w:szCs w:val="20"/>
          <w:color w:val="auto"/>
        </w:rPr>
        <w:t>The Company has assessed in accordance with ASC 830, ‘‘Foreign Currency Matters’’ (‘‘ASC 830’’), the functional currency of each of its subsidiaries in Luxembourg and the Netherlands and has designated the U.S. dollar to be their respective functional currencies. The Korean Won is the functional currency for the Company’s Korean subsidiary, which is the primary operating subsidiary of the Company. The Company and its other subsidiaries are utilizing their local currencies as their functional currencies. The financial statements of the subsidiaries in functional currencies other than the U.S. dollar are translated into the U.S. dollar in accordance with ASC 830.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 included in the foreign currency translation adjustment account in accumulated other comprehensive income or loss of stockholders’ equity. Foreign currency translation gains or losses on transactions by the Company or its subsidiaries in a currency other than its or its subsidiaries’ functional currency are included in foreign currency loss, net in its statements of operations.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20" w:lineRule="exact"/>
        <w:rPr>
          <w:sz w:val="20"/>
          <w:szCs w:val="20"/>
          <w:color w:val="auto"/>
        </w:rPr>
      </w:pPr>
    </w:p>
    <w:p>
      <w:pPr>
        <w:ind w:right="140" w:firstLine="400"/>
        <w:spacing w:after="0" w:line="239" w:lineRule="auto"/>
        <w:rPr>
          <w:sz w:val="20"/>
          <w:szCs w:val="20"/>
          <w:color w:val="auto"/>
        </w:rPr>
      </w:pPr>
      <w:r>
        <w:rPr>
          <w:rFonts w:ascii="Times New Roman" w:cs="Times New Roman" w:eastAsia="Times New Roman" w:hAnsi="Times New Roman"/>
          <w:sz w:val="20"/>
          <w:szCs w:val="20"/>
          <w:color w:val="auto"/>
        </w:rPr>
        <w:t>Cash equivalents consist of highly liquid investments with an original maturity date of three months or less when purchased.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Reserves</w:t>
      </w:r>
    </w:p>
    <w:p>
      <w:pPr>
        <w:spacing w:after="0" w:line="120"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auto"/>
        </w:rPr>
        <w:t>The Company makes estimates of expected credit losses for the allowance for credit losses based upon its assessment of various factors, including historical collection experience, the age of the accounts receivable balances, current economic conditions, reasonable and supportable forecasts of future economic conditions, and other factors that may affect its ability to collect from customers. The Company also records an estimate for sales returns, included within accounts receivable, net, based on the historical experience of the amount of goods that will be returned and refunded or replaced.</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80"/>
          </w:cols>
          <w:pgMar w:left="1420" w:top="889" w:right="1440" w:bottom="182"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of Accounts Receivable</w:t>
      </w:r>
    </w:p>
    <w:p>
      <w:pPr>
        <w:spacing w:after="0" w:line="120"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auto"/>
        </w:rPr>
        <w:t>The Company accounts for transfers of financial assets under ASC 860, ‘‘Transfers and Servicing,’’ as either sales or financings.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accounted for as a financing. Financial assets that are treated as sales are removed from the Company’s accounts with any realized gain or loss reflected in earning during the period of sale.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120"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The Company evaluates the sufficiency of inventory reserves and takes into consideration historical usage, expected demand, anticipated sales price, new product development schedules, the effect new products might have on the sale of existing products, product age and other factors. Reserves are also established for excess inventory based on the Company’s current inventory levels and projected demand and its ability to sell those specific products. Situations that could cause these inventory reserves include a decline in business and economic conditions, decline in consumer confidence caused by changes in market conditions, sudden and significant decline in demand for the Company’s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41"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auto"/>
        </w:rPr>
        <w:t>In addition, as prescribed in ASC 330, ‘‘Inventory,’’ once a reserve is established for a particular item based on the Company’s assessment as described above, it is maintained until the related item is sold or scrapped as a new cost basis has been established that cannot subsequently be marked up. In addition, the cost of inventories is determined based on the normal capacity of the Company’s fabrication facility. In case the capacity utilization is lower than a certain level that management believes to be normal, the fixed overhead costs per production unit which exceeds those under normal capacity are charged to cost of sales rather than capitalized as inventories.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Advances to Suppliers</w:t>
      </w:r>
    </w:p>
    <w:p>
      <w:pPr>
        <w:spacing w:after="0" w:line="120" w:lineRule="exact"/>
        <w:rPr>
          <w:sz w:val="20"/>
          <w:szCs w:val="20"/>
          <w:color w:val="auto"/>
        </w:rPr>
      </w:pPr>
    </w:p>
    <w:p>
      <w:pPr>
        <w:ind w:right="480" w:firstLine="400"/>
        <w:spacing w:after="0" w:line="239" w:lineRule="auto"/>
        <w:rPr>
          <w:sz w:val="20"/>
          <w:szCs w:val="20"/>
          <w:color w:val="auto"/>
        </w:rPr>
      </w:pPr>
      <w:r>
        <w:rPr>
          <w:rFonts w:ascii="Times New Roman" w:cs="Times New Roman" w:eastAsia="Times New Roman" w:hAnsi="Times New Roman"/>
          <w:sz w:val="20"/>
          <w:szCs w:val="20"/>
          <w:color w:val="auto"/>
        </w:rPr>
        <w:t>The Company, from time to time, may make advances in form of prepayments or deposits to suppliers, including external foundries, to meet its planned production. The Company recorded advances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$6,605 thousand and $1,708 thousand as other current assets as of December 31, 2022 and 2021, respectively.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w:t>
      </w:r>
    </w:p>
    <w:p>
      <w:pPr>
        <w:spacing w:after="0" w:line="120" w:lineRule="exact"/>
        <w:rPr>
          <w:sz w:val="20"/>
          <w:szCs w:val="20"/>
          <w:color w:val="auto"/>
        </w:rPr>
      </w:pPr>
    </w:p>
    <w:p>
      <w:pPr>
        <w:ind w:right="320" w:firstLine="400"/>
        <w:spacing w:after="0" w:line="239" w:lineRule="auto"/>
        <w:rPr>
          <w:sz w:val="20"/>
          <w:szCs w:val="20"/>
          <w:color w:val="auto"/>
        </w:rPr>
      </w:pPr>
      <w:r>
        <w:rPr>
          <w:rFonts w:ascii="Times New Roman" w:cs="Times New Roman" w:eastAsia="Times New Roman" w:hAnsi="Times New Roman"/>
          <w:sz w:val="20"/>
          <w:szCs w:val="20"/>
          <w:color w:val="auto"/>
        </w:rPr>
        <w:t>Property, plant and equipment are stated at cost, less accumulated depreciation. Depreciation is computed using the straight-line method over the estimated useful lives of the assets as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Buildings . . . . . . . . . . . . . . . . . . . . . . . . . . . . . . . . . . . . . . . . . . . . . . . . . . . . . . . . . . . . . . . . . . . . . . .</w:t>
            </w:r>
          </w:p>
        </w:tc>
        <w:tc>
          <w:tcPr>
            <w:tcW w:w="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- 40</w:t>
            </w:r>
          </w:p>
        </w:tc>
        <w:tc>
          <w:tcPr>
            <w:tcW w:w="4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4"/>
              </w:rPr>
              <w:t>years</w:t>
            </w:r>
          </w:p>
        </w:tc>
      </w:tr>
      <w:tr>
        <w:trPr>
          <w:trHeight w:val="255"/>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Building related structures. . . . . . . . . . . . . . . . . . . . . . . . . . . . . . . . . . . . . . . . . . . . . . . . . . . . . . . . . .</w:t>
            </w:r>
          </w:p>
        </w:tc>
        <w:tc>
          <w:tcPr>
            <w:tcW w:w="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- 20</w:t>
            </w:r>
          </w:p>
        </w:tc>
        <w:tc>
          <w:tcPr>
            <w:tcW w:w="4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4"/>
              </w:rPr>
              <w:t>years</w:t>
            </w:r>
          </w:p>
        </w:tc>
      </w:tr>
      <w:tr>
        <w:trPr>
          <w:trHeight w:val="255"/>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Machinery and equipment . . . . . . . . . . . . . . . . . . . . . . . . . . . . . . . . . . . . . . . . . . . . . . . . . . . . . . . . . .</w:t>
            </w: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10 - 12 years</w:t>
            </w:r>
          </w:p>
        </w:tc>
      </w:tr>
      <w:tr>
        <w:trPr>
          <w:trHeight w:val="255"/>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Others . . . . . . . . . . . . . . . . . . . . . . . . . . . . . . . . . . . . . . . . . . . . . . . . . . . . . . . . . . . . . . . . . . . . . . . . . .</w:t>
            </w:r>
          </w:p>
        </w:tc>
        <w:tc>
          <w:tcPr>
            <w:tcW w:w="12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3 - 10 years</w:t>
            </w:r>
          </w:p>
        </w:tc>
      </w:tr>
    </w:tbl>
    <w:p>
      <w:pPr>
        <w:spacing w:after="0" w:line="155" w:lineRule="exact"/>
        <w:rPr>
          <w:sz w:val="20"/>
          <w:szCs w:val="20"/>
          <w:color w:val="auto"/>
        </w:rPr>
      </w:pPr>
    </w:p>
    <w:p>
      <w:pPr>
        <w:ind w:right="80" w:firstLine="400"/>
        <w:spacing w:after="0" w:line="239" w:lineRule="auto"/>
        <w:rPr>
          <w:sz w:val="20"/>
          <w:szCs w:val="20"/>
          <w:color w:val="auto"/>
        </w:rPr>
      </w:pPr>
      <w:r>
        <w:rPr>
          <w:rFonts w:ascii="Times New Roman" w:cs="Times New Roman" w:eastAsia="Times New Roman" w:hAnsi="Times New Roman"/>
          <w:sz w:val="20"/>
          <w:szCs w:val="20"/>
          <w:color w:val="auto"/>
        </w:rPr>
        <w:t>Routine maintenance and repairs are charged to expense as incurred. Expenditures that enhance the value or significantly extend the useful lives of the related assets are capitalized.</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80"/>
          </w:cols>
          <w:pgMar w:left="1420" w:top="889" w:right="1440" w:bottom="182"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20" w:lineRule="exact"/>
        <w:rPr>
          <w:sz w:val="20"/>
          <w:szCs w:val="20"/>
          <w:color w:val="auto"/>
        </w:rPr>
      </w:pPr>
    </w:p>
    <w:p>
      <w:pPr>
        <w:ind w:right="120" w:firstLine="400"/>
        <w:spacing w:after="0" w:line="248" w:lineRule="auto"/>
        <w:rPr>
          <w:sz w:val="20"/>
          <w:szCs w:val="20"/>
          <w:color w:val="auto"/>
        </w:rPr>
      </w:pPr>
      <w:r>
        <w:rPr>
          <w:rFonts w:ascii="Times New Roman" w:cs="Times New Roman" w:eastAsia="Times New Roman" w:hAnsi="Times New Roman"/>
          <w:sz w:val="20"/>
          <w:szCs w:val="20"/>
          <w:color w:val="auto"/>
        </w:rPr>
        <w:t>The Company reviews property, plant and equipment and other long-lived assets for impairment whenever events or changes in circumstances indicate that the carrying amount may not be recoverable in accordance with ASC 360, ‘‘Property, Plant and Equipment.’’ Recoverability is measured by comparing its carrying amount with the future net undiscounted cash flows the assets are expected to generate. If such 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20"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of a contract considering whether the arrangement conveys the right to control the use of an identified asset over the period of use. Control of an underlying asset is conveyed if the Company has the right to direct the use of, and to obtain substantially all of the economic benefits from the use of, the identified asset. The Company accounts for lease transactions as either an operating or a finance lease, depending on the terms of the underlying lease arrangement. Assets related to operating leases are recorded on the balance sheet as operating lease right-of-use assets; the related liabilities are recorded as operating lease liabilities for the current portion and non-current operating lease liabilities for the non-current portion. Finance lease right-of-use assets are included in property, plant and equipment, net and the related lease liabilities are included in other current liabilities and other non-current liabilities on the consolidated balance sheets.</w:t>
      </w:r>
    </w:p>
    <w:p>
      <w:pPr>
        <w:spacing w:after="0" w:line="373" w:lineRule="exact"/>
        <w:rPr>
          <w:sz w:val="20"/>
          <w:szCs w:val="20"/>
          <w:color w:val="auto"/>
        </w:rPr>
      </w:pPr>
    </w:p>
    <w:p>
      <w:pPr>
        <w:ind w:right="80" w:firstLine="400"/>
        <w:spacing w:after="0" w:line="249" w:lineRule="auto"/>
        <w:rPr>
          <w:sz w:val="20"/>
          <w:szCs w:val="20"/>
          <w:color w:val="auto"/>
        </w:rPr>
      </w:pPr>
      <w:r>
        <w:rPr>
          <w:rFonts w:ascii="Times New Roman" w:cs="Times New Roman" w:eastAsia="Times New Roman" w:hAnsi="Times New Roman"/>
          <w:sz w:val="20"/>
          <w:szCs w:val="20"/>
          <w:color w:val="auto"/>
        </w:rPr>
        <w:t>Right-of-use assets represent the Company’s right to use an underlying asset during the lease term and lease liabilities represent the Company’s obligation to make lease payments arising from the lease. Right-of-use assets and liabilities are recognized based on the present value of the future minimum lease payments over the lease term. As most of the Company’s leases do not provide a readily determinable implicit rate, the Company estimates its incremental borrowing rates in determining the present value of future payments based on the lease term of each lease and market information available at commencement date. Finance lease right-of-use assets are amortized on a straight-line basis over the respective lease term with the interest expense on the lease liability recorded using the interest method. The amortization and interest expense are recorded separately in the consolidated statements of operations. Amortization of operating lease right-of-use assets and interest expense on operating lease liabilities are recognized on a straight-line basis over the respective lease term.</w:t>
      </w:r>
    </w:p>
    <w:p>
      <w:pPr>
        <w:spacing w:after="0" w:line="134" w:lineRule="exact"/>
        <w:rPr>
          <w:sz w:val="20"/>
          <w:szCs w:val="20"/>
          <w:color w:val="auto"/>
        </w:rPr>
      </w:pPr>
    </w:p>
    <w:p>
      <w:pPr>
        <w:ind w:right="240" w:firstLine="400"/>
        <w:spacing w:after="0" w:line="248" w:lineRule="auto"/>
        <w:rPr>
          <w:sz w:val="20"/>
          <w:szCs w:val="20"/>
          <w:color w:val="auto"/>
        </w:rPr>
      </w:pPr>
      <w:r>
        <w:rPr>
          <w:rFonts w:ascii="Times New Roman" w:cs="Times New Roman" w:eastAsia="Times New Roman" w:hAnsi="Times New Roman"/>
          <w:sz w:val="20"/>
          <w:szCs w:val="20"/>
          <w:color w:val="auto"/>
        </w:rPr>
        <w:t>An extension or contraction of a lease term is considered if the related option to extend or early terminate the lease is reasonably certain to be exercised by the Company. Operating lease right-of-use assets may also include any advance lease payments made and exclude lease incentives and initial direct costs incurred. The Company has lease agreements with lease and non-lease components, which are generally accounted for separately. For certain equipment leases, lease and non-lease components are accounted for as a single lease component.</w:t>
      </w:r>
    </w:p>
    <w:p>
      <w:pPr>
        <w:spacing w:after="0" w:line="372" w:lineRule="exact"/>
        <w:rPr>
          <w:sz w:val="20"/>
          <w:szCs w:val="20"/>
          <w:color w:val="auto"/>
        </w:rPr>
      </w:pPr>
    </w:p>
    <w:p>
      <w:pPr>
        <w:ind w:right="620" w:firstLine="400"/>
        <w:spacing w:after="0" w:line="245" w:lineRule="auto"/>
        <w:rPr>
          <w:sz w:val="20"/>
          <w:szCs w:val="20"/>
          <w:color w:val="auto"/>
        </w:rPr>
      </w:pPr>
      <w:r>
        <w:rPr>
          <w:rFonts w:ascii="Times New Roman" w:cs="Times New Roman" w:eastAsia="Times New Roman" w:hAnsi="Times New Roman"/>
          <w:sz w:val="20"/>
          <w:szCs w:val="20"/>
          <w:color w:val="auto"/>
        </w:rPr>
        <w:t>Variable lease payment amounts that cannot be determined at the commencement of the lease such as increases in lease payments based on changes in index rates are not included in the right-of-use assets or liabilities. These variable lease payments are expensed as incurred.</w:t>
      </w:r>
    </w:p>
    <w:p>
      <w:pPr>
        <w:spacing w:after="0" w:line="136" w:lineRule="exact"/>
        <w:rPr>
          <w:sz w:val="20"/>
          <w:szCs w:val="20"/>
          <w:color w:val="auto"/>
        </w:rPr>
      </w:pPr>
    </w:p>
    <w:p>
      <w:pPr>
        <w:ind w:right="120" w:firstLine="400"/>
        <w:spacing w:after="0" w:line="245" w:lineRule="auto"/>
        <w:rPr>
          <w:sz w:val="20"/>
          <w:szCs w:val="20"/>
          <w:color w:val="auto"/>
        </w:rPr>
      </w:pPr>
      <w:r>
        <w:rPr>
          <w:rFonts w:ascii="Times New Roman" w:cs="Times New Roman" w:eastAsia="Times New Roman" w:hAnsi="Times New Roman"/>
          <w:sz w:val="20"/>
          <w:szCs w:val="20"/>
          <w:color w:val="auto"/>
        </w:rPr>
        <w:t>The Company does not recognize operating lease right-of-use assets and operating lease liabilities that arise from short-term leases but rather recognizes fixed lease payments in the statements of operations on a straight-line basis and variable payments in the period in which the related obligations incur.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120" w:lineRule="exact"/>
        <w:rPr>
          <w:sz w:val="20"/>
          <w:szCs w:val="20"/>
          <w:color w:val="auto"/>
        </w:rPr>
      </w:pPr>
    </w:p>
    <w:p>
      <w:pPr>
        <w:ind w:right="240" w:firstLine="400"/>
        <w:spacing w:after="0" w:line="239" w:lineRule="auto"/>
        <w:rPr>
          <w:sz w:val="20"/>
          <w:szCs w:val="20"/>
          <w:color w:val="auto"/>
        </w:rPr>
      </w:pPr>
      <w:r>
        <w:rPr>
          <w:rFonts w:ascii="Times New Roman" w:cs="Times New Roman" w:eastAsia="Times New Roman" w:hAnsi="Times New Roman"/>
          <w:sz w:val="20"/>
          <w:szCs w:val="20"/>
          <w:color w:val="auto"/>
        </w:rPr>
        <w:t>Intellectual property assets acquired represent rights under patents, trademarks and property use rights and are amortized over their respective periods of benefit, ranging up to ten years, on a straight-line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Disclosures of Financial Instruments</w:t>
      </w:r>
    </w:p>
    <w:p>
      <w:pPr>
        <w:spacing w:after="0" w:line="120" w:lineRule="exact"/>
        <w:rPr>
          <w:sz w:val="20"/>
          <w:szCs w:val="20"/>
          <w:color w:val="auto"/>
        </w:rPr>
      </w:pPr>
    </w:p>
    <w:p>
      <w:pPr>
        <w:ind w:right="200" w:firstLine="400"/>
        <w:spacing w:after="0" w:line="239" w:lineRule="auto"/>
        <w:rPr>
          <w:sz w:val="20"/>
          <w:szCs w:val="20"/>
          <w:color w:val="auto"/>
        </w:rPr>
      </w:pPr>
      <w:r>
        <w:rPr>
          <w:rFonts w:ascii="Times New Roman" w:cs="Times New Roman" w:eastAsia="Times New Roman" w:hAnsi="Times New Roman"/>
          <w:sz w:val="20"/>
          <w:szCs w:val="20"/>
          <w:color w:val="auto"/>
        </w:rPr>
        <w:t>The Company follows ASC 820, ‘‘Fair Value Measurements and Disclosures’’ (‘‘ASC 820’’) for measurement and disclosures about fair value of its financial instruments. ASC 820 establishes a framework for</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80"/>
          </w:cols>
          <w:pgMar w:left="1420" w:top="889" w:right="1440" w:bottom="182" w:gutter="0" w:footer="0" w:header="0"/>
          <w:type w:val="continuous"/>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right="20"/>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420"/>
        <w:spacing w:after="0" w:line="248" w:lineRule="auto"/>
        <w:rPr>
          <w:sz w:val="20"/>
          <w:szCs w:val="20"/>
          <w:color w:val="auto"/>
        </w:rPr>
      </w:pPr>
      <w:r>
        <w:rPr>
          <w:rFonts w:ascii="Times New Roman" w:cs="Times New Roman" w:eastAsia="Times New Roman" w:hAnsi="Times New Roman"/>
          <w:sz w:val="20"/>
          <w:szCs w:val="20"/>
          <w:color w:val="auto"/>
        </w:rPr>
        <w:t>measuring fair value in U.S.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identical assets or liabilities and the lowest priority to unobservable inputs. The three levels of fair value hierarchy defined by ASC 820 are:</w:t>
      </w:r>
    </w:p>
    <w:p>
      <w:pPr>
        <w:spacing w:after="0" w:line="134" w:lineRule="exact"/>
        <w:rPr>
          <w:sz w:val="20"/>
          <w:szCs w:val="20"/>
          <w:color w:val="auto"/>
        </w:rPr>
      </w:pPr>
    </w:p>
    <w:p>
      <w:pPr>
        <w:ind w:left="400" w:right="580"/>
        <w:spacing w:after="0" w:line="239" w:lineRule="auto"/>
        <w:rPr>
          <w:sz w:val="20"/>
          <w:szCs w:val="20"/>
          <w:color w:val="auto"/>
        </w:rPr>
      </w:pPr>
      <w:r>
        <w:rPr>
          <w:rFonts w:ascii="Times New Roman" w:cs="Times New Roman" w:eastAsia="Times New Roman" w:hAnsi="Times New Roman"/>
          <w:sz w:val="20"/>
          <w:szCs w:val="20"/>
          <w:color w:val="auto"/>
        </w:rPr>
        <w:t>Level 1—Inputs are unadjusted, quoted prices in active markets for identical assets or liabilities at the measurement date.</w:t>
      </w:r>
    </w:p>
    <w:p>
      <w:pPr>
        <w:spacing w:after="0" w:line="142" w:lineRule="exact"/>
        <w:rPr>
          <w:sz w:val="20"/>
          <w:szCs w:val="20"/>
          <w:color w:val="auto"/>
        </w:rPr>
      </w:pPr>
    </w:p>
    <w:p>
      <w:pPr>
        <w:ind w:left="400" w:right="40"/>
        <w:spacing w:after="0" w:line="245" w:lineRule="auto"/>
        <w:rPr>
          <w:sz w:val="20"/>
          <w:szCs w:val="20"/>
          <w:color w:val="auto"/>
        </w:rPr>
      </w:pPr>
      <w:r>
        <w:rPr>
          <w:rFonts w:ascii="Times New Roman" w:cs="Times New Roman" w:eastAsia="Times New Roman" w:hAnsi="Times New Roman"/>
          <w:sz w:val="20"/>
          <w:szCs w:val="20"/>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36" w:lineRule="exact"/>
        <w:rPr>
          <w:sz w:val="20"/>
          <w:szCs w:val="20"/>
          <w:color w:val="auto"/>
        </w:rPr>
      </w:pPr>
    </w:p>
    <w:p>
      <w:pPr>
        <w:ind w:left="400" w:right="280"/>
        <w:spacing w:after="0" w:line="247" w:lineRule="auto"/>
        <w:rPr>
          <w:sz w:val="20"/>
          <w:szCs w:val="20"/>
          <w:color w:val="auto"/>
        </w:rPr>
      </w:pPr>
      <w:r>
        <w:rPr>
          <w:rFonts w:ascii="Times New Roman" w:cs="Times New Roman" w:eastAsia="Times New Roman" w:hAnsi="Times New Roman"/>
          <w:sz w:val="20"/>
          <w:szCs w:val="20"/>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137"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equivalents, accounts receivable, other receivables, accounts payable and other accounts payable approximate their fair values because of the short maturity of these instruments.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Severance Benefits</w:t>
      </w:r>
    </w:p>
    <w:p>
      <w:pPr>
        <w:spacing w:after="0" w:line="120" w:lineRule="exact"/>
        <w:rPr>
          <w:sz w:val="20"/>
          <w:szCs w:val="20"/>
          <w:color w:val="auto"/>
        </w:rPr>
      </w:pPr>
    </w:p>
    <w:p>
      <w:pPr>
        <w:ind w:right="60" w:firstLine="400"/>
        <w:spacing w:after="0" w:line="247" w:lineRule="auto"/>
        <w:rPr>
          <w:sz w:val="20"/>
          <w:szCs w:val="20"/>
          <w:color w:val="auto"/>
        </w:rPr>
      </w:pPr>
      <w:r>
        <w:rPr>
          <w:rFonts w:ascii="Times New Roman" w:cs="Times New Roman" w:eastAsia="Times New Roman" w:hAnsi="Times New Roman"/>
          <w:sz w:val="20"/>
          <w:szCs w:val="20"/>
          <w:color w:val="auto"/>
        </w:rPr>
        <w:t>The majority of accrued severance benefits are for employees in the Company’s Korean subsidiary, Magnachip Semiconductor, Ltd. Pursuant to Employee Retirement Benefit Security Act of Korea, eligible employees and executive officers with one or more years of service are entitled to severance benefits upon the termination of their employment based on their length of service and rate of pay. As of December 31, 2022, 97% of all employees of the Company were eligible for severance benefits.</w:t>
      </w:r>
    </w:p>
    <w:p>
      <w:pPr>
        <w:spacing w:after="0" w:line="137" w:lineRule="exact"/>
        <w:rPr>
          <w:sz w:val="20"/>
          <w:szCs w:val="20"/>
          <w:color w:val="auto"/>
        </w:rPr>
      </w:pPr>
    </w:p>
    <w:p>
      <w:pPr>
        <w:ind w:right="140" w:firstLine="400"/>
        <w:spacing w:after="0" w:line="247" w:lineRule="auto"/>
        <w:rPr>
          <w:sz w:val="20"/>
          <w:szCs w:val="20"/>
          <w:color w:val="auto"/>
        </w:rPr>
      </w:pPr>
      <w:r>
        <w:rPr>
          <w:rFonts w:ascii="Times New Roman" w:cs="Times New Roman" w:eastAsia="Times New Roman" w:hAnsi="Times New Roman"/>
          <w:sz w:val="20"/>
          <w:szCs w:val="20"/>
          <w:color w:val="auto"/>
        </w:rPr>
        <w:t>Beginning in July 2018, the Company began contributing to certain severance insurance deposit accounts a percentage of severance benefits, which may be adjusted from time to time, accrued for eligible employees for their services beginning January 1, 2018 pursuant to Employee Retirement Benefit Security Act of Korea. These accounts consist of time deposits and other guaranteed principal and interest accounts, and are maintained at insurance companies, banks or security companies for the benefit of the Company’s employees.</w:t>
      </w:r>
    </w:p>
    <w:p>
      <w:pPr>
        <w:spacing w:after="0" w:line="137" w:lineRule="exact"/>
        <w:rPr>
          <w:sz w:val="20"/>
          <w:szCs w:val="20"/>
          <w:color w:val="auto"/>
        </w:rPr>
      </w:pPr>
    </w:p>
    <w:p>
      <w:pPr>
        <w:ind w:right="480" w:firstLine="400"/>
        <w:spacing w:after="0" w:line="239" w:lineRule="auto"/>
        <w:rPr>
          <w:sz w:val="20"/>
          <w:szCs w:val="20"/>
          <w:color w:val="auto"/>
        </w:rPr>
      </w:pPr>
      <w:r>
        <w:rPr>
          <w:rFonts w:ascii="Times New Roman" w:cs="Times New Roman" w:eastAsia="Times New Roman" w:hAnsi="Times New Roman"/>
          <w:sz w:val="20"/>
          <w:szCs w:val="20"/>
          <w:color w:val="auto"/>
        </w:rPr>
        <w:t>Accrued severance benefits were partly funded through a group severance insurance plan. The amounts funded under this insurance plan were classified as a reduction of the accrued severance benefits.</w:t>
      </w:r>
    </w:p>
    <w:p>
      <w:pPr>
        <w:spacing w:after="0" w:line="142" w:lineRule="exact"/>
        <w:rPr>
          <w:sz w:val="20"/>
          <w:szCs w:val="20"/>
          <w:color w:val="auto"/>
        </w:rPr>
      </w:pPr>
    </w:p>
    <w:p>
      <w:pPr>
        <w:ind w:right="380" w:firstLine="400"/>
        <w:spacing w:after="0" w:line="245" w:lineRule="auto"/>
        <w:rPr>
          <w:sz w:val="20"/>
          <w:szCs w:val="20"/>
          <w:color w:val="auto"/>
        </w:rPr>
      </w:pPr>
      <w:r>
        <w:rPr>
          <w:rFonts w:ascii="Times New Roman" w:cs="Times New Roman" w:eastAsia="Times New Roman" w:hAnsi="Times New Roman"/>
          <w:sz w:val="20"/>
          <w:szCs w:val="20"/>
          <w:color w:val="auto"/>
        </w:rPr>
        <w:t>In accordance with the National Pension Act of the Republic of Korea, a certain portion of accrued severance benefits was deposited with the National Pension Fund and deducted from the accrued severance benefits. The contributed amount is paid to employees from the National Pension Fund upon their retirement.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20" w:lineRule="exact"/>
        <w:rPr>
          <w:sz w:val="20"/>
          <w:szCs w:val="20"/>
          <w:color w:val="auto"/>
        </w:rPr>
      </w:pPr>
    </w:p>
    <w:p>
      <w:pPr>
        <w:jc w:val="both"/>
        <w:ind w:right="100" w:firstLine="400"/>
        <w:spacing w:after="0" w:line="245" w:lineRule="auto"/>
        <w:rPr>
          <w:sz w:val="20"/>
          <w:szCs w:val="20"/>
          <w:color w:val="auto"/>
        </w:rPr>
      </w:pPr>
      <w:r>
        <w:rPr>
          <w:rFonts w:ascii="Times New Roman" w:cs="Times New Roman" w:eastAsia="Times New Roman" w:hAnsi="Times New Roman"/>
          <w:sz w:val="20"/>
          <w:szCs w:val="20"/>
          <w:color w:val="auto"/>
        </w:rPr>
        <w:t>The Company recognizes revenue when it satisfies the performance obligation of transferring control over a product or service to a customer. Revenue is measured based on the consideration specified in a contract with a customer, which consideration is paid in exchange for a product or service.</w:t>
      </w:r>
    </w:p>
    <w:p>
      <w:pPr>
        <w:spacing w:after="0" w:line="136" w:lineRule="exact"/>
        <w:rPr>
          <w:sz w:val="20"/>
          <w:szCs w:val="20"/>
          <w:color w:val="auto"/>
        </w:rPr>
      </w:pPr>
    </w:p>
    <w:p>
      <w:pPr>
        <w:ind w:right="40" w:firstLine="400"/>
        <w:spacing w:after="0" w:line="239" w:lineRule="auto"/>
        <w:rPr>
          <w:sz w:val="20"/>
          <w:szCs w:val="20"/>
          <w:color w:val="auto"/>
        </w:rPr>
      </w:pPr>
      <w:r>
        <w:rPr>
          <w:rFonts w:ascii="Times New Roman" w:cs="Times New Roman" w:eastAsia="Times New Roman" w:hAnsi="Times New Roman"/>
          <w:sz w:val="20"/>
          <w:szCs w:val="20"/>
          <w:color w:val="auto"/>
        </w:rPr>
        <w:t>The Company sells products manufactured based on the Company’s design. The Company’s products are either standardized with an alternative use or the Company does not have an enforceable right to payment for the</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80"/>
          </w:cols>
          <w:pgMar w:left="1420" w:top="889" w:right="1440" w:bottom="182"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20"/>
          <w:szCs w:val="20"/>
          <w:color w:val="auto"/>
        </w:rPr>
        <w:t>related manufacturing services completed to date. Therefore, revenue for the products is recognized when a customer obtains control of the product, which is generally upon product shipment, delivery at the customer’s location or upon customer acceptance, depending on the terms of the arrangement.</w:t>
      </w:r>
    </w:p>
    <w:p>
      <w:pPr>
        <w:spacing w:after="0" w:line="136" w:lineRule="exact"/>
        <w:rPr>
          <w:sz w:val="20"/>
          <w:szCs w:val="20"/>
          <w:color w:val="auto"/>
        </w:rPr>
      </w:pPr>
    </w:p>
    <w:p>
      <w:pPr>
        <w:jc w:val="both"/>
        <w:ind w:right="120" w:firstLine="400"/>
        <w:spacing w:after="0" w:line="246" w:lineRule="auto"/>
        <w:rPr>
          <w:sz w:val="20"/>
          <w:szCs w:val="20"/>
          <w:color w:val="auto"/>
        </w:rPr>
      </w:pPr>
      <w:r>
        <w:rPr>
          <w:rFonts w:ascii="Times New Roman" w:cs="Times New Roman" w:eastAsia="Times New Roman" w:hAnsi="Times New Roman"/>
          <w:sz w:val="20"/>
          <w:szCs w:val="20"/>
          <w:color w:val="auto"/>
        </w:rPr>
        <w:t>In accordance with revenue recognition guidance, any tax assessed by a governmental authority that is both imposed on and concurrent with a specific revenue-producing transaction, and that is collected by the Company from a customer, is excluded from revenue and related revenue is presented in the statements of operations on a net basis.</w:t>
      </w:r>
    </w:p>
    <w:p>
      <w:pPr>
        <w:spacing w:after="0" w:line="137" w:lineRule="exact"/>
        <w:rPr>
          <w:sz w:val="20"/>
          <w:szCs w:val="20"/>
          <w:color w:val="auto"/>
        </w:rPr>
      </w:pPr>
    </w:p>
    <w:p>
      <w:pPr>
        <w:ind w:right="380" w:firstLine="400"/>
        <w:spacing w:after="0" w:line="245" w:lineRule="auto"/>
        <w:rPr>
          <w:sz w:val="20"/>
          <w:szCs w:val="20"/>
          <w:color w:val="auto"/>
        </w:rPr>
      </w:pPr>
      <w:r>
        <w:rPr>
          <w:rFonts w:ascii="Times New Roman" w:cs="Times New Roman" w:eastAsia="Times New Roman" w:hAnsi="Times New Roman"/>
          <w:sz w:val="20"/>
          <w:szCs w:val="20"/>
          <w:color w:val="auto"/>
        </w:rPr>
        <w:t>The Company provides warranties under which customers can return defective products. The Company estimates the costs related to warranty claims and repair or replacements, and records them as components of cost of sales.</w:t>
      </w:r>
    </w:p>
    <w:p>
      <w:pPr>
        <w:spacing w:after="0" w:line="136" w:lineRule="exact"/>
        <w:rPr>
          <w:sz w:val="20"/>
          <w:szCs w:val="20"/>
          <w:color w:val="auto"/>
        </w:rPr>
      </w:pPr>
    </w:p>
    <w:p>
      <w:pPr>
        <w:ind w:right="320" w:firstLine="400"/>
        <w:spacing w:after="0" w:line="247" w:lineRule="auto"/>
        <w:rPr>
          <w:sz w:val="20"/>
          <w:szCs w:val="20"/>
          <w:color w:val="auto"/>
        </w:rPr>
      </w:pPr>
      <w:r>
        <w:rPr>
          <w:rFonts w:ascii="Times New Roman" w:cs="Times New Roman" w:eastAsia="Times New Roman" w:hAnsi="Times New Roman"/>
          <w:sz w:val="20"/>
          <w:szCs w:val="20"/>
          <w:color w:val="auto"/>
        </w:rPr>
        <w:t>In addition, the Company offers sales returns (other than those that relate to defective products under warranty), cash discounts for early payments and sales incentives, and certain allowances to the Company’s customers, including the Company’s distributors. The Company records reserves for those returns, discounts, incentives and allowances as a deduction from sales, based on historical experience and other quantitative and qualitative factors.</w:t>
      </w:r>
    </w:p>
    <w:p>
      <w:pPr>
        <w:spacing w:after="0" w:line="137" w:lineRule="exact"/>
        <w:rPr>
          <w:sz w:val="20"/>
          <w:szCs w:val="20"/>
          <w:color w:val="auto"/>
        </w:rPr>
      </w:pPr>
    </w:p>
    <w:p>
      <w:pPr>
        <w:jc w:val="both"/>
        <w:ind w:right="260" w:firstLine="400"/>
        <w:spacing w:after="0" w:line="245" w:lineRule="auto"/>
        <w:rPr>
          <w:sz w:val="20"/>
          <w:szCs w:val="20"/>
          <w:color w:val="auto"/>
        </w:rPr>
      </w:pPr>
      <w:r>
        <w:rPr>
          <w:rFonts w:ascii="Times New Roman" w:cs="Times New Roman" w:eastAsia="Times New Roman" w:hAnsi="Times New Roman"/>
          <w:sz w:val="20"/>
          <w:szCs w:val="20"/>
          <w:color w:val="auto"/>
        </w:rPr>
        <w:t>Substantially all of the Company’s contracts are one year or less in duration. The standard payment terms with customers are generally thirty to sixty days from the time of shipment, product delivery to the customer’s location or customer acceptance, depending on the terms of the related arrangement.</w:t>
      </w:r>
    </w:p>
    <w:p>
      <w:pPr>
        <w:spacing w:after="0" w:line="136" w:lineRule="exact"/>
        <w:rPr>
          <w:sz w:val="20"/>
          <w:szCs w:val="20"/>
          <w:color w:val="auto"/>
        </w:rPr>
      </w:pPr>
    </w:p>
    <w:p>
      <w:pPr>
        <w:ind w:right="40" w:firstLine="400"/>
        <w:spacing w:after="0" w:line="246" w:lineRule="auto"/>
        <w:rPr>
          <w:sz w:val="20"/>
          <w:szCs w:val="20"/>
          <w:color w:val="auto"/>
        </w:rPr>
      </w:pPr>
      <w:r>
        <w:rPr>
          <w:rFonts w:ascii="Times New Roman" w:cs="Times New Roman" w:eastAsia="Times New Roman" w:hAnsi="Times New Roman"/>
          <w:sz w:val="20"/>
          <w:szCs w:val="20"/>
          <w:color w:val="auto"/>
        </w:rPr>
        <w:t>All amounts billed to a customer related to shipping and handling are classified as sales while all costs incurred by the Company for shipping and handling are classified as selling, general and administrative expenses. The amounts charged to selling, general and administrative expenses were $1,060 thousand, $1,271 thousand and $993 thousand for the years ended December 31, 2022, 2021 and 2020, respectively.</w:t>
      </w:r>
    </w:p>
    <w:p>
      <w:pPr>
        <w:spacing w:after="0" w:line="137" w:lineRule="exact"/>
        <w:rPr>
          <w:sz w:val="20"/>
          <w:szCs w:val="20"/>
          <w:color w:val="auto"/>
        </w:rPr>
      </w:pPr>
    </w:p>
    <w:p>
      <w:pPr>
        <w:jc w:val="both"/>
        <w:ind w:right="240" w:firstLine="400"/>
        <w:spacing w:after="0" w:line="245" w:lineRule="auto"/>
        <w:rPr>
          <w:sz w:val="20"/>
          <w:szCs w:val="20"/>
          <w:color w:val="auto"/>
        </w:rPr>
      </w:pPr>
      <w:r>
        <w:rPr>
          <w:rFonts w:ascii="Times New Roman" w:cs="Times New Roman" w:eastAsia="Times New Roman" w:hAnsi="Times New Roman"/>
          <w:sz w:val="20"/>
          <w:szCs w:val="20"/>
          <w:color w:val="auto"/>
        </w:rPr>
        <w:t>Of the recorded deferred revenue of $2,383 thousand as of December 31, 2021 and $2,680 thousand as of December 31, 2020, $2,383 thousand and $2,680 thousand were recognized as revenue during the years ended December 31, 2022 and 2021,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w:t>
      </w:r>
    </w:p>
    <w:p>
      <w:pPr>
        <w:spacing w:after="0" w:line="120" w:lineRule="exact"/>
        <w:rPr>
          <w:sz w:val="20"/>
          <w:szCs w:val="20"/>
          <w:color w:val="auto"/>
        </w:rPr>
      </w:pPr>
    </w:p>
    <w:p>
      <w:pPr>
        <w:ind w:right="1000" w:firstLine="400"/>
        <w:spacing w:after="0" w:line="239" w:lineRule="auto"/>
        <w:rPr>
          <w:sz w:val="20"/>
          <w:szCs w:val="20"/>
          <w:color w:val="auto"/>
        </w:rPr>
      </w:pPr>
      <w:r>
        <w:rPr>
          <w:rFonts w:ascii="Times New Roman" w:cs="Times New Roman" w:eastAsia="Times New Roman" w:hAnsi="Times New Roman"/>
          <w:sz w:val="20"/>
          <w:szCs w:val="20"/>
          <w:color w:val="auto"/>
        </w:rPr>
        <w:t>The Company expenses advertising costs as incurred. Advertising expenses were $46 thousand, $71 thousand and $87 thousand for the years ended December 31, 2022, 2021 and 2020, respectively.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Warranties</w:t>
      </w:r>
    </w:p>
    <w:p>
      <w:pPr>
        <w:spacing w:after="0" w:line="120" w:lineRule="exact"/>
        <w:rPr>
          <w:sz w:val="20"/>
          <w:szCs w:val="20"/>
          <w:color w:val="auto"/>
        </w:rPr>
      </w:pPr>
    </w:p>
    <w:p>
      <w:pPr>
        <w:ind w:right="120" w:firstLine="400"/>
        <w:spacing w:after="0" w:line="248" w:lineRule="auto"/>
        <w:rPr>
          <w:sz w:val="20"/>
          <w:szCs w:val="20"/>
          <w:color w:val="auto"/>
        </w:rPr>
      </w:pPr>
      <w:r>
        <w:rPr>
          <w:rFonts w:ascii="Times New Roman" w:cs="Times New Roman" w:eastAsia="Times New Roman" w:hAnsi="Times New Roman"/>
          <w:sz w:val="20"/>
          <w:szCs w:val="20"/>
          <w:color w:val="auto"/>
        </w:rPr>
        <w:t>The Company records, in other current liabilities, warranty liabilities for the estimated costs that may be incurred under its basic limited warranty. The standard limited warranty period is one to two years for the majority of products. This warranty covers defective products, and related liabilities are accrued when product revenues are recognized. Factors that affect the Company’s warranty liabilities include historical and anticipated rates of warranty claims and repair or replacement costs per claim to satisfy the Company’s warranty obligation. The Company periodically assesses the adequacy of those recorded warranty liabilities and adjusts its estimates when necessary.</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Financial Instruments</w:t>
      </w:r>
    </w:p>
    <w:p>
      <w:pPr>
        <w:spacing w:after="0" w:line="120" w:lineRule="exact"/>
        <w:rPr>
          <w:sz w:val="20"/>
          <w:szCs w:val="20"/>
          <w:color w:val="auto"/>
        </w:rPr>
      </w:pPr>
    </w:p>
    <w:p>
      <w:pPr>
        <w:ind w:right="60" w:firstLine="400"/>
        <w:spacing w:after="0" w:line="239" w:lineRule="auto"/>
        <w:rPr>
          <w:sz w:val="20"/>
          <w:szCs w:val="20"/>
          <w:color w:val="auto"/>
        </w:rPr>
      </w:pPr>
      <w:r>
        <w:rPr>
          <w:rFonts w:ascii="Times New Roman" w:cs="Times New Roman" w:eastAsia="Times New Roman" w:hAnsi="Times New Roman"/>
          <w:sz w:val="20"/>
          <w:szCs w:val="20"/>
          <w:color w:val="auto"/>
        </w:rPr>
        <w:t>The Company applies the provisions of ASC 815, ‘‘Derivatives and Hedging’’ (‘‘ASC 815’’). This statement requires the recognition of all derivative instruments as either assets or liabilities measured at fair value.</w:t>
      </w:r>
    </w:p>
    <w:p>
      <w:pPr>
        <w:spacing w:after="0" w:line="142" w:lineRule="exact"/>
        <w:rPr>
          <w:sz w:val="20"/>
          <w:szCs w:val="20"/>
          <w:color w:val="auto"/>
        </w:rPr>
      </w:pPr>
    </w:p>
    <w:p>
      <w:pPr>
        <w:ind w:right="20" w:firstLine="400"/>
        <w:spacing w:after="0" w:line="246" w:lineRule="auto"/>
        <w:rPr>
          <w:sz w:val="20"/>
          <w:szCs w:val="20"/>
          <w:color w:val="auto"/>
        </w:rPr>
      </w:pPr>
      <w:r>
        <w:rPr>
          <w:rFonts w:ascii="Times New Roman" w:cs="Times New Roman" w:eastAsia="Times New Roman" w:hAnsi="Times New Roman"/>
          <w:sz w:val="20"/>
          <w:szCs w:val="20"/>
          <w:color w:val="auto"/>
        </w:rPr>
        <w:t>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80"/>
          </w:cols>
          <w:pgMar w:left="1420" w:top="889" w:right="1440" w:bottom="182"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 The Company does not offset derivative assets and liabilities within the consolidated balance sheets.</w:t>
      </w:r>
    </w:p>
    <w:p>
      <w:pPr>
        <w:spacing w:after="0" w:line="139" w:lineRule="exact"/>
        <w:rPr>
          <w:sz w:val="20"/>
          <w:szCs w:val="20"/>
          <w:color w:val="auto"/>
        </w:rPr>
      </w:pPr>
    </w:p>
    <w:p>
      <w:pPr>
        <w:ind w:right="80" w:firstLine="400"/>
        <w:spacing w:after="0" w:line="246" w:lineRule="auto"/>
        <w:rPr>
          <w:sz w:val="20"/>
          <w:szCs w:val="20"/>
          <w:color w:val="auto"/>
        </w:rPr>
      </w:pPr>
      <w:r>
        <w:rPr>
          <w:rFonts w:ascii="Times New Roman" w:cs="Times New Roman" w:eastAsia="Times New Roman" w:hAnsi="Times New Roman"/>
          <w:sz w:val="20"/>
          <w:szCs w:val="20"/>
          <w:color w:val="auto"/>
        </w:rPr>
        <w:t>In accordance with ASC 815, changes in the fair value of derivative instruments that are cash flow hedges are recognized in accumulated other comprehensive income or loss and reclassified into earnings in the period in which the hedged item affects earnings. Derivative instruments that do not qualify, or cease to qualify, as hedges must be adjusted to fair value and the adjustments are recorded through net income or loss.</w:t>
      </w:r>
    </w:p>
    <w:p>
      <w:pPr>
        <w:spacing w:after="0" w:line="137" w:lineRule="exact"/>
        <w:rPr>
          <w:sz w:val="20"/>
          <w:szCs w:val="20"/>
          <w:color w:val="auto"/>
        </w:rPr>
      </w:pPr>
    </w:p>
    <w:p>
      <w:pPr>
        <w:ind w:right="140" w:firstLine="400"/>
        <w:spacing w:after="0" w:line="239" w:lineRule="auto"/>
        <w:rPr>
          <w:sz w:val="20"/>
          <w:szCs w:val="20"/>
          <w:color w:val="auto"/>
        </w:rPr>
      </w:pPr>
      <w:r>
        <w:rPr>
          <w:rFonts w:ascii="Times New Roman" w:cs="Times New Roman" w:eastAsia="Times New Roman" w:hAnsi="Times New Roman"/>
          <w:sz w:val="20"/>
          <w:szCs w:val="20"/>
          <w:color w:val="auto"/>
        </w:rPr>
        <w:t>The cash flows from derivative instruments receiving hedge accounting treatment are classified in the same categories as the hedged items in the consolidated statements of cash flows.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20" w:lineRule="exact"/>
        <w:rPr>
          <w:sz w:val="20"/>
          <w:szCs w:val="20"/>
          <w:color w:val="auto"/>
        </w:rPr>
      </w:pPr>
    </w:p>
    <w:p>
      <w:pPr>
        <w:ind w:right="780" w:firstLine="400"/>
        <w:spacing w:after="0" w:line="239" w:lineRule="auto"/>
        <w:rPr>
          <w:sz w:val="20"/>
          <w:szCs w:val="20"/>
          <w:color w:val="auto"/>
        </w:rPr>
      </w:pPr>
      <w:r>
        <w:rPr>
          <w:rFonts w:ascii="Times New Roman" w:cs="Times New Roman" w:eastAsia="Times New Roman" w:hAnsi="Times New Roman"/>
          <w:sz w:val="20"/>
          <w:szCs w:val="20"/>
          <w:color w:val="auto"/>
        </w:rPr>
        <w:t>Research and development expenses are expensed as incurred and include wafers, masks, employee expenses, contractor fees, building costs, utilities and administrative expenses.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Licensed Patents and Technologies</w:t>
      </w:r>
    </w:p>
    <w:p>
      <w:pPr>
        <w:spacing w:after="0" w:line="120"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The Company has entered into a number of royalty agreements to license patents and technology used in the design of its products. The Company carries two types of royalties: lump-sum and running basis. Lump-sum royalties, which require initial payments, usually paid in installments, represent a non-refundable commitment, such that the total present value of these payments is recorded as a prepaid expense and a liability upon execution of the agreements and the costs are amortized over the contract period using the straight-line method and charged to research and development expenses in the consolidated statements of operations.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Running royalties are paid based on the revenue of related products sold by the Company.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0" w:lineRule="exact"/>
        <w:rPr>
          <w:sz w:val="20"/>
          <w:szCs w:val="20"/>
          <w:color w:val="auto"/>
        </w:rPr>
      </w:pPr>
    </w:p>
    <w:p>
      <w:pPr>
        <w:ind w:right="220" w:firstLine="400"/>
        <w:spacing w:after="0" w:line="247" w:lineRule="auto"/>
        <w:rPr>
          <w:sz w:val="20"/>
          <w:szCs w:val="20"/>
          <w:color w:val="auto"/>
        </w:rPr>
      </w:pPr>
      <w:r>
        <w:rPr>
          <w:rFonts w:ascii="Times New Roman" w:cs="Times New Roman" w:eastAsia="Times New Roman" w:hAnsi="Times New Roman"/>
          <w:sz w:val="20"/>
          <w:szCs w:val="20"/>
          <w:color w:val="auto"/>
        </w:rPr>
        <w:t>The Company follows the provisions of ASC 718, ‘‘Compensation-Stock Compensation’’ (‘‘ASC 718’’). Under ASC 718, stock-based compensation cost is measured at the grant date, based on the fair value of the award, and is recognized as expense, net of the estimated forfeiture rate, over the requisite service period. As permitted under ASC 718, the Company elected to recognize compensation expense for all options with graded vesting based on the graded attribution method.</w:t>
      </w:r>
    </w:p>
    <w:p>
      <w:pPr>
        <w:spacing w:after="0" w:line="137" w:lineRule="exact"/>
        <w:rPr>
          <w:sz w:val="20"/>
          <w:szCs w:val="20"/>
          <w:color w:val="auto"/>
        </w:rPr>
      </w:pPr>
    </w:p>
    <w:p>
      <w:pPr>
        <w:ind w:right="180" w:firstLine="400"/>
        <w:spacing w:after="0" w:line="248" w:lineRule="auto"/>
        <w:rPr>
          <w:sz w:val="20"/>
          <w:szCs w:val="20"/>
          <w:color w:val="auto"/>
        </w:rPr>
      </w:pPr>
      <w:r>
        <w:rPr>
          <w:rFonts w:ascii="Times New Roman" w:cs="Times New Roman" w:eastAsia="Times New Roman" w:hAnsi="Times New Roman"/>
          <w:sz w:val="20"/>
          <w:szCs w:val="20"/>
          <w:color w:val="auto"/>
        </w:rPr>
        <w:t>The Company uses the Black-Scholes option-pricing model to measure the grant-date-fair-value of options. The Black-Scholes model requires certain assumptions to determine an option’s fair value, including expected term, risk free interest rate and expected volatility. The expected term of each option grant was based on employees’ expected exercises and post-vesting employment termination behavior and the risk free interest rate was based on the U.S. Treasury yield curve for the period corresponding with the expected term at the time of grant. No dividends were assumed for this calculation of option value.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(Loss) Per Share</w:t>
      </w:r>
    </w:p>
    <w:p>
      <w:pPr>
        <w:spacing w:after="0" w:line="120" w:lineRule="exact"/>
        <w:rPr>
          <w:sz w:val="20"/>
          <w:szCs w:val="20"/>
          <w:color w:val="auto"/>
        </w:rPr>
      </w:pPr>
    </w:p>
    <w:p>
      <w:pPr>
        <w:ind w:right="20" w:firstLine="400"/>
        <w:spacing w:after="0" w:line="247" w:lineRule="auto"/>
        <w:rPr>
          <w:sz w:val="20"/>
          <w:szCs w:val="20"/>
          <w:color w:val="auto"/>
        </w:rPr>
      </w:pPr>
      <w:r>
        <w:rPr>
          <w:rFonts w:ascii="Times New Roman" w:cs="Times New Roman" w:eastAsia="Times New Roman" w:hAnsi="Times New Roman"/>
          <w:sz w:val="20"/>
          <w:szCs w:val="20"/>
          <w:color w:val="auto"/>
        </w:rPr>
        <w:t>In accordance with ASC 260, ‘‘Earnings Per Share’’, the Company computes basic earnings per share by dividing net income or loss available to common stockholders by the weighted average number of common shares outstanding during the period. Diluted earnings per share reflect the dilution of potential common stock outstanding during the period including stock options and restricted stock units, using the treasury stock method (by using the average stock price for the period to determine the number of shares assumed to be purchased from</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80"/>
          </w:cols>
          <w:pgMar w:left="1420" w:top="889" w:right="1440" w:bottom="182"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exercise of stock options and restricted stock units), and convertibles, using the if-converted method. In determining the hypothetical shares repurchased, the Company uses the average share price for the period. In the case that earnings are negative, any potential common stock equivalents would have the effect of being anti-dilutive in the computation of net loss per share.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The Company accounts for income taxes in accordance with ASC 740, ‘‘Income Taxes’’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basis of assets and liabilities using enacted tax rates in effect in the years in which the differences are expected to reverse. Income tax expense is the tax payable for the period and the change during the period in deferred tax assets and liabilities. Valuation allowances are established when it is necessary to reduce deferred tax assets to the amount expected to be realized. The evaluation of the recoverability of the deferred tax assets and the need for a valuation allowance requires management to weigh all positive and negative evidence to reach a conclusion that it is more likely than not that all or some portion of the deferred tax assets will not be realized. Realization of the future tax benefits related to the deferred tax assets is dependent on many factors, including historical operating results, expected timing of the reversals of existing temporary differences, the Company’s ability to generate future taxable income, and tax planning strategies.</w:t>
      </w:r>
    </w:p>
    <w:p>
      <w:pPr>
        <w:spacing w:after="0" w:line="138"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auto"/>
        </w:rPr>
        <w:t>The Company recognizes and measures uncertain tax positions taken or expected to be taken in a tax return utilizing a two-step process. In the first step, recognition, the Company determines whether it is more likely than not that a tax position will be sustained upon examination, including resolution of any related appeals or litigation processes, based on the technical merits of the position. The second step addresses measurement of a tax position that meets the more likely than not criteria. The tax position is measured at the largest amount of benefit that has a likelihood of greater than 50 percent of being realized upon ultimate settlement.</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120" w:lineRule="exact"/>
        <w:rPr>
          <w:sz w:val="20"/>
          <w:szCs w:val="20"/>
          <w:color w:val="auto"/>
        </w:rPr>
      </w:pPr>
    </w:p>
    <w:p>
      <w:pPr>
        <w:jc w:val="both"/>
        <w:ind w:right="160" w:firstLine="400"/>
        <w:spacing w:after="0" w:line="245" w:lineRule="auto"/>
        <w:rPr>
          <w:sz w:val="20"/>
          <w:szCs w:val="20"/>
          <w:color w:val="auto"/>
        </w:rPr>
      </w:pPr>
      <w:r>
        <w:rPr>
          <w:rFonts w:ascii="Times New Roman" w:cs="Times New Roman" w:eastAsia="Times New Roman" w:hAnsi="Times New Roman"/>
          <w:sz w:val="20"/>
          <w:szCs w:val="20"/>
          <w:color w:val="auto"/>
        </w:rPr>
        <w:t>The Company performs periodic credit evaluations of its customers’ financial condition and generally does not require collateral for customers on accounts receivable. The Company maintains reserves for potential credit losses, which are periodically reviewed.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20"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auto"/>
        </w:rPr>
        <w:t>In August 2020, the Financial Accounting Standards Board (‘‘FASB’’) issued Accounting Standards Update (‘‘ASU’’) No. 2020-06, ‘‘Debt—Debt with Conversion and Other Options (Subtopic 470-20) and Derivatives and Hedging—Contracts in Entity’s Own Equity (Subtopic 815-40)’’(‘‘ASU 2020-06’’), which updates various codification topics to simplify the accounting guidance for certain financial instruments with characteristics of liabilities and equity, with a specific focus on convertible instruments and the derivative scope exception for contracts in an entity’s own equity and amends the diluted EPS computation for these instruments. The Company adopted ASU 2020-06 as of January 1, 2022, and the adoption of ASU 2020-06 did not have an impact on the Company’s consolidated financial statements.</w:t>
      </w:r>
    </w:p>
    <w:p>
      <w:pPr>
        <w:spacing w:after="0" w:line="139" w:lineRule="exact"/>
        <w:rPr>
          <w:sz w:val="20"/>
          <w:szCs w:val="20"/>
          <w:color w:val="auto"/>
        </w:rPr>
      </w:pPr>
    </w:p>
    <w:p>
      <w:pPr>
        <w:ind w:right="220" w:firstLine="400"/>
        <w:spacing w:after="0" w:line="248" w:lineRule="auto"/>
        <w:rPr>
          <w:sz w:val="20"/>
          <w:szCs w:val="20"/>
          <w:color w:val="auto"/>
        </w:rPr>
      </w:pPr>
      <w:r>
        <w:rPr>
          <w:rFonts w:ascii="Times New Roman" w:cs="Times New Roman" w:eastAsia="Times New Roman" w:hAnsi="Times New Roman"/>
          <w:sz w:val="20"/>
          <w:szCs w:val="20"/>
          <w:color w:val="auto"/>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(‘‘ASU 2021-04’’), ASU 2021-04 clarifies the accounting for modifications or exchanges of freestanding equity-classified written call options so that the transaction should be treated as an exchange of the original instrument for a new instrument. The Company adopted ASU 2021-04 as of January 1, 2022, and the adoption of ASU 2021-04 did not have an impact on the Company’s consolidated financial statements.</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80"/>
          </w:cols>
          <w:pgMar w:left="1420" w:top="889" w:right="1440" w:bottom="182" w:gutter="0" w:footer="0" w:header="0"/>
          <w:type w:val="continuous"/>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right="20"/>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Discontinued Operations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On September 1, 2020, the Company completed the sale of its Foundry Services Group business and Fab 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result of the sale of the Foundry Services Group business and Fab 4, the Company recorded a gain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$287,117 thousand and all operations from the Foundry Services Group business and Fab 4 were classified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discontinued operations for all periods presented. Following the consummation of the sale, and for up to three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years, the Company is expected to provide the Transitional Fab 3 Foundry Services at an agreed upon cost plus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mark-up. For the periods prior to the Closing Date, revenue from providing the Transitional Fab 3 Foundry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Services to the Foundry Services Group is recorded at cost on both of the continuing and discontinued businesses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comparative purposes. Cash inflows to the Company from the Buyer related to providing the Transitional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Fab 3 Foundry Services were $41,115 thousand, $46,611 thousand and $7,643 thousand for the years ended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2021 and 2020, respectively.</w:t>
      </w:r>
    </w:p>
    <w:p>
      <w:pPr>
        <w:spacing w:after="0" w:line="150" w:lineRule="exact"/>
        <w:rPr>
          <w:sz w:val="20"/>
          <w:szCs w:val="20"/>
          <w:color w:val="auto"/>
        </w:rPr>
      </w:pPr>
    </w:p>
    <w:p>
      <w:pPr>
        <w:ind w:right="480" w:firstLine="400"/>
        <w:spacing w:after="0" w:line="250" w:lineRule="auto"/>
        <w:rPr>
          <w:sz w:val="20"/>
          <w:szCs w:val="20"/>
          <w:color w:val="auto"/>
        </w:rPr>
      </w:pPr>
      <w:r>
        <w:rPr>
          <w:rFonts w:ascii="Times New Roman" w:cs="Times New Roman" w:eastAsia="Times New Roman" w:hAnsi="Times New Roman"/>
          <w:sz w:val="20"/>
          <w:szCs w:val="20"/>
          <w:color w:val="auto"/>
        </w:rPr>
        <w:t>The following table summarizes the results from discontinued operations, net of tax, for the year ended December 31, 2020.</w:t>
      </w:r>
    </w:p>
    <w:p>
      <w:pPr>
        <w:spacing w:after="0" w:line="209"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7300"/>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4652010</wp:posOffset>
                </wp:positionH>
                <wp:positionV relativeFrom="paragraph">
                  <wp:posOffset>6985</wp:posOffset>
                </wp:positionV>
                <wp:extent cx="130365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36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3pt,0.55pt" to="468.95pt,0.55pt" o:allowincell="f" strokecolor="#000000" strokeweight="0.5pt"/>
            </w:pict>
          </mc:Fallback>
        </mc:AlternateConten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ectPr>
          <w:pgSz w:w="12240" w:h="15840" w:orient="portrait"/>
          <w:cols w:equalWidth="0" w:num="1">
            <w:col w:w="9380"/>
          </w:cols>
          <w:pgMar w:left="1420" w:top="889" w:right="1440" w:bottom="182" w:gutter="0" w:footer="0" w:header="0"/>
        </w:sectPr>
      </w:pP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Net sales—Foundry Services Group. . . . . . . . . . . . . . . . . . . . . . . . . . . . . . . . . . . . . . . . .</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Net sales—transitional Fab 3 foundry services . . . . . . . . . . . . . . . . . . . . . . . . . . . . . . . .</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Total revenues . . . . . . . . . . . . . . . . . . . . . . . . . . . . . . . . . . . . . . . . . . . . . . . . . . . . . . .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Cost of sales—Foundry Services Group . . . . . . . . . . . . . . . . . . . . . . . . . . . . . . . . . . . . .</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Cost of sales—transitional Fab 3 foundry services . . . . . . . . . . . . . . . . . . . . . . . . . . . . .</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Total cost of sales . . . . . . . . . . . . . . . . . . . . . . . . . . . . . . . . . . . . . . . . . . . . . . . . . . . . .</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Gross profit . . . . . . . . . . . . . . . . . . . . . . . . . . . . . . . . . . . . . . . . . . . . . . . . . . . . . . . . . . . . .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expenses: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 expenses . . . . . . . . . . . . . . . . . . . . . . . . . . . . . . . . . .</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Research and development expenses . . . . . . . . . . . . . . . . . . . . . . . . . . . . . . . . . . . . . . . .</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Restructuring and other charges . . . . . . . . . . . . . . . . . . . . . . . . . . . . . . . . . . . . . . . . . . . .</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Total operating expenses . . . . . . . . . . . . . . . . . . . . . . . . . . . . . . . . . . . . . . . . . . . . . . . .</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income from discontinued operations . . . . . . . . . . . . . . . . . . . . . . . . . . . . . . . . .</w:t>
      </w:r>
    </w:p>
    <w:p>
      <w:pPr>
        <w:spacing w:after="0" w:line="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Foreign currency gain, net . . . . . . . . . . . . . . . . . . . . . . . . . . . . . . . . . . . . . . . . . . . . . . . .</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Others, net . . . . . . . . . . . . . . . . . . . . . . . . . . . . . . . . . . . . . . . . . . . . . . . . . . . . . . . . . . . . .</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from discontinued operations before income tax expense . . . . . . . . . . . . . . . . . .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expense . . . . . . . . . . . . . . . . . . . . . . . . . . . . . . . . . . . . . . . . . . . . . . . . . . . . . . .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Gain on sale of discontinued operations . . . . . . . . . . . . . . . . . . . . . . . . . . . . . . . . . . . . . .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 costs . . . . . . . . . . . . . . . . . . . . . . . . . . . . . . . . . . . . . . . . . . . . . . . . . . . . . . . . . .</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from discontinued operations, net of tax. . . . . . . . . . . . . . . . . . . . . . . . . . . . . . . .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$254,732</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(25,887)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2540</wp:posOffset>
                </wp:positionV>
                <wp:extent cx="47561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0.2pt" to="37.35pt,0.2pt" o:allowincell="f" strokecolor="#000000" strokeweight="0.5pt"/>
            </w:pict>
          </mc:Fallback>
        </mc:AlternateContent>
      </w:r>
    </w:p>
    <w:p>
      <w:pPr>
        <w:spacing w:after="0" w:line="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228,845</w:t>
      </w:r>
    </w:p>
    <w:p>
      <w:pPr>
        <w:spacing w:after="0" w:line="2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182,872</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(25,887)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2540</wp:posOffset>
                </wp:positionV>
                <wp:extent cx="47561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0.2pt" to="37.35pt,0.2pt" o:allowincell="f" strokecolor="#000000" strokeweight="0.5pt"/>
            </w:pict>
          </mc:Fallback>
        </mc:AlternateContent>
      </w:r>
    </w:p>
    <w:p>
      <w:pPr>
        <w:spacing w:after="0" w:line="56"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20"/>
          <w:szCs w:val="20"/>
          <w:color w:val="auto"/>
        </w:rPr>
        <w:t>156,985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1905</wp:posOffset>
                </wp:positionV>
                <wp:extent cx="47561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0.15pt" to="37.35pt,0.15pt" o:allowincell="f" strokecolor="#000000" strokeweight="0.5pt"/>
            </w:pict>
          </mc:Fallback>
        </mc:AlternateContent>
      </w:r>
    </w:p>
    <w:p>
      <w:pPr>
        <w:spacing w:after="0" w:line="55"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20"/>
          <w:szCs w:val="20"/>
          <w:color w:val="auto"/>
        </w:rPr>
        <w:t>71,860</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14,797</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19,484</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15,873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1905</wp:posOffset>
                </wp:positionV>
                <wp:extent cx="47561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0.15pt" to="37.35pt,0.15pt" o:allowincell="f" strokecolor="#000000" strokeweight="0.5pt"/>
            </w:pict>
          </mc:Fallback>
        </mc:AlternateConten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50,154</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21,706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1905</wp:posOffset>
                </wp:positionV>
                <wp:extent cx="47561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0.15pt" to="37.35pt,0.15pt" o:allowincell="f" strokecolor="#000000" strokeweight="0.5pt"/>
            </w:pict>
          </mc:Fallback>
        </mc:AlternateContent>
      </w:r>
    </w:p>
    <w:p>
      <w:pPr>
        <w:spacing w:after="0" w:line="55"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20"/>
          <w:szCs w:val="20"/>
          <w:color w:val="auto"/>
        </w:rPr>
        <w:t>1,277</w:t>
      </w:r>
    </w:p>
    <w:p>
      <w:pPr>
        <w:spacing w:after="0" w:line="25"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1905</wp:posOffset>
                </wp:positionV>
                <wp:extent cx="47561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0.15pt" to="37.35pt,0.15pt" o:allowincell="f" strokecolor="#000000" strokeweight="0.5pt"/>
            </w:pict>
          </mc:Fallback>
        </mc:AlternateConten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23,055</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11,452</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287,117</w:t>
      </w:r>
    </w:p>
    <w:p>
      <w:pPr>
        <w:spacing w:after="0" w:line="25"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20"/>
          <w:szCs w:val="20"/>
          <w:color w:val="auto"/>
        </w:rPr>
        <w:t>(10,814)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1905</wp:posOffset>
                </wp:positionV>
                <wp:extent cx="47561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0.15pt" to="37.35pt,0.15pt" o:allowincell="f" strokecolor="#000000" strokeweight="0.5pt"/>
            </w:pict>
          </mc:Fallback>
        </mc:AlternateConten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287,906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1905</wp:posOffset>
                </wp:positionV>
                <wp:extent cx="47561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0.15pt" to="37.35pt,0.1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27305</wp:posOffset>
                </wp:positionV>
                <wp:extent cx="47561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15pt" to="37.35pt,2.15pt" o:allowincell="f" strokecolor="#000000" strokeweight="0.5pt"/>
            </w:pict>
          </mc:Fallback>
        </mc:AlternateContent>
      </w:r>
    </w:p>
    <w:p>
      <w:pPr>
        <w:spacing w:after="0" w:line="200" w:lineRule="exact"/>
        <w:rPr>
          <w:sz w:val="20"/>
          <w:szCs w:val="20"/>
          <w:color w:val="auto"/>
        </w:rPr>
      </w:pPr>
    </w:p>
    <w:p>
      <w:pPr>
        <w:sectPr>
          <w:pgSz w:w="12240" w:h="15840" w:orient="portrait"/>
          <w:cols w:equalWidth="0" w:num="2">
            <w:col w:w="7260" w:space="720"/>
            <w:col w:w="1400"/>
          </w:cols>
          <w:pgMar w:left="1420" w:top="889" w:right="1440" w:bottom="182" w:gutter="0" w:footer="0" w:header="0"/>
          <w:type w:val="continuous"/>
        </w:sectPr>
      </w:pPr>
    </w:p>
    <w:p>
      <w:pPr>
        <w:spacing w:after="0" w:line="55" w:lineRule="exact"/>
        <w:rPr>
          <w:sz w:val="20"/>
          <w:szCs w:val="20"/>
          <w:color w:val="auto"/>
        </w:rPr>
      </w:pPr>
    </w:p>
    <w:p>
      <w:pPr>
        <w:ind w:right="220" w:firstLine="400"/>
        <w:spacing w:after="0" w:line="255" w:lineRule="auto"/>
        <w:rPr>
          <w:sz w:val="20"/>
          <w:szCs w:val="20"/>
          <w:color w:val="auto"/>
        </w:rPr>
      </w:pPr>
      <w:r>
        <w:rPr>
          <w:rFonts w:ascii="Times New Roman" w:cs="Times New Roman" w:eastAsia="Times New Roman" w:hAnsi="Times New Roman"/>
          <w:sz w:val="20"/>
          <w:szCs w:val="20"/>
          <w:color w:val="auto"/>
        </w:rPr>
        <w:t>For the year ended December 31, 2020, the Company recorded $15,873 thousand, in professional fees and transaction related expenses incurred in connection with the sale of the Foundry Services Group business and Fab 4, and recorded such costs as restructuring and other charges.</w:t>
      </w:r>
    </w:p>
    <w:p>
      <w:pPr>
        <w:sectPr>
          <w:pgSz w:w="12240" w:h="15840" w:orient="portrait"/>
          <w:cols w:equalWidth="0" w:num="1">
            <w:col w:w="9380"/>
          </w:cols>
          <w:pgMar w:left="1420" w:top="889" w:right="1440" w:bottom="18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80"/>
          </w:cols>
          <w:pgMar w:left="1420" w:top="889" w:right="1440" w:bottom="182"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provides supplemental cash flows information related to discontinued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185"/>
        </w:trPr>
        <w:tc>
          <w:tcPr>
            <w:tcW w:w="7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6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212"/>
        </w:trPr>
        <w:tc>
          <w:tcPr>
            <w:tcW w:w="7260" w:type="dxa"/>
            <w:vAlign w:val="bottom"/>
          </w:tcPr>
          <w:p>
            <w:pPr>
              <w:spacing w:after="0"/>
              <w:rPr>
                <w:sz w:val="18"/>
                <w:szCs w:val="18"/>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tc>
      </w:tr>
      <w:tr>
        <w:trPr>
          <w:trHeight w:val="313"/>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Significant non-cash operating activities:</w:t>
            </w: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5"/>
        </w:trPr>
        <w:tc>
          <w:tcPr>
            <w:tcW w:w="7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 . . . . . . . .</w:t>
            </w:r>
          </w:p>
        </w:tc>
        <w:tc>
          <w:tcPr>
            <w:tcW w:w="212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color w:val="auto"/>
              </w:rPr>
              <w:t>$ 5,365</w:t>
            </w:r>
          </w:p>
        </w:tc>
      </w:tr>
      <w:tr>
        <w:trPr>
          <w:trHeight w:val="255"/>
        </w:trPr>
        <w:tc>
          <w:tcPr>
            <w:tcW w:w="7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Provision for severance benefits . . . . . . . . . . . . . . . . . . . . . . . . . . . . . . . . . . . . . . . . . . . .</w:t>
            </w:r>
          </w:p>
        </w:tc>
        <w:tc>
          <w:tcPr>
            <w:tcW w:w="212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color w:val="auto"/>
              </w:rPr>
              <w:t>8,209</w:t>
            </w:r>
          </w:p>
        </w:tc>
      </w:tr>
      <w:tr>
        <w:trPr>
          <w:trHeight w:val="255"/>
        </w:trPr>
        <w:tc>
          <w:tcPr>
            <w:tcW w:w="7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 . . . . . . . .</w:t>
            </w:r>
          </w:p>
        </w:tc>
        <w:tc>
          <w:tcPr>
            <w:tcW w:w="212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color w:val="auto"/>
              </w:rPr>
              <w:t>388</w:t>
            </w:r>
          </w:p>
        </w:tc>
      </w:tr>
      <w:tr>
        <w:trPr>
          <w:trHeight w:val="255"/>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6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5"/>
        </w:trPr>
        <w:tc>
          <w:tcPr>
            <w:tcW w:w="7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Capital expenditures . . . . . . . . . . . . . . . . . . . . . . . . . . . . . . . . . . . . . . . . . . . . . . . . . . . . .</w:t>
            </w:r>
          </w:p>
        </w:tc>
        <w:tc>
          <w:tcPr>
            <w:tcW w:w="212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$(5,838)</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Fair Value Measurements</w:t>
      </w:r>
    </w:p>
    <w:p>
      <w:pPr>
        <w:spacing w:after="0" w:line="120" w:lineRule="exact"/>
        <w:rPr>
          <w:sz w:val="20"/>
          <w:szCs w:val="20"/>
          <w:color w:val="auto"/>
        </w:rPr>
      </w:pPr>
    </w:p>
    <w:p>
      <w:pPr>
        <w:ind w:right="200" w:firstLine="400"/>
        <w:spacing w:after="0" w:line="246" w:lineRule="auto"/>
        <w:rPr>
          <w:sz w:val="20"/>
          <w:szCs w:val="20"/>
          <w:color w:val="auto"/>
        </w:rPr>
      </w:pPr>
      <w:r>
        <w:rPr>
          <w:rFonts w:ascii="Times New Roman" w:cs="Times New Roman" w:eastAsia="Times New Roman" w:hAnsi="Times New Roman"/>
          <w:sz w:val="20"/>
          <w:szCs w:val="20"/>
          <w:color w:val="auto"/>
        </w:rPr>
        <w:t>ASC 820 defines fair value, establishes a consistent framework for measuring fair value and expands disclosure requirements about fair value measurements. ASC 820 requires, among other things, the Company’s valuation techniques used to measure fair value to maximize the use of observable inputs and minimize the use of unobservable inputs.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of Financial Instruments</w:t>
      </w:r>
    </w:p>
    <w:p>
      <w:pPr>
        <w:spacing w:after="0" w:line="120" w:lineRule="exact"/>
        <w:rPr>
          <w:sz w:val="20"/>
          <w:szCs w:val="20"/>
          <w:color w:val="auto"/>
        </w:rPr>
      </w:pPr>
    </w:p>
    <w:p>
      <w:pPr>
        <w:ind w:right="60" w:firstLine="400"/>
        <w:spacing w:after="0" w:line="239" w:lineRule="auto"/>
        <w:rPr>
          <w:sz w:val="20"/>
          <w:szCs w:val="20"/>
          <w:color w:val="auto"/>
        </w:rPr>
      </w:pPr>
      <w:r>
        <w:rPr>
          <w:rFonts w:ascii="Times New Roman" w:cs="Times New Roman" w:eastAsia="Times New Roman" w:hAnsi="Times New Roman"/>
          <w:sz w:val="20"/>
          <w:szCs w:val="20"/>
          <w:color w:val="auto"/>
        </w:rPr>
        <w:t>As of December 31, 2022, the following table represents the Company’s liabilities measured at fair value on a recurring basis and the basis for that measurement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940" w:type="dxa"/>
            <w:vAlign w:val="bottom"/>
          </w:tcPr>
          <w:p>
            <w:pPr>
              <w:spacing w:after="0"/>
              <w:rPr>
                <w:sz w:val="16"/>
                <w:szCs w:val="16"/>
                <w:color w:val="auto"/>
              </w:rPr>
            </w:pPr>
          </w:p>
        </w:tc>
      </w:tr>
      <w:tr>
        <w:trPr>
          <w:trHeight w:val="180"/>
        </w:trPr>
        <w:tc>
          <w:tcPr>
            <w:tcW w:w="3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96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80"/>
        </w:trPr>
        <w:tc>
          <w:tcPr>
            <w:tcW w:w="3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42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96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Unobservable</w:t>
            </w:r>
          </w:p>
        </w:tc>
      </w:tr>
      <w:tr>
        <w:trPr>
          <w:trHeight w:val="180"/>
        </w:trPr>
        <w:tc>
          <w:tcPr>
            <w:tcW w:w="3060" w:type="dxa"/>
            <w:vAlign w:val="bottom"/>
          </w:tcPr>
          <w:p>
            <w:pPr>
              <w:spacing w:after="0"/>
              <w:rPr>
                <w:sz w:val="15"/>
                <w:szCs w:val="15"/>
                <w:color w:val="auto"/>
              </w:rPr>
            </w:pPr>
          </w:p>
        </w:tc>
        <w:tc>
          <w:tcPr>
            <w:tcW w:w="15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Carrying Value</w:t>
            </w:r>
          </w:p>
        </w:tc>
        <w:tc>
          <w:tcPr>
            <w:tcW w:w="14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Measurement</w:t>
            </w:r>
          </w:p>
        </w:tc>
        <w:tc>
          <w:tcPr>
            <w:tcW w:w="142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96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182"/>
        </w:trPr>
        <w:tc>
          <w:tcPr>
            <w:tcW w:w="3060" w:type="dxa"/>
            <w:vAlign w:val="bottom"/>
          </w:tcPr>
          <w:p>
            <w:pPr>
              <w:spacing w:after="0"/>
              <w:rPr>
                <w:sz w:val="15"/>
                <w:szCs w:val="15"/>
                <w:color w:val="auto"/>
              </w:rPr>
            </w:pPr>
          </w:p>
        </w:tc>
        <w:tc>
          <w:tcPr>
            <w:tcW w:w="1500" w:type="dxa"/>
            <w:vAlign w:val="bottom"/>
            <w:gridSpan w:val="2"/>
          </w:tcPr>
          <w:p>
            <w:pPr>
              <w:jc w:val="center"/>
              <w:ind w:right="18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2022</w:t>
            </w:r>
          </w:p>
        </w:tc>
        <w:tc>
          <w:tcPr>
            <w:tcW w:w="1480" w:type="dxa"/>
            <w:vAlign w:val="bottom"/>
            <w:gridSpan w:val="2"/>
          </w:tcPr>
          <w:p>
            <w:pPr>
              <w:jc w:val="center"/>
              <w:ind w:right="18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2022</w:t>
            </w:r>
          </w:p>
        </w:tc>
        <w:tc>
          <w:tcPr>
            <w:tcW w:w="142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auto"/>
              </w:rPr>
              <w:t>Liability (Level 1)</w:t>
            </w:r>
          </w:p>
        </w:tc>
        <w:tc>
          <w:tcPr>
            <w:tcW w:w="96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auto"/>
                <w:w w:val="99"/>
              </w:rPr>
              <w:t>(Level 2)</w:t>
            </w: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(Level 3)</w:t>
            </w:r>
          </w:p>
        </w:tc>
      </w:tr>
      <w:tr>
        <w:trPr>
          <w:trHeight w:val="293"/>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3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5"/>
        </w:trPr>
        <w:tc>
          <w:tcPr>
            <w:tcW w:w="3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liabilities (other</w:t>
            </w: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0"/>
        </w:trPr>
        <w:tc>
          <w:tcPr>
            <w:tcW w:w="30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current liabilities) . . . . . . . . . .</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$2,015</w:t>
            </w:r>
          </w:p>
        </w:tc>
        <w:tc>
          <w:tcPr>
            <w:tcW w:w="1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$2,015</w:t>
            </w:r>
          </w:p>
        </w:tc>
        <w:tc>
          <w:tcPr>
            <w:tcW w:w="18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$2,015</w:t>
            </w: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155" w:lineRule="exact"/>
        <w:rPr>
          <w:sz w:val="20"/>
          <w:szCs w:val="20"/>
          <w:color w:val="auto"/>
        </w:rPr>
      </w:pPr>
    </w:p>
    <w:p>
      <w:pPr>
        <w:ind w:right="60" w:firstLine="400"/>
        <w:spacing w:after="0" w:line="239" w:lineRule="auto"/>
        <w:rPr>
          <w:sz w:val="20"/>
          <w:szCs w:val="20"/>
          <w:color w:val="auto"/>
        </w:rPr>
      </w:pPr>
      <w:r>
        <w:rPr>
          <w:rFonts w:ascii="Times New Roman" w:cs="Times New Roman" w:eastAsia="Times New Roman" w:hAnsi="Times New Roman"/>
          <w:sz w:val="20"/>
          <w:szCs w:val="20"/>
          <w:color w:val="auto"/>
        </w:rPr>
        <w:t>As of December 31, 2021, the following table represents the Company’s liabilities measured at fair value on a recurring basis and the basis for that measurement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940" w:type="dxa"/>
            <w:vAlign w:val="bottom"/>
          </w:tcPr>
          <w:p>
            <w:pPr>
              <w:spacing w:after="0"/>
              <w:rPr>
                <w:sz w:val="16"/>
                <w:szCs w:val="16"/>
                <w:color w:val="auto"/>
              </w:rPr>
            </w:pPr>
          </w:p>
        </w:tc>
      </w:tr>
      <w:tr>
        <w:trPr>
          <w:trHeight w:val="180"/>
        </w:trPr>
        <w:tc>
          <w:tcPr>
            <w:tcW w:w="3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96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80"/>
        </w:trPr>
        <w:tc>
          <w:tcPr>
            <w:tcW w:w="3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42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96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Unobservable</w:t>
            </w:r>
          </w:p>
        </w:tc>
      </w:tr>
      <w:tr>
        <w:trPr>
          <w:trHeight w:val="180"/>
        </w:trPr>
        <w:tc>
          <w:tcPr>
            <w:tcW w:w="3060" w:type="dxa"/>
            <w:vAlign w:val="bottom"/>
          </w:tcPr>
          <w:p>
            <w:pPr>
              <w:spacing w:after="0"/>
              <w:rPr>
                <w:sz w:val="15"/>
                <w:szCs w:val="15"/>
                <w:color w:val="auto"/>
              </w:rPr>
            </w:pPr>
          </w:p>
        </w:tc>
        <w:tc>
          <w:tcPr>
            <w:tcW w:w="15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Carrying Value</w:t>
            </w:r>
          </w:p>
        </w:tc>
        <w:tc>
          <w:tcPr>
            <w:tcW w:w="14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Measurement</w:t>
            </w:r>
          </w:p>
        </w:tc>
        <w:tc>
          <w:tcPr>
            <w:tcW w:w="142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96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182"/>
        </w:trPr>
        <w:tc>
          <w:tcPr>
            <w:tcW w:w="3060" w:type="dxa"/>
            <w:vAlign w:val="bottom"/>
          </w:tcPr>
          <w:p>
            <w:pPr>
              <w:spacing w:after="0"/>
              <w:rPr>
                <w:sz w:val="15"/>
                <w:szCs w:val="15"/>
                <w:color w:val="auto"/>
              </w:rPr>
            </w:pPr>
          </w:p>
        </w:tc>
        <w:tc>
          <w:tcPr>
            <w:tcW w:w="1500" w:type="dxa"/>
            <w:vAlign w:val="bottom"/>
            <w:gridSpan w:val="2"/>
          </w:tcPr>
          <w:p>
            <w:pPr>
              <w:jc w:val="center"/>
              <w:ind w:right="18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2021</w:t>
            </w:r>
          </w:p>
        </w:tc>
        <w:tc>
          <w:tcPr>
            <w:tcW w:w="1480" w:type="dxa"/>
            <w:vAlign w:val="bottom"/>
            <w:gridSpan w:val="2"/>
          </w:tcPr>
          <w:p>
            <w:pPr>
              <w:jc w:val="center"/>
              <w:ind w:right="18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2021</w:t>
            </w:r>
          </w:p>
        </w:tc>
        <w:tc>
          <w:tcPr>
            <w:tcW w:w="142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auto"/>
              </w:rPr>
              <w:t>Liability (Level 1)</w:t>
            </w:r>
          </w:p>
        </w:tc>
        <w:tc>
          <w:tcPr>
            <w:tcW w:w="96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auto"/>
                <w:w w:val="99"/>
              </w:rPr>
              <w:t>(Level 2)</w:t>
            </w: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(Level 3)</w:t>
            </w:r>
          </w:p>
        </w:tc>
      </w:tr>
      <w:tr>
        <w:trPr>
          <w:trHeight w:val="293"/>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3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5"/>
        </w:trPr>
        <w:tc>
          <w:tcPr>
            <w:tcW w:w="3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liabilities (other</w:t>
            </w: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0"/>
        </w:trPr>
        <w:tc>
          <w:tcPr>
            <w:tcW w:w="30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current liabilities) . . . . . . . . . .</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$2,020</w:t>
            </w:r>
          </w:p>
        </w:tc>
        <w:tc>
          <w:tcPr>
            <w:tcW w:w="1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$2,020</w:t>
            </w:r>
          </w:p>
        </w:tc>
        <w:tc>
          <w:tcPr>
            <w:tcW w:w="18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$2,020</w:t>
            </w: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155" w:lineRule="exact"/>
        <w:rPr>
          <w:sz w:val="20"/>
          <w:szCs w:val="20"/>
          <w:color w:val="auto"/>
        </w:rPr>
      </w:pPr>
    </w:p>
    <w:p>
      <w:pPr>
        <w:ind w:right="100" w:firstLine="400"/>
        <w:spacing w:after="0" w:line="246" w:lineRule="auto"/>
        <w:rPr>
          <w:sz w:val="20"/>
          <w:szCs w:val="20"/>
          <w:color w:val="auto"/>
        </w:rPr>
      </w:pPr>
      <w:r>
        <w:rPr>
          <w:rFonts w:ascii="Times New Roman" w:cs="Times New Roman" w:eastAsia="Times New Roman" w:hAnsi="Times New Roman"/>
          <w:sz w:val="20"/>
          <w:szCs w:val="20"/>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Values Measured on a Non-recurring Basis</w:t>
      </w:r>
    </w:p>
    <w:p>
      <w:pPr>
        <w:spacing w:after="0" w:line="120" w:lineRule="exact"/>
        <w:rPr>
          <w:sz w:val="20"/>
          <w:szCs w:val="20"/>
          <w:color w:val="auto"/>
        </w:rPr>
      </w:pPr>
    </w:p>
    <w:p>
      <w:pPr>
        <w:ind w:right="180" w:firstLine="400"/>
        <w:spacing w:after="0" w:line="246" w:lineRule="auto"/>
        <w:rPr>
          <w:sz w:val="20"/>
          <w:szCs w:val="20"/>
          <w:color w:val="auto"/>
        </w:rPr>
      </w:pPr>
      <w:r>
        <w:rPr>
          <w:rFonts w:ascii="Times New Roman" w:cs="Times New Roman" w:eastAsia="Times New Roman" w:hAnsi="Times New Roman"/>
          <w:sz w:val="20"/>
          <w:szCs w:val="20"/>
          <w:color w:val="auto"/>
        </w:rPr>
        <w:t>The Company’s non-financial assets, such as property, plant and equipment, and intangible assets are recorded at fair value upon acquisition and are remeasured at fair value only if an impairment charge is recognized. As of December 31, 2022 and 2021, the Company did not have any assets or liabilities measured at fair value on a non-recurring basis.</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80"/>
          </w:cols>
          <w:pgMar w:left="1420" w:top="889" w:right="1440" w:bottom="182" w:gutter="0" w:footer="0" w:header="0"/>
          <w:type w:val="continuous"/>
        </w:sectPr>
      </w:pPr>
    </w:p>
    <w:bookmarkStart w:id="77" w:name="page78"/>
    <w:bookmarkEnd w:id="77"/>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right="60"/>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Accounts Receivable</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Accounts receivable as of December 31, 2022 and 2021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r>
      <w:tr>
        <w:trPr>
          <w:trHeight w:val="215"/>
        </w:trPr>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r>
      <w:tr>
        <w:trPr>
          <w:trHeight w:val="290"/>
        </w:trPr>
        <w:tc>
          <w:tcPr>
            <w:tcW w:w="74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$35,610</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$50,363</w:t>
            </w:r>
          </w:p>
        </w:tc>
        <w:tc>
          <w:tcPr>
            <w:tcW w:w="80" w:type="dxa"/>
            <w:vAlign w:val="bottom"/>
          </w:tcPr>
          <w:p>
            <w:pPr>
              <w:spacing w:after="0"/>
              <w:rPr>
                <w:sz w:val="24"/>
                <w:szCs w:val="24"/>
                <w:color w:val="auto"/>
              </w:rPr>
            </w:pPr>
          </w:p>
        </w:tc>
      </w:tr>
      <w:tr>
        <w:trPr>
          <w:trHeight w:val="255"/>
        </w:trPr>
        <w:tc>
          <w:tcPr>
            <w:tcW w:w="74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Notes receivable . . . . . . . . . . . . . . . . . . . . . . . . . . . .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1,242</w:t>
            </w:r>
          </w:p>
        </w:tc>
        <w:tc>
          <w:tcPr>
            <w:tcW w:w="80" w:type="dxa"/>
            <w:vAlign w:val="bottom"/>
          </w:tcPr>
          <w:p>
            <w:pPr>
              <w:spacing w:after="0"/>
              <w:rPr>
                <w:sz w:val="22"/>
                <w:szCs w:val="22"/>
                <w:color w:val="auto"/>
              </w:rPr>
            </w:pPr>
          </w:p>
        </w:tc>
      </w:tr>
      <w:tr>
        <w:trPr>
          <w:trHeight w:val="255"/>
        </w:trPr>
        <w:tc>
          <w:tcPr>
            <w:tcW w:w="7420" w:type="dxa"/>
            <w:vAlign w:val="bottom"/>
          </w:tcPr>
          <w:p>
            <w:pPr>
              <w:jc w:val="right"/>
              <w:ind w:right="6900"/>
              <w:spacing w:after="0"/>
              <w:rPr>
                <w:sz w:val="20"/>
                <w:szCs w:val="20"/>
                <w:color w:val="auto"/>
              </w:rPr>
            </w:pPr>
            <w:r>
              <w:rPr>
                <w:rFonts w:ascii="Times New Roman" w:cs="Times New Roman" w:eastAsia="Times New Roman" w:hAnsi="Times New Roman"/>
                <w:sz w:val="20"/>
                <w:szCs w:val="20"/>
                <w:color w:val="auto"/>
                <w:w w:val="94"/>
              </w:rPr>
              <w:t>Less:</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5"/>
        </w:trPr>
        <w:tc>
          <w:tcPr>
            <w:tcW w:w="74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Allowance for credit losses . . . . . . . . . . . . . . . . . . . . . . . . . . . . . . . . . . . . . . . . . . . . . . . .</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(79)</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(466)</w:t>
            </w:r>
          </w:p>
        </w:tc>
      </w:tr>
      <w:tr>
        <w:trPr>
          <w:trHeight w:val="253"/>
        </w:trPr>
        <w:tc>
          <w:tcPr>
            <w:tcW w:w="74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Sales return reserves . . . . . . . . . . . . . . . . . . . . . . . . . . . . . . . . . . . . . . . . . . . . . . . . . . . . .</w:t>
            </w:r>
          </w:p>
        </w:tc>
        <w:tc>
          <w:tcPr>
            <w:tcW w:w="22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(183)</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(185)</w:t>
            </w:r>
          </w:p>
        </w:tc>
      </w:tr>
      <w:tr>
        <w:trPr>
          <w:trHeight w:val="20"/>
        </w:trPr>
        <w:tc>
          <w:tcPr>
            <w:tcW w:w="7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74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Accounts receivable, net . . . . . . . . . . . . . . . . . . . .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35,380</w:t>
            </w:r>
          </w:p>
        </w:tc>
        <w:tc>
          <w:tcPr>
            <w:tcW w:w="26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50,954</w:t>
            </w:r>
          </w:p>
        </w:tc>
      </w:tr>
      <w:tr>
        <w:trPr>
          <w:trHeight w:val="20"/>
        </w:trPr>
        <w:tc>
          <w:tcPr>
            <w:tcW w:w="7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right="680" w:firstLine="400"/>
        <w:spacing w:after="0" w:line="250" w:lineRule="auto"/>
        <w:rPr>
          <w:sz w:val="20"/>
          <w:szCs w:val="20"/>
          <w:color w:val="auto"/>
        </w:rPr>
      </w:pPr>
      <w:r>
        <w:rPr>
          <w:rFonts w:ascii="Times New Roman" w:cs="Times New Roman" w:eastAsia="Times New Roman" w:hAnsi="Times New Roman"/>
          <w:sz w:val="20"/>
          <w:szCs w:val="20"/>
          <w:color w:val="auto"/>
        </w:rPr>
        <w:t>Changes in allowance for credit losses for the years ended December 31, 2022, 2021 and 2020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1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7080" w:type="dxa"/>
            <w:vAlign w:val="bottom"/>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9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w w:val="92"/>
              </w:rPr>
              <w:t>(466)</w:t>
            </w:r>
          </w:p>
        </w:tc>
        <w:tc>
          <w:tcPr>
            <w:tcW w:w="88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$(188)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5"/>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Provision. . . . . . . . . . . . . . . . . . . . . . . . . . . . . . . . . . . . . . . . . . . . . . . . . . . . . . . . . . .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(302)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2"/>
              </w:rPr>
              <w:t>(131)</w:t>
            </w:r>
          </w:p>
        </w:tc>
      </w:tr>
      <w:tr>
        <w:trPr>
          <w:trHeight w:val="255"/>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Write off . . . . . . . . . . . . . . . . . . . . . . . . . . . . . . . . . . . . . . . . . . . . . . . . . . . . . . . . . . .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3"/>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Translation adjustments . . . . . . . . . . . . . . . . . . . . . . . . . . . . . . . . . . . . . . . . . . . . . . .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0"/>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85"/>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 . .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(79)</w:t>
            </w:r>
          </w:p>
        </w:tc>
        <w:tc>
          <w:tcPr>
            <w:tcW w:w="88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(466)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2"/>
              </w:rPr>
              <w:t>(188)</w:t>
            </w:r>
          </w:p>
        </w:tc>
      </w:tr>
      <w:tr>
        <w:trPr>
          <w:trHeight w:val="20"/>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40" w:firstLine="400"/>
        <w:spacing w:after="0" w:line="250" w:lineRule="auto"/>
        <w:rPr>
          <w:sz w:val="20"/>
          <w:szCs w:val="20"/>
          <w:color w:val="auto"/>
        </w:rPr>
      </w:pPr>
      <w:r>
        <w:rPr>
          <w:rFonts w:ascii="Times New Roman" w:cs="Times New Roman" w:eastAsia="Times New Roman" w:hAnsi="Times New Roman"/>
          <w:sz w:val="20"/>
          <w:szCs w:val="20"/>
          <w:color w:val="auto"/>
        </w:rPr>
        <w:t>Changes in sales return reserves for the years ended December 31, 2022, 2021 and 2020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gridSpan w:val="11"/>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708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9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 . . . . . . . . . . . . . . . . . . . . . . . . . . . . . . . . . . . . . . . . . . . . . . . . . . . .</w:t>
            </w:r>
          </w:p>
        </w:tc>
        <w:tc>
          <w:tcPr>
            <w:tcW w:w="88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$(185)</w:t>
            </w:r>
          </w:p>
        </w:tc>
        <w:tc>
          <w:tcPr>
            <w:tcW w:w="88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$(173)</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$(387)</w:t>
            </w:r>
          </w:p>
        </w:tc>
      </w:tr>
      <w:tr>
        <w:trPr>
          <w:trHeight w:val="255"/>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Reversal (provision). . . . . . . . . . . . . . . . . . . . . . . . . . . . . . . . . . . . . . . . . . . . . . . . . . .</w:t>
            </w:r>
          </w:p>
        </w:tc>
        <w:tc>
          <w:tcPr>
            <w:tcW w:w="88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(11)</w:t>
            </w:r>
          </w:p>
        </w:tc>
        <w:tc>
          <w:tcPr>
            <w:tcW w:w="88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(27)</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22</w:t>
            </w:r>
          </w:p>
        </w:tc>
        <w:tc>
          <w:tcPr>
            <w:tcW w:w="40" w:type="dxa"/>
            <w:vAlign w:val="bottom"/>
          </w:tcPr>
          <w:p>
            <w:pPr>
              <w:spacing w:after="0"/>
              <w:rPr>
                <w:sz w:val="22"/>
                <w:szCs w:val="22"/>
                <w:color w:val="auto"/>
              </w:rPr>
            </w:pPr>
          </w:p>
        </w:tc>
      </w:tr>
      <w:tr>
        <w:trPr>
          <w:trHeight w:val="255"/>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Usage . . . . . . . . . . . . . . . . . . . . . . . . . . . . . . . . . . . . . . . . . . . . . . . . . . . . . . . . . . . . . .</w:t>
            </w:r>
          </w:p>
        </w:tc>
        <w:tc>
          <w:tcPr>
            <w:tcW w:w="40" w:type="dxa"/>
            <w:vAlign w:val="bottom"/>
          </w:tcPr>
          <w:p>
            <w:pPr>
              <w:spacing w:after="0"/>
              <w:rPr>
                <w:sz w:val="22"/>
                <w:szCs w:val="22"/>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196</w:t>
            </w:r>
          </w:p>
        </w:tc>
        <w:tc>
          <w:tcPr>
            <w:tcW w:w="40" w:type="dxa"/>
            <w:vAlign w:val="bottom"/>
          </w:tcPr>
          <w:p>
            <w:pPr>
              <w:spacing w:after="0"/>
              <w:rPr>
                <w:sz w:val="22"/>
                <w:szCs w:val="22"/>
                <w:color w:val="auto"/>
              </w:rPr>
            </w:pPr>
          </w:p>
        </w:tc>
      </w:tr>
      <w:tr>
        <w:trPr>
          <w:trHeight w:val="253"/>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Translation adjustments . . . . . . . . . . . . . . . . . . . . . . . . . . . . . . . . . . . . . . . . . . . . . . . .</w:t>
            </w:r>
          </w:p>
        </w:tc>
        <w:tc>
          <w:tcPr>
            <w:tcW w:w="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0"/>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85"/>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 . . . . . . . . . . . . . . . . . . . . . . . . . . . . . . . . . . . . . . . . . . . . . . . . . . . . . .</w:t>
            </w:r>
          </w:p>
        </w:tc>
        <w:tc>
          <w:tcPr>
            <w:tcW w:w="88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(183)</w:t>
            </w:r>
          </w:p>
        </w:tc>
        <w:tc>
          <w:tcPr>
            <w:tcW w:w="88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(185)</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(173)</w:t>
            </w:r>
          </w:p>
        </w:tc>
      </w:tr>
      <w:tr>
        <w:trPr>
          <w:trHeight w:val="20"/>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right="80" w:firstLine="400"/>
        <w:spacing w:after="0" w:line="258" w:lineRule="auto"/>
        <w:rPr>
          <w:sz w:val="20"/>
          <w:szCs w:val="20"/>
          <w:color w:val="auto"/>
        </w:rPr>
      </w:pPr>
      <w:r>
        <w:rPr>
          <w:rFonts w:ascii="Times New Roman" w:cs="Times New Roman" w:eastAsia="Times New Roman" w:hAnsi="Times New Roman"/>
          <w:sz w:val="20"/>
          <w:szCs w:val="20"/>
          <w:color w:val="auto"/>
        </w:rPr>
        <w:t>Commencing in March 2012, the Company has been a party to an agreement to sell selected trade accounts receivable to a financial institution from time to time. After a sale, the Company does not retain any interest in the receivables and the applicable financial institution collects these accounts receivable directly from the customer. There were no sale of accounts receivable for the years ended December 31, 2022, 2021 and 2020. Net proceeds of this accounts receivable sale program are recognized in the consolidated statements of cash flows as part of operating cash flows.</w:t>
      </w:r>
    </w:p>
    <w:p>
      <w:pPr>
        <w:spacing w:after="0" w:line="137" w:lineRule="exact"/>
        <w:rPr>
          <w:sz w:val="20"/>
          <w:szCs w:val="20"/>
          <w:color w:val="auto"/>
        </w:rPr>
      </w:pPr>
    </w:p>
    <w:p>
      <w:pPr>
        <w:ind w:right="120" w:firstLine="400"/>
        <w:spacing w:after="0" w:line="250" w:lineRule="auto"/>
        <w:rPr>
          <w:sz w:val="20"/>
          <w:szCs w:val="20"/>
          <w:color w:val="auto"/>
        </w:rPr>
      </w:pPr>
      <w:r>
        <w:rPr>
          <w:rFonts w:ascii="Times New Roman" w:cs="Times New Roman" w:eastAsia="Times New Roman" w:hAnsi="Times New Roman"/>
          <w:sz w:val="20"/>
          <w:szCs w:val="20"/>
          <w:color w:val="auto"/>
        </w:rPr>
        <w:t>The Company uses receivable discount programs with certain customers. These discount arrangements allow the Company to accelerate collection of customers’ receivables.</w:t>
      </w:r>
    </w:p>
    <w:p>
      <w:pPr>
        <w:sectPr>
          <w:pgSz w:w="12240" w:h="15840" w:orient="portrait"/>
          <w:cols w:equalWidth="0" w:num="1">
            <w:col w:w="9440"/>
          </w:cols>
          <w:pgMar w:left="1420" w:top="889" w:right="138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440"/>
          </w:cols>
          <w:pgMar w:left="1420" w:top="889" w:right="1380" w:bottom="182" w:gutter="0" w:footer="0" w:header="0"/>
          <w:type w:val="continuous"/>
        </w:sectPr>
      </w:pPr>
    </w:p>
    <w:bookmarkStart w:id="78" w:name="page79"/>
    <w:bookmarkEnd w:id="78"/>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right="60"/>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Inventories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Inventories as of December 31, 2022 and 2021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6"/>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6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r>
      <w:tr>
        <w:trPr>
          <w:trHeight w:val="290"/>
        </w:trPr>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Finished goods.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6,799</w:t>
            </w:r>
          </w:p>
        </w:tc>
        <w:tc>
          <w:tcPr>
            <w:tcW w:w="2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9,594</w:t>
            </w:r>
          </w:p>
        </w:tc>
        <w:tc>
          <w:tcPr>
            <w:tcW w:w="80" w:type="dxa"/>
            <w:vAlign w:val="bottom"/>
          </w:tcPr>
          <w:p>
            <w:pPr>
              <w:spacing w:after="0"/>
              <w:rPr>
                <w:sz w:val="24"/>
                <w:szCs w:val="24"/>
                <w:color w:val="auto"/>
              </w:rPr>
            </w:pPr>
          </w:p>
        </w:tc>
      </w:tr>
      <w:tr>
        <w:trPr>
          <w:trHeight w:val="255"/>
        </w:trPr>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Semi-finished goods and work-in-process . . . . . . . . . . . . . . . . . . . . . . . . . . . . . . . . . . . . . .</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40,265</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25,968</w:t>
            </w:r>
          </w:p>
        </w:tc>
        <w:tc>
          <w:tcPr>
            <w:tcW w:w="80" w:type="dxa"/>
            <w:vAlign w:val="bottom"/>
          </w:tcPr>
          <w:p>
            <w:pPr>
              <w:spacing w:after="0"/>
              <w:rPr>
                <w:sz w:val="22"/>
                <w:szCs w:val="22"/>
                <w:color w:val="auto"/>
              </w:rPr>
            </w:pPr>
          </w:p>
        </w:tc>
      </w:tr>
      <w:tr>
        <w:trPr>
          <w:trHeight w:val="255"/>
        </w:trPr>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Raw materials . . . . . . . . . . . . . . . . . . . . . . . . . . . . . . . . . . . . . . . . . . . . . . . . . . . . . . . . . . . .</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7,460</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9,443</w:t>
            </w:r>
          </w:p>
        </w:tc>
        <w:tc>
          <w:tcPr>
            <w:tcW w:w="80" w:type="dxa"/>
            <w:vAlign w:val="bottom"/>
          </w:tcPr>
          <w:p>
            <w:pPr>
              <w:spacing w:after="0"/>
              <w:rPr>
                <w:sz w:val="22"/>
                <w:szCs w:val="22"/>
                <w:color w:val="auto"/>
              </w:rPr>
            </w:pPr>
          </w:p>
        </w:tc>
      </w:tr>
      <w:tr>
        <w:trPr>
          <w:trHeight w:val="255"/>
        </w:trPr>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Materials in-transit. . . . . . . . . . . . . . . . . . . . . . . . . . . . . . . . . . . . . . . . . . . . . . . . . . . . . . . . .</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80" w:type="dxa"/>
            <w:vAlign w:val="bottom"/>
          </w:tcPr>
          <w:p>
            <w:pPr>
              <w:spacing w:after="0"/>
              <w:rPr>
                <w:sz w:val="22"/>
                <w:szCs w:val="22"/>
                <w:color w:val="auto"/>
              </w:rPr>
            </w:pPr>
          </w:p>
        </w:tc>
      </w:tr>
      <w:tr>
        <w:trPr>
          <w:trHeight w:val="253"/>
        </w:trPr>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Less: inventory reserve . . . . . . . . . . . . . . . . . . . . . . . . . . . . . . . . . . . . . . . . . . . . . . . . . . . . .</w:t>
            </w:r>
          </w:p>
        </w:tc>
        <w:tc>
          <w:tcPr>
            <w:tcW w:w="10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6"/>
              </w:rPr>
              <w:t>(14,677)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(5,730)</w:t>
            </w:r>
          </w:p>
        </w:tc>
      </w:tr>
      <w:tr>
        <w:trPr>
          <w:trHeight w:val="20"/>
        </w:trPr>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Inventories, net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39,883</w:t>
            </w:r>
          </w:p>
        </w:tc>
        <w:tc>
          <w:tcPr>
            <w:tcW w:w="2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39,370</w:t>
            </w:r>
          </w:p>
        </w:tc>
        <w:tc>
          <w:tcPr>
            <w:tcW w:w="80" w:type="dxa"/>
            <w:vAlign w:val="bottom"/>
          </w:tcPr>
          <w:p>
            <w:pPr>
              <w:spacing w:after="0"/>
              <w:rPr>
                <w:sz w:val="24"/>
                <w:szCs w:val="24"/>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right="780" w:firstLine="400"/>
        <w:spacing w:after="0" w:line="239" w:lineRule="auto"/>
        <w:rPr>
          <w:sz w:val="20"/>
          <w:szCs w:val="20"/>
          <w:color w:val="auto"/>
        </w:rPr>
      </w:pPr>
      <w:r>
        <w:rPr>
          <w:rFonts w:ascii="Times New Roman" w:cs="Times New Roman" w:eastAsia="Times New Roman" w:hAnsi="Times New Roman"/>
          <w:sz w:val="20"/>
          <w:szCs w:val="20"/>
          <w:color w:val="auto"/>
        </w:rPr>
        <w:t>Changes in inventory reserve for the years ended December 31, 2022, 2021 and 2020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8"/>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69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r>
      <w:tr>
        <w:trPr>
          <w:trHeight w:val="290"/>
        </w:trPr>
        <w:tc>
          <w:tcPr>
            <w:tcW w:w="6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Beginning balance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(5,730)</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$(5,901)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$(5,947)</w:t>
            </w:r>
          </w:p>
        </w:tc>
      </w:tr>
      <w:tr>
        <w:trPr>
          <w:trHeight w:val="255"/>
        </w:trPr>
        <w:tc>
          <w:tcPr>
            <w:tcW w:w="6960" w:type="dxa"/>
            <w:vAlign w:val="bottom"/>
          </w:tcPr>
          <w:p>
            <w:pPr>
              <w:jc w:val="right"/>
              <w:ind w:right="5380"/>
              <w:spacing w:after="0"/>
              <w:rPr>
                <w:sz w:val="20"/>
                <w:szCs w:val="20"/>
                <w:color w:val="auto"/>
              </w:rPr>
            </w:pPr>
            <w:r>
              <w:rPr>
                <w:rFonts w:ascii="Times New Roman" w:cs="Times New Roman" w:eastAsia="Times New Roman" w:hAnsi="Times New Roman"/>
                <w:sz w:val="20"/>
                <w:szCs w:val="20"/>
                <w:color w:val="auto"/>
              </w:rPr>
              <w:t>Change in reserve</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5"/>
        </w:trPr>
        <w:tc>
          <w:tcPr>
            <w:tcW w:w="6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Inventory reserve charged to costs of sales . . . . . . . . . . . . . . . . . . . . . . . . . . . . . .</w:t>
            </w:r>
          </w:p>
        </w:tc>
        <w:tc>
          <w:tcPr>
            <w:tcW w:w="10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6"/>
              </w:rPr>
              <w:t>(13,310)</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(7,626)</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(7,268)</w:t>
            </w:r>
          </w:p>
        </w:tc>
      </w:tr>
      <w:tr>
        <w:trPr>
          <w:trHeight w:val="253"/>
        </w:trPr>
        <w:tc>
          <w:tcPr>
            <w:tcW w:w="6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Sale of previously reserved inventory. . . . . . . . . . . . . . . . . . . . . . . . . . . . . . . . . . .</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3,631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5,349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4,349</w:t>
            </w:r>
          </w:p>
        </w:tc>
        <w:tc>
          <w:tcPr>
            <w:tcW w:w="80" w:type="dxa"/>
            <w:vAlign w:val="bottom"/>
          </w:tcPr>
          <w:p>
            <w:pPr>
              <w:spacing w:after="0"/>
              <w:rPr>
                <w:sz w:val="22"/>
                <w:szCs w:val="22"/>
                <w:color w:val="auto"/>
              </w:rPr>
            </w:pPr>
          </w:p>
        </w:tc>
      </w:tr>
      <w:tr>
        <w:trPr>
          <w:trHeight w:val="287"/>
        </w:trPr>
        <w:tc>
          <w:tcPr>
            <w:tcW w:w="6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(9,679)</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(2,277)</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(2,919)</w:t>
            </w:r>
          </w:p>
        </w:tc>
      </w:tr>
      <w:tr>
        <w:trPr>
          <w:trHeight w:val="255"/>
        </w:trPr>
        <w:tc>
          <w:tcPr>
            <w:tcW w:w="6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Write off . . . . . . . . . . . . . . . . . . . . . . . . . . . . . . . . . . . . . . . . . . . . . . . . . . . . . . . . . . . .</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1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1,875</w:t>
            </w:r>
          </w:p>
        </w:tc>
        <w:tc>
          <w:tcPr>
            <w:tcW w:w="1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2,679</w:t>
            </w:r>
          </w:p>
        </w:tc>
        <w:tc>
          <w:tcPr>
            <w:tcW w:w="80" w:type="dxa"/>
            <w:vAlign w:val="bottom"/>
          </w:tcPr>
          <w:p>
            <w:pPr>
              <w:spacing w:after="0"/>
              <w:rPr>
                <w:sz w:val="22"/>
                <w:szCs w:val="22"/>
                <w:color w:val="auto"/>
              </w:rPr>
            </w:pPr>
          </w:p>
        </w:tc>
      </w:tr>
      <w:tr>
        <w:trPr>
          <w:trHeight w:val="255"/>
        </w:trPr>
        <w:tc>
          <w:tcPr>
            <w:tcW w:w="6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Translation adjustments . . . . . . . . . . . . . . . . . . . . . . . . . . . . . . . . . . . . . . . . . . . . . . . .</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1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573</w:t>
            </w:r>
          </w:p>
        </w:tc>
        <w:tc>
          <w:tcPr>
            <w:tcW w:w="14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(408)</w:t>
            </w:r>
          </w:p>
        </w:tc>
      </w:tr>
      <w:tr>
        <w:trPr>
          <w:trHeight w:val="253"/>
        </w:trPr>
        <w:tc>
          <w:tcPr>
            <w:tcW w:w="6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Reclassified to assets held for sale . . . . . . . . . . . . . . . . . . . . . . . . . . . . . . . . . . . . . . .</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694</w:t>
            </w:r>
          </w:p>
        </w:tc>
        <w:tc>
          <w:tcPr>
            <w:tcW w:w="80" w:type="dxa"/>
            <w:vAlign w:val="bottom"/>
          </w:tcPr>
          <w:p>
            <w:pPr>
              <w:spacing w:after="0"/>
              <w:rPr>
                <w:sz w:val="22"/>
                <w:szCs w:val="22"/>
                <w:color w:val="auto"/>
              </w:rPr>
            </w:pPr>
          </w:p>
        </w:tc>
      </w:tr>
      <w:tr>
        <w:trPr>
          <w:trHeight w:val="285"/>
        </w:trPr>
        <w:tc>
          <w:tcPr>
            <w:tcW w:w="6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Ending balance.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6"/>
              </w:rPr>
              <w:t>(14,677)</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(5,730)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(5,901)</w:t>
            </w:r>
          </w:p>
        </w:tc>
      </w:tr>
      <w:tr>
        <w:trPr>
          <w:trHeight w:val="20"/>
        </w:trPr>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60" w:firstLine="400"/>
        <w:spacing w:after="0" w:line="247" w:lineRule="auto"/>
        <w:rPr>
          <w:sz w:val="20"/>
          <w:szCs w:val="20"/>
          <w:color w:val="auto"/>
        </w:rPr>
      </w:pPr>
      <w:r>
        <w:rPr>
          <w:rFonts w:ascii="Times New Roman" w:cs="Times New Roman" w:eastAsia="Times New Roman" w:hAnsi="Times New Roman"/>
          <w:sz w:val="20"/>
          <w:szCs w:val="20"/>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Property, Plant and Equipment</w:t>
      </w:r>
    </w:p>
    <w:p>
      <w:pPr>
        <w:spacing w:after="0" w:line="120" w:lineRule="exact"/>
        <w:rPr>
          <w:sz w:val="20"/>
          <w:szCs w:val="20"/>
          <w:color w:val="auto"/>
        </w:rPr>
      </w:pPr>
    </w:p>
    <w:p>
      <w:pPr>
        <w:ind w:right="720" w:firstLine="400"/>
        <w:spacing w:after="0" w:line="239" w:lineRule="auto"/>
        <w:rPr>
          <w:sz w:val="20"/>
          <w:szCs w:val="20"/>
          <w:color w:val="auto"/>
        </w:rPr>
      </w:pPr>
      <w:r>
        <w:rPr>
          <w:rFonts w:ascii="Times New Roman" w:cs="Times New Roman" w:eastAsia="Times New Roman" w:hAnsi="Times New Roman"/>
          <w:sz w:val="20"/>
          <w:szCs w:val="20"/>
          <w:color w:val="auto"/>
        </w:rPr>
        <w:t>Property, plant and equipment as of December 31, 2022 and 2021 are comprised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r>
      <w:tr>
        <w:trPr>
          <w:trHeight w:val="290"/>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related structures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24,780</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24,273</w:t>
            </w:r>
          </w:p>
        </w:tc>
        <w:tc>
          <w:tcPr>
            <w:tcW w:w="80" w:type="dxa"/>
            <w:vAlign w:val="bottom"/>
          </w:tcPr>
          <w:p>
            <w:pPr>
              <w:spacing w:after="0"/>
              <w:rPr>
                <w:sz w:val="24"/>
                <w:szCs w:val="24"/>
                <w:color w:val="auto"/>
              </w:rPr>
            </w:pPr>
          </w:p>
        </w:tc>
      </w:tr>
      <w:tr>
        <w:trPr>
          <w:trHeight w:val="25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Machinery and equipment . . . . . . . . . . . . . . . . . . . . . . . . . . . . . . . . . . . . . . . . . . . . . . . . . . .</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137,666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105,300</w:t>
            </w:r>
          </w:p>
        </w:tc>
        <w:tc>
          <w:tcPr>
            <w:tcW w:w="80" w:type="dxa"/>
            <w:vAlign w:val="bottom"/>
          </w:tcPr>
          <w:p>
            <w:pPr>
              <w:spacing w:after="0"/>
              <w:rPr>
                <w:sz w:val="22"/>
                <w:szCs w:val="22"/>
                <w:color w:val="auto"/>
              </w:rPr>
            </w:pPr>
          </w:p>
        </w:tc>
      </w:tr>
      <w:tr>
        <w:trPr>
          <w:trHeight w:val="25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right-of-use assets. . . . . . . . . . . . . . . . . . . . . . . . . . . . . . . . . . . . . . . . . . . . . .</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80" w:type="dxa"/>
            <w:vAlign w:val="bottom"/>
          </w:tcPr>
          <w:p>
            <w:pPr>
              <w:spacing w:after="0"/>
              <w:rPr>
                <w:sz w:val="22"/>
                <w:szCs w:val="22"/>
                <w:color w:val="auto"/>
              </w:rPr>
            </w:pPr>
          </w:p>
        </w:tc>
      </w:tr>
      <w:tr>
        <w:trPr>
          <w:trHeight w:val="253"/>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Others. . . . . . . . . . . . . . . . . . . . . . . . . . . . . . . . . . . . . . . . . . . . . . . . . . . . . . . . . . . . . . . . . . .</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33,890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32,396</w:t>
            </w:r>
          </w:p>
        </w:tc>
        <w:tc>
          <w:tcPr>
            <w:tcW w:w="80" w:type="dxa"/>
            <w:vAlign w:val="bottom"/>
          </w:tcPr>
          <w:p>
            <w:pPr>
              <w:spacing w:after="0"/>
              <w:rPr>
                <w:sz w:val="22"/>
                <w:szCs w:val="22"/>
                <w:color w:val="auto"/>
              </w:rPr>
            </w:pPr>
          </w:p>
        </w:tc>
      </w:tr>
      <w:tr>
        <w:trPr>
          <w:trHeight w:val="287"/>
        </w:trPr>
        <w:tc>
          <w:tcPr>
            <w:tcW w:w="7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196,725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162,285</w:t>
            </w:r>
          </w:p>
        </w:tc>
        <w:tc>
          <w:tcPr>
            <w:tcW w:w="80" w:type="dxa"/>
            <w:vAlign w:val="bottom"/>
          </w:tcPr>
          <w:p>
            <w:pPr>
              <w:spacing w:after="0"/>
              <w:rPr>
                <w:sz w:val="24"/>
                <w:szCs w:val="24"/>
                <w:color w:val="auto"/>
              </w:rPr>
            </w:pPr>
          </w:p>
        </w:tc>
      </w:tr>
      <w:tr>
        <w:trPr>
          <w:trHeight w:val="25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 . . . . . . . . . . . . . . . . . . . . . . . . . . . . . . . . . . . . . . . . . . . . .</w:t>
            </w:r>
          </w:p>
        </w:tc>
        <w:tc>
          <w:tcPr>
            <w:tcW w:w="10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6"/>
              </w:rPr>
              <w:t>(101,502)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(94,119)</w:t>
            </w:r>
          </w:p>
        </w:tc>
      </w:tr>
      <w:tr>
        <w:trPr>
          <w:trHeight w:val="25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Land . . . . . . . . . . . . . . . . . . . . . . . . . . . . . . . . . . . . . . . . . . . . . . . . . . . . . . . . . . . . . . . . . . . .</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13,898</w:t>
            </w:r>
          </w:p>
        </w:tc>
        <w:tc>
          <w:tcPr>
            <w:tcW w:w="80" w:type="dxa"/>
            <w:vAlign w:val="bottom"/>
          </w:tcPr>
          <w:p>
            <w:pPr>
              <w:spacing w:after="0"/>
              <w:rPr>
                <w:sz w:val="22"/>
                <w:szCs w:val="22"/>
                <w:color w:val="auto"/>
              </w:rPr>
            </w:pPr>
          </w:p>
        </w:tc>
      </w:tr>
      <w:tr>
        <w:trPr>
          <w:trHeight w:val="253"/>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 . . . . . . . . . . . . . . . . . . . . . . . . . . . . . . . . . . . . . . . . . . . . . . . . . . . .</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25,818</w:t>
            </w:r>
          </w:p>
        </w:tc>
        <w:tc>
          <w:tcPr>
            <w:tcW w:w="80" w:type="dxa"/>
            <w:vAlign w:val="bottom"/>
          </w:tcPr>
          <w:p>
            <w:pPr>
              <w:spacing w:after="0"/>
              <w:rPr>
                <w:sz w:val="22"/>
                <w:szCs w:val="22"/>
                <w:color w:val="auto"/>
              </w:rPr>
            </w:pPr>
          </w:p>
        </w:tc>
      </w:tr>
      <w:tr>
        <w:trPr>
          <w:trHeight w:val="28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net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110,747</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107,882</w:t>
            </w:r>
          </w:p>
        </w:tc>
        <w:tc>
          <w:tcPr>
            <w:tcW w:w="80" w:type="dxa"/>
            <w:vAlign w:val="bottom"/>
          </w:tcPr>
          <w:p>
            <w:pPr>
              <w:spacing w:after="0"/>
              <w:rPr>
                <w:sz w:val="24"/>
                <w:szCs w:val="24"/>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440"/>
          </w:cols>
          <w:pgMar w:left="1420" w:top="889" w:right="1380" w:bottom="182"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440"/>
          </w:cols>
          <w:pgMar w:left="1420" w:top="889" w:right="1380" w:bottom="182"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160" w:firstLine="400"/>
        <w:spacing w:after="0" w:line="250" w:lineRule="auto"/>
        <w:rPr>
          <w:sz w:val="20"/>
          <w:szCs w:val="20"/>
          <w:color w:val="auto"/>
        </w:rPr>
      </w:pPr>
      <w:r>
        <w:rPr>
          <w:rFonts w:ascii="Times New Roman" w:cs="Times New Roman" w:eastAsia="Times New Roman" w:hAnsi="Times New Roman"/>
          <w:sz w:val="20"/>
          <w:szCs w:val="20"/>
          <w:color w:val="auto"/>
        </w:rPr>
        <w:t>Aggregate depreciation expenses totaled $14,317 thousand, $13,495 thousand and $10,448 thousand for the years ended December 31, 2022, 2021 and 2020, respectively.</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Intangible Assets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Intangible assets as of December 31, 2022 and 2021 are comprised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540" w:type="dxa"/>
            <w:vAlign w:val="bottom"/>
            <w:tcBorders>
              <w:bottom w:val="single" w:sz="8" w:color="auto"/>
            </w:tcBorders>
          </w:tcPr>
          <w:p>
            <w:pPr>
              <w:spacing w:after="0"/>
              <w:rPr>
                <w:sz w:val="16"/>
                <w:szCs w:val="16"/>
                <w:color w:val="auto"/>
              </w:rPr>
            </w:pPr>
          </w:p>
        </w:tc>
      </w:tr>
      <w:tr>
        <w:trPr>
          <w:trHeight w:val="210"/>
        </w:trPr>
        <w:tc>
          <w:tcPr>
            <w:tcW w:w="69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220" w:type="dxa"/>
            <w:vAlign w:val="bottom"/>
          </w:tcPr>
          <w:p>
            <w:pPr>
              <w:spacing w:after="0"/>
              <w:rPr>
                <w:sz w:val="18"/>
                <w:szCs w:val="18"/>
                <w:color w:val="auto"/>
              </w:rPr>
            </w:pPr>
          </w:p>
        </w:tc>
        <w:tc>
          <w:tcPr>
            <w:tcW w:w="11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185"/>
        </w:trPr>
        <w:tc>
          <w:tcPr>
            <w:tcW w:w="6940" w:type="dxa"/>
            <w:vAlign w:val="bottom"/>
          </w:tcPr>
          <w:p>
            <w:pPr>
              <w:spacing w:after="0"/>
              <w:rPr>
                <w:sz w:val="16"/>
                <w:szCs w:val="16"/>
                <w:color w:val="auto"/>
              </w:rPr>
            </w:pPr>
          </w:p>
        </w:tc>
        <w:tc>
          <w:tcPr>
            <w:tcW w:w="54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20"/>
              <w:spacing w:after="0" w:line="182" w:lineRule="exact"/>
              <w:rPr>
                <w:sz w:val="20"/>
                <w:szCs w:val="20"/>
                <w:color w:val="auto"/>
              </w:rPr>
            </w:pPr>
            <w:r>
              <w:rPr>
                <w:rFonts w:ascii="Times New Roman" w:cs="Times New Roman" w:eastAsia="Times New Roman" w:hAnsi="Times New Roman"/>
                <w:sz w:val="16"/>
                <w:szCs w:val="16"/>
                <w:b w:val="1"/>
                <w:bCs w:val="1"/>
                <w:color w:val="auto"/>
                <w:w w:val="97"/>
              </w:rPr>
              <w:t>amortization</w:t>
            </w:r>
          </w:p>
        </w:tc>
        <w:tc>
          <w:tcPr>
            <w:tcW w:w="220" w:type="dxa"/>
            <w:vAlign w:val="bottom"/>
          </w:tcPr>
          <w:p>
            <w:pPr>
              <w:spacing w:after="0"/>
              <w:rPr>
                <w:sz w:val="16"/>
                <w:szCs w:val="16"/>
                <w:color w:val="auto"/>
              </w:rPr>
            </w:pPr>
          </w:p>
        </w:tc>
        <w:tc>
          <w:tcPr>
            <w:tcW w:w="54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amount</w:t>
            </w:r>
          </w:p>
        </w:tc>
      </w:tr>
      <w:tr>
        <w:trPr>
          <w:trHeight w:val="288"/>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Intellectual property assets . . . . . . . . . . . . . . . . . . . . . . . . . . . . . . . . . . . . . . . . . . . . .</w:t>
            </w: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9,111</w:t>
            </w:r>
          </w:p>
        </w:tc>
        <w:tc>
          <w:tcPr>
            <w:tcW w:w="11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(7,181)</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1,930</w:t>
            </w:r>
          </w:p>
        </w:tc>
      </w:tr>
      <w:tr>
        <w:trPr>
          <w:trHeight w:val="20"/>
        </w:trPr>
        <w:tc>
          <w:tcPr>
            <w:tcW w:w="69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85"/>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 . . . . . . . . . . . . . . . . . . . . . . . . . . . . . . . . . . . . . . . . . . . . . . . . . . . . .</w:t>
            </w: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9,111</w:t>
            </w:r>
          </w:p>
        </w:tc>
        <w:tc>
          <w:tcPr>
            <w:tcW w:w="11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(7,181)</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1,930</w:t>
            </w:r>
          </w:p>
        </w:tc>
      </w:tr>
      <w:tr>
        <w:trPr>
          <w:trHeight w:val="20"/>
        </w:trPr>
        <w:tc>
          <w:tcPr>
            <w:tcW w:w="6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452"/>
        </w:trPr>
        <w:tc>
          <w:tcPr>
            <w:tcW w:w="69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540" w:type="dxa"/>
            <w:vAlign w:val="bottom"/>
            <w:tcBorders>
              <w:bottom w:val="single" w:sz="8" w:color="auto"/>
            </w:tcBorders>
          </w:tcPr>
          <w:p>
            <w:pPr>
              <w:spacing w:after="0"/>
              <w:rPr>
                <w:sz w:val="24"/>
                <w:szCs w:val="24"/>
                <w:color w:val="auto"/>
              </w:rPr>
            </w:pPr>
          </w:p>
        </w:tc>
      </w:tr>
      <w:tr>
        <w:trPr>
          <w:trHeight w:val="210"/>
        </w:trPr>
        <w:tc>
          <w:tcPr>
            <w:tcW w:w="69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185"/>
        </w:trPr>
        <w:tc>
          <w:tcPr>
            <w:tcW w:w="6940" w:type="dxa"/>
            <w:vAlign w:val="bottom"/>
          </w:tcPr>
          <w:p>
            <w:pPr>
              <w:spacing w:after="0"/>
              <w:rPr>
                <w:sz w:val="16"/>
                <w:szCs w:val="16"/>
                <w:color w:val="auto"/>
              </w:rPr>
            </w:pPr>
          </w:p>
        </w:tc>
        <w:tc>
          <w:tcPr>
            <w:tcW w:w="54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bottom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220" w:type="dxa"/>
            <w:vAlign w:val="bottom"/>
          </w:tcPr>
          <w:p>
            <w:pPr>
              <w:spacing w:after="0"/>
              <w:rPr>
                <w:sz w:val="16"/>
                <w:szCs w:val="16"/>
                <w:color w:val="auto"/>
              </w:rPr>
            </w:pPr>
          </w:p>
        </w:tc>
        <w:tc>
          <w:tcPr>
            <w:tcW w:w="54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amount</w:t>
            </w:r>
          </w:p>
        </w:tc>
      </w:tr>
      <w:tr>
        <w:trPr>
          <w:trHeight w:val="288"/>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Intellectual property assets . . . . . . . . . . . . . . . . . . . . . . . . . . . . . . . . . . . . . . . . . . . . .</w:t>
            </w: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9,312</w:t>
            </w:r>
          </w:p>
        </w:tc>
        <w:tc>
          <w:tcPr>
            <w:tcW w:w="11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(6,935)</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2,377</w:t>
            </w:r>
          </w:p>
        </w:tc>
      </w:tr>
      <w:tr>
        <w:trPr>
          <w:trHeight w:val="20"/>
        </w:trPr>
        <w:tc>
          <w:tcPr>
            <w:tcW w:w="69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85"/>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 . . . . . . . . . . . . . . . . . . . . . . . . . . . . . . . . . . . . . . . . . . . . . . . . . . . . .</w:t>
            </w: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9,312</w:t>
            </w:r>
          </w:p>
        </w:tc>
        <w:tc>
          <w:tcPr>
            <w:tcW w:w="11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(6,935)</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2,377</w:t>
            </w:r>
          </w:p>
        </w:tc>
      </w:tr>
      <w:tr>
        <w:trPr>
          <w:trHeight w:val="20"/>
        </w:trPr>
        <w:tc>
          <w:tcPr>
            <w:tcW w:w="6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1120" w:firstLine="400"/>
        <w:spacing w:after="0" w:line="250" w:lineRule="auto"/>
        <w:rPr>
          <w:sz w:val="20"/>
          <w:szCs w:val="20"/>
          <w:color w:val="auto"/>
        </w:rPr>
      </w:pPr>
      <w:r>
        <w:rPr>
          <w:rFonts w:ascii="Times New Roman" w:cs="Times New Roman" w:eastAsia="Times New Roman" w:hAnsi="Times New Roman"/>
          <w:sz w:val="20"/>
          <w:szCs w:val="20"/>
          <w:color w:val="auto"/>
        </w:rPr>
        <w:t>Aggregate amortization expense for intangible assets totaled $683 thousand, $744 thousand and $668 thousand for the years ended December 31, 2022, 2021 and 2020, respectively.</w:t>
      </w:r>
    </w:p>
    <w:p>
      <w:pPr>
        <w:spacing w:after="0" w:line="141" w:lineRule="exact"/>
        <w:rPr>
          <w:sz w:val="20"/>
          <w:szCs w:val="20"/>
          <w:color w:val="auto"/>
        </w:rPr>
      </w:pPr>
    </w:p>
    <w:p>
      <w:pPr>
        <w:ind w:right="880" w:firstLine="400"/>
        <w:spacing w:after="0" w:line="255" w:lineRule="auto"/>
        <w:rPr>
          <w:sz w:val="20"/>
          <w:szCs w:val="20"/>
          <w:color w:val="auto"/>
        </w:rPr>
      </w:pPr>
      <w:r>
        <w:rPr>
          <w:rFonts w:ascii="Times New Roman" w:cs="Times New Roman" w:eastAsia="Times New Roman" w:hAnsi="Times New Roman"/>
          <w:sz w:val="20"/>
          <w:szCs w:val="20"/>
          <w:color w:val="auto"/>
        </w:rPr>
        <w:t>The aggregate amortization expense of intangible assets for the next five years are estimated to be $595 thousand, $456 thousand, $339 thousand, $235 thousand and $148 thousand for the years ended December 31, 2023, 2024, 2025, 2026 and 2027, respectively.</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Leases</w:t>
      </w:r>
    </w:p>
    <w:p>
      <w:pPr>
        <w:spacing w:after="0" w:line="130" w:lineRule="exact"/>
        <w:rPr>
          <w:sz w:val="20"/>
          <w:szCs w:val="20"/>
          <w:color w:val="auto"/>
        </w:rPr>
      </w:pPr>
    </w:p>
    <w:p>
      <w:pPr>
        <w:ind w:right="360" w:firstLine="400"/>
        <w:spacing w:after="0" w:line="250" w:lineRule="auto"/>
        <w:rPr>
          <w:sz w:val="20"/>
          <w:szCs w:val="20"/>
          <w:color w:val="auto"/>
        </w:rPr>
      </w:pPr>
      <w:r>
        <w:rPr>
          <w:rFonts w:ascii="Times New Roman" w:cs="Times New Roman" w:eastAsia="Times New Roman" w:hAnsi="Times New Roman"/>
          <w:sz w:val="20"/>
          <w:szCs w:val="20"/>
          <w:color w:val="auto"/>
        </w:rPr>
        <w:t>The Company has operating and finance leases for buildings and other assets such as vehicles and office equipment. The Company’s leases have remaining lease terms ranging from 1 year to 5 years.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tables below present financial information related to the Company’s leases.</w:t>
      </w:r>
    </w:p>
    <w:p>
      <w:pPr>
        <w:spacing w:after="0" w:line="150" w:lineRule="exact"/>
        <w:rPr>
          <w:sz w:val="20"/>
          <w:szCs w:val="20"/>
          <w:color w:val="auto"/>
        </w:rPr>
      </w:pPr>
    </w:p>
    <w:p>
      <w:pPr>
        <w:ind w:right="80" w:firstLine="400"/>
        <w:spacing w:after="0" w:line="250" w:lineRule="auto"/>
        <w:rPr>
          <w:sz w:val="20"/>
          <w:szCs w:val="20"/>
          <w:color w:val="auto"/>
        </w:rPr>
      </w:pPr>
      <w:r>
        <w:rPr>
          <w:rFonts w:ascii="Times New Roman" w:cs="Times New Roman" w:eastAsia="Times New Roman" w:hAnsi="Times New Roman"/>
          <w:sz w:val="20"/>
          <w:szCs w:val="20"/>
          <w:color w:val="auto"/>
        </w:rPr>
        <w:t>Supplemental balance sheets information related to leases as of December 31, 2022 and 2021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360" w:type="dxa"/>
            <w:vAlign w:val="bottom"/>
          </w:tcPr>
          <w:p>
            <w:pPr>
              <w:spacing w:after="0"/>
              <w:rPr>
                <w:sz w:val="18"/>
                <w:szCs w:val="18"/>
                <w:color w:val="auto"/>
              </w:rPr>
            </w:pPr>
          </w:p>
        </w:tc>
        <w:tc>
          <w:tcPr>
            <w:tcW w:w="4680" w:type="dxa"/>
            <w:vAlign w:val="bottom"/>
            <w:gridSpan w:val="2"/>
          </w:tcPr>
          <w:p>
            <w:pPr>
              <w:ind w:left="170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90"/>
        </w:trPr>
        <w:tc>
          <w:tcPr>
            <w:tcW w:w="2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60" w:type="dxa"/>
            <w:vAlign w:val="bottom"/>
          </w:tcPr>
          <w:p>
            <w:pPr>
              <w:spacing w:after="0"/>
              <w:rPr>
                <w:sz w:val="24"/>
                <w:szCs w:val="24"/>
                <w:color w:val="auto"/>
              </w:rPr>
            </w:pPr>
          </w:p>
        </w:tc>
        <w:tc>
          <w:tcPr>
            <w:tcW w:w="43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 . . . . . . . . . . . . .</w:t>
            </w:r>
          </w:p>
        </w:tc>
        <w:tc>
          <w:tcPr>
            <w:tcW w:w="504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$5,265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$4,275</w:t>
            </w:r>
          </w:p>
        </w:tc>
        <w:tc>
          <w:tcPr>
            <w:tcW w:w="0" w:type="dxa"/>
            <w:vAlign w:val="bottom"/>
          </w:tcPr>
          <w:p>
            <w:pPr>
              <w:spacing w:after="0"/>
              <w:rPr>
                <w:sz w:val="1"/>
                <w:szCs w:val="1"/>
                <w:color w:val="auto"/>
              </w:rPr>
            </w:pPr>
          </w:p>
        </w:tc>
      </w:tr>
      <w:tr>
        <w:trPr>
          <w:trHeight w:val="253"/>
        </w:trPr>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Finance lease . . . . . . . . . . . . . . . .</w:t>
            </w:r>
          </w:p>
        </w:tc>
        <w:tc>
          <w:tcPr>
            <w:tcW w:w="504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36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85"/>
        </w:trPr>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Total lease assets </w:t>
            </w:r>
            <w:r>
              <w:rPr>
                <w:rFonts w:ascii="Times New Roman" w:cs="Times New Roman" w:eastAsia="Times New Roman" w:hAnsi="Times New Roman"/>
                <w:sz w:val="20"/>
                <w:szCs w:val="20"/>
                <w:color w:val="auto"/>
              </w:rPr>
              <w:t>. . . . . . . . . . . . . .</w:t>
            </w:r>
          </w:p>
        </w:tc>
        <w:tc>
          <w:tcPr>
            <w:tcW w:w="3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5,408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4,401</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2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36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 . . . . . . . . . . . . . . . . . .</w:t>
            </w:r>
          </w:p>
        </w:tc>
        <w:tc>
          <w:tcPr>
            <w:tcW w:w="504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$1,397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$2,323</w:t>
            </w:r>
          </w:p>
        </w:tc>
        <w:tc>
          <w:tcPr>
            <w:tcW w:w="0" w:type="dxa"/>
            <w:vAlign w:val="bottom"/>
          </w:tcPr>
          <w:p>
            <w:pPr>
              <w:spacing w:after="0"/>
              <w:rPr>
                <w:sz w:val="1"/>
                <w:szCs w:val="1"/>
                <w:color w:val="auto"/>
              </w:rPr>
            </w:pPr>
          </w:p>
        </w:tc>
      </w:tr>
      <w:tr>
        <w:trPr>
          <w:trHeight w:val="255"/>
        </w:trPr>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Finance . . . . . . . . . . . . . . . . . . . .</w:t>
            </w:r>
          </w:p>
        </w:tc>
        <w:tc>
          <w:tcPr>
            <w:tcW w:w="504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55"/>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Non-current</w:t>
            </w:r>
          </w:p>
        </w:tc>
        <w:tc>
          <w:tcPr>
            <w:tcW w:w="36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 . . . . . . . . . . . . . . . . . .</w:t>
            </w:r>
          </w:p>
        </w:tc>
        <w:tc>
          <w:tcPr>
            <w:tcW w:w="504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Non-current operating lease liabilities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1,952</w:t>
            </w:r>
          </w:p>
        </w:tc>
        <w:tc>
          <w:tcPr>
            <w:tcW w:w="0" w:type="dxa"/>
            <w:vAlign w:val="bottom"/>
          </w:tcPr>
          <w:p>
            <w:pPr>
              <w:spacing w:after="0"/>
              <w:rPr>
                <w:sz w:val="1"/>
                <w:szCs w:val="1"/>
                <w:color w:val="auto"/>
              </w:rPr>
            </w:pPr>
          </w:p>
        </w:tc>
      </w:tr>
      <w:tr>
        <w:trPr>
          <w:trHeight w:val="253"/>
        </w:trPr>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Finance . . . . . . . . . . . . . . . . . . . .</w:t>
            </w:r>
          </w:p>
        </w:tc>
        <w:tc>
          <w:tcPr>
            <w:tcW w:w="504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36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85"/>
        </w:trPr>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Total lease liabilities </w:t>
            </w:r>
            <w:r>
              <w:rPr>
                <w:rFonts w:ascii="Times New Roman" w:cs="Times New Roman" w:eastAsia="Times New Roman" w:hAnsi="Times New Roman"/>
                <w:sz w:val="20"/>
                <w:szCs w:val="20"/>
                <w:color w:val="auto"/>
              </w:rPr>
              <w:t>. . . . . . . . . . .</w:t>
            </w:r>
          </w:p>
        </w:tc>
        <w:tc>
          <w:tcPr>
            <w:tcW w:w="3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5,641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4,416</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80"/>
          </w:cols>
          <w:pgMar w:left="1420" w:top="889" w:right="1440" w:bottom="182"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presents the weighted average remaining lease term and discount rate: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20" w:type="dxa"/>
            <w:vAlign w:val="bottom"/>
            <w:tcBorders>
              <w:bottom w:val="single" w:sz="8" w:color="auto"/>
            </w:tcBorders>
          </w:tcPr>
          <w:p>
            <w:pPr>
              <w:spacing w:after="0"/>
              <w:rPr>
                <w:sz w:val="16"/>
                <w:szCs w:val="16"/>
                <w:color w:val="auto"/>
              </w:rPr>
            </w:pPr>
          </w:p>
        </w:tc>
      </w:tr>
      <w:tr>
        <w:trPr>
          <w:trHeight w:val="212"/>
        </w:trPr>
        <w:tc>
          <w:tcPr>
            <w:tcW w:w="7540" w:type="dxa"/>
            <w:vAlign w:val="bottom"/>
          </w:tcPr>
          <w:p>
            <w:pPr>
              <w:spacing w:after="0"/>
              <w:rPr>
                <w:sz w:val="18"/>
                <w:szCs w:val="18"/>
                <w:color w:val="auto"/>
              </w:rPr>
            </w:pPr>
          </w:p>
        </w:tc>
        <w:tc>
          <w:tcPr>
            <w:tcW w:w="740" w:type="dxa"/>
            <w:vAlign w:val="bottom"/>
            <w:tcBorders>
              <w:bottom w:val="single" w:sz="8" w:color="auto"/>
            </w:tcBorders>
            <w:gridSpan w:val="2"/>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Pr>
          <w:p>
            <w:pPr>
              <w:spacing w:after="0"/>
              <w:rPr>
                <w:sz w:val="18"/>
                <w:szCs w:val="18"/>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93"/>
        </w:trPr>
        <w:tc>
          <w:tcPr>
            <w:tcW w:w="7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 average remaining lease term</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5"/>
        </w:trPr>
        <w:tc>
          <w:tcPr>
            <w:tcW w:w="7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leases. . . . . . . . . . . . . . . . . . . . . . . . . . . . . . . . . . . . . . . . . . . . . . . . . . . . . . . . .</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3.7</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years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2.4</w:t>
            </w:r>
          </w:p>
        </w:tc>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4"/>
              </w:rPr>
              <w:t>years</w:t>
            </w:r>
          </w:p>
        </w:tc>
      </w:tr>
      <w:tr>
        <w:trPr>
          <w:trHeight w:val="255"/>
        </w:trPr>
        <w:tc>
          <w:tcPr>
            <w:tcW w:w="7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Finance leases . . . . . . . . . . . . . . . . . . . . . . . . . . . . . . . . . . . . . . . . . . . . . . . . . . . . . . . . . .</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2.4</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years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w:t>
            </w:r>
          </w:p>
        </w:tc>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4"/>
              </w:rPr>
              <w:t>years</w:t>
            </w:r>
          </w:p>
        </w:tc>
      </w:tr>
      <w:tr>
        <w:trPr>
          <w:trHeight w:val="255"/>
        </w:trPr>
        <w:tc>
          <w:tcPr>
            <w:tcW w:w="7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 average discount rate</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5"/>
        </w:trPr>
        <w:tc>
          <w:tcPr>
            <w:tcW w:w="7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leases. . . . . . . . . . . . . . . . . . . . . . . . . . . . . . . . . . . . . . . . . . . . . . . . . . . . . . . . .</w:t>
            </w:r>
          </w:p>
        </w:tc>
        <w:tc>
          <w:tcPr>
            <w:tcW w:w="300" w:type="dxa"/>
            <w:vAlign w:val="bottom"/>
          </w:tcPr>
          <w:p>
            <w:pPr>
              <w:spacing w:after="0"/>
              <w:rPr>
                <w:sz w:val="22"/>
                <w:szCs w:val="22"/>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5"/>
              </w:rPr>
              <w:t>6.6%</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5"/>
              </w:rPr>
              <w:t>4.2%</w:t>
            </w:r>
          </w:p>
        </w:tc>
      </w:tr>
      <w:tr>
        <w:trPr>
          <w:trHeight w:val="255"/>
        </w:trPr>
        <w:tc>
          <w:tcPr>
            <w:tcW w:w="7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Finance leases . . . . . . . . . . . . . . . . . . . . . . . . . . . . . . . . . . . . . . . . . . . . . . . . . . . . . . . . . .</w:t>
            </w:r>
          </w:p>
        </w:tc>
        <w:tc>
          <w:tcPr>
            <w:tcW w:w="300" w:type="dxa"/>
            <w:vAlign w:val="bottom"/>
          </w:tcPr>
          <w:p>
            <w:pPr>
              <w:spacing w:after="0"/>
              <w:rPr>
                <w:sz w:val="22"/>
                <w:szCs w:val="22"/>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5"/>
              </w:rPr>
              <w:t>7.6%</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5"/>
              </w:rPr>
              <w:t>7.8%</w:t>
            </w:r>
          </w:p>
        </w:tc>
      </w:tr>
    </w:tbl>
    <w:p>
      <w:pPr>
        <w:spacing w:after="0" w:line="165" w:lineRule="exact"/>
        <w:rPr>
          <w:sz w:val="20"/>
          <w:szCs w:val="20"/>
          <w:color w:val="auto"/>
        </w:rPr>
      </w:pPr>
    </w:p>
    <w:p>
      <w:pPr>
        <w:ind w:right="560" w:firstLine="400"/>
        <w:spacing w:after="0" w:line="250" w:lineRule="auto"/>
        <w:rPr>
          <w:sz w:val="20"/>
          <w:szCs w:val="20"/>
          <w:color w:val="auto"/>
        </w:rPr>
      </w:pPr>
      <w:r>
        <w:rPr>
          <w:rFonts w:ascii="Times New Roman" w:cs="Times New Roman" w:eastAsia="Times New Roman" w:hAnsi="Times New Roman"/>
          <w:sz w:val="20"/>
          <w:szCs w:val="20"/>
          <w:color w:val="auto"/>
        </w:rPr>
        <w:t>The components of lease cost included in the Company’s consolidated statements of operations,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Pr>
          <w:p>
            <w:pPr>
              <w:spacing w:after="0"/>
              <w:rPr>
                <w:sz w:val="16"/>
                <w:szCs w:val="16"/>
                <w:color w:val="auto"/>
              </w:rPr>
            </w:pPr>
          </w:p>
        </w:tc>
        <w:tc>
          <w:tcPr>
            <w:tcW w:w="230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7060" w:type="dxa"/>
            <w:vAlign w:val="bottom"/>
          </w:tcPr>
          <w:p>
            <w:pPr>
              <w:spacing w:after="0"/>
              <w:rPr>
                <w:sz w:val="18"/>
                <w:szCs w:val="18"/>
                <w:color w:val="auto"/>
              </w:rPr>
            </w:pPr>
          </w:p>
        </w:tc>
        <w:tc>
          <w:tcPr>
            <w:tcW w:w="5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90"/>
        </w:trPr>
        <w:tc>
          <w:tcPr>
            <w:tcW w:w="70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Operating lease cost. . . . . . . . . . . . . . . . . . . . .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$2,261</w:t>
            </w: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$2,777</w:t>
            </w: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$1,885</w:t>
            </w:r>
          </w:p>
        </w:tc>
      </w:tr>
      <w:tr>
        <w:trPr>
          <w:trHeight w:val="255"/>
        </w:trPr>
        <w:tc>
          <w:tcPr>
            <w:tcW w:w="7060" w:type="dxa"/>
            <w:vAlign w:val="bottom"/>
          </w:tcPr>
          <w:p>
            <w:pPr>
              <w:jc w:val="right"/>
              <w:ind w:right="5460"/>
              <w:spacing w:after="0"/>
              <w:rPr>
                <w:sz w:val="20"/>
                <w:szCs w:val="20"/>
                <w:color w:val="auto"/>
              </w:rPr>
            </w:pPr>
            <w:r>
              <w:rPr>
                <w:rFonts w:ascii="Times New Roman" w:cs="Times New Roman" w:eastAsia="Times New Roman" w:hAnsi="Times New Roman"/>
                <w:sz w:val="20"/>
                <w:szCs w:val="20"/>
                <w:color w:val="auto"/>
              </w:rPr>
              <w:t>Finance lease cost</w:t>
            </w: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5"/>
        </w:trPr>
        <w:tc>
          <w:tcPr>
            <w:tcW w:w="70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Amortization of right-of-use assets . . . . . . .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3"/>
        </w:trPr>
        <w:tc>
          <w:tcPr>
            <w:tcW w:w="70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Interest on lease liabilities . . . . . . . . . . . . . . . . . . . . . . . . . . . . . . . . . . . . . . . . . . . .</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0"/>
        </w:trPr>
        <w:tc>
          <w:tcPr>
            <w:tcW w:w="70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85"/>
        </w:trPr>
        <w:tc>
          <w:tcPr>
            <w:tcW w:w="70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Total lease cost. . . . . . . . . . . . . . . . . . . . . . . . .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2,339</w:t>
            </w: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2,856</w:t>
            </w: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1,966</w:t>
            </w:r>
          </w:p>
        </w:tc>
      </w:tr>
      <w:tr>
        <w:trPr>
          <w:trHeight w:val="20"/>
        </w:trPr>
        <w:tc>
          <w:tcPr>
            <w:tcW w:w="7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140" w:firstLine="400"/>
        <w:spacing w:after="0" w:line="250" w:lineRule="auto"/>
        <w:rPr>
          <w:sz w:val="20"/>
          <w:szCs w:val="20"/>
          <w:color w:val="auto"/>
        </w:rPr>
      </w:pPr>
      <w:r>
        <w:rPr>
          <w:rFonts w:ascii="Times New Roman" w:cs="Times New Roman" w:eastAsia="Times New Roman" w:hAnsi="Times New Roman"/>
          <w:sz w:val="20"/>
          <w:szCs w:val="20"/>
          <w:color w:val="auto"/>
        </w:rPr>
        <w:t>The above table does not include an immaterial cost of short-term leases for the years ended December 31, 2022, 2021 and 2020.</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Other lease information is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2"/>
        </w:trPr>
        <w:tc>
          <w:tcPr>
            <w:tcW w:w="69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93"/>
        </w:trPr>
        <w:tc>
          <w:tcPr>
            <w:tcW w:w="6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paid for amounts included in the measurement of lease liabilities</w:t>
            </w:r>
          </w:p>
        </w:tc>
        <w:tc>
          <w:tcPr>
            <w:tcW w:w="1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55"/>
        </w:trPr>
        <w:tc>
          <w:tcPr>
            <w:tcW w:w="6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from operating leases.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$2,276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$2,777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$1,885</w:t>
            </w:r>
          </w:p>
        </w:tc>
      </w:tr>
      <w:tr>
        <w:trPr>
          <w:trHeight w:val="255"/>
        </w:trPr>
        <w:tc>
          <w:tcPr>
            <w:tcW w:w="6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from finance leases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5"/>
        </w:trPr>
        <w:tc>
          <w:tcPr>
            <w:tcW w:w="6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Financing cash flows from finance leases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r>
    </w:tbl>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Non-cash transaction amounts of lease liabilities arising from obtaining right-of-use assets were</w:t>
      </w:r>
    </w:p>
    <w:p>
      <w:pPr>
        <w:spacing w:after="0" w:line="3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$4,601 thousand, $2,768 thousand and $4,702 thousand for the years ended December 31, 2022, 2021 and 2020, respectively.</w:t>
      </w:r>
    </w:p>
    <w:p>
      <w:pPr>
        <w:spacing w:after="0" w:line="131" w:lineRule="exact"/>
        <w:rPr>
          <w:sz w:val="20"/>
          <w:szCs w:val="20"/>
          <w:color w:val="auto"/>
        </w:rPr>
      </w:pPr>
    </w:p>
    <w:p>
      <w:pPr>
        <w:ind w:right="620" w:firstLine="400"/>
        <w:spacing w:after="0" w:line="239" w:lineRule="auto"/>
        <w:rPr>
          <w:sz w:val="20"/>
          <w:szCs w:val="20"/>
          <w:color w:val="auto"/>
        </w:rPr>
      </w:pPr>
      <w:r>
        <w:rPr>
          <w:rFonts w:ascii="Times New Roman" w:cs="Times New Roman" w:eastAsia="Times New Roman" w:hAnsi="Times New Roman"/>
          <w:sz w:val="20"/>
          <w:szCs w:val="20"/>
          <w:color w:val="auto"/>
        </w:rPr>
        <w:t>The aggregate future lease payments for operating and finance leases as of December 31, 2022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116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Finance</w:t>
            </w:r>
          </w:p>
        </w:tc>
      </w:tr>
      <w:tr>
        <w:trPr>
          <w:trHeight w:val="185"/>
        </w:trPr>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540"/>
              <w:spacing w:after="0" w:line="182" w:lineRule="exact"/>
              <w:rPr>
                <w:sz w:val="20"/>
                <w:szCs w:val="20"/>
                <w:color w:val="auto"/>
              </w:rPr>
            </w:pPr>
            <w:r>
              <w:rPr>
                <w:rFonts w:ascii="Times New Roman" w:cs="Times New Roman" w:eastAsia="Times New Roman" w:hAnsi="Times New Roman"/>
                <w:sz w:val="16"/>
                <w:szCs w:val="16"/>
                <w:b w:val="1"/>
                <w:bCs w:val="1"/>
                <w:color w:val="auto"/>
              </w:rPr>
              <w:t>Leases</w:t>
            </w:r>
          </w:p>
        </w:tc>
        <w:tc>
          <w:tcPr>
            <w:tcW w:w="540" w:type="dxa"/>
            <w:vAlign w:val="bottom"/>
            <w:gridSpan w:val="4"/>
          </w:tcPr>
          <w:p>
            <w:pPr>
              <w:jc w:val="right"/>
              <w:ind w:right="40"/>
              <w:spacing w:after="0" w:line="182" w:lineRule="exact"/>
              <w:rPr>
                <w:sz w:val="20"/>
                <w:szCs w:val="20"/>
                <w:color w:val="auto"/>
              </w:rPr>
            </w:pPr>
            <w:r>
              <w:rPr>
                <w:rFonts w:ascii="Times New Roman" w:cs="Times New Roman" w:eastAsia="Times New Roman" w:hAnsi="Times New Roman"/>
                <w:sz w:val="16"/>
                <w:szCs w:val="16"/>
                <w:b w:val="1"/>
                <w:bCs w:val="1"/>
                <w:color w:val="auto"/>
              </w:rPr>
              <w:t>Leases</w:t>
            </w:r>
          </w:p>
        </w:tc>
      </w:tr>
      <w:tr>
        <w:trPr>
          <w:trHeight w:val="290"/>
        </w:trPr>
        <w:tc>
          <w:tcPr>
            <w:tcW w:w="76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w w:val="99"/>
              </w:rPr>
              <w:t>2023 . . . . . . . . . . . . . . . . . . . . . . . . . . . . . . . . . . . . . . . . . . . . . . . . . . . . . . . . . . . . . . . . . . . .</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$1,707</w:t>
            </w:r>
          </w:p>
        </w:tc>
        <w:tc>
          <w:tcPr>
            <w:tcW w:w="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60" w:type="dxa"/>
            <w:vAlign w:val="bottom"/>
            <w:tcBorders>
              <w:top w:val="single" w:sz="8" w:color="auto"/>
            </w:tcBorders>
          </w:tcPr>
          <w:p>
            <w:pPr>
              <w:spacing w:after="0"/>
              <w:rPr>
                <w:sz w:val="24"/>
                <w:szCs w:val="24"/>
                <w:color w:val="auto"/>
              </w:rPr>
            </w:pPr>
          </w:p>
        </w:tc>
      </w:tr>
      <w:tr>
        <w:trPr>
          <w:trHeight w:val="255"/>
        </w:trPr>
        <w:tc>
          <w:tcPr>
            <w:tcW w:w="76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w w:val="99"/>
              </w:rPr>
              <w:t>2024 . . . . . . . . . . . . . . . . . . . . . . . . . . . . . . . . . . . . . . . . . . . . . . . . . . . . . . . . . . . . . . . . . . . .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1,594</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2"/>
                <w:szCs w:val="22"/>
                <w:color w:val="auto"/>
              </w:rPr>
            </w:pPr>
          </w:p>
        </w:tc>
      </w:tr>
      <w:tr>
        <w:trPr>
          <w:trHeight w:val="255"/>
        </w:trPr>
        <w:tc>
          <w:tcPr>
            <w:tcW w:w="76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w w:val="99"/>
              </w:rPr>
              <w:t>2025 . . . . . . . . . . . . . . . . . . . . . . . . . . . . . . . . . . . . . . . . . . . . . . . . . . . . . . . . . . . . . . . . . . . .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22"/>
                <w:szCs w:val="22"/>
                <w:color w:val="auto"/>
              </w:rPr>
            </w:pPr>
          </w:p>
        </w:tc>
      </w:tr>
      <w:tr>
        <w:trPr>
          <w:trHeight w:val="255"/>
        </w:trPr>
        <w:tc>
          <w:tcPr>
            <w:tcW w:w="76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w w:val="99"/>
              </w:rPr>
              <w:t>2026 . . . . . . . . . . . . . . . . . . . . . . . . . . . . . . . . . . . . . . . . . . . . . . . . . . . . . . . . . . . . . . . . . . . .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958</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2"/>
                <w:szCs w:val="22"/>
                <w:color w:val="auto"/>
              </w:rPr>
            </w:pPr>
          </w:p>
        </w:tc>
      </w:tr>
      <w:tr>
        <w:trPr>
          <w:trHeight w:val="253"/>
        </w:trPr>
        <w:tc>
          <w:tcPr>
            <w:tcW w:w="76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w w:val="99"/>
              </w:rPr>
              <w:t>2027 . . . . . . . . . . . . . . . . . . . . . . . . . . . . . . . . . . . . . . . . . . . . . . . . . . . . . . . . . . . . . . . . . . . .</w:t>
            </w:r>
          </w:p>
        </w:tc>
        <w:tc>
          <w:tcPr>
            <w:tcW w:w="80" w:type="dxa"/>
            <w:vAlign w:val="bottom"/>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r>
      <w:tr>
        <w:trPr>
          <w:trHeight w:val="287"/>
        </w:trPr>
        <w:tc>
          <w:tcPr>
            <w:tcW w:w="76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Total future lease payments . . . . . . . . . . . . . . . . . . . . . . . . . . . . . . . . . . . . . . . . . . .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6,308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168</w:t>
            </w:r>
          </w:p>
        </w:tc>
        <w:tc>
          <w:tcPr>
            <w:tcW w:w="60" w:type="dxa"/>
            <w:vAlign w:val="bottom"/>
          </w:tcPr>
          <w:p>
            <w:pPr>
              <w:spacing w:after="0"/>
              <w:rPr>
                <w:sz w:val="24"/>
                <w:szCs w:val="24"/>
                <w:color w:val="auto"/>
              </w:rPr>
            </w:pPr>
          </w:p>
        </w:tc>
      </w:tr>
      <w:tr>
        <w:trPr>
          <w:trHeight w:val="253"/>
        </w:trPr>
        <w:tc>
          <w:tcPr>
            <w:tcW w:w="76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Less: Imputed interest . . . . . . . . . . . . . . . . . . . . . . . . . . . . . . . . . . . . . . . . . . . . . . . . . . . . . .</w:t>
            </w:r>
          </w:p>
        </w:tc>
        <w:tc>
          <w:tcPr>
            <w:tcW w:w="8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(820)</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0"/>
        </w:trPr>
        <w:tc>
          <w:tcPr>
            <w:tcW w:w="7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76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Present value of future payments . . . . . . . . . . . . . . . . . . . . . . . . . . . . . . . . . . . . . . . . . . .</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5,488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153</w:t>
            </w:r>
          </w:p>
        </w:tc>
        <w:tc>
          <w:tcPr>
            <w:tcW w:w="60" w:type="dxa"/>
            <w:vAlign w:val="bottom"/>
          </w:tcPr>
          <w:p>
            <w:pPr>
              <w:spacing w:after="0"/>
              <w:rPr>
                <w:sz w:val="24"/>
                <w:szCs w:val="24"/>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80"/>
          </w:cols>
          <w:pgMar w:left="1420" w:top="889" w:right="1440" w:bottom="182" w:gutter="0" w:footer="0" w:header="0"/>
          <w:type w:val="continuous"/>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right="20"/>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Accrued Expenses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Accrued expenses as of December 31, 2022 and 2021 are comprised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90"/>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Payroll, benefits and related taxes, excluding severance benefits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$7,620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9,548</w:t>
            </w:r>
          </w:p>
        </w:tc>
      </w:tr>
      <w:tr>
        <w:trPr>
          <w:trHeight w:val="255"/>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Withholding tax attributable to intercompany interest income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1,950</w:t>
            </w:r>
          </w:p>
        </w:tc>
      </w:tr>
      <w:tr>
        <w:trPr>
          <w:trHeight w:val="255"/>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Outside service fees. . . . . . . . . . . . . . . . . . . . . .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w:t>
            </w:r>
          </w:p>
        </w:tc>
      </w:tr>
      <w:tr>
        <w:trPr>
          <w:trHeight w:val="255"/>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Merger-related costs . . . . . . . . . . . . . . . . . . . . . . . . . . . . . . . . . . . . . . . . . . . . . . . . . . . . . . .</w:t>
            </w: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7,035</w:t>
            </w:r>
          </w:p>
        </w:tc>
      </w:tr>
      <w:tr>
        <w:trPr>
          <w:trHeight w:val="253"/>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Others. . . . . . . . . . . . . . . . . . . . . . . . . . . . . . . . . . . . . . . . . . . . . . . . . . . . . . . . . . . . . . . . . . .</w:t>
            </w:r>
          </w:p>
        </w:tc>
        <w:tc>
          <w:tcPr>
            <w:tcW w:w="240" w:type="dxa"/>
            <w:vAlign w:val="bottom"/>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4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450</w:t>
            </w:r>
          </w:p>
        </w:tc>
      </w:tr>
      <w:tr>
        <w:trPr>
          <w:trHeight w:val="285"/>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9,688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20,071</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Derivative Financial Instruments</w:t>
      </w:r>
    </w:p>
    <w:p>
      <w:pPr>
        <w:spacing w:after="0" w:line="130" w:lineRule="exact"/>
        <w:rPr>
          <w:sz w:val="20"/>
          <w:szCs w:val="20"/>
          <w:color w:val="auto"/>
        </w:rPr>
      </w:pPr>
    </w:p>
    <w:p>
      <w:pPr>
        <w:ind w:right="60" w:firstLine="400"/>
        <w:spacing w:after="0" w:line="255" w:lineRule="auto"/>
        <w:rPr>
          <w:sz w:val="20"/>
          <w:szCs w:val="20"/>
          <w:color w:val="auto"/>
        </w:rPr>
      </w:pPr>
      <w:r>
        <w:rPr>
          <w:rFonts w:ascii="Times New Roman" w:cs="Times New Roman" w:eastAsia="Times New Roman" w:hAnsi="Times New Roman"/>
          <w:sz w:val="20"/>
          <w:szCs w:val="20"/>
          <w:color w:val="auto"/>
        </w:rPr>
        <w:t>The Company’s Korean subsidiary from time to time has entered into zero cost collar contracts to hedge the risk of changes in the functional-currency-equivalent cash flows attributable to currency rate changes on U.S. dollar denominated revenues.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Details of derivative contracts as of December 31, 2022 are as follows (in thousands):</w:t>
      </w:r>
    </w:p>
    <w:p>
      <w:pPr>
        <w:spacing w:after="0" w:line="218" w:lineRule="exact"/>
        <w:rPr>
          <w:sz w:val="20"/>
          <w:szCs w:val="20"/>
          <w:color w:val="auto"/>
        </w:rPr>
      </w:pPr>
    </w:p>
    <w:p>
      <w:pPr>
        <w:spacing w:after="0"/>
        <w:tabs>
          <w:tab w:leader="none" w:pos="2720" w:val="left"/>
          <w:tab w:leader="none" w:pos="4620" w:val="left"/>
          <w:tab w:leader="none" w:pos="7140" w:val="left"/>
        </w:tabs>
        <w:rPr>
          <w:sz w:val="20"/>
          <w:szCs w:val="20"/>
          <w:color w:val="auto"/>
        </w:rPr>
      </w:pPr>
      <w:r>
        <w:rPr>
          <w:rFonts w:ascii="Times New Roman" w:cs="Times New Roman" w:eastAsia="Times New Roman" w:hAnsi="Times New Roman"/>
          <w:sz w:val="16"/>
          <w:szCs w:val="16"/>
          <w:b w:val="1"/>
          <w:bCs w:val="1"/>
          <w:color w:val="auto"/>
        </w:rPr>
        <w:t>Date of transaction</w:t>
      </w:r>
      <w:r>
        <w:rPr>
          <w:sz w:val="20"/>
          <w:szCs w:val="20"/>
          <w:color w:val="auto"/>
        </w:rPr>
        <w:tab/>
      </w:r>
      <w:r>
        <w:rPr>
          <w:rFonts w:ascii="Times New Roman" w:cs="Times New Roman" w:eastAsia="Times New Roman" w:hAnsi="Times New Roman"/>
          <w:sz w:val="16"/>
          <w:szCs w:val="16"/>
          <w:b w:val="1"/>
          <w:bCs w:val="1"/>
          <w:color w:val="auto"/>
        </w:rPr>
        <w:t>Type of derivative</w:t>
      </w:r>
      <w:r>
        <w:rPr>
          <w:sz w:val="20"/>
          <w:szCs w:val="20"/>
          <w:color w:val="auto"/>
        </w:rPr>
        <w:tab/>
      </w:r>
      <w:r>
        <w:rPr>
          <w:rFonts w:ascii="Times New Roman" w:cs="Times New Roman" w:eastAsia="Times New Roman" w:hAnsi="Times New Roman"/>
          <w:sz w:val="16"/>
          <w:szCs w:val="16"/>
          <w:b w:val="1"/>
          <w:bCs w:val="1"/>
          <w:color w:val="auto"/>
        </w:rPr>
        <w:t>Total notional amount</w:t>
      </w:r>
      <w:r>
        <w:rPr>
          <w:sz w:val="20"/>
          <w:szCs w:val="20"/>
          <w:color w:val="auto"/>
        </w:rPr>
        <w:tab/>
      </w:r>
      <w:r>
        <w:rPr>
          <w:rFonts w:ascii="Times New Roman" w:cs="Times New Roman" w:eastAsia="Times New Roman" w:hAnsi="Times New Roman"/>
          <w:sz w:val="16"/>
          <w:szCs w:val="16"/>
          <w:b w:val="1"/>
          <w:bCs w:val="1"/>
          <w:color w:val="auto"/>
        </w:rPr>
        <w:t>Month of settlement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6985</wp:posOffset>
                </wp:positionV>
                <wp:extent cx="13716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55pt" to="108.3pt,0.5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1451610</wp:posOffset>
                </wp:positionH>
                <wp:positionV relativeFrom="paragraph">
                  <wp:posOffset>6985</wp:posOffset>
                </wp:positionV>
                <wp:extent cx="13716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3pt,0.55pt" to="222.3pt,0.5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2899410</wp:posOffset>
                </wp:positionH>
                <wp:positionV relativeFrom="paragraph">
                  <wp:posOffset>6985</wp:posOffset>
                </wp:positionV>
                <wp:extent cx="10668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3pt,0.55pt" to="312.3pt,0.5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4042410</wp:posOffset>
                </wp:positionH>
                <wp:positionV relativeFrom="paragraph">
                  <wp:posOffset>6985</wp:posOffset>
                </wp:positionV>
                <wp:extent cx="19050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3pt,0.55pt" to="468.3pt,0.55pt" o:allowincell="f" strokecolor="#000000" strokeweight="0.5pt"/>
            </w:pict>
          </mc:Fallback>
        </mc:AlternateConten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January 04, 2022. . . . . . . .</w:t>
            </w:r>
          </w:p>
        </w:tc>
        <w:tc>
          <w:tcPr>
            <w:tcW w:w="21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Zero cost collar</w:t>
            </w:r>
          </w:p>
        </w:tc>
        <w:tc>
          <w:tcPr>
            <w:tcW w:w="18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$30,000</w:t>
            </w:r>
          </w:p>
        </w:tc>
        <w:tc>
          <w:tcPr>
            <w:tcW w:w="12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2023 to June 2023</w:t>
            </w:r>
          </w:p>
        </w:tc>
      </w:tr>
      <w:tr>
        <w:trPr>
          <w:trHeight w:val="255"/>
        </w:trPr>
        <w:tc>
          <w:tcPr>
            <w:tcW w:w="2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March 07, 2022. . . . . . . . .</w:t>
            </w:r>
          </w:p>
        </w:tc>
        <w:tc>
          <w:tcPr>
            <w:tcW w:w="21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Zero cost collar</w:t>
            </w:r>
          </w:p>
        </w:tc>
        <w:tc>
          <w:tcPr>
            <w:tcW w:w="18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$24,000</w:t>
            </w:r>
          </w:p>
        </w:tc>
        <w:tc>
          <w:tcPr>
            <w:tcW w:w="12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July 2023 to December 2023</w:t>
            </w:r>
          </w:p>
        </w:tc>
      </w:tr>
      <w:tr>
        <w:trPr>
          <w:trHeight w:val="255"/>
        </w:trPr>
        <w:tc>
          <w:tcPr>
            <w:tcW w:w="2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April 27, 2022. . . . . . . . . .</w:t>
            </w:r>
          </w:p>
        </w:tc>
        <w:tc>
          <w:tcPr>
            <w:tcW w:w="21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Zero cost collar</w:t>
            </w:r>
          </w:p>
        </w:tc>
        <w:tc>
          <w:tcPr>
            <w:tcW w:w="18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$42,000</w:t>
            </w:r>
          </w:p>
        </w:tc>
        <w:tc>
          <w:tcPr>
            <w:tcW w:w="12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2023 to December 2023</w:t>
            </w:r>
          </w:p>
        </w:tc>
      </w:tr>
      <w:tr>
        <w:trPr>
          <w:trHeight w:val="385"/>
        </w:trPr>
        <w:tc>
          <w:tcPr>
            <w:tcW w:w="936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Details of derivative contracts as of December 31, 2021 are as follows (in thousands):</w:t>
            </w:r>
          </w:p>
        </w:tc>
      </w:tr>
      <w:tr>
        <w:trPr>
          <w:trHeight w:val="405"/>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Date of transaction</w:t>
            </w:r>
          </w:p>
        </w:tc>
        <w:tc>
          <w:tcPr>
            <w:tcW w:w="120" w:type="dxa"/>
            <w:vAlign w:val="bottom"/>
          </w:tcPr>
          <w:p>
            <w:pPr>
              <w:spacing w:after="0"/>
              <w:rPr>
                <w:sz w:val="24"/>
                <w:szCs w:val="24"/>
                <w:color w:val="auto"/>
              </w:rPr>
            </w:pPr>
          </w:p>
        </w:tc>
        <w:tc>
          <w:tcPr>
            <w:tcW w:w="21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Type of derivative</w:t>
            </w:r>
          </w:p>
        </w:tc>
        <w:tc>
          <w:tcPr>
            <w:tcW w:w="12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notional amount</w:t>
            </w:r>
          </w:p>
        </w:tc>
        <w:tc>
          <w:tcPr>
            <w:tcW w:w="12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Month of settlement</w:t>
            </w:r>
          </w:p>
        </w:tc>
      </w:tr>
      <w:tr>
        <w:trPr>
          <w:trHeight w:val="290"/>
        </w:trPr>
        <w:tc>
          <w:tcPr>
            <w:tcW w:w="2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May 13, 2021 . . . . . . . . . .</w:t>
            </w:r>
          </w:p>
        </w:tc>
        <w:tc>
          <w:tcPr>
            <w:tcW w:w="21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Zero cost collar</w:t>
            </w:r>
          </w:p>
        </w:tc>
        <w:tc>
          <w:tcPr>
            <w:tcW w:w="18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$39,000</w:t>
            </w:r>
          </w:p>
        </w:tc>
        <w:tc>
          <w:tcPr>
            <w:tcW w:w="1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2022 to September 2022</w:t>
            </w:r>
          </w:p>
        </w:tc>
      </w:tr>
      <w:tr>
        <w:trPr>
          <w:trHeight w:val="255"/>
        </w:trPr>
        <w:tc>
          <w:tcPr>
            <w:tcW w:w="2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August 13, 2021 . . . . . . . .</w:t>
            </w:r>
          </w:p>
        </w:tc>
        <w:tc>
          <w:tcPr>
            <w:tcW w:w="21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Zero cost collar</w:t>
            </w:r>
          </w:p>
        </w:tc>
        <w:tc>
          <w:tcPr>
            <w:tcW w:w="18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$48,000</w:t>
            </w:r>
          </w:p>
        </w:tc>
        <w:tc>
          <w:tcPr>
            <w:tcW w:w="12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2022 to December 2022</w:t>
            </w:r>
          </w:p>
        </w:tc>
      </w:tr>
    </w:tbl>
    <w:p>
      <w:pPr>
        <w:spacing w:after="0" w:line="165" w:lineRule="exact"/>
        <w:rPr>
          <w:sz w:val="20"/>
          <w:szCs w:val="20"/>
          <w:color w:val="auto"/>
        </w:rPr>
      </w:pPr>
    </w:p>
    <w:p>
      <w:pPr>
        <w:ind w:right="20" w:firstLine="400"/>
        <w:spacing w:after="0" w:line="259" w:lineRule="auto"/>
        <w:rPr>
          <w:sz w:val="20"/>
          <w:szCs w:val="20"/>
          <w:color w:val="auto"/>
        </w:rPr>
      </w:pPr>
      <w:r>
        <w:rPr>
          <w:rFonts w:ascii="Times New Roman" w:cs="Times New Roman" w:eastAsia="Times New Roman" w:hAnsi="Times New Roman"/>
          <w:sz w:val="20"/>
          <w:szCs w:val="20"/>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3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fair values of the Company’s outstanding zero cost collar contracts recorded as liabilities as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and 2021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3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8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90"/>
        </w:trPr>
        <w:tc>
          <w:tcPr>
            <w:tcW w:w="3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Liability Derivatives:</w:t>
            </w:r>
          </w:p>
        </w:tc>
        <w:tc>
          <w:tcPr>
            <w:tcW w:w="3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55"/>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Zero cost collars . . . . . . . . . . . . . . . . . . . .</w:t>
            </w:r>
          </w:p>
        </w:tc>
        <w:tc>
          <w:tcPr>
            <w:tcW w:w="388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$2,020</w:t>
            </w:r>
          </w:p>
        </w:tc>
      </w:tr>
    </w:tbl>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Offsetting of derivative liabilities as of December 31, 2022 is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Net amounts of</w:t>
            </w:r>
          </w:p>
        </w:tc>
        <w:tc>
          <w:tcPr>
            <w:tcW w:w="21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Gross amounts not offset</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160" w:type="dxa"/>
            <w:vAlign w:val="bottom"/>
            <w:gridSpan w:val="4"/>
            <w:vMerge w:val="restart"/>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auto"/>
              </w:rPr>
              <w:t>in the balance sheets</w:t>
            </w: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restart"/>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Gross amounts of</w:t>
            </w:r>
          </w:p>
        </w:tc>
        <w:tc>
          <w:tcPr>
            <w:tcW w:w="1260" w:type="dxa"/>
            <w:vAlign w:val="bottom"/>
            <w:gridSpan w:val="3"/>
            <w:vMerge w:val="restart"/>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Gross amounts</w:t>
            </w:r>
          </w:p>
        </w:tc>
        <w:tc>
          <w:tcPr>
            <w:tcW w:w="1260" w:type="dxa"/>
            <w:vAlign w:val="bottom"/>
            <w:gridSpan w:val="2"/>
            <w:vMerge w:val="restart"/>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160" w:type="dxa"/>
            <w:vAlign w:val="bottom"/>
            <w:gridSpan w:val="4"/>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recognized</w:t>
            </w:r>
          </w:p>
        </w:tc>
        <w:tc>
          <w:tcPr>
            <w:tcW w:w="80" w:type="dxa"/>
            <w:vAlign w:val="bottom"/>
          </w:tcPr>
          <w:p>
            <w:pPr>
              <w:spacing w:after="0"/>
              <w:rPr>
                <w:sz w:val="15"/>
                <w:szCs w:val="15"/>
                <w:color w:val="auto"/>
              </w:rPr>
            </w:pPr>
          </w:p>
        </w:tc>
        <w:tc>
          <w:tcPr>
            <w:tcW w:w="11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offset in the</w:t>
            </w:r>
          </w:p>
        </w:tc>
        <w:tc>
          <w:tcPr>
            <w:tcW w:w="126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98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Financial</w:t>
            </w:r>
          </w:p>
        </w:tc>
        <w:tc>
          <w:tcPr>
            <w:tcW w:w="118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Cash collateral</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60" w:type="dxa"/>
            <w:vAlign w:val="bottom"/>
          </w:tcPr>
          <w:p>
            <w:pPr>
              <w:spacing w:after="0"/>
              <w:rPr>
                <w:sz w:val="16"/>
                <w:szCs w:val="16"/>
                <w:color w:val="auto"/>
              </w:rPr>
            </w:pPr>
          </w:p>
        </w:tc>
        <w:tc>
          <w:tcPr>
            <w:tcW w:w="12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liabilities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balance sheets</w:t>
            </w:r>
          </w:p>
        </w:tc>
        <w:tc>
          <w:tcPr>
            <w:tcW w:w="160" w:type="dxa"/>
            <w:vAlign w:val="bottom"/>
          </w:tcPr>
          <w:p>
            <w:pPr>
              <w:spacing w:after="0"/>
              <w:rPr>
                <w:sz w:val="16"/>
                <w:szCs w:val="16"/>
                <w:color w:val="auto"/>
              </w:rPr>
            </w:pPr>
          </w:p>
        </w:tc>
        <w:tc>
          <w:tcPr>
            <w:tcW w:w="11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balance sheets</w:t>
            </w:r>
          </w:p>
        </w:tc>
        <w:tc>
          <w:tcPr>
            <w:tcW w:w="140" w:type="dxa"/>
            <w:vAlign w:val="bottom"/>
          </w:tcPr>
          <w:p>
            <w:pPr>
              <w:spacing w:after="0"/>
              <w:rPr>
                <w:sz w:val="16"/>
                <w:szCs w:val="16"/>
                <w:color w:val="auto"/>
              </w:rPr>
            </w:pPr>
          </w:p>
        </w:tc>
        <w:tc>
          <w:tcPr>
            <w:tcW w:w="98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auto"/>
              </w:rPr>
              <w:t>instruments</w:t>
            </w:r>
          </w:p>
        </w:tc>
        <w:tc>
          <w:tcPr>
            <w:tcW w:w="1180" w:type="dxa"/>
            <w:vAlign w:val="bottom"/>
            <w:gridSpan w:val="2"/>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auto"/>
                <w:w w:val="97"/>
              </w:rPr>
              <w:t>pledged</w:t>
            </w:r>
          </w:p>
        </w:tc>
        <w:tc>
          <w:tcPr>
            <w:tcW w:w="8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90"/>
        </w:trPr>
        <w:tc>
          <w:tcPr>
            <w:tcW w:w="2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Liability Derivatives:</w:t>
            </w:r>
          </w:p>
        </w:tc>
        <w:tc>
          <w:tcPr>
            <w:tcW w:w="1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5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Zero cost collars . . . . . . . .</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$2,015</w:t>
            </w:r>
          </w:p>
        </w:tc>
        <w:tc>
          <w:tcPr>
            <w:tcW w:w="140" w:type="dxa"/>
            <w:vAlign w:val="bottom"/>
          </w:tcPr>
          <w:p>
            <w:pPr>
              <w:spacing w:after="0"/>
              <w:rPr>
                <w:sz w:val="22"/>
                <w:szCs w:val="22"/>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20"/>
                <w:szCs w:val="20"/>
                <w:color w:val="auto"/>
              </w:rPr>
              <w:t>$(1,940)</w:t>
            </w:r>
          </w:p>
        </w:tc>
        <w:tc>
          <w:tcPr>
            <w:tcW w:w="140" w:type="dxa"/>
            <w:vAlign w:val="bottom"/>
          </w:tcPr>
          <w:p>
            <w:pPr>
              <w:spacing w:after="0"/>
              <w:rPr>
                <w:sz w:val="22"/>
                <w:szCs w:val="22"/>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80"/>
          </w:cols>
          <w:pgMar w:left="1420" w:top="889" w:right="1440" w:bottom="182"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Offsetting of derivative liabilities as of December 31, 2021 is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Net amounts of</w:t>
            </w:r>
          </w:p>
        </w:tc>
        <w:tc>
          <w:tcPr>
            <w:tcW w:w="21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Gross amounts not offset</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020" w:type="dxa"/>
            <w:vAlign w:val="bottom"/>
            <w:gridSpan w:val="3"/>
            <w:vMerge w:val="restart"/>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in the balance sheets</w:t>
            </w:r>
          </w:p>
        </w:tc>
        <w:tc>
          <w:tcPr>
            <w:tcW w:w="140" w:type="dxa"/>
            <w:vAlign w:val="bottom"/>
            <w:vMerge w:val="restart"/>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restart"/>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Gross amounts of</w:t>
            </w:r>
          </w:p>
        </w:tc>
        <w:tc>
          <w:tcPr>
            <w:tcW w:w="1260" w:type="dxa"/>
            <w:vAlign w:val="bottom"/>
            <w:gridSpan w:val="3"/>
            <w:vMerge w:val="restart"/>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Gross amounts</w:t>
            </w:r>
          </w:p>
        </w:tc>
        <w:tc>
          <w:tcPr>
            <w:tcW w:w="1260" w:type="dxa"/>
            <w:vAlign w:val="bottom"/>
            <w:gridSpan w:val="2"/>
            <w:vMerge w:val="restart"/>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020" w:type="dxa"/>
            <w:vAlign w:val="bottom"/>
            <w:tcBorders>
              <w:bottom w:val="single" w:sz="8" w:color="auto"/>
            </w:tcBorders>
            <w:gridSpan w:val="3"/>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Cash collateral</w:t>
            </w: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recognized</w:t>
            </w:r>
          </w:p>
        </w:tc>
        <w:tc>
          <w:tcPr>
            <w:tcW w:w="80" w:type="dxa"/>
            <w:vAlign w:val="bottom"/>
          </w:tcPr>
          <w:p>
            <w:pPr>
              <w:spacing w:after="0"/>
              <w:rPr>
                <w:sz w:val="15"/>
                <w:szCs w:val="15"/>
                <w:color w:val="auto"/>
              </w:rPr>
            </w:pPr>
          </w:p>
        </w:tc>
        <w:tc>
          <w:tcPr>
            <w:tcW w:w="11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offset in the</w:t>
            </w:r>
          </w:p>
        </w:tc>
        <w:tc>
          <w:tcPr>
            <w:tcW w:w="126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9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60" w:type="dxa"/>
            <w:vAlign w:val="bottom"/>
          </w:tcPr>
          <w:p>
            <w:pPr>
              <w:spacing w:after="0"/>
              <w:rPr>
                <w:sz w:val="16"/>
                <w:szCs w:val="16"/>
                <w:color w:val="auto"/>
              </w:rPr>
            </w:pPr>
          </w:p>
        </w:tc>
        <w:tc>
          <w:tcPr>
            <w:tcW w:w="12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liabilities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balance sheets</w:t>
            </w:r>
          </w:p>
        </w:tc>
        <w:tc>
          <w:tcPr>
            <w:tcW w:w="160" w:type="dxa"/>
            <w:vAlign w:val="bottom"/>
          </w:tcPr>
          <w:p>
            <w:pPr>
              <w:spacing w:after="0"/>
              <w:rPr>
                <w:sz w:val="16"/>
                <w:szCs w:val="16"/>
                <w:color w:val="auto"/>
              </w:rPr>
            </w:pPr>
          </w:p>
        </w:tc>
        <w:tc>
          <w:tcPr>
            <w:tcW w:w="11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balance sheets</w:t>
            </w:r>
          </w:p>
        </w:tc>
        <w:tc>
          <w:tcPr>
            <w:tcW w:w="140" w:type="dxa"/>
            <w:vAlign w:val="bottom"/>
          </w:tcPr>
          <w:p>
            <w:pPr>
              <w:spacing w:after="0"/>
              <w:rPr>
                <w:sz w:val="16"/>
                <w:szCs w:val="16"/>
                <w:color w:val="auto"/>
              </w:rPr>
            </w:pPr>
          </w:p>
        </w:tc>
        <w:tc>
          <w:tcPr>
            <w:tcW w:w="98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auto"/>
              </w:rPr>
              <w:t>instruments</w:t>
            </w:r>
          </w:p>
        </w:tc>
        <w:tc>
          <w:tcPr>
            <w:tcW w:w="1180" w:type="dxa"/>
            <w:vAlign w:val="bottom"/>
            <w:gridSpan w:val="2"/>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auto"/>
                <w:w w:val="97"/>
              </w:rPr>
              <w:t>pledged</w:t>
            </w: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9"/>
              </w:rPr>
              <w:t>Net amount</w:t>
            </w:r>
          </w:p>
        </w:tc>
        <w:tc>
          <w:tcPr>
            <w:tcW w:w="0" w:type="dxa"/>
            <w:vAlign w:val="bottom"/>
          </w:tcPr>
          <w:p>
            <w:pPr>
              <w:spacing w:after="0"/>
              <w:rPr>
                <w:sz w:val="1"/>
                <w:szCs w:val="1"/>
                <w:color w:val="auto"/>
              </w:rPr>
            </w:pPr>
          </w:p>
        </w:tc>
      </w:tr>
      <w:tr>
        <w:trPr>
          <w:trHeight w:val="290"/>
        </w:trPr>
        <w:tc>
          <w:tcPr>
            <w:tcW w:w="2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Liability Derivatives:</w:t>
            </w:r>
          </w:p>
        </w:tc>
        <w:tc>
          <w:tcPr>
            <w:tcW w:w="1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5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Zero cost collars . . . . . . . .</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$2,020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$2,020</w:t>
            </w:r>
          </w:p>
        </w:tc>
        <w:tc>
          <w:tcPr>
            <w:tcW w:w="140" w:type="dxa"/>
            <w:vAlign w:val="bottom"/>
          </w:tcPr>
          <w:p>
            <w:pPr>
              <w:spacing w:after="0"/>
              <w:rPr>
                <w:sz w:val="22"/>
                <w:szCs w:val="22"/>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20"/>
                <w:szCs w:val="20"/>
                <w:color w:val="auto"/>
              </w:rPr>
              <w:t>$(2,060)</w:t>
            </w:r>
          </w:p>
        </w:tc>
        <w:tc>
          <w:tcPr>
            <w:tcW w:w="1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140" w:firstLine="400"/>
        <w:spacing w:after="0" w:line="247" w:lineRule="auto"/>
        <w:rPr>
          <w:sz w:val="20"/>
          <w:szCs w:val="20"/>
          <w:color w:val="auto"/>
        </w:rPr>
      </w:pPr>
      <w:r>
        <w:rPr>
          <w:rFonts w:ascii="Times New Roman" w:cs="Times New Roman" w:eastAsia="Times New Roman" w:hAnsi="Times New Roman"/>
          <w:sz w:val="20"/>
          <w:szCs w:val="20"/>
          <w:color w:val="auto"/>
        </w:rPr>
        <w:t>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37" w:lineRule="exact"/>
        <w:rPr>
          <w:sz w:val="20"/>
          <w:szCs w:val="20"/>
          <w:color w:val="auto"/>
        </w:rPr>
      </w:pPr>
    </w:p>
    <w:p>
      <w:pPr>
        <w:ind w:right="520"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summarizes the impact of derivative instruments on the consolidated statements of operations for the years ended December 31, 2022 and 2021.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Derivatives in</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0"/>
        </w:trPr>
        <w:tc>
          <w:tcPr>
            <w:tcW w:w="2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ASC 815</w:t>
            </w:r>
          </w:p>
        </w:tc>
        <w:tc>
          <w:tcPr>
            <w:tcW w:w="1660" w:type="dxa"/>
            <w:vAlign w:val="bottom"/>
            <w:gridSpan w:val="4"/>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Amount of Loss</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3"/>
          </w:tcPr>
          <w:p>
            <w:pPr>
              <w:jc w:val="center"/>
              <w:ind w:left="336"/>
              <w:spacing w:after="0" w:line="180" w:lineRule="exact"/>
              <w:rPr>
                <w:sz w:val="20"/>
                <w:szCs w:val="20"/>
                <w:color w:val="auto"/>
              </w:rPr>
            </w:pPr>
            <w:r>
              <w:rPr>
                <w:rFonts w:ascii="Times New Roman" w:cs="Times New Roman" w:eastAsia="Times New Roman" w:hAnsi="Times New Roman"/>
                <w:sz w:val="16"/>
                <w:szCs w:val="16"/>
                <w:b w:val="1"/>
                <w:bCs w:val="1"/>
                <w:color w:val="auto"/>
              </w:rPr>
              <w:t>Location/Amount of Gain</w:t>
            </w:r>
          </w:p>
        </w:tc>
        <w:tc>
          <w:tcPr>
            <w:tcW w:w="400" w:type="dxa"/>
            <w:vAlign w:val="bottom"/>
          </w:tcPr>
          <w:p>
            <w:pPr>
              <w:spacing w:after="0"/>
              <w:rPr>
                <w:sz w:val="15"/>
                <w:szCs w:val="15"/>
                <w:color w:val="auto"/>
              </w:rPr>
            </w:pPr>
          </w:p>
        </w:tc>
      </w:tr>
      <w:tr>
        <w:trPr>
          <w:trHeight w:val="180"/>
        </w:trPr>
        <w:tc>
          <w:tcPr>
            <w:tcW w:w="2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w:t>
            </w:r>
          </w:p>
        </w:tc>
        <w:tc>
          <w:tcPr>
            <w:tcW w:w="1660" w:type="dxa"/>
            <w:vAlign w:val="bottom"/>
            <w:gridSpan w:val="4"/>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100" w:type="dxa"/>
            <w:vAlign w:val="bottom"/>
          </w:tcPr>
          <w:p>
            <w:pPr>
              <w:spacing w:after="0"/>
              <w:rPr>
                <w:sz w:val="15"/>
                <w:szCs w:val="15"/>
                <w:color w:val="auto"/>
              </w:rPr>
            </w:pPr>
          </w:p>
        </w:tc>
        <w:tc>
          <w:tcPr>
            <w:tcW w:w="2600" w:type="dxa"/>
            <w:vAlign w:val="bottom"/>
            <w:gridSpan w:val="6"/>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rPr>
              <w:t>Location/Amount of Loss</w:t>
            </w:r>
          </w:p>
        </w:tc>
        <w:tc>
          <w:tcPr>
            <w:tcW w:w="2400" w:type="dxa"/>
            <w:vAlign w:val="bottom"/>
            <w:gridSpan w:val="3"/>
          </w:tcPr>
          <w:p>
            <w:pPr>
              <w:jc w:val="center"/>
              <w:ind w:left="336"/>
              <w:spacing w:after="0" w:line="180"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400" w:type="dxa"/>
            <w:vAlign w:val="bottom"/>
          </w:tcPr>
          <w:p>
            <w:pPr>
              <w:spacing w:after="0"/>
              <w:rPr>
                <w:sz w:val="15"/>
                <w:szCs w:val="15"/>
                <w:color w:val="auto"/>
              </w:rPr>
            </w:pPr>
          </w:p>
        </w:tc>
      </w:tr>
      <w:tr>
        <w:trPr>
          <w:trHeight w:val="180"/>
        </w:trPr>
        <w:tc>
          <w:tcPr>
            <w:tcW w:w="2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Hedging</w:t>
            </w:r>
          </w:p>
        </w:tc>
        <w:tc>
          <w:tcPr>
            <w:tcW w:w="1660" w:type="dxa"/>
            <w:vAlign w:val="bottom"/>
            <w:gridSpan w:val="4"/>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AOCI on</w:t>
            </w:r>
          </w:p>
        </w:tc>
        <w:tc>
          <w:tcPr>
            <w:tcW w:w="100" w:type="dxa"/>
            <w:vAlign w:val="bottom"/>
          </w:tcPr>
          <w:p>
            <w:pPr>
              <w:spacing w:after="0"/>
              <w:rPr>
                <w:sz w:val="15"/>
                <w:szCs w:val="15"/>
                <w:color w:val="auto"/>
              </w:rPr>
            </w:pPr>
          </w:p>
        </w:tc>
        <w:tc>
          <w:tcPr>
            <w:tcW w:w="2600" w:type="dxa"/>
            <w:vAlign w:val="bottom"/>
            <w:gridSpan w:val="6"/>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rPr>
              <w:t>Reclassified from AOCI Into</w:t>
            </w:r>
          </w:p>
        </w:tc>
        <w:tc>
          <w:tcPr>
            <w:tcW w:w="2400" w:type="dxa"/>
            <w:vAlign w:val="bottom"/>
            <w:gridSpan w:val="3"/>
          </w:tcPr>
          <w:p>
            <w:pPr>
              <w:jc w:val="center"/>
              <w:ind w:left="316"/>
              <w:spacing w:after="0" w:line="180" w:lineRule="exact"/>
              <w:rPr>
                <w:sz w:val="20"/>
                <w:szCs w:val="20"/>
                <w:color w:val="auto"/>
              </w:rPr>
            </w:pPr>
            <w:r>
              <w:rPr>
                <w:rFonts w:ascii="Times New Roman" w:cs="Times New Roman" w:eastAsia="Times New Roman" w:hAnsi="Times New Roman"/>
                <w:sz w:val="16"/>
                <w:szCs w:val="16"/>
                <w:b w:val="1"/>
                <w:bCs w:val="1"/>
                <w:color w:val="auto"/>
              </w:rPr>
              <w:t>Statement of Operations on</w:t>
            </w:r>
          </w:p>
        </w:tc>
        <w:tc>
          <w:tcPr>
            <w:tcW w:w="400" w:type="dxa"/>
            <w:vAlign w:val="bottom"/>
          </w:tcPr>
          <w:p>
            <w:pPr>
              <w:spacing w:after="0"/>
              <w:rPr>
                <w:sz w:val="15"/>
                <w:szCs w:val="15"/>
                <w:color w:val="auto"/>
              </w:rPr>
            </w:pPr>
          </w:p>
        </w:tc>
      </w:tr>
      <w:tr>
        <w:trPr>
          <w:trHeight w:val="185"/>
        </w:trPr>
        <w:tc>
          <w:tcPr>
            <w:tcW w:w="192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Relationships</w:t>
            </w:r>
          </w:p>
        </w:tc>
        <w:tc>
          <w:tcPr>
            <w:tcW w:w="280" w:type="dxa"/>
            <w:vAlign w:val="bottom"/>
          </w:tcPr>
          <w:p>
            <w:pPr>
              <w:spacing w:after="0"/>
              <w:rPr>
                <w:sz w:val="16"/>
                <w:szCs w:val="16"/>
                <w:color w:val="auto"/>
              </w:rPr>
            </w:pPr>
          </w:p>
        </w:tc>
        <w:tc>
          <w:tcPr>
            <w:tcW w:w="1480" w:type="dxa"/>
            <w:vAlign w:val="bottom"/>
            <w:tcBorders>
              <w:bottom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Derivatives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Borders>
              <w:bottom w:val="single" w:sz="8" w:color="auto"/>
            </w:tcBorders>
            <w:gridSpan w:val="5"/>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Statement of Operations</w:t>
            </w:r>
          </w:p>
        </w:tc>
        <w:tc>
          <w:tcPr>
            <w:tcW w:w="260" w:type="dxa"/>
            <w:vAlign w:val="bottom"/>
          </w:tcPr>
          <w:p>
            <w:pPr>
              <w:spacing w:after="0"/>
              <w:rPr>
                <w:sz w:val="16"/>
                <w:szCs w:val="16"/>
                <w:color w:val="auto"/>
              </w:rPr>
            </w:pPr>
          </w:p>
        </w:tc>
        <w:tc>
          <w:tcPr>
            <w:tcW w:w="2400" w:type="dxa"/>
            <w:vAlign w:val="bottom"/>
            <w:tcBorders>
              <w:bottom w:val="single" w:sz="8" w:color="auto"/>
            </w:tcBorders>
            <w:gridSpan w:val="3"/>
          </w:tcPr>
          <w:p>
            <w:pPr>
              <w:jc w:val="center"/>
              <w:ind w:left="336"/>
              <w:spacing w:after="0" w:line="182"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400" w:type="dxa"/>
            <w:vAlign w:val="bottom"/>
            <w:tcBorders>
              <w:bottom w:val="single" w:sz="8" w:color="auto"/>
            </w:tcBorders>
          </w:tcPr>
          <w:p>
            <w:pPr>
              <w:spacing w:after="0"/>
              <w:rPr>
                <w:sz w:val="16"/>
                <w:szCs w:val="16"/>
                <w:color w:val="auto"/>
              </w:rPr>
            </w:pPr>
          </w:p>
        </w:tc>
      </w:tr>
      <w:tr>
        <w:trPr>
          <w:trHeight w:val="215"/>
        </w:trPr>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8"/>
                <w:szCs w:val="18"/>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6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90"/>
        </w:trPr>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Zero cost collars. . . . . .</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6"/>
              </w:rPr>
              <w:t>$(8,273)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6"/>
              </w:rPr>
              <w:t>$(4,665)</w:t>
            </w:r>
          </w:p>
        </w:tc>
        <w:tc>
          <w:tcPr>
            <w:tcW w:w="188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Net sales   $(8,514)</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$(819)</w:t>
            </w:r>
          </w:p>
        </w:tc>
        <w:tc>
          <w:tcPr>
            <w:tcW w:w="2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income, net   $135</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$123</w:t>
            </w:r>
          </w:p>
        </w:tc>
      </w:tr>
    </w:tbl>
    <w:p>
      <w:pPr>
        <w:spacing w:after="0" w:line="155" w:lineRule="exact"/>
        <w:rPr>
          <w:sz w:val="20"/>
          <w:szCs w:val="20"/>
          <w:color w:val="auto"/>
        </w:rPr>
      </w:pPr>
    </w:p>
    <w:p>
      <w:pPr>
        <w:ind w:right="300" w:firstLine="400"/>
        <w:spacing w:after="0" w:line="239" w:lineRule="auto"/>
        <w:rPr>
          <w:sz w:val="20"/>
          <w:szCs w:val="20"/>
          <w:color w:val="auto"/>
        </w:rPr>
      </w:pPr>
      <w:r>
        <w:rPr>
          <w:rFonts w:ascii="Times New Roman" w:cs="Times New Roman" w:eastAsia="Times New Roman" w:hAnsi="Times New Roman"/>
          <w:sz w:val="20"/>
          <w:szCs w:val="20"/>
          <w:color w:val="auto"/>
        </w:rPr>
        <w:t>As of December 31, 2022, the amount expected to be reclassified from accumulated other comprehensive loss into loss within the next twelve months is $1,225 thousand.</w:t>
      </w:r>
    </w:p>
    <w:p>
      <w:pPr>
        <w:spacing w:after="0" w:line="142" w:lineRule="exact"/>
        <w:rPr>
          <w:sz w:val="20"/>
          <w:szCs w:val="20"/>
          <w:color w:val="auto"/>
        </w:rPr>
      </w:pPr>
    </w:p>
    <w:p>
      <w:pPr>
        <w:ind w:right="160" w:firstLine="400"/>
        <w:spacing w:after="0" w:line="246" w:lineRule="auto"/>
        <w:rPr>
          <w:sz w:val="20"/>
          <w:szCs w:val="20"/>
          <w:color w:val="auto"/>
        </w:rPr>
      </w:pPr>
      <w:r>
        <w:rPr>
          <w:rFonts w:ascii="Times New Roman" w:cs="Times New Roman" w:eastAsia="Times New Roman" w:hAnsi="Times New Roman"/>
          <w:sz w:val="20"/>
          <w:szCs w:val="20"/>
          <w:color w:val="auto"/>
        </w:rPr>
        <w:t>The Company set aside cash deposits to the counterparties, Nomura Financial Investment (Korea) Co., Ltd. (‘‘NFIK’’) and Standard Chartered Bank Korea Limited (‘‘SC’’), as required for the zero cost collar contracts. These cash deposits are recorded as hedge collateral on the consolidated balance sheets. Cash deposits as of December 31, 2022 and 2021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30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30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88"/>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SC . . . . . . . . . . . . . . . . . . . . . . . . . . . . . . . . . . . . . . . . . . . . . . . . . . . . . . . . . . . . . . . . . . . . . . . . . .</w:t>
            </w:r>
          </w:p>
        </w:tc>
        <w:tc>
          <w:tcPr>
            <w:tcW w:w="8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1,000</w:t>
            </w:r>
          </w:p>
        </w:tc>
        <w:tc>
          <w:tcPr>
            <w:tcW w:w="8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1,000</w:t>
            </w:r>
          </w:p>
        </w:tc>
      </w:tr>
      <w:tr>
        <w:trPr>
          <w:trHeight w:val="20"/>
        </w:trPr>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85"/>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 . . . . . . . . . . . . . . . . . . . . . . . . . . . . . . . . . . . . . . . . . . . . . . . . . . . . . . . . . . . . . . . . . . . . . . . .</w:t>
            </w:r>
          </w:p>
        </w:tc>
        <w:tc>
          <w:tcPr>
            <w:tcW w:w="8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1,000</w:t>
            </w:r>
          </w:p>
        </w:tc>
        <w:tc>
          <w:tcPr>
            <w:tcW w:w="8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1,000</w:t>
            </w:r>
          </w:p>
        </w:tc>
      </w:tr>
      <w:tr>
        <w:trPr>
          <w:trHeight w:val="20"/>
        </w:trPr>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40" w:firstLine="400"/>
        <w:spacing w:after="0" w:line="247" w:lineRule="auto"/>
        <w:rPr>
          <w:sz w:val="20"/>
          <w:szCs w:val="20"/>
          <w:color w:val="auto"/>
        </w:rPr>
      </w:pPr>
      <w:r>
        <w:rPr>
          <w:rFonts w:ascii="Times New Roman" w:cs="Times New Roman" w:eastAsia="Times New Roman" w:hAnsi="Times New Roman"/>
          <w:sz w:val="20"/>
          <w:szCs w:val="20"/>
          <w:color w:val="auto"/>
        </w:rPr>
        <w:t>The Company is required to deposit additional cash collateral with NFIK and SC for any exposure in excess of $500 thousand. As of December 31, 2022, $1,840 thousand and $100 thousand of additional cash collateral were required by NFIK and SC, respectively, and recorded as hedge collateral on the consolidated balance sheet. As of December 31, 2021, $760 thousand and $1,300 thousand of additional cash collateral were required by NFIK and SC, respectively, and recorded as hedge collateral on the consolidated balance sheet.</w:t>
      </w:r>
    </w:p>
    <w:p>
      <w:pPr>
        <w:spacing w:after="0" w:line="137" w:lineRule="exact"/>
        <w:rPr>
          <w:sz w:val="20"/>
          <w:szCs w:val="20"/>
          <w:color w:val="auto"/>
        </w:rPr>
      </w:pPr>
    </w:p>
    <w:p>
      <w:pPr>
        <w:ind w:right="340" w:firstLine="400"/>
        <w:spacing w:after="0" w:line="239" w:lineRule="auto"/>
        <w:rPr>
          <w:sz w:val="20"/>
          <w:szCs w:val="20"/>
          <w:color w:val="auto"/>
        </w:rPr>
      </w:pPr>
      <w:r>
        <w:rPr>
          <w:rFonts w:ascii="Times New Roman" w:cs="Times New Roman" w:eastAsia="Times New Roman" w:hAnsi="Times New Roman"/>
          <w:sz w:val="20"/>
          <w:szCs w:val="20"/>
          <w:color w:val="auto"/>
        </w:rPr>
        <w:t>These zero cost collar contracts may be terminated by the counterparties if the Company’s total cash and cash equivalents is less than $30,000 thousand at the end of a fiscal quarter, unless a waiver is obtained.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Borrowings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5.0% Exchangeable Senior Notes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On January 17, 2017, MagnaChip Semiconductor S.A. closed the Exchangeable Notes Offering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$86,250 thousand aggregate principal amount of 5.0% Exchangeable Notes. Interest on the Exchangeable Notes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at a rate of 5.0% per annum, payable semi-annually on March 1 and September 1 of each year,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beginning on March 1, 2017. The Exchangeable Notes matured on March 1, 2021, unless they were earlier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repurchased or converted. Holders had the right to convert their notes at their option at any time prior to the</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80"/>
          </w:cols>
          <w:pgMar w:left="1420" w:top="889" w:right="1440" w:bottom="182"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close of business on the business day immediately preceding the stated maturity date. Interest expense related to the Exchangeable Notes for the years ended December 31, 2021 and 2020 were $958 thousand and $5,708 thousand, respectively.</w:t>
      </w:r>
    </w:p>
    <w:p>
      <w:pPr>
        <w:spacing w:after="0" w:line="136" w:lineRule="exact"/>
        <w:rPr>
          <w:sz w:val="20"/>
          <w:szCs w:val="20"/>
          <w:color w:val="auto"/>
        </w:rPr>
      </w:pPr>
    </w:p>
    <w:p>
      <w:pPr>
        <w:ind w:right="100" w:firstLine="400"/>
        <w:spacing w:after="0" w:line="248" w:lineRule="auto"/>
        <w:rPr>
          <w:sz w:val="20"/>
          <w:szCs w:val="20"/>
          <w:color w:val="auto"/>
        </w:rPr>
      </w:pPr>
      <w:r>
        <w:rPr>
          <w:rFonts w:ascii="Times New Roman" w:cs="Times New Roman" w:eastAsia="Times New Roman" w:hAnsi="Times New Roman"/>
          <w:sz w:val="20"/>
          <w:szCs w:val="20"/>
          <w:color w:val="auto"/>
        </w:rPr>
        <w:t>Prior to the March 1, 2021 maturity of the Exchangeable Notes, holders elected to exchange all outstanding Exchangeable Notes for an aggregate of 10,144,131 shares of the Company’s common stock in satisfaction in full of the outstanding obligations under the Exchangeable Notes. Upon exchange, the Company delivered for each $1,000 principal amount of exchanged Exchangeable Notes a number of shares equal to the exchange rate of 121.1387 shares of common stock per $1,000 principal amount of Exchangeable Notes, which was equivalent to an exchange price of approximately $8.26 per share of common stock. In connection with the exchanges, the fractional shares were paid in cash. Following March 1, 2021, the Company does not have any Exchangeable Notes outstanding.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6.625% Senior Notes</w:t>
      </w:r>
    </w:p>
    <w:p>
      <w:pPr>
        <w:spacing w:after="0" w:line="120" w:lineRule="exact"/>
        <w:rPr>
          <w:sz w:val="20"/>
          <w:szCs w:val="20"/>
          <w:color w:val="auto"/>
        </w:rPr>
      </w:pPr>
    </w:p>
    <w:p>
      <w:pPr>
        <w:ind w:right="20" w:firstLine="400"/>
        <w:spacing w:after="0" w:line="246" w:lineRule="auto"/>
        <w:rPr>
          <w:sz w:val="20"/>
          <w:szCs w:val="20"/>
          <w:color w:val="auto"/>
        </w:rPr>
      </w:pPr>
      <w:r>
        <w:rPr>
          <w:rFonts w:ascii="Times New Roman" w:cs="Times New Roman" w:eastAsia="Times New Roman" w:hAnsi="Times New Roman"/>
          <w:sz w:val="20"/>
          <w:szCs w:val="20"/>
          <w:color w:val="auto"/>
        </w:rPr>
        <w:t>On July 18, 2013, the Company issued a $225,000 thousand aggregate principal amount of the 2021 Notes at a price of 99.5%. Interest on the 2021 Notes accrued at a rate of 6.625% per annum, payable semi-annually on January 15 and July 15 of each year, beginning on January 15, 2014. Interest expense related to the 2021 Notes for the year ended December 31, 2020 was $11,926 thousand.</w:t>
      </w:r>
    </w:p>
    <w:p>
      <w:pPr>
        <w:spacing w:after="0" w:line="137" w:lineRule="exact"/>
        <w:rPr>
          <w:sz w:val="20"/>
          <w:szCs w:val="20"/>
          <w:color w:val="auto"/>
        </w:rPr>
      </w:pPr>
    </w:p>
    <w:p>
      <w:pPr>
        <w:ind w:right="160" w:firstLine="400"/>
        <w:spacing w:after="0" w:line="248" w:lineRule="auto"/>
        <w:rPr>
          <w:sz w:val="20"/>
          <w:szCs w:val="20"/>
          <w:color w:val="auto"/>
        </w:rPr>
      </w:pPr>
      <w:r>
        <w:rPr>
          <w:rFonts w:ascii="Times New Roman" w:cs="Times New Roman" w:eastAsia="Times New Roman" w:hAnsi="Times New Roman"/>
          <w:sz w:val="20"/>
          <w:szCs w:val="20"/>
          <w:color w:val="auto"/>
        </w:rPr>
        <w:t>The Company completed the full redemption of the remaining outstanding 2021 Notes on October 2, 2020. The Company paid approximately $227,428 thousand to fully redeem all of the outstanding $224,250 thousand aggregate principal amount of the 2021 Notes at a redemption price equal to the sum of 100% of the principal amount of the 2021 Notes, plus accrued and unpaid interest thereon through, but excluding, the Redemption Date. In connection with the redemption of the 2021 Notes, the Company recorded a $766 thousand as loss on early extinguishment of borrowings related to the remaining unamortized debt discount and debt issuance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Accrued Severance Benefits</w:t>
      </w:r>
    </w:p>
    <w:p>
      <w:pPr>
        <w:spacing w:after="0" w:line="120" w:lineRule="exact"/>
        <w:rPr>
          <w:sz w:val="20"/>
          <w:szCs w:val="20"/>
          <w:color w:val="auto"/>
        </w:rPr>
      </w:pPr>
    </w:p>
    <w:p>
      <w:pPr>
        <w:ind w:right="60" w:firstLine="400"/>
        <w:spacing w:after="0" w:line="247" w:lineRule="auto"/>
        <w:rPr>
          <w:sz w:val="20"/>
          <w:szCs w:val="20"/>
          <w:color w:val="auto"/>
        </w:rPr>
      </w:pPr>
      <w:r>
        <w:rPr>
          <w:rFonts w:ascii="Times New Roman" w:cs="Times New Roman" w:eastAsia="Times New Roman" w:hAnsi="Times New Roman"/>
          <w:sz w:val="20"/>
          <w:szCs w:val="20"/>
          <w:color w:val="auto"/>
        </w:rPr>
        <w:t>The majority of accrued severance benefits are for employees in the Company’s Korean subsidiary. Pursuant to Employee Retirement Benefit Security Act of Korea, eligible employees and executive officers with one or more years of service are entitled to severance benefits upon the termination of their employment based on their length of service and rate of pay. As of December 31, 2022, 97% of all employees of the Company were eligible for severance benefits.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Changes in accrued severance benefits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732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r>
      <w:tr>
        <w:trPr>
          <w:trHeight w:val="290"/>
        </w:trPr>
        <w:tc>
          <w:tcPr>
            <w:tcW w:w="7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Beginning balance . . . . . . . . . . . . . . . . . . . . . . . . . . . . . . . . . . . . . . . . . . . . . . . . . . . . .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$ 51,567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$ 54,452</w:t>
            </w:r>
          </w:p>
        </w:tc>
        <w:tc>
          <w:tcPr>
            <w:tcW w:w="60" w:type="dxa"/>
            <w:vAlign w:val="bottom"/>
          </w:tcPr>
          <w:p>
            <w:pPr>
              <w:spacing w:after="0"/>
              <w:rPr>
                <w:sz w:val="24"/>
                <w:szCs w:val="24"/>
                <w:color w:val="auto"/>
              </w:rPr>
            </w:pPr>
          </w:p>
        </w:tc>
      </w:tr>
      <w:tr>
        <w:trPr>
          <w:trHeight w:val="255"/>
        </w:trPr>
        <w:tc>
          <w:tcPr>
            <w:tcW w:w="7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9"/>
              </w:rPr>
              <w:t>Provisions . . . . . . . . . . . . . . . . . . . . . . . . . . . . . . . . . . . . . . . . . . . . . . . . . . . . . . . . . . . .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6,289</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8,282</w:t>
            </w:r>
          </w:p>
        </w:tc>
        <w:tc>
          <w:tcPr>
            <w:tcW w:w="60" w:type="dxa"/>
            <w:vAlign w:val="bottom"/>
          </w:tcPr>
          <w:p>
            <w:pPr>
              <w:spacing w:after="0"/>
              <w:rPr>
                <w:sz w:val="22"/>
                <w:szCs w:val="22"/>
                <w:color w:val="auto"/>
              </w:rPr>
            </w:pPr>
          </w:p>
        </w:tc>
      </w:tr>
      <w:tr>
        <w:trPr>
          <w:trHeight w:val="255"/>
        </w:trPr>
        <w:tc>
          <w:tcPr>
            <w:tcW w:w="7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Severance payments . . . . . . . . . . . . . . . . . . . . . . . . . . . . . . . . . . . . . . . . . . . . . . . . . . . . .</w:t>
            </w:r>
          </w:p>
        </w:tc>
        <w:tc>
          <w:tcPr>
            <w:tcW w:w="1200" w:type="dxa"/>
            <w:vAlign w:val="bottom"/>
            <w:gridSpan w:val="4"/>
          </w:tcPr>
          <w:p>
            <w:pPr>
              <w:jc w:val="right"/>
              <w:ind w:right="360"/>
              <w:spacing w:after="0"/>
              <w:rPr>
                <w:sz w:val="20"/>
                <w:szCs w:val="20"/>
                <w:color w:val="auto"/>
              </w:rPr>
            </w:pPr>
            <w:r>
              <w:rPr>
                <w:rFonts w:ascii="Times New Roman" w:cs="Times New Roman" w:eastAsia="Times New Roman" w:hAnsi="Times New Roman"/>
                <w:sz w:val="20"/>
                <w:szCs w:val="20"/>
                <w:color w:val="auto"/>
              </w:rPr>
              <w:t>(6,012)</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(6,679)</w:t>
            </w:r>
          </w:p>
        </w:tc>
      </w:tr>
      <w:tr>
        <w:trPr>
          <w:trHeight w:val="253"/>
        </w:trPr>
        <w:tc>
          <w:tcPr>
            <w:tcW w:w="7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Translation adjustments . . . . . . . . . . . . . . . . . . . . . . . . . . . . . . . . . . . . . . . . . . . . . . . . . .</w:t>
            </w:r>
          </w:p>
        </w:tc>
        <w:tc>
          <w:tcPr>
            <w:tcW w:w="60" w:type="dxa"/>
            <w:vAlign w:val="bottom"/>
          </w:tcPr>
          <w:p>
            <w:pPr>
              <w:spacing w:after="0"/>
              <w:rPr>
                <w:sz w:val="22"/>
                <w:szCs w:val="22"/>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(3,348)</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(4,488)</w:t>
            </w:r>
          </w:p>
        </w:tc>
      </w:tr>
      <w:tr>
        <w:trPr>
          <w:trHeight w:val="287"/>
        </w:trPr>
        <w:tc>
          <w:tcPr>
            <w:tcW w:w="7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48,496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51,567</w:t>
            </w:r>
          </w:p>
        </w:tc>
        <w:tc>
          <w:tcPr>
            <w:tcW w:w="60" w:type="dxa"/>
            <w:vAlign w:val="bottom"/>
          </w:tcPr>
          <w:p>
            <w:pPr>
              <w:spacing w:after="0"/>
              <w:rPr>
                <w:sz w:val="24"/>
                <w:szCs w:val="24"/>
                <w:color w:val="auto"/>
              </w:rPr>
            </w:pPr>
          </w:p>
        </w:tc>
      </w:tr>
      <w:tr>
        <w:trPr>
          <w:trHeight w:val="255"/>
        </w:trPr>
        <w:tc>
          <w:tcPr>
            <w:tcW w:w="7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Less: Cumulative contributions to severance insurance deposit accounts . . . . . . . . . . .</w:t>
            </w:r>
          </w:p>
        </w:tc>
        <w:tc>
          <w:tcPr>
            <w:tcW w:w="1200" w:type="dxa"/>
            <w:vAlign w:val="bottom"/>
            <w:gridSpan w:val="4"/>
          </w:tcPr>
          <w:p>
            <w:pPr>
              <w:jc w:val="right"/>
              <w:ind w:right="360"/>
              <w:spacing w:after="0"/>
              <w:rPr>
                <w:sz w:val="20"/>
                <w:szCs w:val="20"/>
                <w:color w:val="auto"/>
              </w:rPr>
            </w:pPr>
            <w:r>
              <w:rPr>
                <w:rFonts w:ascii="Times New Roman" w:cs="Times New Roman" w:eastAsia="Times New Roman" w:hAnsi="Times New Roman"/>
                <w:sz w:val="20"/>
                <w:szCs w:val="20"/>
                <w:color w:val="auto"/>
              </w:rPr>
              <w:t>(25,149)</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(18,250)</w:t>
            </w:r>
          </w:p>
        </w:tc>
      </w:tr>
      <w:tr>
        <w:trPr>
          <w:trHeight w:val="255"/>
        </w:trPr>
        <w:tc>
          <w:tcPr>
            <w:tcW w:w="7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The National Pension Fund . . . . . . . . . . . . . . . . . . . . . . . . . . . . . . . . . . . . . . . . . . . . .</w:t>
            </w:r>
          </w:p>
        </w:tc>
        <w:tc>
          <w:tcPr>
            <w:tcW w:w="1200" w:type="dxa"/>
            <w:vAlign w:val="bottom"/>
            <w:gridSpan w:val="4"/>
          </w:tcPr>
          <w:p>
            <w:pPr>
              <w:jc w:val="right"/>
              <w:ind w:right="360"/>
              <w:spacing w:after="0"/>
              <w:rPr>
                <w:sz w:val="20"/>
                <w:szCs w:val="20"/>
                <w:color w:val="auto"/>
              </w:rPr>
            </w:pPr>
            <w:r>
              <w:rPr>
                <w:rFonts w:ascii="Times New Roman" w:cs="Times New Roman" w:eastAsia="Times New Roman" w:hAnsi="Times New Roman"/>
                <w:sz w:val="20"/>
                <w:szCs w:val="20"/>
                <w:color w:val="auto"/>
              </w:rPr>
              <w:t>(41)</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3"/>
        </w:trPr>
        <w:tc>
          <w:tcPr>
            <w:tcW w:w="7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Group severance insurance plan. . . . . . . . . . . . . . . . . . . . . . . . . . . . . . . . . . . . . . . . . .</w:t>
            </w:r>
          </w:p>
        </w:tc>
        <w:tc>
          <w:tcPr>
            <w:tcW w:w="60" w:type="dxa"/>
            <w:vAlign w:val="bottom"/>
          </w:tcPr>
          <w:p>
            <w:pPr>
              <w:spacing w:after="0"/>
              <w:rPr>
                <w:sz w:val="22"/>
                <w:szCs w:val="22"/>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(185)</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(200)</w:t>
            </w:r>
          </w:p>
        </w:tc>
      </w:tr>
      <w:tr>
        <w:trPr>
          <w:trHeight w:val="285"/>
        </w:trPr>
        <w:tc>
          <w:tcPr>
            <w:tcW w:w="7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Accrued severance benefits, net. . . . . . . . . . . . . . . . . . . . . . . . . . . . . . . . . . . . . . . . . . . .</w:t>
            </w:r>
          </w:p>
        </w:tc>
        <w:tc>
          <w:tcPr>
            <w:tcW w:w="60" w:type="dxa"/>
            <w:vAlign w:val="bottom"/>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$ 23,121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$ 33,064</w:t>
            </w:r>
          </w:p>
        </w:tc>
        <w:tc>
          <w:tcPr>
            <w:tcW w:w="60" w:type="dxa"/>
            <w:vAlign w:val="bottom"/>
          </w:tcPr>
          <w:p>
            <w:pPr>
              <w:spacing w:after="0"/>
              <w:rPr>
                <w:sz w:val="24"/>
                <w:szCs w:val="24"/>
                <w:color w:val="auto"/>
              </w:rPr>
            </w:pPr>
          </w:p>
        </w:tc>
      </w:tr>
      <w:tr>
        <w:trPr>
          <w:trHeight w:val="20"/>
        </w:trPr>
        <w:tc>
          <w:tcPr>
            <w:tcW w:w="7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60" w:firstLine="400"/>
        <w:spacing w:after="0" w:line="245" w:lineRule="auto"/>
        <w:rPr>
          <w:sz w:val="20"/>
          <w:szCs w:val="20"/>
          <w:color w:val="auto"/>
        </w:rPr>
      </w:pPr>
      <w:r>
        <w:rPr>
          <w:rFonts w:ascii="Times New Roman" w:cs="Times New Roman" w:eastAsia="Times New Roman" w:hAnsi="Times New Roman"/>
          <w:sz w:val="20"/>
          <w:szCs w:val="20"/>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36" w:lineRule="exact"/>
        <w:rPr>
          <w:sz w:val="20"/>
          <w:szCs w:val="20"/>
          <w:color w:val="auto"/>
        </w:rPr>
      </w:pPr>
    </w:p>
    <w:p>
      <w:pPr>
        <w:ind w:right="200" w:firstLine="400"/>
        <w:spacing w:after="0" w:line="239" w:lineRule="auto"/>
        <w:rPr>
          <w:sz w:val="20"/>
          <w:szCs w:val="20"/>
          <w:color w:val="auto"/>
        </w:rPr>
      </w:pPr>
      <w:r>
        <w:rPr>
          <w:rFonts w:ascii="Times New Roman" w:cs="Times New Roman" w:eastAsia="Times New Roman" w:hAnsi="Times New Roman"/>
          <w:sz w:val="20"/>
          <w:szCs w:val="20"/>
          <w:color w:val="auto"/>
        </w:rPr>
        <w:t>Beginning in July 2018, the Company contributes to certain severance insurance deposit accounts a certain percentage of severance benefits that are accrued for eligible employees for their services from January 1, 2018</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80"/>
          </w:cols>
          <w:pgMar w:left="1420" w:top="889" w:right="1440" w:bottom="182" w:gutter="0" w:footer="0" w:header="0"/>
          <w:type w:val="continuous"/>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right="20"/>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auto"/>
        </w:rPr>
        <w:t>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35" w:lineRule="exact"/>
        <w:rPr>
          <w:sz w:val="20"/>
          <w:szCs w:val="20"/>
          <w:color w:val="auto"/>
        </w:rPr>
      </w:pPr>
    </w:p>
    <w:p>
      <w:pPr>
        <w:ind w:right="640" w:firstLine="400"/>
        <w:spacing w:after="0" w:line="250" w:lineRule="auto"/>
        <w:rPr>
          <w:sz w:val="20"/>
          <w:szCs w:val="20"/>
          <w:color w:val="auto"/>
        </w:rPr>
      </w:pPr>
      <w:r>
        <w:rPr>
          <w:rFonts w:ascii="Times New Roman" w:cs="Times New Roman" w:eastAsia="Times New Roman" w:hAnsi="Times New Roman"/>
          <w:sz w:val="20"/>
          <w:szCs w:val="20"/>
          <w:color w:val="auto"/>
        </w:rPr>
        <w:t>The Company is liable to pay the following future benefits to its non-executive employees upon their normal retirement age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Severance</w:t>
            </w:r>
          </w:p>
        </w:tc>
      </w:tr>
      <w:tr>
        <w:trPr>
          <w:trHeight w:val="185"/>
        </w:trPr>
        <w:tc>
          <w:tcPr>
            <w:tcW w:w="8680" w:type="dxa"/>
            <w:vAlign w:val="bottom"/>
          </w:tcPr>
          <w:p>
            <w:pPr>
              <w:spacing w:after="0"/>
              <w:rPr>
                <w:sz w:val="16"/>
                <w:szCs w:val="16"/>
                <w:color w:val="auto"/>
              </w:rPr>
            </w:pPr>
          </w:p>
        </w:tc>
        <w:tc>
          <w:tcPr>
            <w:tcW w:w="680" w:type="dxa"/>
            <w:vAlign w:val="bottom"/>
            <w:tcBorders>
              <w:bottom w:val="single" w:sz="8" w:color="auto"/>
            </w:tcBorders>
          </w:tcPr>
          <w:p>
            <w:pPr>
              <w:jc w:val="right"/>
              <w:ind w:right="5"/>
              <w:spacing w:after="0" w:line="182" w:lineRule="exact"/>
              <w:rPr>
                <w:sz w:val="20"/>
                <w:szCs w:val="20"/>
                <w:color w:val="auto"/>
              </w:rPr>
            </w:pPr>
            <w:r>
              <w:rPr>
                <w:rFonts w:ascii="Times New Roman" w:cs="Times New Roman" w:eastAsia="Times New Roman" w:hAnsi="Times New Roman"/>
                <w:sz w:val="16"/>
                <w:szCs w:val="16"/>
                <w:b w:val="1"/>
                <w:bCs w:val="1"/>
                <w:color w:val="auto"/>
              </w:rPr>
              <w:t>Benefit</w:t>
            </w:r>
          </w:p>
        </w:tc>
      </w:tr>
      <w:tr>
        <w:trPr>
          <w:trHeight w:val="290"/>
        </w:trPr>
        <w:tc>
          <w:tcPr>
            <w:tcW w:w="86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9"/>
              </w:rPr>
              <w:t>2023. . . . . . . . . . . . . . . . . . . . . . . . . . . . . . . . . . . . . . . . . . . . . . . . . . . . . . . . . . . . . . . . . . . . . . . . . . . . . .</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618</w:t>
            </w:r>
          </w:p>
        </w:tc>
      </w:tr>
      <w:tr>
        <w:trPr>
          <w:trHeight w:val="255"/>
        </w:trPr>
        <w:tc>
          <w:tcPr>
            <w:tcW w:w="86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9"/>
              </w:rPr>
              <w:t>2024. . . . . . . . . . . . . . . . . . . . . . . . . . . . . . . . . . . . . . . . . . . . . . . . . . . . . . . . . . . . . . . . . . . . . . . . . . . . . .</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w:t>
            </w:r>
          </w:p>
        </w:tc>
      </w:tr>
      <w:tr>
        <w:trPr>
          <w:trHeight w:val="255"/>
        </w:trPr>
        <w:tc>
          <w:tcPr>
            <w:tcW w:w="86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9"/>
              </w:rPr>
              <w:t>2025. . . . . . . . . . . . . . . . . . . . . . . . . . . . . . . . . . . . . . . . . . . . . . . . . . . . . . . . . . . . . . . . . . . . . . . . . . . . . .</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1,431</w:t>
            </w:r>
          </w:p>
        </w:tc>
      </w:tr>
      <w:tr>
        <w:trPr>
          <w:trHeight w:val="255"/>
        </w:trPr>
        <w:tc>
          <w:tcPr>
            <w:tcW w:w="86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9"/>
              </w:rPr>
              <w:t>2026. . . . . . . . . . . . . . . . . . . . . . . . . . . . . . . . . . . . . . . . . . . . . . . . . . . . . . . . . . . . . . . . . . . . . . . . . . . . . .</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w:t>
            </w:r>
          </w:p>
        </w:tc>
      </w:tr>
      <w:tr>
        <w:trPr>
          <w:trHeight w:val="255"/>
        </w:trPr>
        <w:tc>
          <w:tcPr>
            <w:tcW w:w="86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9"/>
              </w:rPr>
              <w:t>2027. . . . . . . . . . . . . . . . . . . . . . . . . . . . . . . . . . . . . . . . . . . . . . . . . . . . . . . . . . . . . . . . . . . . . . . . . . . . . .</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1,622</w:t>
            </w:r>
          </w:p>
        </w:tc>
      </w:tr>
      <w:tr>
        <w:trPr>
          <w:trHeight w:val="255"/>
        </w:trPr>
        <w:tc>
          <w:tcPr>
            <w:tcW w:w="86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2028 – 2032 . . . . . . . . . . . . . . . . . . . . . . . . . . . . . . . . . . . . . . . . . . . . . . . . . . . . . . . . . . . . . . . . . . . . . . .</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19,305</w:t>
            </w:r>
          </w:p>
        </w:tc>
      </w:tr>
    </w:tbl>
    <w:p>
      <w:pPr>
        <w:spacing w:after="0" w:line="165" w:lineRule="exact"/>
        <w:rPr>
          <w:sz w:val="20"/>
          <w:szCs w:val="20"/>
          <w:color w:val="auto"/>
        </w:rPr>
      </w:pPr>
    </w:p>
    <w:p>
      <w:pPr>
        <w:ind w:right="220" w:firstLine="400"/>
        <w:spacing w:after="0" w:line="257" w:lineRule="auto"/>
        <w:rPr>
          <w:sz w:val="20"/>
          <w:szCs w:val="20"/>
          <w:color w:val="auto"/>
        </w:rPr>
      </w:pPr>
      <w:r>
        <w:rPr>
          <w:rFonts w:ascii="Times New Roman" w:cs="Times New Roman" w:eastAsia="Times New Roman" w:hAnsi="Times New Roman"/>
          <w:sz w:val="20"/>
          <w:szCs w:val="20"/>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35" w:lineRule="exact"/>
        <w:rPr>
          <w:sz w:val="20"/>
          <w:szCs w:val="20"/>
          <w:color w:val="auto"/>
        </w:rPr>
      </w:pPr>
    </w:p>
    <w:p>
      <w:pPr>
        <w:ind w:right="500" w:firstLine="400"/>
        <w:spacing w:after="0" w:line="250" w:lineRule="auto"/>
        <w:rPr>
          <w:sz w:val="20"/>
          <w:szCs w:val="20"/>
          <w:color w:val="auto"/>
        </w:rPr>
      </w:pPr>
      <w:r>
        <w:rPr>
          <w:rFonts w:ascii="Times New Roman" w:cs="Times New Roman" w:eastAsia="Times New Roman" w:hAnsi="Times New Roman"/>
          <w:sz w:val="20"/>
          <w:szCs w:val="20"/>
          <w:color w:val="auto"/>
        </w:rPr>
        <w:t>Korea’s mandatory retirement age is 60 years of age or older under the Employment Promotion for the Aged Act. The Company sets the retirement age of employees at 60.</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Stockholders’ Equity and Stock-Based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Repurchases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On December 21, 2021, the Board of Directors authorized the Company to repurchase up to</w:t>
      </w:r>
    </w:p>
    <w:p>
      <w:pPr>
        <w:spacing w:after="0" w:line="3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$75,000 thousand of the Company’s outstanding common stock and the Company entered into an accelerated stock repurchase agreement (the ‘‘ASR Agreement’’) with JPMorgan Chase Bank, National Association (‘‘JPM’’) to repurchase an aggregate of $37,500 thousand of the Company’s common stock.</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Pursuant to the terms of the ASR Agreement dated December 21, 2021, the Company paid to JPM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$37,500 thousand in cash and received an initial delivery of 994,695 shares of its common stock in the open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 for an aggregate purchase price of $20,073 thousand and a price per share of $20.18 on December 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2021.</w:t>
      </w:r>
    </w:p>
    <w:p>
      <w:pPr>
        <w:spacing w:after="0" w:line="140"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2021, the Company accounted for the remaining portion of the ASR Agreement as a forward contract indexed to its own common stock and recorded $17,427 thousand in additional paid-in capital in stockholders’ equity in its consolidated balance sheets.</w:t>
      </w:r>
    </w:p>
    <w:p>
      <w:pPr>
        <w:spacing w:after="0" w:line="136" w:lineRule="exact"/>
        <w:rPr>
          <w:sz w:val="20"/>
          <w:szCs w:val="20"/>
          <w:color w:val="auto"/>
        </w:rPr>
      </w:pPr>
    </w:p>
    <w:p>
      <w:pPr>
        <w:ind w:right="100" w:firstLine="400"/>
        <w:spacing w:after="0" w:line="239" w:lineRule="auto"/>
        <w:rPr>
          <w:sz w:val="20"/>
          <w:szCs w:val="20"/>
          <w:color w:val="auto"/>
        </w:rPr>
      </w:pPr>
      <w:r>
        <w:rPr>
          <w:rFonts w:ascii="Times New Roman" w:cs="Times New Roman" w:eastAsia="Times New Roman" w:hAnsi="Times New Roman"/>
          <w:sz w:val="20"/>
          <w:szCs w:val="20"/>
          <w:color w:val="auto"/>
        </w:rPr>
        <w:t>In March 2022, the previously announced repurchase of $37,500 thousand of the Company’s common stock was completed pursuant to the ASR Agreement, and as a result, the Company additionally received</w:t>
      </w:r>
    </w:p>
    <w:p>
      <w:pPr>
        <w:spacing w:after="0" w:line="22" w:lineRule="exact"/>
        <w:rPr>
          <w:sz w:val="20"/>
          <w:szCs w:val="20"/>
          <w:color w:val="auto"/>
        </w:rPr>
      </w:pPr>
    </w:p>
    <w:p>
      <w:pPr>
        <w:jc w:val="both"/>
        <w:ind w:right="180"/>
        <w:spacing w:after="0" w:line="245" w:lineRule="auto"/>
        <w:rPr>
          <w:sz w:val="20"/>
          <w:szCs w:val="20"/>
          <w:color w:val="auto"/>
        </w:rPr>
      </w:pPr>
      <w:r>
        <w:rPr>
          <w:rFonts w:ascii="Times New Roman" w:cs="Times New Roman" w:eastAsia="Times New Roman" w:hAnsi="Times New Roman"/>
          <w:sz w:val="20"/>
          <w:szCs w:val="20"/>
          <w:color w:val="auto"/>
        </w:rPr>
        <w:t>1,031,576 shares of its common stock for an aggregate purchase price of $ 17,217 thousand at a price per share of $16.69, which was reclassified as treasury stock from additional paid-in capital in stockholder’s equity in the Company’s consolidated balance sheets.</w:t>
      </w:r>
    </w:p>
    <w:p>
      <w:pPr>
        <w:spacing w:after="0" w:line="136" w:lineRule="exact"/>
        <w:rPr>
          <w:sz w:val="20"/>
          <w:szCs w:val="20"/>
          <w:color w:val="auto"/>
        </w:rPr>
      </w:pPr>
    </w:p>
    <w:p>
      <w:pPr>
        <w:ind w:right="280" w:firstLine="400"/>
        <w:spacing w:after="0" w:line="248" w:lineRule="auto"/>
        <w:rPr>
          <w:sz w:val="20"/>
          <w:szCs w:val="20"/>
          <w:color w:val="auto"/>
        </w:rPr>
      </w:pPr>
      <w:r>
        <w:rPr>
          <w:rFonts w:ascii="Times New Roman" w:cs="Times New Roman" w:eastAsia="Times New Roman" w:hAnsi="Times New Roman"/>
          <w:sz w:val="20"/>
          <w:szCs w:val="20"/>
          <w:color w:val="auto"/>
        </w:rPr>
        <w:t>On August 31, 2022, the Board of Directors has authorized an expansion of the Company’s previously announced stock repurchase program from $75,000 thousand to $87,500 thousand of the Company’s common stock. The remaining $50,000 thousand of the expanded $87,500 thousand program was planned to be repurchased in the open market or through privately negotiated transactions. In connection with the repurchase program, the Company has established a stock trading plan with Oppenheimer &amp; Co. Inc. in accordance with Rule 10b5-1 under the Securities Exchange Act of 1934, as amended.</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80"/>
          </w:cols>
          <w:pgMar w:left="1420" w:top="889" w:right="1440" w:bottom="182"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160" w:firstLine="400"/>
        <w:spacing w:after="0" w:line="245" w:lineRule="auto"/>
        <w:rPr>
          <w:sz w:val="20"/>
          <w:szCs w:val="20"/>
          <w:color w:val="auto"/>
        </w:rPr>
      </w:pPr>
      <w:r>
        <w:rPr>
          <w:rFonts w:ascii="Times New Roman" w:cs="Times New Roman" w:eastAsia="Times New Roman" w:hAnsi="Times New Roman"/>
          <w:sz w:val="20"/>
          <w:szCs w:val="20"/>
          <w:color w:val="auto"/>
        </w:rPr>
        <w:t>From September 2022 to December 2022, the Company repurchased 1,235,650 shares of its common stock in the open market for an aggregate purchase price of $12,511 thousand and a price per share of $10.13 under the stock repurchase program.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Incentive Plans</w:t>
      </w:r>
    </w:p>
    <w:p>
      <w:pPr>
        <w:spacing w:after="0" w:line="120" w:lineRule="exact"/>
        <w:rPr>
          <w:sz w:val="20"/>
          <w:szCs w:val="20"/>
          <w:color w:val="auto"/>
        </w:rPr>
      </w:pPr>
    </w:p>
    <w:p>
      <w:pPr>
        <w:ind w:right="60" w:firstLine="400"/>
        <w:spacing w:after="0" w:line="249" w:lineRule="auto"/>
        <w:rPr>
          <w:sz w:val="20"/>
          <w:szCs w:val="20"/>
          <w:color w:val="auto"/>
        </w:rPr>
      </w:pPr>
      <w:r>
        <w:rPr>
          <w:rFonts w:ascii="Times New Roman" w:cs="Times New Roman" w:eastAsia="Times New Roman" w:hAnsi="Times New Roman"/>
          <w:sz w:val="20"/>
          <w:szCs w:val="20"/>
          <w:color w:val="auto"/>
        </w:rPr>
        <w:t>The Company adopted its 2009 Common Unit Plan, or the 2009 Plan, effective December 8, 2009, which is administered by the Compensation Committee of the Company’s Board of Directors (the ‘‘Compensation Committee’’). The 2009 Plan terminated in connection with the Company’s initial public offering in March 2011, and no additional options or other equity awards may be granted under the 2009 Plan. The Company adopted its 2011 Equity Incentive Plan, or the 2011 Plan, in March 2010. The Company amended and restated the 2011 Plan in February 2011, and the Company’s stockholders approved the amendment in March 2011 to reflect that it became effective in 2011 in connection with the Company’s initial public offering in March 2011. The 2011 Plan was amended on October 23, 2017, to revise the clawback policy of the 2011 Plan. The 2011 Plan was amended on April 26, 2018 to amend the tax withholding provisions as they relate to directed sales of shares. At the 2020 Annual Meeting of Stockholders, the Company’s stockholders approved its 2020 Equity and Incentive Compensation Plan, or the 2020 Plan, which is administered by the Compensation Committee. Following the adoption of the 2020 Plan, no further awards may be issued under the 2011 Plan.</w:t>
      </w:r>
    </w:p>
    <w:p>
      <w:pPr>
        <w:spacing w:after="0" w:line="137" w:lineRule="exact"/>
        <w:rPr>
          <w:sz w:val="20"/>
          <w:szCs w:val="20"/>
          <w:color w:val="auto"/>
        </w:rPr>
      </w:pPr>
    </w:p>
    <w:p>
      <w:pPr>
        <w:ind w:right="120" w:firstLine="400"/>
        <w:spacing w:after="0" w:line="248" w:lineRule="auto"/>
        <w:rPr>
          <w:sz w:val="20"/>
          <w:szCs w:val="20"/>
          <w:color w:val="auto"/>
        </w:rPr>
      </w:pPr>
      <w:r>
        <w:rPr>
          <w:rFonts w:ascii="Times New Roman" w:cs="Times New Roman" w:eastAsia="Times New Roman" w:hAnsi="Times New Roman"/>
          <w:sz w:val="20"/>
          <w:szCs w:val="20"/>
          <w:color w:val="auto"/>
        </w:rPr>
        <w:t>Awards may be granted under the 2020 Plan to the Company’s employees, officers, directors, or certain consultants or those of any subsidiary of the Company. While the Company may grant incentive stock options only to employees, the Company may grant non-statutory stock options, stock appreciation rights, restricted stock, restricted stock units, performance shares, performance units, dividend equivalents and cash-based awards or other stock-based awards to any eligible participant, subject to terms and conditions determined by the Compensation Committee. The term of any options granted under the 2020 Plan shall not exceed ten years from the date of grant. As of December 31, 2022 an aggregate maximum of 11,352,919 shares were authorized and 1,351,913 shares were reserved for all future grants.</w:t>
      </w:r>
    </w:p>
    <w:p>
      <w:pPr>
        <w:spacing w:after="0" w:line="139" w:lineRule="exact"/>
        <w:rPr>
          <w:sz w:val="20"/>
          <w:szCs w:val="20"/>
          <w:color w:val="auto"/>
        </w:rPr>
      </w:pPr>
    </w:p>
    <w:p>
      <w:pPr>
        <w:ind w:right="40" w:firstLine="400"/>
        <w:spacing w:after="0" w:line="246" w:lineRule="auto"/>
        <w:rPr>
          <w:sz w:val="20"/>
          <w:szCs w:val="20"/>
          <w:color w:val="auto"/>
        </w:rPr>
      </w:pPr>
      <w:r>
        <w:rPr>
          <w:rFonts w:ascii="Times New Roman" w:cs="Times New Roman" w:eastAsia="Times New Roman" w:hAnsi="Times New Roman"/>
          <w:sz w:val="20"/>
          <w:szCs w:val="20"/>
          <w:color w:val="auto"/>
        </w:rPr>
        <w:t>Stock options and stock appreciation rights must have exercise prices at least equal to the fair market value of the stock at the time of their grant pursuant to the 2011 Plan and 2020 Plan. Stock options typically vest over one to three years following grant, subject to the participant’s continued service through the applicable vesting dates. As of December 31, 2022, no stock options or stock appreciation rights had been granted under 2020 Plan.</w:t>
      </w:r>
    </w:p>
    <w:p>
      <w:pPr>
        <w:spacing w:after="0" w:line="137"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auto"/>
        </w:rPr>
        <w:t>Restricted stock units granted under the 2011 Plan and 2020 Plan represent a right to receive shares of the Company’s common stock when the restricted stock unit vests. No monetary payment (other than applicable tax withholding) shall be required as a condition of receiving shares pursuant to a restricted stock unit, the consideration for which shall be services actually rendered to a participating company or for its benefit. Stock issued pursuant to any restricted stock unit may (but need not) be made subject to vesting conditions based upon the satisfaction of such service requirements, conditions, restrictions or performance criteria as shall be established by the Compensation Committee and set forth in the award agreement evidencing such award.</w:t>
      </w:r>
    </w:p>
    <w:p>
      <w:pPr>
        <w:spacing w:after="0" w:line="136" w:lineRule="exact"/>
        <w:rPr>
          <w:sz w:val="20"/>
          <w:szCs w:val="20"/>
          <w:color w:val="auto"/>
        </w:rPr>
      </w:pPr>
    </w:p>
    <w:p>
      <w:pPr>
        <w:ind w:right="520" w:firstLine="400"/>
        <w:spacing w:after="0" w:line="239" w:lineRule="auto"/>
        <w:rPr>
          <w:sz w:val="20"/>
          <w:szCs w:val="20"/>
          <w:color w:val="auto"/>
        </w:rPr>
      </w:pPr>
      <w:r>
        <w:rPr>
          <w:rFonts w:ascii="Times New Roman" w:cs="Times New Roman" w:eastAsia="Times New Roman" w:hAnsi="Times New Roman"/>
          <w:sz w:val="20"/>
          <w:szCs w:val="20"/>
          <w:color w:val="auto"/>
        </w:rPr>
        <w:t>Restricted stock units typically vest over one to three years following grant, subject to the participant’s continued service through the applicable vesting dates.</w:t>
      </w:r>
    </w:p>
    <w:p>
      <w:pPr>
        <w:spacing w:after="0" w:line="142"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auto"/>
        </w:rPr>
        <w:t>Restricted stock constitutes an immediate transfer of the ownership of shares of the Company’s common stock to the participant in consideration of the performance of services, entitling such participant to voting, dividend and other ownership rights, subject to the substantial risk of forfeiture and restrictions on transfer determined by the Compensation Committee for a period of time determined by the Compensation Committee or until certain management objectives specified by the Compensation Committee are achieved. Each grant of restricted stock may be made without additional consideration or in consideration of a payment by the participant that is less than the fair market value per share of common stock on the grant date. Stock issued pursuant to any restricted stock award may (but need not) be made subject to vesting conditions based upon the satisfaction of such service requirements, conditions, restrictions or performance criteria as shall be established by the Compensation Committee and set forth in the award agreement evidencing such award. A grant of restricted stock may require that any and all dividends and distributions paid on restricted stock that remains subject to a</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80"/>
          </w:cols>
          <w:pgMar w:left="1420" w:top="889" w:right="1440" w:bottom="182"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substantial risk of forfeiture be automatically deferred and/or reinvested in additional restricted stock, which will be subject to the same restrictions as the underlying restricted stock, but any such dividends or other distributions on restricted stock must be deferred until, and paid contingent upon, the vesting of such restricted stock.</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summarizes restricted stock unit activities for the year ended December 31,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80"/>
        </w:trPr>
        <w:tc>
          <w:tcPr>
            <w:tcW w:w="7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80"/>
        </w:trPr>
        <w:tc>
          <w:tcPr>
            <w:tcW w:w="7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Grant-Date</w:t>
            </w:r>
          </w:p>
        </w:tc>
      </w:tr>
      <w:tr>
        <w:trPr>
          <w:trHeight w:val="180"/>
        </w:trPr>
        <w:tc>
          <w:tcPr>
            <w:tcW w:w="7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4"/>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060" w:type="dxa"/>
            <w:vAlign w:val="bottom"/>
            <w:gridSpan w:val="4"/>
          </w:tcPr>
          <w:p>
            <w:pPr>
              <w:jc w:val="center"/>
              <w:ind w:left="64"/>
              <w:spacing w:after="0" w:line="180" w:lineRule="exact"/>
              <w:rPr>
                <w:sz w:val="20"/>
                <w:szCs w:val="20"/>
                <w:color w:val="auto"/>
              </w:rPr>
            </w:pPr>
            <w:r>
              <w:rPr>
                <w:rFonts w:ascii="Times New Roman" w:cs="Times New Roman" w:eastAsia="Times New Roman" w:hAnsi="Times New Roman"/>
                <w:sz w:val="16"/>
                <w:szCs w:val="16"/>
                <w:b w:val="1"/>
                <w:bCs w:val="1"/>
                <w:color w:val="auto"/>
                <w:w w:val="99"/>
              </w:rPr>
              <w:t>Fair Value of</w:t>
            </w:r>
          </w:p>
        </w:tc>
      </w:tr>
      <w:tr>
        <w:trPr>
          <w:trHeight w:val="180"/>
        </w:trPr>
        <w:tc>
          <w:tcPr>
            <w:tcW w:w="7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3"/>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160" w:type="dxa"/>
            <w:vAlign w:val="bottom"/>
          </w:tcPr>
          <w:p>
            <w:pPr>
              <w:spacing w:after="0"/>
              <w:rPr>
                <w:sz w:val="15"/>
                <w:szCs w:val="15"/>
                <w:color w:val="auto"/>
              </w:rPr>
            </w:pPr>
          </w:p>
        </w:tc>
        <w:tc>
          <w:tcPr>
            <w:tcW w:w="90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Restricted</w:t>
            </w:r>
          </w:p>
        </w:tc>
      </w:tr>
      <w:tr>
        <w:trPr>
          <w:trHeight w:val="185"/>
        </w:trPr>
        <w:tc>
          <w:tcPr>
            <w:tcW w:w="7140" w:type="dxa"/>
            <w:vAlign w:val="bottom"/>
          </w:tcPr>
          <w:p>
            <w:pPr>
              <w:spacing w:after="0"/>
              <w:rPr>
                <w:sz w:val="16"/>
                <w:szCs w:val="16"/>
                <w:color w:val="auto"/>
              </w:rPr>
            </w:pPr>
          </w:p>
        </w:tc>
        <w:tc>
          <w:tcPr>
            <w:tcW w:w="1160" w:type="dxa"/>
            <w:vAlign w:val="bottom"/>
            <w:gridSpan w:val="5"/>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Stock Units</w:t>
            </w:r>
          </w:p>
        </w:tc>
        <w:tc>
          <w:tcPr>
            <w:tcW w:w="160" w:type="dxa"/>
            <w:vAlign w:val="bottom"/>
          </w:tcPr>
          <w:p>
            <w:pPr>
              <w:spacing w:after="0"/>
              <w:rPr>
                <w:sz w:val="16"/>
                <w:szCs w:val="16"/>
                <w:color w:val="auto"/>
              </w:rPr>
            </w:pPr>
          </w:p>
        </w:tc>
        <w:tc>
          <w:tcPr>
            <w:tcW w:w="90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9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2021 . . . . . . . . . . . . . . . . . . . . . . . . . . . . . . . . . . . . . . . . .</w:t>
            </w:r>
          </w:p>
        </w:tc>
        <w:tc>
          <w:tcPr>
            <w:tcW w:w="180" w:type="dxa"/>
            <w:vAlign w:val="bottom"/>
          </w:tcPr>
          <w:p>
            <w:pPr>
              <w:spacing w:after="0"/>
              <w:rPr>
                <w:sz w:val="24"/>
                <w:szCs w:val="24"/>
                <w:color w:val="auto"/>
              </w:rPr>
            </w:pPr>
          </w:p>
        </w:tc>
        <w:tc>
          <w:tcPr>
            <w:tcW w:w="740" w:type="dxa"/>
            <w:vAlign w:val="bottom"/>
            <w:tcBorders>
              <w:top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20"/>
                <w:szCs w:val="20"/>
                <w:color w:val="auto"/>
                <w:w w:val="98"/>
              </w:rPr>
              <w:t>833,961</w:t>
            </w:r>
          </w:p>
        </w:tc>
        <w:tc>
          <w:tcPr>
            <w:tcW w:w="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$14.33</w:t>
            </w:r>
          </w:p>
        </w:tc>
        <w:tc>
          <w:tcPr>
            <w:tcW w:w="180" w:type="dxa"/>
            <w:vAlign w:val="bottom"/>
            <w:tcBorders>
              <w:top w:val="single" w:sz="8" w:color="auto"/>
            </w:tcBorders>
          </w:tcPr>
          <w:p>
            <w:pPr>
              <w:spacing w:after="0"/>
              <w:rPr>
                <w:sz w:val="24"/>
                <w:szCs w:val="24"/>
                <w:color w:val="auto"/>
              </w:rPr>
            </w:pPr>
          </w:p>
        </w:tc>
      </w:tr>
      <w:tr>
        <w:trPr>
          <w:trHeight w:val="25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 . . . . . .</w:t>
            </w:r>
          </w:p>
        </w:tc>
        <w:tc>
          <w:tcPr>
            <w:tcW w:w="920" w:type="dxa"/>
            <w:vAlign w:val="bottom"/>
            <w:gridSpan w:val="3"/>
          </w:tcPr>
          <w:p>
            <w:pPr>
              <w:jc w:val="center"/>
              <w:ind w:left="185"/>
              <w:spacing w:after="0"/>
              <w:rPr>
                <w:sz w:val="20"/>
                <w:szCs w:val="20"/>
                <w:color w:val="auto"/>
              </w:rPr>
            </w:pPr>
            <w:r>
              <w:rPr>
                <w:rFonts w:ascii="Times New Roman" w:cs="Times New Roman" w:eastAsia="Times New Roman" w:hAnsi="Times New Roman"/>
                <w:sz w:val="20"/>
                <w:szCs w:val="20"/>
                <w:color w:val="auto"/>
                <w:w w:val="98"/>
              </w:rPr>
              <w:t>726,000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17.41</w:t>
            </w:r>
          </w:p>
        </w:tc>
        <w:tc>
          <w:tcPr>
            <w:tcW w:w="180" w:type="dxa"/>
            <w:vAlign w:val="bottom"/>
          </w:tcPr>
          <w:p>
            <w:pPr>
              <w:spacing w:after="0"/>
              <w:rPr>
                <w:sz w:val="22"/>
                <w:szCs w:val="22"/>
                <w:color w:val="auto"/>
              </w:rPr>
            </w:pPr>
          </w:p>
        </w:tc>
      </w:tr>
      <w:tr>
        <w:trPr>
          <w:trHeight w:val="25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 . . . . . .</w:t>
            </w:r>
          </w:p>
        </w:tc>
        <w:tc>
          <w:tcPr>
            <w:tcW w:w="116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auto"/>
                <w:w w:val="99"/>
              </w:rPr>
              <w:t>(374,803)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16.99</w:t>
            </w:r>
          </w:p>
        </w:tc>
        <w:tc>
          <w:tcPr>
            <w:tcW w:w="180" w:type="dxa"/>
            <w:vAlign w:val="bottom"/>
          </w:tcPr>
          <w:p>
            <w:pPr>
              <w:spacing w:after="0"/>
              <w:rPr>
                <w:sz w:val="22"/>
                <w:szCs w:val="22"/>
                <w:color w:val="auto"/>
              </w:rPr>
            </w:pPr>
          </w:p>
        </w:tc>
      </w:tr>
      <w:tr>
        <w:trPr>
          <w:trHeight w:val="253"/>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 . . . . . .</w:t>
            </w:r>
          </w:p>
        </w:tc>
        <w:tc>
          <w:tcPr>
            <w:tcW w:w="116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auto"/>
                <w:w w:val="99"/>
              </w:rPr>
              <w:t>(369,751)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17.61</w:t>
            </w:r>
          </w:p>
        </w:tc>
        <w:tc>
          <w:tcPr>
            <w:tcW w:w="180" w:type="dxa"/>
            <w:vAlign w:val="bottom"/>
          </w:tcPr>
          <w:p>
            <w:pPr>
              <w:spacing w:after="0"/>
              <w:rPr>
                <w:sz w:val="22"/>
                <w:szCs w:val="22"/>
                <w:color w:val="auto"/>
              </w:rPr>
            </w:pPr>
          </w:p>
        </w:tc>
      </w:tr>
      <w:tr>
        <w:trPr>
          <w:trHeight w:val="20"/>
        </w:trPr>
        <w:tc>
          <w:tcPr>
            <w:tcW w:w="7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2022 . . . . . . . . . . . . . . . . . . . . . . . . . . . . . . . . . . . . . . . . .</w:t>
            </w:r>
          </w:p>
        </w:tc>
        <w:tc>
          <w:tcPr>
            <w:tcW w:w="220" w:type="dxa"/>
            <w:vAlign w:val="bottom"/>
            <w:gridSpan w:val="2"/>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815,407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14.36</w:t>
            </w:r>
          </w:p>
        </w:tc>
        <w:tc>
          <w:tcPr>
            <w:tcW w:w="180" w:type="dxa"/>
            <w:vAlign w:val="bottom"/>
          </w:tcPr>
          <w:p>
            <w:pPr>
              <w:spacing w:after="0"/>
              <w:rPr>
                <w:sz w:val="24"/>
                <w:szCs w:val="24"/>
                <w:color w:val="auto"/>
              </w:rPr>
            </w:pPr>
          </w:p>
        </w:tc>
      </w:tr>
      <w:tr>
        <w:trPr>
          <w:trHeight w:val="20"/>
        </w:trPr>
        <w:tc>
          <w:tcPr>
            <w:tcW w:w="7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60" w:firstLine="400"/>
        <w:spacing w:after="0" w:line="248" w:lineRule="auto"/>
        <w:rPr>
          <w:sz w:val="20"/>
          <w:szCs w:val="20"/>
          <w:color w:val="auto"/>
        </w:rPr>
      </w:pPr>
      <w:r>
        <w:rPr>
          <w:rFonts w:ascii="Times New Roman" w:cs="Times New Roman" w:eastAsia="Times New Roman" w:hAnsi="Times New Roman"/>
          <w:sz w:val="20"/>
          <w:szCs w:val="20"/>
          <w:color w:val="auto"/>
        </w:rPr>
        <w:t>Total compensation expenses recorded for the restricted stock units were $6,037 thousand, $7,704 thousand and $6,311 thousand for the years ended December 31, 2022, 2021 and 2020, respectively. As of December 31, 2022, there was $4,036 thousand of total unrecognized compensation cost related to unvested restricted stock units, which is expected to be recognized over a weighted average future period of 0.7 year. Total fair value of restricted stock units vested were $6,369 thousand, $5,788 thousand and $3,839 thousand for the years ended December 31, 2022, 2021 and 2020, respectively.</w:t>
      </w:r>
    </w:p>
    <w:p>
      <w:pPr>
        <w:spacing w:after="0" w:line="134" w:lineRule="exact"/>
        <w:rPr>
          <w:sz w:val="20"/>
          <w:szCs w:val="20"/>
          <w:color w:val="auto"/>
        </w:rPr>
      </w:pPr>
    </w:p>
    <w:p>
      <w:pPr>
        <w:ind w:right="100" w:firstLine="400"/>
        <w:spacing w:after="0" w:line="245" w:lineRule="auto"/>
        <w:rPr>
          <w:sz w:val="20"/>
          <w:szCs w:val="20"/>
          <w:color w:val="auto"/>
        </w:rPr>
      </w:pPr>
      <w:r>
        <w:rPr>
          <w:rFonts w:ascii="Times New Roman" w:cs="Times New Roman" w:eastAsia="Times New Roman" w:hAnsi="Times New Roman"/>
          <w:sz w:val="20"/>
          <w:szCs w:val="20"/>
          <w:color w:val="auto"/>
        </w:rPr>
        <w:t>The following summarizes stock option activities for the year ended December 31, 2022. At the date of grant, all options had an exercise price not less than the fair value of common stock (aggregate intrinsic value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80"/>
        </w:trPr>
        <w:tc>
          <w:tcPr>
            <w:tcW w:w="5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80"/>
        </w:trPr>
        <w:tc>
          <w:tcPr>
            <w:tcW w:w="5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10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180"/>
        </w:trPr>
        <w:tc>
          <w:tcPr>
            <w:tcW w:w="5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100" w:type="dxa"/>
            <w:vAlign w:val="bottom"/>
            <w:gridSpan w:val="3"/>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Contractual</w:t>
            </w:r>
          </w:p>
        </w:tc>
      </w:tr>
      <w:tr>
        <w:trPr>
          <w:trHeight w:val="180"/>
        </w:trPr>
        <w:tc>
          <w:tcPr>
            <w:tcW w:w="5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rPr>
              <w:t>Price of</w:t>
            </w:r>
          </w:p>
        </w:tc>
        <w:tc>
          <w:tcPr>
            <w:tcW w:w="1100" w:type="dxa"/>
            <w:vAlign w:val="bottom"/>
            <w:gridSpan w:val="3"/>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rPr>
              <w:t>Value of</w:t>
            </w: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Life of</w:t>
            </w:r>
          </w:p>
        </w:tc>
      </w:tr>
      <w:tr>
        <w:trPr>
          <w:trHeight w:val="180"/>
        </w:trPr>
        <w:tc>
          <w:tcPr>
            <w:tcW w:w="5200" w:type="dxa"/>
            <w:vAlign w:val="bottom"/>
          </w:tcPr>
          <w:p>
            <w:pPr>
              <w:spacing w:after="0"/>
              <w:rPr>
                <w:sz w:val="15"/>
                <w:szCs w:val="15"/>
                <w:color w:val="auto"/>
              </w:rPr>
            </w:pPr>
          </w:p>
        </w:tc>
        <w:tc>
          <w:tcPr>
            <w:tcW w:w="10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5"/>
                <w:szCs w:val="15"/>
                <w:color w:val="auto"/>
              </w:rPr>
            </w:pPr>
          </w:p>
        </w:tc>
        <w:tc>
          <w:tcPr>
            <w:tcW w:w="104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5"/>
                <w:szCs w:val="15"/>
                <w:color w:val="auto"/>
              </w:rPr>
            </w:pPr>
          </w:p>
        </w:tc>
        <w:tc>
          <w:tcPr>
            <w:tcW w:w="980" w:type="dxa"/>
            <w:vAlign w:val="bottom"/>
            <w:gridSpan w:val="2"/>
          </w:tcPr>
          <w:p>
            <w:pPr>
              <w:jc w:val="center"/>
              <w:ind w:right="520"/>
              <w:spacing w:after="0" w:line="180"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Stock</w:t>
            </w:r>
          </w:p>
        </w:tc>
      </w:tr>
      <w:tr>
        <w:trPr>
          <w:trHeight w:val="185"/>
        </w:trPr>
        <w:tc>
          <w:tcPr>
            <w:tcW w:w="5200" w:type="dxa"/>
            <w:vAlign w:val="bottom"/>
          </w:tcPr>
          <w:p>
            <w:pPr>
              <w:spacing w:after="0"/>
              <w:rPr>
                <w:sz w:val="16"/>
                <w:szCs w:val="16"/>
                <w:color w:val="auto"/>
              </w:rPr>
            </w:pPr>
          </w:p>
        </w:tc>
        <w:tc>
          <w:tcPr>
            <w:tcW w:w="800" w:type="dxa"/>
            <w:vAlign w:val="bottom"/>
            <w:tcBorders>
              <w:bottom w:val="single" w:sz="8" w:color="auto"/>
            </w:tcBorders>
          </w:tcPr>
          <w:p>
            <w:pPr>
              <w:jc w:val="right"/>
              <w:ind w:right="26"/>
              <w:spacing w:after="0" w:line="182" w:lineRule="exact"/>
              <w:rPr>
                <w:sz w:val="20"/>
                <w:szCs w:val="20"/>
                <w:color w:val="auto"/>
              </w:rPr>
            </w:pPr>
            <w:r>
              <w:rPr>
                <w:rFonts w:ascii="Times New Roman" w:cs="Times New Roman" w:eastAsia="Times New Roman" w:hAnsi="Times New Roman"/>
                <w:sz w:val="16"/>
                <w:szCs w:val="16"/>
                <w:b w:val="1"/>
                <w:bCs w:val="1"/>
                <w:color w:val="auto"/>
              </w:rPr>
              <w:t>Options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400" w:type="dxa"/>
            <w:vAlign w:val="bottom"/>
          </w:tcPr>
          <w:p>
            <w:pPr>
              <w:spacing w:after="0"/>
              <w:rPr>
                <w:sz w:val="16"/>
                <w:szCs w:val="16"/>
                <w:color w:val="auto"/>
              </w:rPr>
            </w:pPr>
          </w:p>
        </w:tc>
        <w:tc>
          <w:tcPr>
            <w:tcW w:w="700" w:type="dxa"/>
            <w:vAlign w:val="bottom"/>
            <w:tcBorders>
              <w:bottom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400" w:type="dxa"/>
            <w:vAlign w:val="bottom"/>
          </w:tcPr>
          <w:p>
            <w:pPr>
              <w:spacing w:after="0"/>
              <w:rPr>
                <w:sz w:val="16"/>
                <w:szCs w:val="16"/>
                <w:color w:val="auto"/>
              </w:rPr>
            </w:pPr>
          </w:p>
        </w:tc>
        <w:tc>
          <w:tcPr>
            <w:tcW w:w="82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Options</w:t>
            </w:r>
          </w:p>
        </w:tc>
      </w:tr>
      <w:tr>
        <w:trPr>
          <w:trHeight w:val="29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January 1, 2022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1,297,877</w:t>
            </w:r>
          </w:p>
        </w:tc>
        <w:tc>
          <w:tcPr>
            <w:tcW w:w="2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$10.78</w:t>
            </w:r>
          </w:p>
        </w:tc>
        <w:tc>
          <w:tcPr>
            <w:tcW w:w="4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13,262</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 years</w:t>
            </w:r>
          </w:p>
        </w:tc>
      </w:tr>
      <w:tr>
        <w:trPr>
          <w:trHeight w:val="255"/>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Expired. . . . . . . . . . . . . . . . . . . . . . . . . . . . . . . . . . . . . . . . . .</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(7,993)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12.81</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3"/>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 . . . . . . . . . . . . .</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(152,326)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11.73</w:t>
            </w:r>
          </w:p>
        </w:tc>
        <w:tc>
          <w:tcPr>
            <w:tcW w:w="4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1,187</w:t>
            </w: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2022 . . . . . . . . . . . . . . . . . . .</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1,137,558</w:t>
            </w:r>
          </w:p>
        </w:tc>
        <w:tc>
          <w:tcPr>
            <w:tcW w:w="2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$10.64</w:t>
            </w:r>
          </w:p>
        </w:tc>
        <w:tc>
          <w:tcPr>
            <w:tcW w:w="4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 years</w:t>
            </w:r>
          </w:p>
        </w:tc>
      </w:tr>
      <w:tr>
        <w:trPr>
          <w:trHeight w:val="20"/>
        </w:trPr>
        <w:tc>
          <w:tcPr>
            <w:tcW w:w="5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85"/>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Vested and Exercisable at December 31, 2022 . . . . . . . . .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1,137,558</w:t>
            </w:r>
          </w:p>
        </w:tc>
        <w:tc>
          <w:tcPr>
            <w:tcW w:w="2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$10.64</w:t>
            </w:r>
          </w:p>
        </w:tc>
        <w:tc>
          <w:tcPr>
            <w:tcW w:w="4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 years</w:t>
            </w:r>
          </w:p>
        </w:tc>
      </w:tr>
      <w:tr>
        <w:trPr>
          <w:trHeight w:val="20"/>
        </w:trPr>
        <w:tc>
          <w:tcPr>
            <w:tcW w:w="5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40" w:firstLine="400"/>
        <w:spacing w:after="0" w:line="239" w:lineRule="auto"/>
        <w:rPr>
          <w:sz w:val="20"/>
          <w:szCs w:val="20"/>
          <w:color w:val="auto"/>
        </w:rPr>
      </w:pPr>
      <w:r>
        <w:rPr>
          <w:rFonts w:ascii="Times New Roman" w:cs="Times New Roman" w:eastAsia="Times New Roman" w:hAnsi="Times New Roman"/>
          <w:sz w:val="20"/>
          <w:szCs w:val="20"/>
          <w:color w:val="auto"/>
        </w:rPr>
        <w:t>There were no compensation expenses recorded for the stock options for the years ended December 31, 2022, 2021 and 2020.</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Early termination and other charges, net</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For the year ended December 31, 2022, the Company recorded in its consolidated statement of operations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$2,821 thousand of one-time employee incentives, and professional service fees and expenses of $1,014 thousand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incurred in connection with certain strategic evaluations. During the same period, the Company also recorded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$537 thousand gain on sale of certain legacy equipment of the closed back-end line in the Company’s fabrication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 in Gumi (which was closed during the year ended December 31, 2018).</w:t>
      </w:r>
    </w:p>
    <w:p>
      <w:pPr>
        <w:spacing w:after="0" w:line="140" w:lineRule="exact"/>
        <w:rPr>
          <w:sz w:val="20"/>
          <w:szCs w:val="20"/>
          <w:color w:val="auto"/>
        </w:rPr>
      </w:pPr>
    </w:p>
    <w:p>
      <w:pPr>
        <w:ind w:right="260" w:firstLine="400"/>
        <w:spacing w:after="0" w:line="239" w:lineRule="auto"/>
        <w:rPr>
          <w:sz w:val="20"/>
          <w:szCs w:val="20"/>
          <w:color w:val="auto"/>
        </w:rPr>
      </w:pPr>
      <w:r>
        <w:rPr>
          <w:rFonts w:ascii="Times New Roman" w:cs="Times New Roman" w:eastAsia="Times New Roman" w:hAnsi="Times New Roman"/>
          <w:sz w:val="20"/>
          <w:szCs w:val="20"/>
          <w:color w:val="auto"/>
        </w:rPr>
        <w:t>For the year ended December 31, 2021, the Company recorded in its consolidated statement of operations $3,430 thousand of non-recurring professional service fees and expenses incurred in connection with the</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80"/>
          </w:cols>
          <w:pgMar w:left="1420" w:top="889" w:right="1440" w:bottom="182" w:gutter="0" w:footer="0" w:header="0"/>
          <w:type w:val="continuous"/>
        </w:sectPr>
      </w:pPr>
    </w:p>
    <w:bookmarkStart w:id="87" w:name="page88"/>
    <w:bookmarkEnd w:id="87"/>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right="60"/>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800"/>
        <w:spacing w:after="0" w:line="250" w:lineRule="auto"/>
        <w:rPr>
          <w:sz w:val="20"/>
          <w:szCs w:val="20"/>
          <w:color w:val="auto"/>
        </w:rPr>
      </w:pPr>
      <w:r>
        <w:rPr>
          <w:rFonts w:ascii="Times New Roman" w:cs="Times New Roman" w:eastAsia="Times New Roman" w:hAnsi="Times New Roman"/>
          <w:sz w:val="20"/>
          <w:szCs w:val="20"/>
          <w:color w:val="auto"/>
        </w:rPr>
        <w:t>regulatory requests, and recorded $1,419 thousand gain on sale of certain legacy equipment of the closed back-end line in the Company’s fabrication facility in Gumi.</w:t>
      </w:r>
    </w:p>
    <w:p>
      <w:pPr>
        <w:spacing w:after="0" w:line="141" w:lineRule="exact"/>
        <w:rPr>
          <w:sz w:val="20"/>
          <w:szCs w:val="20"/>
          <w:color w:val="auto"/>
        </w:rPr>
      </w:pPr>
    </w:p>
    <w:p>
      <w:pPr>
        <w:ind w:right="180" w:firstLine="40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2020, the Company recorded in its consolidated statement of operations $4,422 thousand of early termination and other charges, net in connection with the headcount reduction program offered and paid to the employees during the fourth quarter of 2020. During the same period, the Company also recorded $554 thousand of non-recurring professional service fees and expenses incurred in connection with certain treasury and finance initiatives.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Foreign Currency Loss, Net</w:t>
      </w:r>
    </w:p>
    <w:p>
      <w:pPr>
        <w:spacing w:after="0" w:line="130" w:lineRule="exact"/>
        <w:rPr>
          <w:sz w:val="20"/>
          <w:szCs w:val="20"/>
          <w:color w:val="auto"/>
        </w:rPr>
      </w:pPr>
    </w:p>
    <w:p>
      <w:pPr>
        <w:ind w:right="140" w:firstLine="400"/>
        <w:spacing w:after="0" w:line="258" w:lineRule="auto"/>
        <w:rPr>
          <w:sz w:val="20"/>
          <w:szCs w:val="20"/>
          <w:color w:val="auto"/>
        </w:rPr>
      </w:pPr>
      <w:r>
        <w:rPr>
          <w:rFonts w:ascii="Times New Roman" w:cs="Times New Roman" w:eastAsia="Times New Roman" w:hAnsi="Times New Roman"/>
          <w:sz w:val="20"/>
          <w:szCs w:val="20"/>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December 31, 2022, 2021 and 2020, the outstanding intercompany loan balances including accrued interest between the Korean subsidiary and the Dutch subsidiary were $310,988 thousand,</w:t>
      </w:r>
    </w:p>
    <w:p>
      <w:pPr>
        <w:spacing w:after="0" w:line="17"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20"/>
          <w:szCs w:val="20"/>
          <w:color w:val="auto"/>
        </w:rPr>
        <w:t>$344,411 thousand and $378,852 thousand, respectively. The Korean won to U.S. dollar exchange rates were 1,267.3:1, 1,185.5:1 and 1,088.0:1 using the first base rate as of December 31, 2022, 2021 and 2020, respectively, as quoted by the KEB Hana Bank.</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Income Taxes</w:t>
      </w:r>
    </w:p>
    <w:p>
      <w:pPr>
        <w:spacing w:after="0" w:line="130" w:lineRule="exact"/>
        <w:rPr>
          <w:sz w:val="20"/>
          <w:szCs w:val="20"/>
          <w:color w:val="auto"/>
        </w:rPr>
      </w:pPr>
    </w:p>
    <w:p>
      <w:pPr>
        <w:ind w:right="180" w:firstLine="400"/>
        <w:spacing w:after="0" w:line="259" w:lineRule="auto"/>
        <w:rPr>
          <w:sz w:val="20"/>
          <w:szCs w:val="20"/>
          <w:color w:val="auto"/>
        </w:rPr>
      </w:pPr>
      <w:r>
        <w:rPr>
          <w:rFonts w:ascii="Times New Roman" w:cs="Times New Roman" w:eastAsia="Times New Roman" w:hAnsi="Times New Roman"/>
          <w:sz w:val="20"/>
          <w:szCs w:val="20"/>
          <w:color w:val="auto"/>
        </w:rPr>
        <w:t>The Company’s income tax expense (benefit) is composed of domestic and foreign income taxes depending on the relevant tax jurisdictions. Domestic income (loss) from continuing operations before income tax expense (benefit) and income tax expense (benefit) are generated or incurred in the U.S, where the parent company resides.</w:t>
      </w:r>
    </w:p>
    <w:p>
      <w:pPr>
        <w:spacing w:after="0" w:line="375" w:lineRule="exact"/>
        <w:rPr>
          <w:sz w:val="20"/>
          <w:szCs w:val="20"/>
          <w:color w:val="auto"/>
        </w:rPr>
      </w:pPr>
    </w:p>
    <w:p>
      <w:pPr>
        <w:ind w:right="380" w:firstLine="400"/>
        <w:spacing w:after="0" w:line="250" w:lineRule="auto"/>
        <w:rPr>
          <w:sz w:val="20"/>
          <w:szCs w:val="20"/>
          <w:color w:val="auto"/>
        </w:rPr>
      </w:pPr>
      <w:r>
        <w:rPr>
          <w:rFonts w:ascii="Times New Roman" w:cs="Times New Roman" w:eastAsia="Times New Roman" w:hAnsi="Times New Roman"/>
          <w:sz w:val="20"/>
          <w:szCs w:val="20"/>
          <w:color w:val="auto"/>
        </w:rPr>
        <w:t>The components of income tax expense (benefit) attributable to income (loss) from continuing operations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2660" w:type="dxa"/>
            <w:vAlign w:val="bottom"/>
            <w:gridSpan w:val="7"/>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2"/>
        </w:trPr>
        <w:tc>
          <w:tcPr>
            <w:tcW w:w="6780" w:type="dxa"/>
            <w:vAlign w:val="bottom"/>
          </w:tcPr>
          <w:p>
            <w:pPr>
              <w:spacing w:after="0"/>
              <w:rPr>
                <w:sz w:val="18"/>
                <w:szCs w:val="18"/>
                <w:color w:val="auto"/>
              </w:rPr>
            </w:pPr>
          </w:p>
        </w:tc>
        <w:tc>
          <w:tcPr>
            <w:tcW w:w="6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continuing operations before income tax expense (benefit)</w:t>
            </w: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Domestic . . . . . . . . . . . . . . . . . . . . . . . . . . . . . . . . . . . . . . . . . . . . . . . . . . . . . .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$(1,955)</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$41,566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$(12,305)</w:t>
            </w:r>
          </w:p>
        </w:tc>
        <w:tc>
          <w:tcPr>
            <w:tcW w:w="0" w:type="dxa"/>
            <w:vAlign w:val="bottom"/>
          </w:tcPr>
          <w:p>
            <w:pPr>
              <w:spacing w:after="0"/>
              <w:rPr>
                <w:sz w:val="1"/>
                <w:szCs w:val="1"/>
                <w:color w:val="auto"/>
              </w:rPr>
            </w:pPr>
          </w:p>
        </w:tc>
      </w:tr>
      <w:tr>
        <w:trPr>
          <w:trHeight w:val="253"/>
        </w:trPr>
        <w:tc>
          <w:tcPr>
            <w:tcW w:w="6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 . .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(924)</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32,403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23,136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7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(2,879)</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73,969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 income tax expense (benefit)</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7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Domestic . . . . . . . . . .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3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6,876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4,297</w:t>
            </w:r>
          </w:p>
        </w:tc>
        <w:tc>
          <w:tcPr>
            <w:tcW w:w="3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9,415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(2,264)</w:t>
            </w:r>
          </w:p>
        </w:tc>
        <w:tc>
          <w:tcPr>
            <w:tcW w:w="0" w:type="dxa"/>
            <w:vAlign w:val="bottom"/>
          </w:tcPr>
          <w:p>
            <w:pPr>
              <w:spacing w:after="0"/>
              <w:rPr>
                <w:sz w:val="1"/>
                <w:szCs w:val="1"/>
                <w:color w:val="auto"/>
              </w:rPr>
            </w:pPr>
          </w:p>
        </w:tc>
      </w:tr>
      <w:tr>
        <w:trPr>
          <w:trHeight w:val="253"/>
        </w:trPr>
        <w:tc>
          <w:tcPr>
            <w:tcW w:w="6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Uncertain tax position liability (foreign) . . . . . . . . . . . . . . . . . . . . . . . . . . . . .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7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4,903</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16,256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(2,283)</w:t>
            </w:r>
          </w:p>
        </w:tc>
        <w:tc>
          <w:tcPr>
            <w:tcW w:w="0" w:type="dxa"/>
            <w:vAlign w:val="bottom"/>
          </w:tcPr>
          <w:p>
            <w:pPr>
              <w:spacing w:after="0"/>
              <w:rPr>
                <w:sz w:val="1"/>
                <w:szCs w:val="1"/>
                <w:color w:val="auto"/>
              </w:rPr>
            </w:pPr>
          </w:p>
        </w:tc>
      </w:tr>
      <w:tr>
        <w:trPr>
          <w:trHeight w:val="287"/>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 expense (benefit)</w:t>
            </w: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Domestic . . . . . . . . . . . . . . . . . . . . . . . . . . . . . . . . . . . . . . . . . . . . . . . . . . . . . .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(1,264)</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1,314</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(4,461)</w:t>
            </w:r>
          </w:p>
        </w:tc>
        <w:tc>
          <w:tcPr>
            <w:tcW w:w="0" w:type="dxa"/>
            <w:vAlign w:val="bottom"/>
          </w:tcPr>
          <w:p>
            <w:pPr>
              <w:spacing w:after="0"/>
              <w:rPr>
                <w:sz w:val="1"/>
                <w:szCs w:val="1"/>
                <w:color w:val="auto"/>
              </w:rPr>
            </w:pPr>
          </w:p>
        </w:tc>
      </w:tr>
      <w:tr>
        <w:trPr>
          <w:trHeight w:val="253"/>
        </w:trPr>
        <w:tc>
          <w:tcPr>
            <w:tcW w:w="6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1,518</w:t>
            </w:r>
          </w:p>
        </w:tc>
        <w:tc>
          <w:tcPr>
            <w:tcW w:w="3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(309)</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(39,484)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7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(43,945)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Total income tax expense (benefit)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$ 5,157</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17,261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9"/>
              </w:rPr>
              <w:t>$</w:t>
            </w:r>
            <w:r>
              <w:rPr>
                <w:rFonts w:ascii="Times New Roman" w:cs="Times New Roman" w:eastAsia="Times New Roman" w:hAnsi="Times New Roman"/>
                <w:sz w:val="20"/>
                <w:szCs w:val="20"/>
                <w:color w:val="auto"/>
                <w:w w:val="99"/>
              </w:rPr>
              <w:t>(46,228)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440"/>
          </w:cols>
          <w:pgMar w:left="1420" w:top="889" w:right="138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440"/>
          </w:cols>
          <w:pgMar w:left="1420" w:top="889" w:right="1380" w:bottom="182" w:gutter="0" w:footer="0" w:header="0"/>
          <w:type w:val="continuous"/>
        </w:sectPr>
      </w:pPr>
    </w:p>
    <w:bookmarkStart w:id="88" w:name="page89"/>
    <w:bookmarkEnd w:id="88"/>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right="60"/>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240" w:firstLine="400"/>
        <w:spacing w:after="0" w:line="255" w:lineRule="auto"/>
        <w:rPr>
          <w:sz w:val="20"/>
          <w:szCs w:val="20"/>
          <w:color w:val="auto"/>
        </w:rPr>
      </w:pPr>
      <w:r>
        <w:rPr>
          <w:rFonts w:ascii="Times New Roman" w:cs="Times New Roman" w:eastAsia="Times New Roman" w:hAnsi="Times New Roman"/>
          <w:sz w:val="20"/>
          <w:szCs w:val="20"/>
          <w:color w:val="auto"/>
        </w:rPr>
        <w:t>The provision for domestic and foreign income taxes (benefit) incurred is different from the amount calculated by applying the statutory tax rates to the income (loss) from continuing operations before income tax expense (benefit). The significant items causing this difference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9"/>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6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r>
      <w:tr>
        <w:trPr>
          <w:trHeight w:val="290"/>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Provision computed at statutory rates.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(605)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$ 15,533</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2,274</w:t>
            </w: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State income taxes, net of federal effect . . . . . . . . . . . . . . . . . . . . . . . . . . .</w:t>
            </w:r>
          </w:p>
        </w:tc>
        <w:tc>
          <w:tcPr>
            <w:tcW w:w="10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w:t>
            </w:r>
          </w:p>
        </w:tc>
        <w:tc>
          <w:tcPr>
            <w:tcW w:w="80" w:type="dxa"/>
            <w:vAlign w:val="bottom"/>
          </w:tcPr>
          <w:p>
            <w:pPr>
              <w:spacing w:after="0"/>
              <w:rPr>
                <w:sz w:val="22"/>
                <w:szCs w:val="22"/>
                <w:color w:val="auto"/>
              </w:rPr>
            </w:pP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Change in statutory tax rates . . . . . . . . . . . . . . . . . . . . . . . . . . . . . . . . . . . .</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2,006</w:t>
            </w:r>
          </w:p>
        </w:tc>
        <w:tc>
          <w:tcPr>
            <w:tcW w:w="260" w:type="dxa"/>
            <w:vAlign w:val="bottom"/>
          </w:tcPr>
          <w:p>
            <w:pPr>
              <w:spacing w:after="0"/>
              <w:rPr>
                <w:sz w:val="22"/>
                <w:szCs w:val="22"/>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(259)</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5,735</w:t>
            </w:r>
          </w:p>
        </w:tc>
        <w:tc>
          <w:tcPr>
            <w:tcW w:w="80" w:type="dxa"/>
            <w:vAlign w:val="bottom"/>
          </w:tcPr>
          <w:p>
            <w:pPr>
              <w:spacing w:after="0"/>
              <w:rPr>
                <w:sz w:val="22"/>
                <w:szCs w:val="22"/>
                <w:color w:val="auto"/>
              </w:rPr>
            </w:pP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Difference in foreign tax rates . . . . . . . . . . . . . . . . . . . . . . . . . . . . . . . . . . .</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2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2,820</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w:t>
            </w:r>
          </w:p>
        </w:tc>
        <w:tc>
          <w:tcPr>
            <w:tcW w:w="80" w:type="dxa"/>
            <w:vAlign w:val="bottom"/>
          </w:tcPr>
          <w:p>
            <w:pPr>
              <w:spacing w:after="0"/>
              <w:rPr>
                <w:sz w:val="22"/>
                <w:szCs w:val="22"/>
                <w:color w:val="auto"/>
              </w:rPr>
            </w:pPr>
          </w:p>
        </w:tc>
      </w:tr>
      <w:tr>
        <w:trPr>
          <w:trHeight w:val="255"/>
        </w:trPr>
        <w:tc>
          <w:tcPr>
            <w:tcW w:w="6440" w:type="dxa"/>
            <w:vAlign w:val="bottom"/>
          </w:tcPr>
          <w:p>
            <w:pPr>
              <w:jc w:val="right"/>
              <w:ind w:right="4520"/>
              <w:spacing w:after="0"/>
              <w:rPr>
                <w:sz w:val="20"/>
                <w:szCs w:val="20"/>
                <w:color w:val="auto"/>
              </w:rPr>
            </w:pPr>
            <w:r>
              <w:rPr>
                <w:rFonts w:ascii="Times New Roman" w:cs="Times New Roman" w:eastAsia="Times New Roman" w:hAnsi="Times New Roman"/>
                <w:sz w:val="20"/>
                <w:szCs w:val="20"/>
                <w:color w:val="auto"/>
              </w:rPr>
              <w:t>Permanent differences</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Derivative assets adjustment . . . . . . . . . . . . . . . . . . . . . . . . . . . . . . . . . . .</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(62)</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(23)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80" w:type="dxa"/>
            <w:vAlign w:val="bottom"/>
          </w:tcPr>
          <w:p>
            <w:pPr>
              <w:spacing w:after="0"/>
              <w:rPr>
                <w:sz w:val="22"/>
                <w:szCs w:val="22"/>
                <w:color w:val="auto"/>
              </w:rPr>
            </w:pP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TPECs, hybrid and other interest . . . . . . . . . . . . . . . . . . . . . . . . . . . . . . .</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5"/>
              </w:rPr>
              <w:t>(2,096)</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(3,400)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(2,722)</w:t>
            </w: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Thin capitalization . . . . . . . . . . . . . . . . . . . . . . . . . . . . . . . . . . . . . . . . . . .</w:t>
            </w:r>
          </w:p>
        </w:tc>
        <w:tc>
          <w:tcPr>
            <w:tcW w:w="10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w:t>
            </w:r>
          </w:p>
        </w:tc>
        <w:tc>
          <w:tcPr>
            <w:tcW w:w="80" w:type="dxa"/>
            <w:vAlign w:val="bottom"/>
          </w:tcPr>
          <w:p>
            <w:pPr>
              <w:spacing w:after="0"/>
              <w:rPr>
                <w:sz w:val="22"/>
                <w:szCs w:val="22"/>
                <w:color w:val="auto"/>
              </w:rPr>
            </w:pP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Equity-based compensation. . . . . . . . . . . . . . . . . . . . . . . . . . . . . . . . . . . .</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(241)</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(802)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Permanent foreign currency gain (loss) . . . . . . . . . . . . . . . . . . . . . . . . . .</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1,676</w:t>
            </w:r>
          </w:p>
        </w:tc>
        <w:tc>
          <w:tcPr>
            <w:tcW w:w="2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1,888</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(1,813)</w:t>
            </w: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Penalty . . . . . . . . . . . . . . . . . . . . . . . . . . . . . . . . . . . . . . . . . . . . . . . . . . . .</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80" w:type="dxa"/>
            <w:vAlign w:val="bottom"/>
          </w:tcPr>
          <w:p>
            <w:pPr>
              <w:spacing w:after="0"/>
              <w:rPr>
                <w:sz w:val="22"/>
                <w:szCs w:val="22"/>
                <w:color w:val="auto"/>
              </w:rPr>
            </w:pP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GILTI . . . . . . . . . . . . . . . . . . . . . . . . . . . . . . . . . . . . . . . . . . . . . . . . . . . . .</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8,187</w:t>
            </w:r>
          </w:p>
        </w:tc>
        <w:tc>
          <w:tcPr>
            <w:tcW w:w="2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6,156</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24,224</w:t>
            </w:r>
          </w:p>
        </w:tc>
        <w:tc>
          <w:tcPr>
            <w:tcW w:w="80" w:type="dxa"/>
            <w:vAlign w:val="bottom"/>
          </w:tcPr>
          <w:p>
            <w:pPr>
              <w:spacing w:after="0"/>
              <w:rPr>
                <w:sz w:val="22"/>
                <w:szCs w:val="22"/>
                <w:color w:val="auto"/>
              </w:rPr>
            </w:pP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Intercompany debt restructuring . . . . . . . . . . . . . . . . . . . . . . . . . . . . . . . .</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8,061</w:t>
            </w:r>
          </w:p>
        </w:tc>
        <w:tc>
          <w:tcPr>
            <w:tcW w:w="2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11,137</w:t>
            </w:r>
          </w:p>
        </w:tc>
        <w:tc>
          <w:tcPr>
            <w:tcW w:w="80" w:type="dxa"/>
            <w:vAlign w:val="bottom"/>
          </w:tcPr>
          <w:p>
            <w:pPr>
              <w:spacing w:after="0"/>
              <w:rPr>
                <w:sz w:val="22"/>
                <w:szCs w:val="22"/>
                <w:color w:val="auto"/>
              </w:rPr>
            </w:pP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Other permanent differences . . . . . . . . . . . . . . . . . . . . . . . . . . . . . . . . . . .</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260" w:type="dxa"/>
            <w:vAlign w:val="bottom"/>
          </w:tcPr>
          <w:p>
            <w:pPr>
              <w:spacing w:after="0"/>
              <w:rPr>
                <w:sz w:val="22"/>
                <w:szCs w:val="22"/>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(767)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w:t>
            </w:r>
          </w:p>
        </w:tc>
        <w:tc>
          <w:tcPr>
            <w:tcW w:w="80" w:type="dxa"/>
            <w:vAlign w:val="bottom"/>
          </w:tcPr>
          <w:p>
            <w:pPr>
              <w:spacing w:after="0"/>
              <w:rPr>
                <w:sz w:val="22"/>
                <w:szCs w:val="22"/>
                <w:color w:val="auto"/>
              </w:rPr>
            </w:pP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99"/>
              </w:rPr>
              <w:t>Withholding tax . . . . . . . . . . . . . . . . . . . . . . . . . . . . . . . . . . . . . . . . . . . . . . .</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5"/>
              </w:rPr>
              <w:t>(2,031)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2,060</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w:t>
            </w:r>
          </w:p>
        </w:tc>
        <w:tc>
          <w:tcPr>
            <w:tcW w:w="80" w:type="dxa"/>
            <w:vAlign w:val="bottom"/>
          </w:tcPr>
          <w:p>
            <w:pPr>
              <w:spacing w:after="0"/>
              <w:rPr>
                <w:sz w:val="22"/>
                <w:szCs w:val="22"/>
                <w:color w:val="auto"/>
              </w:rPr>
            </w:pP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State net operating loss write off . . . . . . . . . . . . . . . . . . . . . . . . . . . . . . . . .</w:t>
            </w:r>
          </w:p>
        </w:tc>
        <w:tc>
          <w:tcPr>
            <w:tcW w:w="10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9,844</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Change in valuation allowance . . . . . . . . . . . . . . . . . . . . . . . . . . . . . . . . . . .</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5"/>
              </w:rPr>
              <w:t>(4,582)</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(13,803)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(75,452)</w:t>
            </w: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Tax credits claimed . . . . . . . . . . . . . . . . . . . . . . . . . . . . . . . . . . . . . . . . . . . .</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5"/>
              </w:rPr>
              <w:t>(5,658)</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(5,508)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(12,397)</w:t>
            </w: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Uncertain tax positions liability . . . . . . . . . . . . . . . . . . . . . . . . . . . . . . . . . .</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(33)</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(35)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Change in net operating loss carry-forwards . . . . . . . . . . . . . . . . . . . . . . . .</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(145)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(3,314)</w:t>
            </w:r>
          </w:p>
        </w:tc>
      </w:tr>
      <w:tr>
        <w:trPr>
          <w:trHeight w:val="25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Foreign local taxes . . . . . . . . . . . . . . . . . . . . . . . . . . . . . . . . . . . . . . . . . . . .</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w:t>
            </w:r>
          </w:p>
        </w:tc>
        <w:tc>
          <w:tcPr>
            <w:tcW w:w="2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723</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2"/>
                <w:szCs w:val="22"/>
                <w:color w:val="auto"/>
              </w:rPr>
            </w:pPr>
          </w:p>
        </w:tc>
      </w:tr>
      <w:tr>
        <w:trPr>
          <w:trHeight w:val="253"/>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99"/>
              </w:rPr>
              <w:t>Others. . . . . . . . . . . . . . . . . . . . . . . . . . . . . . . . . . . . . . . . . . . . . . . . . . . . . . .</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(688)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80" w:type="dxa"/>
            <w:vAlign w:val="bottom"/>
          </w:tcPr>
          <w:p>
            <w:pPr>
              <w:spacing w:after="0"/>
              <w:rPr>
                <w:sz w:val="22"/>
                <w:szCs w:val="22"/>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64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Income tax expense (benefit)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5,157</w:t>
            </w: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$ 17,261</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(46,228)</w:t>
            </w: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For the year ended December 31, 2022, a permanent difference of $8,187 thousand was included as Global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intangible low-taxed income (‘‘GILTI’’) in the U.S., which was primarily attributable to the income earned by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foreign subsidiaries of the Company, including its Korean subsidiary. The permanent tax expense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$8,061 thousand related to intercompany debt restructuring recorded for the year ended December 31, 2022 was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derived from the waiver and release of unpaid interests of the intercompany loans granted to the Korean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 by the Dutch subsidiary. In connection with the waiver of unpaid interests, the related withholding tax</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was reversed, resulting in the recognition of income tax benefit of $2,031 thousand.</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income tax benefit of $4,582 thousand was due to the changes in valuation allowances during the year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ended December 31, 2022, of which $2,670 thousand related to the release of valuation allowances related to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parent company’s current year earnings, which was mainly driven by GILTI inclusion. The remaining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$1,912 thousand represented the release of valuation allowances based on the realizability of the related deferred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 assets in future years.</w:t>
      </w:r>
    </w:p>
    <w:p>
      <w:pPr>
        <w:spacing w:after="0" w:line="150" w:lineRule="exact"/>
        <w:rPr>
          <w:sz w:val="20"/>
          <w:szCs w:val="20"/>
          <w:color w:val="auto"/>
        </w:rPr>
      </w:pPr>
    </w:p>
    <w:p>
      <w:pPr>
        <w:ind w:right="120" w:firstLine="400"/>
        <w:spacing w:after="0" w:line="258" w:lineRule="auto"/>
        <w:rPr>
          <w:sz w:val="20"/>
          <w:szCs w:val="20"/>
          <w:color w:val="auto"/>
        </w:rPr>
      </w:pPr>
      <w:r>
        <w:rPr>
          <w:rFonts w:ascii="Times New Roman" w:cs="Times New Roman" w:eastAsia="Times New Roman" w:hAnsi="Times New Roman"/>
          <w:sz w:val="20"/>
          <w:szCs w:val="20"/>
          <w:color w:val="auto"/>
        </w:rPr>
        <w:t>Of the income tax benefit of $13,803 thousand attributable to the change in valuation allowances during the year ended December 31, 2021, $9,844 thousand related to the release of the valuation allowance established against the deferred tax assets associated in the U.S. entity due to the dissolution of the Company’s domestic subsidiary in 2021 subsequent to the sale of the Foundry Services Group business and Fab 4. The offsetting expense of $9,844 thousand was included in the state net operating loss write-off in 2021, resulting in no income</w:t>
      </w:r>
    </w:p>
    <w:p>
      <w:pPr>
        <w:sectPr>
          <w:pgSz w:w="12240" w:h="15840" w:orient="portrait"/>
          <w:cols w:equalWidth="0" w:num="1">
            <w:col w:w="9440"/>
          </w:cols>
          <w:pgMar w:left="1420" w:top="889" w:right="138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440"/>
          </w:cols>
          <w:pgMar w:left="1420" w:top="889" w:right="1380" w:bottom="182"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tax effect in the year. The Company’s parent entity in the U.S. is no longer subject to state income taxes in 2022 and thereafter. The remaining $3,959 thousand represented the release of valuation allowances based on the assessment of the realizability of the related deferred tax assets in future tax years.</w:t>
      </w:r>
    </w:p>
    <w:p>
      <w:pPr>
        <w:spacing w:after="0" w:line="137" w:lineRule="exact"/>
        <w:rPr>
          <w:sz w:val="20"/>
          <w:szCs w:val="20"/>
          <w:color w:val="auto"/>
        </w:rPr>
      </w:pPr>
    </w:p>
    <w:p>
      <w:pPr>
        <w:jc w:val="both"/>
        <w:ind w:right="100" w:firstLine="400"/>
        <w:spacing w:after="0" w:line="255" w:lineRule="auto"/>
        <w:rPr>
          <w:sz w:val="20"/>
          <w:szCs w:val="20"/>
          <w:color w:val="auto"/>
        </w:rPr>
      </w:pPr>
      <w:r>
        <w:rPr>
          <w:rFonts w:ascii="Times New Roman" w:cs="Times New Roman" w:eastAsia="Times New Roman" w:hAnsi="Times New Roman"/>
          <w:sz w:val="20"/>
          <w:szCs w:val="20"/>
          <w:color w:val="auto"/>
        </w:rPr>
        <w:t>For the year ended December 31, 2020, a permanent difference of $24,224 thousand was included as GILTI in the U.S., and was primarily attributable to the income earned by certain foreign subsidiaries of the Company, including its Korean subsidiary, from the sale of the Foundry Services Group business and Fab 4.</w:t>
      </w:r>
    </w:p>
    <w:p>
      <w:pPr>
        <w:spacing w:after="0" w:line="137" w:lineRule="exact"/>
        <w:rPr>
          <w:sz w:val="20"/>
          <w:szCs w:val="20"/>
          <w:color w:val="auto"/>
        </w:rPr>
      </w:pPr>
    </w:p>
    <w:p>
      <w:pPr>
        <w:ind w:right="60" w:firstLine="400"/>
        <w:spacing w:after="0" w:line="258" w:lineRule="auto"/>
        <w:rPr>
          <w:sz w:val="20"/>
          <w:szCs w:val="20"/>
          <w:color w:val="auto"/>
        </w:rPr>
      </w:pPr>
      <w:r>
        <w:rPr>
          <w:rFonts w:ascii="Times New Roman" w:cs="Times New Roman" w:eastAsia="Times New Roman" w:hAnsi="Times New Roman"/>
          <w:sz w:val="20"/>
          <w:szCs w:val="20"/>
          <w:color w:val="auto"/>
        </w:rPr>
        <w:t>The income tax benefit of $75,452 thousand was due to the changes in valuation allowances during the year ended December 31, 2020, of which $31,578 thousand related to the release of valuation allowances related to the Company’s current year earnings, which were mainly driven by GILTI inclusion at the U.S. parent company. The remaining $43,874 thousand represented the release of valuation allowances based on the realizability of the related deferred tax assets in future years. The Company’s operating subsidiary in Korea had generated</w:t>
      </w:r>
    </w:p>
    <w:p>
      <w:pPr>
        <w:spacing w:after="0" w:line="14"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three years of cumulative profits adjusted for permanent differences and anticipated to generate taxable basis for the subsequent years. As a result, $39,413 thousand of valuation allowances, established against the Korean subsidiary’s deferred tax assets, were released as of December 31, 2020.</w:t>
      </w:r>
    </w:p>
    <w:p>
      <w:pPr>
        <w:spacing w:after="0" w:line="136" w:lineRule="exact"/>
        <w:rPr>
          <w:sz w:val="20"/>
          <w:szCs w:val="20"/>
          <w:color w:val="auto"/>
        </w:rPr>
      </w:pPr>
    </w:p>
    <w:p>
      <w:pPr>
        <w:ind w:right="80" w:firstLine="400"/>
        <w:spacing w:after="0" w:line="247" w:lineRule="auto"/>
        <w:rPr>
          <w:sz w:val="20"/>
          <w:szCs w:val="20"/>
          <w:color w:val="auto"/>
        </w:rPr>
      </w:pPr>
      <w:r>
        <w:rPr>
          <w:rFonts w:ascii="Times New Roman" w:cs="Times New Roman" w:eastAsia="Times New Roman" w:hAnsi="Times New Roman"/>
          <w:sz w:val="20"/>
          <w:szCs w:val="20"/>
          <w:color w:val="auto"/>
        </w:rPr>
        <w:t>Of the permanent tax expense of $11,137 thousand related to intercompany debt restructuring recorded for the year ended December 31, 2020, $11,890 thousand related to the waiver and release of unpaid interests of the intercompany loans granted to the Korean subsidiary by the Dutch subsidiary. This transaction created taxable income for the Korean subsidiary, but did not result in a liability because of the utilization of loss carryforwards, which were used against income from cancellation of intercompany loans.</w:t>
      </w:r>
    </w:p>
    <w:p>
      <w:pPr>
        <w:spacing w:after="0" w:line="137" w:lineRule="exact"/>
        <w:rPr>
          <w:sz w:val="20"/>
          <w:szCs w:val="20"/>
          <w:color w:val="auto"/>
        </w:rPr>
      </w:pPr>
    </w:p>
    <w:p>
      <w:pPr>
        <w:ind w:right="220" w:firstLine="400"/>
        <w:spacing w:after="0" w:line="239" w:lineRule="auto"/>
        <w:rPr>
          <w:sz w:val="20"/>
          <w:szCs w:val="20"/>
          <w:color w:val="auto"/>
        </w:rPr>
      </w:pPr>
      <w:r>
        <w:rPr>
          <w:rFonts w:ascii="Times New Roman" w:cs="Times New Roman" w:eastAsia="Times New Roman" w:hAnsi="Times New Roman"/>
          <w:sz w:val="20"/>
          <w:szCs w:val="20"/>
          <w:color w:val="auto"/>
        </w:rPr>
        <w:t>A summary of the composition of net deferred income tax assets (liabilities) as of December 31, 2022 and 2021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9"/>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2"/>
        </w:trPr>
        <w:tc>
          <w:tcPr>
            <w:tcW w:w="732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73"/>
        </w:trPr>
        <w:tc>
          <w:tcPr>
            <w:tcW w:w="7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Inventory reserves. . .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3,108</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1,668</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 . .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2,685</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Accumulated severance benefits .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10,269</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liabilities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loss .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22,272</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17,280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NOL carry-forwards . . . . . . . . . . .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78,698</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87,636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Tax credit carry-forwards . . . . . . .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13,337</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14,164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Other long-term payable. . . . . . . .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4,005</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deduction limitation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Derivative liabilities . . . . . . . . . . .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Others . . . . . . . . . . . . . . . . . . . . . . . . . . . . . . . . . . . . . . . . . . . . . . . . . . . . . . . . . . . . . . . .</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1,394</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7"/>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 . . . . . . . . . . . . . . . . . . . . . . . . . . . . . . . . . . . . . . . . . . . . . . . . . .</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139,052</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148,598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3"/>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Less: Valuation allowance . . . . . .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(84,563)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(94,212)</w:t>
            </w:r>
          </w:p>
        </w:tc>
      </w:tr>
      <w:tr>
        <w:trPr>
          <w:trHeight w:val="265"/>
        </w:trPr>
        <w:tc>
          <w:tcPr>
            <w:tcW w:w="7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54,489</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54,386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7"/>
        </w:trPr>
        <w:tc>
          <w:tcPr>
            <w:tcW w:w="7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 . . . . . . . . . . . . . .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3,065</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Severance benefit deposits . . . . . .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5,364</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gain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5,621</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Others . . . . . . . . . . . . . . . . . . . . . . . . . . . . . . . . . . . . . . . . . . . . . . . . . . . . . . . . . . . . . . . .</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1,064</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 . . . . . . . . . . . . . . . . . . . . . . . . . . . . . . . . . . . . . . . . . . . . . . .</w:t>
            </w: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16,165</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13,291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assets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38,324</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41,095</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7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80"/>
          </w:cols>
          <w:pgMar w:left="1420" w:top="889" w:right="1440" w:bottom="182" w:gutter="0" w:footer="0" w:header="0"/>
          <w:type w:val="continuous"/>
        </w:sectPr>
      </w:pPr>
    </w:p>
    <w:bookmarkStart w:id="90" w:name="page91"/>
    <w:bookmarkEnd w:id="90"/>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right="60"/>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100" w:firstLine="400"/>
        <w:spacing w:after="0" w:line="259" w:lineRule="auto"/>
        <w:rPr>
          <w:sz w:val="20"/>
          <w:szCs w:val="20"/>
          <w:color w:val="auto"/>
        </w:rPr>
      </w:pPr>
      <w:r>
        <w:rPr>
          <w:rFonts w:ascii="Times New Roman" w:cs="Times New Roman" w:eastAsia="Times New Roman" w:hAnsi="Times New Roman"/>
          <w:sz w:val="20"/>
          <w:szCs w:val="20"/>
          <w:color w:val="auto"/>
        </w:rPr>
        <w:t>The Company has not recognized a deferred tax liability related to outside basis differences inherent in its foreign subsidiaries because the investments in those foreign subsidiaries within the group are essentially permanent in duration or earnings in foreign subsidiaries are intended to be indefinitely reinvested. It is not practicable to estimate the amount of deferred income taxes not recorded that are associated with those outside basis differences. If circumstances change and it becomes apparent that the undistributed earnings from foreign subsidiaries will be remitted or the parent entity will dispose of its interest in the subsidiaries in the foreseeable future, and related income taxes have not been recognized by the parent entity, the parent entity will accrue as an expense of the current period income taxes attributable to that remittance or disposition.</w:t>
      </w:r>
    </w:p>
    <w:p>
      <w:pPr>
        <w:spacing w:after="0" w:line="135" w:lineRule="exact"/>
        <w:rPr>
          <w:sz w:val="20"/>
          <w:szCs w:val="20"/>
          <w:color w:val="auto"/>
        </w:rPr>
      </w:pPr>
    </w:p>
    <w:p>
      <w:pPr>
        <w:ind w:right="160" w:firstLine="400"/>
        <w:spacing w:after="0" w:line="250" w:lineRule="auto"/>
        <w:rPr>
          <w:sz w:val="20"/>
          <w:szCs w:val="20"/>
          <w:color w:val="auto"/>
        </w:rPr>
      </w:pPr>
      <w:r>
        <w:rPr>
          <w:rFonts w:ascii="Times New Roman" w:cs="Times New Roman" w:eastAsia="Times New Roman" w:hAnsi="Times New Roman"/>
          <w:sz w:val="20"/>
          <w:szCs w:val="20"/>
          <w:color w:val="auto"/>
        </w:rPr>
        <w:t>Changes in valuation allowance for deferred tax assets of continuing operations and discontinued operations for the years ended December 31, 2022, 2021 and 2020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gridSpan w:val="7"/>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62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r>
      <w:tr>
        <w:trPr>
          <w:trHeight w:val="29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$94,212</w:t>
            </w:r>
          </w:p>
        </w:tc>
        <w:tc>
          <w:tcPr>
            <w:tcW w:w="2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$115,636</w:t>
            </w: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$246,224</w:t>
            </w:r>
          </w:p>
        </w:tc>
        <w:tc>
          <w:tcPr>
            <w:tcW w:w="80" w:type="dxa"/>
            <w:vAlign w:val="bottom"/>
          </w:tcPr>
          <w:p>
            <w:pPr>
              <w:spacing w:after="0"/>
              <w:rPr>
                <w:sz w:val="24"/>
                <w:szCs w:val="24"/>
                <w:color w:val="auto"/>
              </w:rPr>
            </w:pPr>
          </w:p>
        </w:tc>
      </w:tr>
      <w:tr>
        <w:trPr>
          <w:trHeight w:val="25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Reductions. . . . . . . . . . . . . . . . . . . . . . . . . . . . . . . . . . . . . . . . . . . . . . . .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(4,582)</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(13,803)</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(75,452)</w:t>
            </w:r>
          </w:p>
        </w:tc>
      </w:tr>
      <w:tr>
        <w:trPr>
          <w:trHeight w:val="25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Changes relating to the discontinued operations . . . . . . . . . . . . . . . . . . .</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(67,484)</w:t>
            </w:r>
          </w:p>
        </w:tc>
      </w:tr>
      <w:tr>
        <w:trPr>
          <w:trHeight w:val="25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NOL/tax credit claimed/expired . . . . . . . . . . . . . . . . . . . . . . . . . . . . . . . .</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3,686</w:t>
            </w:r>
          </w:p>
        </w:tc>
        <w:tc>
          <w:tcPr>
            <w:tcW w:w="80" w:type="dxa"/>
            <w:vAlign w:val="bottom"/>
          </w:tcPr>
          <w:p>
            <w:pPr>
              <w:spacing w:after="0"/>
              <w:rPr>
                <w:sz w:val="22"/>
                <w:szCs w:val="22"/>
                <w:color w:val="auto"/>
              </w:rPr>
            </w:pPr>
          </w:p>
        </w:tc>
      </w:tr>
      <w:tr>
        <w:trPr>
          <w:trHeight w:val="253"/>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Translation adjustments . . . . . . . . . . . . . . . . . . . . . . . . . . . . . . . . . . . . .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(5,067)</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(7,621)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8,662</w:t>
            </w:r>
          </w:p>
        </w:tc>
        <w:tc>
          <w:tcPr>
            <w:tcW w:w="80" w:type="dxa"/>
            <w:vAlign w:val="bottom"/>
          </w:tcPr>
          <w:p>
            <w:pPr>
              <w:spacing w:after="0"/>
              <w:rPr>
                <w:sz w:val="22"/>
                <w:szCs w:val="22"/>
                <w:color w:val="auto"/>
              </w:rPr>
            </w:pPr>
          </w:p>
        </w:tc>
      </w:tr>
      <w:tr>
        <w:trPr>
          <w:trHeight w:val="20"/>
        </w:trPr>
        <w:tc>
          <w:tcPr>
            <w:tcW w:w="6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84,563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$ 94,212</w:t>
            </w:r>
          </w:p>
        </w:tc>
        <w:tc>
          <w:tcPr>
            <w:tcW w:w="26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115,636</w:t>
            </w:r>
          </w:p>
        </w:tc>
      </w:tr>
      <w:tr>
        <w:trPr>
          <w:trHeight w:val="20"/>
        </w:trPr>
        <w:tc>
          <w:tcPr>
            <w:tcW w:w="6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40" w:firstLine="400"/>
        <w:spacing w:after="0" w:line="255" w:lineRule="auto"/>
        <w:rPr>
          <w:sz w:val="20"/>
          <w:szCs w:val="20"/>
          <w:color w:val="auto"/>
        </w:rPr>
      </w:pPr>
      <w:r>
        <w:rPr>
          <w:rFonts w:ascii="Times New Roman" w:cs="Times New Roman" w:eastAsia="Times New Roman" w:hAnsi="Times New Roman"/>
          <w:sz w:val="20"/>
          <w:szCs w:val="20"/>
          <w:color w:val="auto"/>
        </w:rPr>
        <w:t>As of December 31, 2022, 2021 and 2020, respectively, the Company recorded a valuation allowance of $84,563 thousand, $94,212 thousand and $115,636 thousand on its deferred tax assets related to temporary differences, net operating loss carry-forwards and tax credits of domestic and foreign subsidiaries.</w:t>
      </w:r>
    </w:p>
    <w:p>
      <w:pPr>
        <w:spacing w:after="0" w:line="137" w:lineRule="exact"/>
        <w:rPr>
          <w:sz w:val="20"/>
          <w:szCs w:val="20"/>
          <w:color w:val="auto"/>
        </w:rPr>
      </w:pPr>
    </w:p>
    <w:p>
      <w:pPr>
        <w:ind w:right="600" w:firstLine="400"/>
        <w:spacing w:after="0" w:line="257" w:lineRule="auto"/>
        <w:rPr>
          <w:sz w:val="20"/>
          <w:szCs w:val="20"/>
          <w:color w:val="auto"/>
        </w:rPr>
      </w:pPr>
      <w:r>
        <w:rPr>
          <w:rFonts w:ascii="Times New Roman" w:cs="Times New Roman" w:eastAsia="Times New Roman" w:hAnsi="Times New Roman"/>
          <w:sz w:val="20"/>
          <w:szCs w:val="20"/>
          <w:color w:val="auto"/>
        </w:rPr>
        <w:t>The Company has recorded a full valuation allowance against certain foreign subsidiaries’ deferred tax assets pertaining to its related tax loss carry-forwards that are not anticipated to generate a tax benefit. The valuation allowances at December 31, 2022, 2021 and 2020 were primarily attributable to its Luxembourg subsidiary.</w:t>
      </w:r>
    </w:p>
    <w:p>
      <w:pPr>
        <w:spacing w:after="0" w:line="135" w:lineRule="exact"/>
        <w:rPr>
          <w:sz w:val="20"/>
          <w:szCs w:val="20"/>
          <w:color w:val="auto"/>
        </w:rPr>
      </w:pPr>
    </w:p>
    <w:p>
      <w:pPr>
        <w:ind w:right="300" w:firstLine="400"/>
        <w:spacing w:after="0" w:line="250" w:lineRule="auto"/>
        <w:rPr>
          <w:sz w:val="20"/>
          <w:szCs w:val="20"/>
          <w:color w:val="auto"/>
        </w:rPr>
      </w:pPr>
      <w:r>
        <w:rPr>
          <w:rFonts w:ascii="Times New Roman" w:cs="Times New Roman" w:eastAsia="Times New Roman" w:hAnsi="Times New Roman"/>
          <w:sz w:val="20"/>
          <w:szCs w:val="20"/>
          <w:color w:val="auto"/>
        </w:rPr>
        <w:t>The net operating loss carry-forwards balance as of December 31, 2022, 2021 and 2020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31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6220" w:type="dxa"/>
            <w:vAlign w:val="bottom"/>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Pr>
          <w:p>
            <w:pPr>
              <w:spacing w:after="0"/>
              <w:rPr>
                <w:sz w:val="18"/>
                <w:szCs w:val="18"/>
                <w:color w:val="auto"/>
              </w:rPr>
            </w:pPr>
          </w:p>
        </w:tc>
        <w:tc>
          <w:tcPr>
            <w:tcW w:w="7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Pr>
          <w:p>
            <w:pPr>
              <w:spacing w:after="0"/>
              <w:rPr>
                <w:sz w:val="18"/>
                <w:szCs w:val="18"/>
                <w:color w:val="auto"/>
              </w:rPr>
            </w:pPr>
          </w:p>
        </w:tc>
        <w:tc>
          <w:tcPr>
            <w:tcW w:w="7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9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NOL carry-forwards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$324,134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$502,511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$604,977</w:t>
            </w:r>
          </w:p>
        </w:tc>
      </w:tr>
    </w:tbl>
    <w:p>
      <w:pPr>
        <w:spacing w:after="0" w:line="165" w:lineRule="exact"/>
        <w:rPr>
          <w:sz w:val="20"/>
          <w:szCs w:val="20"/>
          <w:color w:val="auto"/>
        </w:rPr>
      </w:pPr>
    </w:p>
    <w:p>
      <w:pPr>
        <w:ind w:right="120" w:firstLine="400"/>
        <w:spacing w:after="0" w:line="259" w:lineRule="auto"/>
        <w:rPr>
          <w:sz w:val="20"/>
          <w:szCs w:val="20"/>
          <w:color w:val="auto"/>
        </w:rPr>
      </w:pPr>
      <w:r>
        <w:rPr>
          <w:rFonts w:ascii="Times New Roman" w:cs="Times New Roman" w:eastAsia="Times New Roman" w:hAnsi="Times New Roman"/>
          <w:sz w:val="20"/>
          <w:szCs w:val="20"/>
          <w:color w:val="auto"/>
        </w:rPr>
        <w:t>As of December 31, 2022, the Company had $324,134 thousand of net operating loss carry-forwards available to offset future taxable income, of which $271,753 thousand is associated with the Company’s Luxembourg subsidiary, mainly attributable to certain expenses incurred in connection with its shareholding in the Company’s Dutch subsidiary. Of the $271,753 thousand net operating loss carry-forwards, $263,506 thousand is carried forward indefinitely and the remaining $8,247 thousand expires from 2034 through 2039. The net operating loss carry-forwards retained by the Company’s U.S. parent amounts to $50,522 thousand, which expires at various dates through 2037.</w:t>
      </w:r>
    </w:p>
    <w:p>
      <w:pPr>
        <w:spacing w:after="0" w:line="133" w:lineRule="exact"/>
        <w:rPr>
          <w:sz w:val="20"/>
          <w:szCs w:val="20"/>
          <w:color w:val="auto"/>
        </w:rPr>
      </w:pPr>
    </w:p>
    <w:p>
      <w:pPr>
        <w:ind w:right="140" w:firstLine="400"/>
        <w:spacing w:after="0" w:line="257" w:lineRule="auto"/>
        <w:rPr>
          <w:sz w:val="20"/>
          <w:szCs w:val="20"/>
          <w:color w:val="auto"/>
        </w:rPr>
      </w:pPr>
      <w:r>
        <w:rPr>
          <w:rFonts w:ascii="Times New Roman" w:cs="Times New Roman" w:eastAsia="Times New Roman" w:hAnsi="Times New Roman"/>
          <w:sz w:val="20"/>
          <w:szCs w:val="20"/>
          <w:color w:val="auto"/>
        </w:rPr>
        <w:t>The Company utilized net operating loss of $19,900 thousand, $70,672 thousand and $169,600 thousand for the years ended December 31, 2022, 2021 and 2020, respectively. The Company also has Dutch tax credit carry-forwards of $13,337 thousand as of December 31, 2022. The Dutch tax credits are carried forward to be used for an indefinite period of time.</w:t>
      </w:r>
    </w:p>
    <w:p>
      <w:pPr>
        <w:sectPr>
          <w:pgSz w:w="12240" w:h="15840" w:orient="portrait"/>
          <w:cols w:equalWidth="0" w:num="1">
            <w:col w:w="9440"/>
          </w:cols>
          <w:pgMar w:left="1420" w:top="889" w:right="138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440"/>
          </w:cols>
          <w:pgMar w:left="1420" w:top="889" w:right="1380" w:bottom="182"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Uncertainty in Income Taxes</w:t>
      </w:r>
    </w:p>
    <w:p>
      <w:pPr>
        <w:spacing w:after="0" w:line="120"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auto"/>
        </w:rPr>
        <w:t>The Company and its subsidiaries file income tax returns in Korea, Japan, Taiwan, and the U.S and in various other jurisdictions. The Company is subject to income- or non-income tax examinations by tax authorities of these jurisdictions for all open tax years.</w:t>
      </w:r>
    </w:p>
    <w:p>
      <w:pPr>
        <w:spacing w:after="0" w:line="136" w:lineRule="exact"/>
        <w:rPr>
          <w:sz w:val="20"/>
          <w:szCs w:val="20"/>
          <w:color w:val="auto"/>
        </w:rPr>
      </w:pPr>
    </w:p>
    <w:p>
      <w:pPr>
        <w:ind w:right="620" w:firstLine="400"/>
        <w:spacing w:after="0" w:line="239" w:lineRule="auto"/>
        <w:rPr>
          <w:sz w:val="20"/>
          <w:szCs w:val="20"/>
          <w:color w:val="auto"/>
        </w:rPr>
      </w:pPr>
      <w:r>
        <w:rPr>
          <w:rFonts w:ascii="Times New Roman" w:cs="Times New Roman" w:eastAsia="Times New Roman" w:hAnsi="Times New Roman"/>
          <w:sz w:val="20"/>
          <w:szCs w:val="20"/>
          <w:color w:val="auto"/>
        </w:rPr>
        <w:t>As of December 31, 2022, 2021 and 2020, the Company recorded $316 thousand, $386 thousand and $414 thousand of unrecognized tax benefits, respectively.</w:t>
      </w:r>
    </w:p>
    <w:p>
      <w:pPr>
        <w:spacing w:after="0" w:line="142" w:lineRule="exact"/>
        <w:rPr>
          <w:sz w:val="20"/>
          <w:szCs w:val="20"/>
          <w:color w:val="auto"/>
        </w:rPr>
      </w:pPr>
    </w:p>
    <w:p>
      <w:pPr>
        <w:ind w:right="180" w:firstLine="400"/>
        <w:spacing w:after="0" w:line="239" w:lineRule="auto"/>
        <w:rPr>
          <w:sz w:val="20"/>
          <w:szCs w:val="20"/>
          <w:color w:val="auto"/>
        </w:rPr>
      </w:pPr>
      <w:r>
        <w:rPr>
          <w:rFonts w:ascii="Times New Roman" w:cs="Times New Roman" w:eastAsia="Times New Roman" w:hAnsi="Times New Roman"/>
          <w:sz w:val="20"/>
          <w:szCs w:val="20"/>
          <w:color w:val="auto"/>
        </w:rPr>
        <w:t>A tabular reconciliation of the total amounts of unrecognized tax benefits at the beginning and end of each period is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80" w:type="dxa"/>
            <w:vAlign w:val="bottom"/>
            <w:gridSpan w:val="11"/>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7240" w:type="dxa"/>
            <w:vAlign w:val="bottom"/>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90"/>
        </w:trPr>
        <w:tc>
          <w:tcPr>
            <w:tcW w:w="72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Unrecognized tax benefits, balance at the beginning . . . . . . . . . . . . . . . . . . . . . . . . . .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72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Additions based on tax positions related to the current year . . . . . . . . . . . . . . . . . .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5"/>
        </w:trPr>
        <w:tc>
          <w:tcPr>
            <w:tcW w:w="72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Reductions for tax positions of prior years . . . . . . . . . . . . . . . . . . . . . . . . . . . . . . . . .</w:t>
            </w:r>
          </w:p>
        </w:tc>
        <w:tc>
          <w:tcPr>
            <w:tcW w:w="60" w:type="dxa"/>
            <w:vAlign w:val="bottom"/>
          </w:tcPr>
          <w:p>
            <w:pPr>
              <w:spacing w:after="0"/>
              <w:rPr>
                <w:sz w:val="22"/>
                <w:szCs w:val="22"/>
                <w:color w:val="auto"/>
              </w:rPr>
            </w:pPr>
          </w:p>
        </w:tc>
        <w:tc>
          <w:tcPr>
            <w:tcW w:w="7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7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5"/>
        </w:trPr>
        <w:tc>
          <w:tcPr>
            <w:tcW w:w="72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Lapse of statute of limitations . . . . . . . . . . . . . . . . . . . . . . . . . . . . . . . . . . . . . . . . . . .</w:t>
            </w:r>
          </w:p>
        </w:tc>
        <w:tc>
          <w:tcPr>
            <w:tcW w:w="80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(73)</w:t>
            </w:r>
          </w:p>
        </w:tc>
        <w:tc>
          <w:tcPr>
            <w:tcW w:w="80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(79)</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3"/>
        </w:trPr>
        <w:tc>
          <w:tcPr>
            <w:tcW w:w="72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Translation adjustments . . . . . . . . . . . . . . . . . . . . . . . . . . . . . . . . . . . . . . . . . . . . . . . .</w:t>
            </w:r>
          </w:p>
        </w:tc>
        <w:tc>
          <w:tcPr>
            <w:tcW w:w="60" w:type="dxa"/>
            <w:vAlign w:val="bottom"/>
          </w:tcPr>
          <w:p>
            <w:pPr>
              <w:spacing w:after="0"/>
              <w:rPr>
                <w:sz w:val="22"/>
                <w:szCs w:val="22"/>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(37)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5"/>
        </w:trPr>
        <w:tc>
          <w:tcPr>
            <w:tcW w:w="72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Unrecognized tax benefits, balance at the ending . . . . . . . . . . . . . . . . . . . . . . . . . . . . . .</w:t>
            </w:r>
          </w:p>
        </w:tc>
        <w:tc>
          <w:tcPr>
            <w:tcW w:w="6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316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386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414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7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60" w:firstLine="400"/>
        <w:spacing w:after="0" w:line="239" w:lineRule="auto"/>
        <w:rPr>
          <w:sz w:val="20"/>
          <w:szCs w:val="20"/>
          <w:color w:val="auto"/>
        </w:rPr>
      </w:pPr>
      <w:r>
        <w:rPr>
          <w:rFonts w:ascii="Times New Roman" w:cs="Times New Roman" w:eastAsia="Times New Roman" w:hAnsi="Times New Roman"/>
          <w:sz w:val="20"/>
          <w:szCs w:val="20"/>
          <w:color w:val="auto"/>
        </w:rPr>
        <w:t>No interest and penalties related to unrecognized tax benefits were recognized as of December 31, 2022, 2021 and 2020.</w:t>
      </w:r>
    </w:p>
    <w:p>
      <w:pPr>
        <w:spacing w:after="0" w:line="142" w:lineRule="exact"/>
        <w:rPr>
          <w:sz w:val="20"/>
          <w:szCs w:val="20"/>
          <w:color w:val="auto"/>
        </w:rPr>
      </w:pPr>
    </w:p>
    <w:p>
      <w:pPr>
        <w:ind w:right="200" w:firstLine="400"/>
        <w:spacing w:after="0" w:line="239" w:lineRule="auto"/>
        <w:rPr>
          <w:sz w:val="20"/>
          <w:szCs w:val="20"/>
          <w:color w:val="auto"/>
        </w:rPr>
      </w:pPr>
      <w:r>
        <w:rPr>
          <w:rFonts w:ascii="Times New Roman" w:cs="Times New Roman" w:eastAsia="Times New Roman" w:hAnsi="Times New Roman"/>
          <w:sz w:val="20"/>
          <w:szCs w:val="20"/>
          <w:color w:val="auto"/>
        </w:rPr>
        <w:t>The Company is currently unaware of any uncertain tax positions that could result in significant additional payments, accruals, or other material deviations from this estimate over the next 12 months.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IRA</w:t>
      </w:r>
    </w:p>
    <w:p>
      <w:pPr>
        <w:spacing w:after="0" w:line="120" w:lineRule="exact"/>
        <w:rPr>
          <w:sz w:val="20"/>
          <w:szCs w:val="20"/>
          <w:color w:val="auto"/>
        </w:rPr>
      </w:pPr>
    </w:p>
    <w:p>
      <w:pPr>
        <w:ind w:right="300" w:firstLine="400"/>
        <w:spacing w:after="0" w:line="239" w:lineRule="auto"/>
        <w:rPr>
          <w:sz w:val="20"/>
          <w:szCs w:val="20"/>
          <w:color w:val="auto"/>
        </w:rPr>
      </w:pPr>
      <w:r>
        <w:rPr>
          <w:rFonts w:ascii="Times New Roman" w:cs="Times New Roman" w:eastAsia="Times New Roman" w:hAnsi="Times New Roman"/>
          <w:sz w:val="20"/>
          <w:szCs w:val="20"/>
          <w:color w:val="auto"/>
        </w:rPr>
        <w:t>On August 16, 2022, the IRA was signed into law, which imposes a 15% alternative minimum tax on the adjusted financial statement income of large corporations with average annual financial income exceeding</w:t>
      </w:r>
    </w:p>
    <w:p>
      <w:pPr>
        <w:spacing w:after="0" w:line="2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$1 billion and a 1% excise tax on net stock repurchases by publicly traded U.S. corporations for tax years beginning after December 31, 2022. The IRA did not have any impact on the Company’s income tax for the year ended December 31, 2022 and the Company will continue to evaluate the impact this might have in future periods.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Geographic and Other Information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sets forth information relating to the single continuing operating segment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2"/>
        </w:trPr>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83"/>
        </w:trPr>
        <w:tc>
          <w:tcPr>
            <w:tcW w:w="6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00" w:type="dxa"/>
            <w:vAlign w:val="bottom"/>
          </w:tcPr>
          <w:p>
            <w:pPr>
              <w:jc w:val="right"/>
              <w:ind w:right="3480"/>
              <w:spacing w:after="0"/>
              <w:rPr>
                <w:sz w:val="20"/>
                <w:szCs w:val="20"/>
                <w:color w:val="auto"/>
              </w:rPr>
            </w:pPr>
            <w:r>
              <w:rPr>
                <w:rFonts w:ascii="Times New Roman" w:cs="Times New Roman" w:eastAsia="Times New Roman" w:hAnsi="Times New Roman"/>
                <w:sz w:val="20"/>
                <w:szCs w:val="20"/>
                <w:color w:val="auto"/>
              </w:rPr>
              <w:t>Standard products business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Display Solutions . . . . . . . . . . . . . . . . . . . . . . . . . . . . . . . . . . . . .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71,432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$205,322</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$299,057</w:t>
            </w:r>
          </w:p>
        </w:tc>
        <w:tc>
          <w:tcPr>
            <w:tcW w:w="0" w:type="dxa"/>
            <w:vAlign w:val="bottom"/>
          </w:tcPr>
          <w:p>
            <w:pPr>
              <w:spacing w:after="0"/>
              <w:rPr>
                <w:sz w:val="1"/>
                <w:szCs w:val="1"/>
                <w:color w:val="auto"/>
              </w:rPr>
            </w:pPr>
          </w:p>
        </w:tc>
      </w:tr>
      <w:tr>
        <w:trPr>
          <w:trHeight w:val="243"/>
        </w:trPr>
        <w:tc>
          <w:tcPr>
            <w:tcW w:w="6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Power Solutions . . . . . . . . . . . . . . . . . . . . . . . . . . . . . . . . . . . . . . . .</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230,464</w:t>
            </w:r>
          </w:p>
        </w:tc>
        <w:tc>
          <w:tcPr>
            <w:tcW w:w="4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227,777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166,462</w:t>
            </w:r>
          </w:p>
        </w:tc>
        <w:tc>
          <w:tcPr>
            <w:tcW w:w="0" w:type="dxa"/>
            <w:vAlign w:val="bottom"/>
          </w:tcPr>
          <w:p>
            <w:pPr>
              <w:spacing w:after="0"/>
              <w:rPr>
                <w:sz w:val="1"/>
                <w:szCs w:val="1"/>
                <w:color w:val="auto"/>
              </w:rPr>
            </w:pPr>
          </w:p>
        </w:tc>
      </w:tr>
      <w:tr>
        <w:trPr>
          <w:trHeight w:val="277"/>
        </w:trPr>
        <w:tc>
          <w:tcPr>
            <w:tcW w:w="6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standard products business . . . . . . . . . . . . . . . . . . . . . . . . . . . . .</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301,896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433,099</w:t>
            </w: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465,519</w:t>
            </w:r>
          </w:p>
        </w:tc>
        <w:tc>
          <w:tcPr>
            <w:tcW w:w="0" w:type="dxa"/>
            <w:vAlign w:val="bottom"/>
          </w:tcPr>
          <w:p>
            <w:pPr>
              <w:spacing w:after="0"/>
              <w:rPr>
                <w:sz w:val="1"/>
                <w:szCs w:val="1"/>
                <w:color w:val="auto"/>
              </w:rPr>
            </w:pPr>
          </w:p>
        </w:tc>
      </w:tr>
      <w:tr>
        <w:trPr>
          <w:trHeight w:val="243"/>
        </w:trPr>
        <w:tc>
          <w:tcPr>
            <w:tcW w:w="6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Transitional Fab 3 foundry services. . . . . . . . . . . . . . . . . . . . . . . . . . .</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35,762</w:t>
            </w:r>
          </w:p>
        </w:tc>
        <w:tc>
          <w:tcPr>
            <w:tcW w:w="4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41,131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41,540</w:t>
            </w:r>
          </w:p>
        </w:tc>
        <w:tc>
          <w:tcPr>
            <w:tcW w:w="0" w:type="dxa"/>
            <w:vAlign w:val="bottom"/>
          </w:tcPr>
          <w:p>
            <w:pPr>
              <w:spacing w:after="0"/>
              <w:rPr>
                <w:sz w:val="1"/>
                <w:szCs w:val="1"/>
                <w:color w:val="auto"/>
              </w:rPr>
            </w:pPr>
          </w:p>
        </w:tc>
      </w:tr>
      <w:tr>
        <w:trPr>
          <w:trHeight w:val="275"/>
        </w:trPr>
        <w:tc>
          <w:tcPr>
            <w:tcW w:w="6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revenues . . . . . . . . . . . . . . . . . . . . . . . . . . . . . . . . . . . . . . . .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337,658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474,230</w:t>
            </w:r>
          </w:p>
        </w:tc>
        <w:tc>
          <w:tcPr>
            <w:tcW w:w="24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507,059</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Gross Profit</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Standard products business . . . . . . . . . . . . . . . . . . . . . . . . . . . . . . .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99,549</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$149,596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$127,099</w:t>
            </w:r>
          </w:p>
        </w:tc>
        <w:tc>
          <w:tcPr>
            <w:tcW w:w="0" w:type="dxa"/>
            <w:vAlign w:val="bottom"/>
          </w:tcPr>
          <w:p>
            <w:pPr>
              <w:spacing w:after="0"/>
              <w:rPr>
                <w:sz w:val="1"/>
                <w:szCs w:val="1"/>
                <w:color w:val="auto"/>
              </w:rPr>
            </w:pPr>
          </w:p>
        </w:tc>
      </w:tr>
      <w:tr>
        <w:trPr>
          <w:trHeight w:val="243"/>
        </w:trPr>
        <w:tc>
          <w:tcPr>
            <w:tcW w:w="6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Transitional Fab 3 foundry services. . . . . . . . . . . . . . . . . . . . . . . . . . .</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1,715</w:t>
            </w:r>
          </w:p>
        </w:tc>
        <w:tc>
          <w:tcPr>
            <w:tcW w:w="46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3,947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gross profit. . . . . . . . . . . . . . . . . . . . . . . . . . . . . . . . . . . . . .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101,264</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153,543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128,317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80"/>
          </w:cols>
          <w:pgMar w:left="1420" w:top="889" w:right="1440" w:bottom="182" w:gutter="0" w:footer="0" w:header="0"/>
          <w:type w:val="continuous"/>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right="20"/>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520" w:firstLine="400"/>
        <w:spacing w:after="0" w:line="245" w:lineRule="auto"/>
        <w:rPr>
          <w:sz w:val="20"/>
          <w:szCs w:val="20"/>
          <w:color w:val="auto"/>
        </w:rPr>
      </w:pPr>
      <w:r>
        <w:rPr>
          <w:rFonts w:ascii="Times New Roman" w:cs="Times New Roman" w:eastAsia="Times New Roman" w:hAnsi="Times New Roman"/>
          <w:sz w:val="20"/>
          <w:szCs w:val="20"/>
          <w:color w:val="auto"/>
        </w:rPr>
        <w:t>The following is a summary of net sales—standard products business (which does not include the Transitional Fab 3 Foundry Services) by geographic region, based on the location to which the products are billed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314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6220" w:type="dxa"/>
            <w:vAlign w:val="bottom"/>
          </w:tcPr>
          <w:p>
            <w:pPr>
              <w:spacing w:after="0"/>
              <w:rPr>
                <w:sz w:val="18"/>
                <w:szCs w:val="18"/>
                <w:color w:val="auto"/>
              </w:rPr>
            </w:pPr>
          </w:p>
        </w:tc>
        <w:tc>
          <w:tcPr>
            <w:tcW w:w="7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90"/>
        </w:trPr>
        <w:tc>
          <w:tcPr>
            <w:tcW w:w="62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w w:val="99"/>
              </w:rPr>
              <w:t>Korea . . . . . . . . . . . .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$105,285</w:t>
            </w: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$113,776</w:t>
            </w: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$106,415</w:t>
            </w:r>
          </w:p>
        </w:tc>
      </w:tr>
      <w:tr>
        <w:trPr>
          <w:trHeight w:val="255"/>
        </w:trPr>
        <w:tc>
          <w:tcPr>
            <w:tcW w:w="62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Asia Pacific (other than Korea)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179,555</w:t>
            </w:r>
          </w:p>
        </w:tc>
        <w:tc>
          <w:tcPr>
            <w:tcW w:w="2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306,333</w:t>
            </w:r>
          </w:p>
        </w:tc>
        <w:tc>
          <w:tcPr>
            <w:tcW w:w="2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347,597</w:t>
            </w:r>
          </w:p>
        </w:tc>
      </w:tr>
      <w:tr>
        <w:trPr>
          <w:trHeight w:val="255"/>
        </w:trPr>
        <w:tc>
          <w:tcPr>
            <w:tcW w:w="62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w w:val="99"/>
              </w:rPr>
              <w:t>United States . . . . . .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10,369</w:t>
            </w:r>
          </w:p>
        </w:tc>
        <w:tc>
          <w:tcPr>
            <w:tcW w:w="2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6,052</w:t>
            </w:r>
          </w:p>
        </w:tc>
        <w:tc>
          <w:tcPr>
            <w:tcW w:w="2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5,147</w:t>
            </w:r>
          </w:p>
        </w:tc>
      </w:tr>
      <w:tr>
        <w:trPr>
          <w:trHeight w:val="255"/>
        </w:trPr>
        <w:tc>
          <w:tcPr>
            <w:tcW w:w="62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w w:val="99"/>
              </w:rPr>
              <w:t>Europe . . . . . . . . . . .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6,687</w:t>
            </w:r>
          </w:p>
        </w:tc>
        <w:tc>
          <w:tcPr>
            <w:tcW w:w="2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5,698</w:t>
            </w:r>
          </w:p>
        </w:tc>
        <w:tc>
          <w:tcPr>
            <w:tcW w:w="2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4,317</w:t>
            </w:r>
          </w:p>
        </w:tc>
      </w:tr>
      <w:tr>
        <w:trPr>
          <w:trHeight w:val="253"/>
        </w:trPr>
        <w:tc>
          <w:tcPr>
            <w:tcW w:w="62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Others . . . . . . . . . . . . . . . . . . . . . . . . . . . . . . . . . . . . . . . . . . . . . . . . . . .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1,240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2,043</w:t>
            </w:r>
          </w:p>
        </w:tc>
      </w:tr>
      <w:tr>
        <w:trPr>
          <w:trHeight w:val="20"/>
        </w:trPr>
        <w:tc>
          <w:tcPr>
            <w:tcW w:w="6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85"/>
        </w:trPr>
        <w:tc>
          <w:tcPr>
            <w:tcW w:w="62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301,896</w:t>
            </w: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433,099</w:t>
            </w: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465,519</w:t>
            </w:r>
          </w:p>
        </w:tc>
      </w:tr>
      <w:tr>
        <w:trPr>
          <w:trHeight w:val="20"/>
        </w:trPr>
        <w:tc>
          <w:tcPr>
            <w:tcW w:w="6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60" w:firstLine="400"/>
        <w:spacing w:after="0" w:line="246" w:lineRule="auto"/>
        <w:rPr>
          <w:sz w:val="20"/>
          <w:szCs w:val="20"/>
          <w:color w:val="auto"/>
        </w:rPr>
      </w:pPr>
      <w:r>
        <w:rPr>
          <w:rFonts w:ascii="Times New Roman" w:cs="Times New Roman" w:eastAsia="Times New Roman" w:hAnsi="Times New Roman"/>
          <w:sz w:val="20"/>
          <w:szCs w:val="20"/>
          <w:color w:val="auto"/>
        </w:rPr>
        <w:t>For the years ended December 31, 2022, 2021 and 2020, of the Company’s net sales—standard products business in Asia Pacific (other than Korea), net sales—standard products business in Greater China (China and Hong Kong) represented 68.5%, 65.8% and 82.0%, respectively, and net sales—standard products business in Vietnam represented 13.6%, 26.4% and 14.4%, respectively.</w:t>
      </w:r>
    </w:p>
    <w:p>
      <w:pPr>
        <w:spacing w:after="0" w:line="137" w:lineRule="exact"/>
        <w:rPr>
          <w:sz w:val="20"/>
          <w:szCs w:val="20"/>
          <w:color w:val="auto"/>
        </w:rPr>
      </w:pPr>
    </w:p>
    <w:p>
      <w:pPr>
        <w:ind w:right="220" w:firstLine="400"/>
        <w:spacing w:after="0" w:line="245" w:lineRule="auto"/>
        <w:rPr>
          <w:sz w:val="20"/>
          <w:szCs w:val="20"/>
          <w:color w:val="auto"/>
        </w:rPr>
      </w:pPr>
      <w:r>
        <w:rPr>
          <w:rFonts w:ascii="Times New Roman" w:cs="Times New Roman" w:eastAsia="Times New Roman" w:hAnsi="Times New Roman"/>
          <w:sz w:val="20"/>
          <w:szCs w:val="20"/>
          <w:color w:val="auto"/>
        </w:rPr>
        <w:t>Net sales from the Company’s top ten largest customers in the standard products business (which does not include the Transitional Fab 3 Foundry Services) accounted for 69%, 80% and 88% for the years ended December 31, 2022, 2021 and 2020, respectively.</w:t>
      </w:r>
    </w:p>
    <w:p>
      <w:pPr>
        <w:spacing w:after="0" w:line="136" w:lineRule="exact"/>
        <w:rPr>
          <w:sz w:val="20"/>
          <w:szCs w:val="20"/>
          <w:color w:val="auto"/>
        </w:rPr>
      </w:pPr>
    </w:p>
    <w:p>
      <w:pPr>
        <w:ind w:right="80" w:firstLine="400"/>
        <w:spacing w:after="0" w:line="239" w:lineRule="auto"/>
        <w:rPr>
          <w:sz w:val="20"/>
          <w:szCs w:val="20"/>
          <w:color w:val="auto"/>
        </w:rPr>
      </w:pPr>
      <w:r>
        <w:rPr>
          <w:rFonts w:ascii="Times New Roman" w:cs="Times New Roman" w:eastAsia="Times New Roman" w:hAnsi="Times New Roman"/>
          <w:sz w:val="20"/>
          <w:szCs w:val="20"/>
          <w:color w:val="auto"/>
        </w:rPr>
        <w:t>For the year ended December 31, 2022, the Company had two customers that represented 19.0% and 13.8% of its net sales—standard products business, and for the year ended December 31, 2021, the Company had</w:t>
      </w:r>
    </w:p>
    <w:p>
      <w:pPr>
        <w:spacing w:after="0" w:line="22"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auto"/>
        </w:rPr>
        <w:t>two customers that represented 42.5% and 10.4% of its net sales—standard products business, and for the year ended December 31, 2020, the Company had one customer that represented 56.2% of its net sales—standard products business.</w:t>
      </w:r>
    </w:p>
    <w:p>
      <w:pPr>
        <w:spacing w:after="0" w:line="136" w:lineRule="exact"/>
        <w:rPr>
          <w:sz w:val="20"/>
          <w:szCs w:val="20"/>
          <w:color w:val="auto"/>
        </w:rPr>
      </w:pPr>
    </w:p>
    <w:p>
      <w:pPr>
        <w:ind w:right="20" w:firstLine="400"/>
        <w:spacing w:after="0" w:line="247" w:lineRule="auto"/>
        <w:rPr>
          <w:sz w:val="20"/>
          <w:szCs w:val="20"/>
          <w:color w:val="auto"/>
        </w:rPr>
      </w:pPr>
      <w:r>
        <w:rPr>
          <w:rFonts w:ascii="Times New Roman" w:cs="Times New Roman" w:eastAsia="Times New Roman" w:hAnsi="Times New Roman"/>
          <w:sz w:val="20"/>
          <w:szCs w:val="20"/>
          <w:color w:val="auto"/>
        </w:rPr>
        <w:t>As of December 31, 2022, two customers of the Company’s standard products business accounted for 25.1% and 15.2% of its accounts receivable – standard products business (which does not include the Transitional Fab 3 Foundry Services), respectively. As of December 31, 2021, two customers of the Company’s standard products business accounted for 30.3% and 15.5% of its accounts receivable – standard products business (which does not include the Transitional Fab 3 Foundry Services), respectively.</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99% of the Company’s property, plant and equipment are located in Korea as of December 31, 2022.</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Merger Agreement</w:t>
      </w:r>
    </w:p>
    <w:p>
      <w:pPr>
        <w:spacing w:after="0" w:line="120"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On March 25, 2021, the Company, South Dearborn Limited, an exempted company incorporated in the Cayman Islands with limited liability (‘‘Holdco’’), formed by an affiliate of Wise Road Capital LTD (‘‘Wise Road’’), and Michigan Merger Sub, Inc., a Delaware corporation and a wholly owned subsidiary of Holdco (‘‘Merger Sub’’), entered into an Agreement and Plan of Merger (as amended, the ‘‘Merger Agreement’’), providing for, among other things and subject to the terms and conditions thereof, the merger of Merger Sub with and into the Company (the ‘‘Merger’’), with the Company surviving the Merger as a wholly owned subsidiary of Holdco.</w:t>
      </w:r>
    </w:p>
    <w:p>
      <w:pPr>
        <w:spacing w:after="0" w:line="136"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The closing of the Merger was subject to certain conditions, including clearance by the Committee on Foreign Investment in the United States (‘‘CFIUS’’) under the Defense Production Act of 1950, as amended. The Company and Holdco were advised that CFIUS clearance of the Merger would not be forthcoming and received permission from CFIUS to withdraw their joint filing. In connection therewith, the Company and Holdco entered into a Termination and Settlement Agreement, dated December 13, 2021 (the ‘‘Termination Agreement’’), pursuant to which Holdco agreed to pay $70,200 thousand (the ‘‘Termination Fee’’) to the Company on the terms specified in the Termination Agreement in satisfaction of Holdco’s obligation to pay a termination fee in connection with the termination of the Merger Agreement. On December 20, 2021, the Merger Agreement was</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80"/>
          </w:cols>
          <w:pgMar w:left="1420" w:top="889" w:right="1440" w:bottom="182" w:gutter="0" w:footer="0" w:header="0"/>
          <w:type w:val="continuous"/>
        </w:sectPr>
      </w:pPr>
    </w:p>
    <w:bookmarkStart w:id="93" w:name="page94"/>
    <w:bookmarkEnd w:id="9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right="20"/>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terminated pursuant to the Termination Agreement after the Company’s receipt of a fee of $51,000 thousand from Holdco and a standby letter of credit, which secures a deferred fee of $19,200 thousand from Holdco due on or before March 31, 2022. As of December 31, 2021, of the Termination Fee, $19,200 thousand deferred fee was recorded as other receivables. In connection therewith, the Company, Holdco and Wise Road entered into a First Amendment to the Termination Agreement, dated April 4, 2022, pursuant to which Holdco paid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$14,400 thousand on April 4, 2022, with $4,800 thousand remaining outstanding. The Company, Holdco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Wise Road entered into a Second Amendment to the Termination Agreement, dated August 5, 2022 pursuant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Holdco paid $3,000 thousand on August 5, 2022, of the deferred fee and payment of the remaining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$1,800 thousand was due on or before October 31, 2022. The Company, Holdco and Wise Road entered into 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Letter Agreement, dated October 28, 2022 pursuant to which the parties agreed to defer the remaining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$1,800 thousand due on or before December 23, 2022. The Company, Holdco and Wise Road entered into 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Letter Agreement, dated January 31, 2023 pursuant to which the parties agreed to defer the remaining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$1,800 thousand due on or before February 28, 2023. As of December 31, 2022, the remaining fee of</w:t>
      </w:r>
    </w:p>
    <w:p>
      <w:pPr>
        <w:spacing w:after="0" w:line="3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$1,800 thousand was recorded as other receivables. Other than in respect of this receivable, the Company has no further relationship with Holdco.</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For the years ended December 31, 2021 and 2020, the Company incurred $34,673 thousand and</w:t>
      </w:r>
    </w:p>
    <w:p>
      <w:pPr>
        <w:spacing w:after="0" w:line="3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$653 thousand, respectively, of professional fees and certain transaction related-expenses incurred in connection with the Merger, which were recognized in merger-related costs, net in the consolidated statements of operations.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Commitments and Contingencies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COVID-19 Pandemic</w:t>
      </w:r>
    </w:p>
    <w:p>
      <w:pPr>
        <w:spacing w:after="0" w:line="130" w:lineRule="exact"/>
        <w:rPr>
          <w:sz w:val="20"/>
          <w:szCs w:val="20"/>
          <w:color w:val="auto"/>
        </w:rPr>
      </w:pPr>
    </w:p>
    <w:p>
      <w:pPr>
        <w:ind w:right="20" w:firstLine="400"/>
        <w:spacing w:after="0" w:line="259" w:lineRule="auto"/>
        <w:rPr>
          <w:sz w:val="20"/>
          <w:szCs w:val="20"/>
          <w:color w:val="auto"/>
        </w:rPr>
      </w:pPr>
      <w:r>
        <w:rPr>
          <w:rFonts w:ascii="Times New Roman" w:cs="Times New Roman" w:eastAsia="Times New Roman" w:hAnsi="Times New Roman"/>
          <w:sz w:val="20"/>
          <w:szCs w:val="20"/>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36" w:lineRule="exact"/>
        <w:rPr>
          <w:sz w:val="20"/>
          <w:szCs w:val="20"/>
          <w:color w:val="auto"/>
        </w:rPr>
      </w:pPr>
    </w:p>
    <w:p>
      <w:pPr>
        <w:ind w:right="80" w:firstLine="400"/>
        <w:spacing w:after="0" w:line="260" w:lineRule="auto"/>
        <w:rPr>
          <w:sz w:val="20"/>
          <w:szCs w:val="20"/>
          <w:color w:val="auto"/>
        </w:rPr>
      </w:pPr>
      <w:r>
        <w:rPr>
          <w:rFonts w:ascii="Times New Roman" w:cs="Times New Roman" w:eastAsia="Times New Roman" w:hAnsi="Times New Roman"/>
          <w:sz w:val="20"/>
          <w:szCs w:val="20"/>
          <w:color w:val="auto"/>
        </w:rPr>
        <w:t>The Company experienced some minor disruption in its Power Solutions business from assembly and test subcontractors located in China in the first quarter of 2020 as a result of the COVID-19 pandemic. To date, its external Display Solutions business contractors and sub-contractors have not been materially impacted by the COVID-19 pandemic. The Company is, however, unable to accurately predict the full impact that the COVID-19 pandemic will have on its future results of operations due to numerous uncertainties. The extent to which the COVID-19 pandemic impacts the Company’s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the COVID-19 pandemic, such as new strains of the virus that may emerge, which may impact rates of infection and vaccination efforts, developments or perceptions regarding the safety of vaccines and the extent and effectiveness of actions to contain the COVID-19 pandemic or treat its impact, including vaccination campaigns and lockdown measures, among others. In addition, recurrences or additional waves of COVID-19 cases could cause other widespread or more severe impacts depending on where infection rates are highest. The Company cannot presently predict the scope and severity of any potential business shutdowns or disruptions, but if the Company or any of its customers and suppliers were to experience prolonged business shutdowns or other disruptions, its ability to conduct its business could be materially and negatively affected, which could have a material adverse impact on its business, results of operations and financial condition.</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80"/>
          </w:cols>
          <w:pgMar w:left="1420" w:top="889" w:right="1440" w:bottom="182" w:gutter="0" w:footer="0" w:header="0"/>
          <w:type w:val="continuous"/>
        </w:sectPr>
      </w:pPr>
    </w:p>
    <w:bookmarkStart w:id="94" w:name="page95"/>
    <w:bookmarkEnd w:id="94"/>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right="60"/>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400" w:firstLine="400"/>
        <w:spacing w:after="0" w:line="247" w:lineRule="auto"/>
        <w:rPr>
          <w:sz w:val="20"/>
          <w:szCs w:val="20"/>
          <w:color w:val="auto"/>
        </w:rPr>
      </w:pPr>
      <w:r>
        <w:rPr>
          <w:rFonts w:ascii="Times New Roman" w:cs="Times New Roman" w:eastAsia="Times New Roman" w:hAnsi="Times New Roman"/>
          <w:sz w:val="20"/>
          <w:szCs w:val="20"/>
          <w:color w:val="auto"/>
        </w:rPr>
        <w:t>The Company continues to closely monitor and evaluate the nature and scope of the impact of the COVID-19 pandemic to its business, consolidated results of operations, and financial condition, and may take further actions altering its business operations and managing its costs and liquidity that the Company deems necessary or appropriate to respond to this ongoing and uncertain global health crisis and the resulting global economic consequences.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Accumulated Other Comprehensive Loss</w:t>
      </w:r>
    </w:p>
    <w:p>
      <w:pPr>
        <w:spacing w:after="0" w:line="120" w:lineRule="exact"/>
        <w:rPr>
          <w:sz w:val="20"/>
          <w:szCs w:val="20"/>
          <w:color w:val="auto"/>
        </w:rPr>
      </w:pPr>
    </w:p>
    <w:p>
      <w:pPr>
        <w:ind w:right="1000" w:firstLine="400"/>
        <w:spacing w:after="0" w:line="239" w:lineRule="auto"/>
        <w:rPr>
          <w:sz w:val="20"/>
          <w:szCs w:val="20"/>
          <w:color w:val="auto"/>
        </w:rPr>
      </w:pPr>
      <w:r>
        <w:rPr>
          <w:rFonts w:ascii="Times New Roman" w:cs="Times New Roman" w:eastAsia="Times New Roman" w:hAnsi="Times New Roman"/>
          <w:sz w:val="20"/>
          <w:szCs w:val="20"/>
          <w:color w:val="auto"/>
        </w:rPr>
        <w:t>Accumulated other comprehensive loss consists of the following at December 31, 2022 and 2021, respectively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1820" w:type="dxa"/>
            <w:vAlign w:val="bottom"/>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85"/>
        </w:trPr>
        <w:tc>
          <w:tcPr>
            <w:tcW w:w="7620" w:type="dxa"/>
            <w:vAlign w:val="bottom"/>
          </w:tcPr>
          <w:p>
            <w:pPr>
              <w:spacing w:after="0"/>
              <w:rPr>
                <w:sz w:val="16"/>
                <w:szCs w:val="16"/>
                <w:color w:val="auto"/>
              </w:rPr>
            </w:pPr>
          </w:p>
        </w:tc>
        <w:tc>
          <w:tcPr>
            <w:tcW w:w="1820" w:type="dxa"/>
            <w:vAlign w:val="bottom"/>
            <w:gridSpan w:val="7"/>
          </w:tcPr>
          <w:p>
            <w:pPr>
              <w:jc w:val="right"/>
              <w:ind w:right="48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6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r>
      <w:tr>
        <w:trPr>
          <w:trHeight w:val="29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adjustments . . . . . . . . . . . . . . . . . . . . . . . . . . . . . . . . . . . . . . .</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w w:val="96"/>
              </w:rPr>
              <w:t>$(11,328)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(770)</w:t>
            </w:r>
          </w:p>
        </w:tc>
      </w:tr>
      <w:tr>
        <w:trPr>
          <w:trHeight w:val="253"/>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Derivative adjustments . . . . . . . . . . . . . . . . . . . . . . . . . . . . . . . . . . . . . . . . . . . . . . . . . . . . .</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(1,225)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(1,460)</w:t>
            </w:r>
          </w:p>
        </w:tc>
      </w:tr>
      <w:tr>
        <w:trPr>
          <w:trHeight w:val="20"/>
        </w:trPr>
        <w:tc>
          <w:tcPr>
            <w:tcW w:w="7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 . . . . . .</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u w:val="single" w:color="auto"/>
                <w:color w:val="auto"/>
                <w:w w:val="96"/>
              </w:rPr>
              <w:t>$</w:t>
            </w:r>
            <w:r>
              <w:rPr>
                <w:rFonts w:ascii="Times New Roman" w:cs="Times New Roman" w:eastAsia="Times New Roman" w:hAnsi="Times New Roman"/>
                <w:sz w:val="20"/>
                <w:szCs w:val="20"/>
                <w:color w:val="auto"/>
                <w:w w:val="96"/>
              </w:rPr>
              <w:t>(12,553)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(2,230)</w:t>
            </w:r>
          </w:p>
        </w:tc>
      </w:tr>
      <w:tr>
        <w:trPr>
          <w:trHeight w:val="20"/>
        </w:trPr>
        <w:tc>
          <w:tcPr>
            <w:tcW w:w="7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00" w:firstLine="400"/>
        <w:spacing w:after="0" w:line="239" w:lineRule="auto"/>
        <w:rPr>
          <w:sz w:val="20"/>
          <w:szCs w:val="20"/>
          <w:color w:val="auto"/>
        </w:rPr>
      </w:pPr>
      <w:r>
        <w:rPr>
          <w:rFonts w:ascii="Times New Roman" w:cs="Times New Roman" w:eastAsia="Times New Roman" w:hAnsi="Times New Roman"/>
          <w:sz w:val="20"/>
          <w:szCs w:val="20"/>
          <w:color w:val="auto"/>
        </w:rPr>
        <w:t>Changes in accumulated other comprehensive income (loss) for the years ended December 31, 2022, 2021 and 2020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5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5"/>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5"/>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translation</w:t>
            </w:r>
          </w:p>
        </w:tc>
        <w:tc>
          <w:tcPr>
            <w:tcW w:w="360" w:type="dxa"/>
            <w:vAlign w:val="bottom"/>
          </w:tcPr>
          <w:p>
            <w:pPr>
              <w:spacing w:after="0"/>
              <w:rPr>
                <w:sz w:val="15"/>
                <w:szCs w:val="15"/>
                <w:color w:val="auto"/>
              </w:rPr>
            </w:pPr>
          </w:p>
        </w:tc>
        <w:tc>
          <w:tcPr>
            <w:tcW w:w="900" w:type="dxa"/>
            <w:vAlign w:val="bottom"/>
            <w:gridSpan w:val="4"/>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84"/>
              </w:rPr>
              <w:t>Derivative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57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460" w:type="dxa"/>
            <w:vAlign w:val="bottom"/>
            <w:gridSpan w:val="6"/>
          </w:tcPr>
          <w:p>
            <w:pPr>
              <w:jc w:val="center"/>
              <w:ind w:left="105"/>
              <w:spacing w:after="0" w:line="182" w:lineRule="exact"/>
              <w:rPr>
                <w:sz w:val="20"/>
                <w:szCs w:val="20"/>
                <w:color w:val="auto"/>
              </w:rPr>
            </w:pPr>
            <w:r>
              <w:rPr>
                <w:rFonts w:ascii="Times New Roman" w:cs="Times New Roman" w:eastAsia="Times New Roman" w:hAnsi="Times New Roman"/>
                <w:sz w:val="16"/>
                <w:szCs w:val="16"/>
                <w:b w:val="1"/>
                <w:bCs w:val="1"/>
                <w:color w:val="auto"/>
                <w:w w:val="98"/>
              </w:rPr>
              <w:t>adjustments</w:t>
            </w:r>
          </w:p>
        </w:tc>
        <w:tc>
          <w:tcPr>
            <w:tcW w:w="1260" w:type="dxa"/>
            <w:vAlign w:val="bottom"/>
            <w:gridSpan w:val="5"/>
          </w:tcPr>
          <w:p>
            <w:pPr>
              <w:jc w:val="center"/>
              <w:ind w:right="40"/>
              <w:spacing w:after="0" w:line="182" w:lineRule="exact"/>
              <w:rPr>
                <w:sz w:val="20"/>
                <w:szCs w:val="20"/>
                <w:color w:val="auto"/>
              </w:rPr>
            </w:pPr>
            <w:r>
              <w:rPr>
                <w:rFonts w:ascii="Times New Roman" w:cs="Times New Roman" w:eastAsia="Times New Roman" w:hAnsi="Times New Roman"/>
                <w:sz w:val="16"/>
                <w:szCs w:val="16"/>
                <w:b w:val="1"/>
                <w:bCs w:val="1"/>
                <w:color w:val="auto"/>
                <w:w w:val="98"/>
              </w:rPr>
              <w:t>adjustments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6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57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8"/>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 . . . . . . . . . . . . . . . . . . . . . . . . . . . . . . . . . . . . . . . . . .</w:t>
            </w:r>
          </w:p>
        </w:tc>
        <w:tc>
          <w:tcPr>
            <w:tcW w:w="4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87"/>
              </w:rPr>
              <w:t>$</w:t>
            </w:r>
            <w:r>
              <w:rPr>
                <w:rFonts w:ascii="Times New Roman" w:cs="Times New Roman" w:eastAsia="Times New Roman" w:hAnsi="Times New Roman"/>
                <w:sz w:val="20"/>
                <w:szCs w:val="20"/>
                <w:color w:val="auto"/>
                <w:w w:val="87"/>
              </w:rPr>
              <w:t>(1,460)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(2,230)</w:t>
            </w:r>
          </w:p>
        </w:tc>
      </w:tr>
      <w:tr>
        <w:trPr>
          <w:trHeight w:val="20"/>
        </w:trPr>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7"/>
        </w:trPr>
        <w:tc>
          <w:tcPr>
            <w:tcW w:w="5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comprehensive loss before reclassifications . . . . . . . . . . . . . . .</w:t>
            </w:r>
          </w:p>
        </w:tc>
        <w:tc>
          <w:tcPr>
            <w:tcW w:w="48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(10,558)</w:t>
            </w:r>
          </w:p>
        </w:tc>
        <w:tc>
          <w:tcPr>
            <w:tcW w:w="20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(8,279)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(18,837)</w:t>
            </w:r>
          </w:p>
        </w:tc>
      </w:tr>
      <w:tr>
        <w:trPr>
          <w:trHeight w:val="253"/>
        </w:trPr>
        <w:tc>
          <w:tcPr>
            <w:tcW w:w="62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Amounts reclassified from accumulated other comprehensive loss . .</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8,514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8,514</w:t>
            </w:r>
          </w:p>
        </w:tc>
        <w:tc>
          <w:tcPr>
            <w:tcW w:w="80" w:type="dxa"/>
            <w:vAlign w:val="bottom"/>
          </w:tcPr>
          <w:p>
            <w:pPr>
              <w:spacing w:after="0"/>
              <w:rPr>
                <w:sz w:val="22"/>
                <w:szCs w:val="22"/>
                <w:color w:val="auto"/>
              </w:rPr>
            </w:pPr>
          </w:p>
        </w:tc>
      </w:tr>
      <w:tr>
        <w:trPr>
          <w:trHeight w:val="285"/>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Net current-period other comprehensive income (loss) . . . . . . . . . . . . .</w:t>
            </w:r>
          </w:p>
        </w:tc>
        <w:tc>
          <w:tcPr>
            <w:tcW w:w="48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(10,558)</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(10,323)</w:t>
            </w:r>
          </w:p>
        </w:tc>
      </w:tr>
      <w:tr>
        <w:trPr>
          <w:trHeight w:val="20"/>
        </w:trPr>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 . . . . . . . . . . . . . . . . . . . . . . . . . . . . . . . . . . . . . . . . . . . . .</w:t>
            </w: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(11,328)</w:t>
            </w:r>
          </w:p>
        </w:tc>
        <w:tc>
          <w:tcPr>
            <w:tcW w:w="20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(1,225)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(12,553)</w:t>
            </w:r>
          </w:p>
        </w:tc>
      </w:tr>
      <w:tr>
        <w:trPr>
          <w:trHeight w:val="20"/>
        </w:trPr>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7"/>
        </w:trPr>
        <w:tc>
          <w:tcPr>
            <w:tcW w:w="5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5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5"/>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360" w:type="dxa"/>
            <w:vAlign w:val="bottom"/>
          </w:tcPr>
          <w:p>
            <w:pPr>
              <w:spacing w:after="0"/>
              <w:rPr>
                <w:sz w:val="15"/>
                <w:szCs w:val="15"/>
                <w:color w:val="auto"/>
              </w:rPr>
            </w:pPr>
          </w:p>
        </w:tc>
        <w:tc>
          <w:tcPr>
            <w:tcW w:w="900" w:type="dxa"/>
            <w:vAlign w:val="bottom"/>
            <w:gridSpan w:val="4"/>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5"/>
              </w:rPr>
              <w:t>Derivative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57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480" w:type="dxa"/>
            <w:vAlign w:val="bottom"/>
          </w:tcPr>
          <w:p>
            <w:pPr>
              <w:spacing w:after="0"/>
              <w:rPr>
                <w:sz w:val="16"/>
                <w:szCs w:val="16"/>
                <w:color w:val="auto"/>
              </w:rPr>
            </w:pPr>
          </w:p>
        </w:tc>
        <w:tc>
          <w:tcPr>
            <w:tcW w:w="780" w:type="dxa"/>
            <w:vAlign w:val="bottom"/>
            <w:gridSpan w:val="4"/>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5"/>
              </w:rPr>
              <w:t>adjustments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4"/>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auto"/>
                <w:w w:val="88"/>
              </w:rPr>
              <w:t>adjustments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78"/>
        </w:trPr>
        <w:tc>
          <w:tcPr>
            <w:tcW w:w="5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Beginning balance . . . . . . . . . . . . . . . . . . . . . . . . . . . . . . . . . . . . . . . . . .</w:t>
            </w:r>
          </w:p>
        </w:tc>
        <w:tc>
          <w:tcPr>
            <w:tcW w:w="480" w:type="dxa"/>
            <w:vAlign w:val="bottom"/>
          </w:tcPr>
          <w:p>
            <w:pPr>
              <w:spacing w:after="0"/>
              <w:rPr>
                <w:sz w:val="24"/>
                <w:szCs w:val="24"/>
                <w:color w:val="auto"/>
              </w:rPr>
            </w:pPr>
          </w:p>
        </w:tc>
        <w:tc>
          <w:tcPr>
            <w:tcW w:w="7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$ 2,069</w:t>
            </w: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$ 1,634</w:t>
            </w:r>
          </w:p>
        </w:tc>
        <w:tc>
          <w:tcPr>
            <w:tcW w:w="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$ 3,703</w:t>
            </w:r>
          </w:p>
        </w:tc>
        <w:tc>
          <w:tcPr>
            <w:tcW w:w="80" w:type="dxa"/>
            <w:vAlign w:val="bottom"/>
          </w:tcPr>
          <w:p>
            <w:pPr>
              <w:spacing w:after="0"/>
              <w:rPr>
                <w:sz w:val="24"/>
                <w:szCs w:val="24"/>
                <w:color w:val="auto"/>
              </w:rPr>
            </w:pPr>
          </w:p>
        </w:tc>
      </w:tr>
      <w:tr>
        <w:trPr>
          <w:trHeight w:val="20"/>
        </w:trPr>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62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comprehensive loss before reclassifications . . . . . . . . . . . . . .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5"/>
              </w:rPr>
              <w:t>(2,839)</w:t>
            </w:r>
          </w:p>
        </w:tc>
        <w:tc>
          <w:tcPr>
            <w:tcW w:w="200" w:type="dxa"/>
            <w:vAlign w:val="bottom"/>
          </w:tcPr>
          <w:p>
            <w:pPr>
              <w:spacing w:after="0"/>
              <w:rPr>
                <w:sz w:val="24"/>
                <w:szCs w:val="24"/>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(3,913)</w:t>
            </w:r>
          </w:p>
        </w:tc>
        <w:tc>
          <w:tcPr>
            <w:tcW w:w="16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(6,752)</w:t>
            </w:r>
          </w:p>
        </w:tc>
      </w:tr>
      <w:tr>
        <w:trPr>
          <w:trHeight w:val="243"/>
        </w:trPr>
        <w:tc>
          <w:tcPr>
            <w:tcW w:w="62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Amounts reclassified from accumulated other comprehensive loss . .</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819</w:t>
            </w:r>
          </w:p>
        </w:tc>
        <w:tc>
          <w:tcPr>
            <w:tcW w:w="80" w:type="dxa"/>
            <w:vAlign w:val="bottom"/>
          </w:tcPr>
          <w:p>
            <w:pPr>
              <w:spacing w:after="0"/>
              <w:rPr>
                <w:sz w:val="21"/>
                <w:szCs w:val="21"/>
                <w:color w:val="auto"/>
              </w:rPr>
            </w:pPr>
          </w:p>
        </w:tc>
      </w:tr>
      <w:tr>
        <w:trPr>
          <w:trHeight w:val="275"/>
        </w:trPr>
        <w:tc>
          <w:tcPr>
            <w:tcW w:w="6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current-period other comprehensive loss . . . . . . . . . . . . . . . . . . . . .</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5"/>
              </w:rPr>
              <w:t>(2,839)</w:t>
            </w:r>
          </w:p>
        </w:tc>
        <w:tc>
          <w:tcPr>
            <w:tcW w:w="20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(3,094)</w:t>
            </w:r>
          </w:p>
        </w:tc>
        <w:tc>
          <w:tcPr>
            <w:tcW w:w="160" w:type="dxa"/>
            <w:vAlign w:val="bottom"/>
          </w:tcPr>
          <w:p>
            <w:pPr>
              <w:spacing w:after="0"/>
              <w:rPr>
                <w:sz w:val="23"/>
                <w:szCs w:val="23"/>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(5,933)</w:t>
            </w:r>
          </w:p>
        </w:tc>
      </w:tr>
      <w:tr>
        <w:trPr>
          <w:trHeight w:val="20"/>
        </w:trPr>
        <w:tc>
          <w:tcPr>
            <w:tcW w:w="5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 . . . . . . . . . . . . . . . . . . . . . . . . . . . . . . . . . . . . . . . . . . . .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(770)</w:t>
            </w:r>
          </w:p>
        </w:tc>
        <w:tc>
          <w:tcPr>
            <w:tcW w:w="20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(1,460)</w:t>
            </w:r>
          </w:p>
        </w:tc>
        <w:tc>
          <w:tcPr>
            <w:tcW w:w="160" w:type="dxa"/>
            <w:vAlign w:val="bottom"/>
          </w:tcPr>
          <w:p>
            <w:pPr>
              <w:spacing w:after="0"/>
              <w:rPr>
                <w:sz w:val="23"/>
                <w:szCs w:val="23"/>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(2,230)</w:t>
            </w:r>
          </w:p>
        </w:tc>
      </w:tr>
      <w:tr>
        <w:trPr>
          <w:trHeight w:val="20"/>
        </w:trPr>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7"/>
        </w:trPr>
        <w:tc>
          <w:tcPr>
            <w:tcW w:w="5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5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5"/>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360" w:type="dxa"/>
            <w:vAlign w:val="bottom"/>
          </w:tcPr>
          <w:p>
            <w:pPr>
              <w:spacing w:after="0"/>
              <w:rPr>
                <w:sz w:val="15"/>
                <w:szCs w:val="15"/>
                <w:color w:val="auto"/>
              </w:rPr>
            </w:pPr>
          </w:p>
        </w:tc>
        <w:tc>
          <w:tcPr>
            <w:tcW w:w="900" w:type="dxa"/>
            <w:vAlign w:val="bottom"/>
            <w:gridSpan w:val="4"/>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5"/>
              </w:rPr>
              <w:t>Derivative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57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480" w:type="dxa"/>
            <w:vAlign w:val="bottom"/>
          </w:tcPr>
          <w:p>
            <w:pPr>
              <w:spacing w:after="0"/>
              <w:rPr>
                <w:sz w:val="16"/>
                <w:szCs w:val="16"/>
                <w:color w:val="auto"/>
              </w:rPr>
            </w:pPr>
          </w:p>
        </w:tc>
        <w:tc>
          <w:tcPr>
            <w:tcW w:w="780" w:type="dxa"/>
            <w:vAlign w:val="bottom"/>
            <w:gridSpan w:val="4"/>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5"/>
              </w:rPr>
              <w:t>adjustments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4"/>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auto"/>
                <w:w w:val="88"/>
              </w:rPr>
              <w:t>adjustments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57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8"/>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 . . . . . . . . . . . . . . . . . . . . . . . . . . . . . . . . . . . . . . . . . .</w:t>
            </w:r>
          </w:p>
        </w:tc>
        <w:tc>
          <w:tcPr>
            <w:tcW w:w="480" w:type="dxa"/>
            <w:vAlign w:val="bottom"/>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(4,205)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$ 1,545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9"/>
              </w:rPr>
              <w:t>$</w:t>
            </w:r>
            <w:r>
              <w:rPr>
                <w:rFonts w:ascii="Times New Roman" w:cs="Times New Roman" w:eastAsia="Times New Roman" w:hAnsi="Times New Roman"/>
                <w:sz w:val="20"/>
                <w:szCs w:val="20"/>
                <w:color w:val="auto"/>
                <w:w w:val="99"/>
              </w:rPr>
              <w:t>(2,660)</w:t>
            </w:r>
          </w:p>
        </w:tc>
      </w:tr>
      <w:tr>
        <w:trPr>
          <w:trHeight w:val="277"/>
        </w:trPr>
        <w:tc>
          <w:tcPr>
            <w:tcW w:w="62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comprehensive income before reclassifications . . . . . . . . . . . .</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6,274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1,452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7,726</w:t>
            </w:r>
          </w:p>
        </w:tc>
        <w:tc>
          <w:tcPr>
            <w:tcW w:w="80" w:type="dxa"/>
            <w:vAlign w:val="bottom"/>
          </w:tcPr>
          <w:p>
            <w:pPr>
              <w:spacing w:after="0"/>
              <w:rPr>
                <w:sz w:val="24"/>
                <w:szCs w:val="24"/>
                <w:color w:val="auto"/>
              </w:rPr>
            </w:pPr>
          </w:p>
        </w:tc>
      </w:tr>
      <w:tr>
        <w:trPr>
          <w:trHeight w:val="245"/>
        </w:trPr>
        <w:tc>
          <w:tcPr>
            <w:tcW w:w="5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Amounts reclassified from accumulated other comprehensive</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576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9"/>
              </w:rPr>
              <w:t>income . . . . . . . . . . . . . . . . . . . . . . . . . . . . . . . . . . . . . . . . . . . . . . . .</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(1,363)</w:t>
            </w:r>
          </w:p>
        </w:tc>
        <w:tc>
          <w:tcPr>
            <w:tcW w:w="16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(1,363)</w:t>
            </w:r>
          </w:p>
        </w:tc>
      </w:tr>
      <w:tr>
        <w:trPr>
          <w:trHeight w:val="275"/>
        </w:trPr>
        <w:tc>
          <w:tcPr>
            <w:tcW w:w="6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current-period other comprehensive income. . . . . . . . . . . . . . . . . . .</w:t>
            </w:r>
          </w:p>
        </w:tc>
        <w:tc>
          <w:tcPr>
            <w:tcW w:w="80" w:type="dxa"/>
            <w:vAlign w:val="bottom"/>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6,274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gridSpan w:val="2"/>
          </w:tcPr>
          <w:p>
            <w:pPr>
              <w:spacing w:after="0"/>
              <w:rPr>
                <w:sz w:val="23"/>
                <w:szCs w:val="2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6,363</w:t>
            </w:r>
          </w:p>
        </w:tc>
        <w:tc>
          <w:tcPr>
            <w:tcW w:w="80" w:type="dxa"/>
            <w:vAlign w:val="bottom"/>
          </w:tcPr>
          <w:p>
            <w:pPr>
              <w:spacing w:after="0"/>
              <w:rPr>
                <w:sz w:val="23"/>
                <w:szCs w:val="23"/>
                <w:color w:val="auto"/>
              </w:rPr>
            </w:pPr>
          </w:p>
        </w:tc>
      </w:t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 . . . . . . . . . . . . . . . . . . . . . . . . . . . . . . . . . . . . . . . . . . . . .</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$ 2,069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$ 1,634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$ 3,703</w:t>
            </w:r>
          </w:p>
        </w:tc>
        <w:tc>
          <w:tcPr>
            <w:tcW w:w="80" w:type="dxa"/>
            <w:vAlign w:val="bottom"/>
          </w:tcPr>
          <w:p>
            <w:pPr>
              <w:spacing w:after="0"/>
              <w:rPr>
                <w:sz w:val="23"/>
                <w:szCs w:val="23"/>
                <w:color w:val="auto"/>
              </w:rPr>
            </w:pPr>
          </w:p>
        </w:tc>
      </w:tr>
      <w:tr>
        <w:trPr>
          <w:trHeight w:val="20"/>
        </w:trPr>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440"/>
          </w:cols>
          <w:pgMar w:left="1420" w:top="889" w:right="1380" w:bottom="182"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440"/>
          </w:cols>
          <w:pgMar w:left="1420" w:top="889" w:right="1380" w:bottom="182"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120" w:firstLine="400"/>
        <w:spacing w:after="0" w:line="258" w:lineRule="auto"/>
        <w:rPr>
          <w:sz w:val="20"/>
          <w:szCs w:val="20"/>
          <w:color w:val="auto"/>
        </w:rPr>
      </w:pPr>
      <w:r>
        <w:rPr>
          <w:rFonts w:ascii="Times New Roman" w:cs="Times New Roman" w:eastAsia="Times New Roman" w:hAnsi="Times New Roman"/>
          <w:sz w:val="20"/>
          <w:szCs w:val="20"/>
          <w:color w:val="auto"/>
        </w:rPr>
        <w:t>There was an income tax expense of $6 thousand related to changes in accumulated other comprehensive loss for the year ended December 31, 2022. There was an income tax benefit of $752 thousand related to changes in accumulated other comprehensive loss for the year ended December 31, 2021. There was an income tax expense of $316 thousand related to changes in accumulated other comprehensive income for the year ended December 31, 2020.</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Earnings (Loss) Per Share</w:t>
      </w:r>
    </w:p>
    <w:p>
      <w:pPr>
        <w:spacing w:after="0" w:line="130" w:lineRule="exact"/>
        <w:rPr>
          <w:sz w:val="20"/>
          <w:szCs w:val="20"/>
          <w:color w:val="auto"/>
        </w:rPr>
      </w:pPr>
    </w:p>
    <w:p>
      <w:pPr>
        <w:ind w:right="320" w:firstLine="400"/>
        <w:spacing w:after="0" w:line="250" w:lineRule="auto"/>
        <w:rPr>
          <w:sz w:val="20"/>
          <w:szCs w:val="20"/>
          <w:color w:val="auto"/>
        </w:rPr>
      </w:pPr>
      <w:r>
        <w:rPr>
          <w:rFonts w:ascii="Times New Roman" w:cs="Times New Roman" w:eastAsia="Times New Roman" w:hAnsi="Times New Roman"/>
          <w:sz w:val="20"/>
          <w:szCs w:val="20"/>
          <w:color w:val="auto"/>
        </w:rPr>
        <w:t>The following table illustrates the computation of basic and diluted earnings (loss) per common share for the years ended December 31, 2022, 2021 and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0"/>
          </w:tcPr>
          <w:p>
            <w:pPr>
              <w:jc w:val="center"/>
              <w:ind w:left="7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1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thousands of U.S. dollars, except share data)</w:t>
            </w:r>
          </w:p>
        </w:tc>
        <w:tc>
          <w:tcPr>
            <w:tcW w:w="0" w:type="dxa"/>
            <w:vAlign w:val="bottom"/>
          </w:tcPr>
          <w:p>
            <w:pPr>
              <w:spacing w:after="0"/>
              <w:rPr>
                <w:sz w:val="1"/>
                <w:szCs w:val="1"/>
                <w:color w:val="auto"/>
              </w:rPr>
            </w:pPr>
          </w:p>
        </w:tc>
      </w:tr>
      <w:tr>
        <w:trPr>
          <w:trHeight w:val="313"/>
        </w:trPr>
        <w:tc>
          <w:tcPr>
            <w:tcW w:w="5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Basic earnings (loss) per share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continuing operations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(8,036)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56,708</w:t>
            </w:r>
          </w:p>
        </w:tc>
        <w:tc>
          <w:tcPr>
            <w:tcW w:w="2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Income from discontinued operations, net of tax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287,906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 . . . . . . . . . . . . . . . . . . . . . . . . . . . . . . . . . . . . .</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(8,036)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56,708</w:t>
            </w:r>
          </w:p>
        </w:tc>
        <w:tc>
          <w:tcPr>
            <w:tcW w:w="2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344,965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Basic weighted average common stock outstanding . . . . . . . . . .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44,850,791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44,879,412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35,213,525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Basic earnings (loss) per common share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Continuing operations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(0.18)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Discontinued operations . . . .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(0.18)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Diluted earnings (loss)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continuing operations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(8,036)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56,708</w:t>
            </w:r>
          </w:p>
        </w:tc>
        <w:tc>
          <w:tcPr>
            <w:tcW w:w="2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Add back: Interest expense on Exchangeable Notes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continuing operations allocated to common</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stockholders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(8,036)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57,667</w:t>
            </w:r>
          </w:p>
        </w:tc>
        <w:tc>
          <w:tcPr>
            <w:tcW w:w="2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Income from discontinued operations, net of tax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287,906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allocated to common stockholders . . . . . . . . . .</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(8,036)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57,667</w:t>
            </w:r>
          </w:p>
        </w:tc>
        <w:tc>
          <w:tcPr>
            <w:tcW w:w="2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350,673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Basic weighted average common stock outstanding . . . . . . . . . .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44,850,791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44,879,412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35,213,525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Net effect of dilutive equity awards. . . . . . . . .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1,403,789</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1,145,906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Net effect of assumed conversion of 5.0% Exchangeable Notes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 common stock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1,426,172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10,144,155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Diluted weighted average common stock outstanding . . . . . . . . .</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44,850,791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47,709,373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46,503,586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Diluted earnings (loss) per common share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Continuing operations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(0.18)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Discontinued operations . . . .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(0.18)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80" w:firstLine="400"/>
        <w:spacing w:after="0" w:line="257" w:lineRule="auto"/>
        <w:rPr>
          <w:sz w:val="20"/>
          <w:szCs w:val="20"/>
          <w:color w:val="auto"/>
        </w:rPr>
      </w:pPr>
      <w:r>
        <w:rPr>
          <w:rFonts w:ascii="Times New Roman" w:cs="Times New Roman" w:eastAsia="Times New Roman" w:hAnsi="Times New Roman"/>
          <w:sz w:val="20"/>
          <w:szCs w:val="20"/>
          <w:color w:val="auto"/>
        </w:rPr>
        <w:t>Diluted earnings (loss) per share adjusts basic earnings (loss) per share for the potentially dilutive impact of stock options. As the Company has reported loss for the year ended December 31, 2022, all potentially dilutive securities, including stock options, are antidilutive and accordingly not considered, therefore basic net loss per share equals diluted net loss per share.</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80"/>
          </w:cols>
          <w:pgMar w:left="1420" w:top="889" w:right="1440" w:bottom="182"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MAGNACHIP SEMICONDUCTOR CORPORATION AND SUBSIDIARIES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(TABULAR DOLLARS IN THOUSANDS, EXCEPT SHARE DATA)</w:t>
      </w:r>
    </w:p>
    <w:p>
      <w:pPr>
        <w:spacing w:after="0" w:line="141" w:lineRule="exact"/>
        <w:rPr>
          <w:sz w:val="20"/>
          <w:szCs w:val="20"/>
          <w:color w:val="auto"/>
        </w:rPr>
      </w:pPr>
    </w:p>
    <w:p>
      <w:pPr>
        <w:ind w:right="300" w:firstLine="400"/>
        <w:spacing w:after="0" w:line="250" w:lineRule="auto"/>
        <w:rPr>
          <w:sz w:val="20"/>
          <w:szCs w:val="20"/>
          <w:color w:val="auto"/>
        </w:rPr>
      </w:pPr>
      <w:r>
        <w:rPr>
          <w:rFonts w:ascii="Times New Roman" w:cs="Times New Roman" w:eastAsia="Times New Roman" w:hAnsi="Times New Roman"/>
          <w:sz w:val="20"/>
          <w:szCs w:val="20"/>
          <w:color w:val="auto"/>
        </w:rPr>
        <w:t>The following outstanding instruments were excluded from the computation of diluted earnings (loss) per share, as they have an anti-dilutive effect on the calculation: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6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Pr>
          <w:p>
            <w:pPr>
              <w:spacing w:after="0"/>
              <w:rPr>
                <w:sz w:val="18"/>
                <w:szCs w:val="18"/>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9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Options. . . . . . . . . . . . . . . . . . . .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1,137,558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651,417</w:t>
            </w:r>
          </w:p>
        </w:tc>
      </w:tr>
      <w:tr>
        <w:trPr>
          <w:trHeight w:val="255"/>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 . . . . . . .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815,407</w:t>
            </w:r>
          </w:p>
        </w:tc>
        <w:tc>
          <w:tcPr>
            <w:tcW w:w="4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Rights Plan</w:t>
      </w:r>
    </w:p>
    <w:p>
      <w:pPr>
        <w:spacing w:after="0" w:line="130" w:lineRule="exact"/>
        <w:rPr>
          <w:sz w:val="20"/>
          <w:szCs w:val="20"/>
          <w:color w:val="auto"/>
        </w:rPr>
      </w:pPr>
    </w:p>
    <w:p>
      <w:pPr>
        <w:ind w:right="20" w:firstLine="400"/>
        <w:spacing w:after="0" w:line="260" w:lineRule="auto"/>
        <w:rPr>
          <w:sz w:val="20"/>
          <w:szCs w:val="20"/>
          <w:color w:val="auto"/>
        </w:rPr>
      </w:pPr>
      <w:r>
        <w:rPr>
          <w:rFonts w:ascii="Times New Roman" w:cs="Times New Roman" w:eastAsia="Times New Roman" w:hAnsi="Times New Roman"/>
          <w:sz w:val="20"/>
          <w:szCs w:val="20"/>
          <w:color w:val="auto"/>
        </w:rPr>
        <w:t>The Company entered into a Rights Agreement, dated as of December 13, 2021, between the Company and American Stock Transfer &amp; Trust Company, LLC, as rights agent (the ‘‘Rights Agreement’’), and the Board of Directors of the Company authorized and declared a dividend of one preferred stock purchase right (a ‘‘Right’’ and collectively, the ‘‘Rights’’) for each share of the Company’s common stock, par value $0.01 per share, outstanding at the close of business on December 23, 2021. Each Right, once exercisable, will entitle the registered holder to purchase from the Company one one-thousandth of a share of Series A-1 Junior Participating Preferred Stock, par value $0.01 per share, at a purchase price of $80, subject to adjustment (the ‘‘Purchase Price’’). The Rights are not presently exercisable and remain attached to the shares of common stock unless and until the occurrence of the earlier of the following (the ‘‘Distribution Date’’): (i) the tenth day after the public announcement or disclosure by the Company or any person or group of affiliated or associated persons that any person or group of affiliated or associated persons has become an ‘‘Acquiring Person’’ by obtaining beneficial ownership of 12.5% (or 20% in the case of a ‘‘passive institutional investor,’’ which is defined generally as any person who has reported beneficial ownership of shares of common stock on Schedule 13G under the Securities Exchange Act of 1934, as amended) or more of the Company’s outstanding common stock, subject to certain exceptions; or (ii) the tenth business day (or such later date as the Company’s Board of Directors may designate before a person or group of affiliated or associated persons becomes an Acquiring Person) after (and not including) the commencement of, or first public announcement of the intent of any person to commence, a tender or exchange offer by any person or group of affiliated or associated persons, which would, if consummated, result in such person or group becoming an Acquiring Person. The Board of Directors could redeem all of the Rights for $0.001 per Right at any time before any person or group of affiliated or associated persons becomes an Acquiring Person. In addition, at any time on or after any person or group of affiliated or associated persons becomes an Acquiring Person (but before any person or group of affiliated or associated persons becomes the owner of 50% or more of the Company’s outstanding common stock), the Board of Directors may exchange all or part of the Rights (other than the Rights beneficially owned by the Acquiring Person and certain affiliated persons) for shares of common stock at an exchange ratio of one share of common stock per Right. The Rights expired at the close of business on December 12, 2022.</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80"/>
          </w:cols>
          <w:pgMar w:left="1420" w:top="889" w:right="1440" w:bottom="182" w:gutter="0" w:footer="0" w:header="0"/>
          <w:type w:val="continuous"/>
        </w:sectPr>
      </w:pPr>
    </w:p>
    <w:bookmarkStart w:id="97" w:name="page98"/>
    <w:bookmarkEnd w:id="97"/>
    <w:p>
      <w:pPr>
        <w:ind w:left="400" w:right="620" w:hanging="399"/>
        <w:spacing w:after="0" w:line="296" w:lineRule="auto"/>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 xml:space="preserve"> </w:t>
      </w:r>
      <w:r>
        <w:rPr>
          <w:rFonts w:ascii="Times New Roman" w:cs="Times New Roman" w:eastAsia="Times New Roman" w:hAnsi="Times New Roman"/>
          <w:sz w:val="20"/>
          <w:szCs w:val="20"/>
          <w:b w:val="1"/>
          <w:bCs w:val="1"/>
          <w:color w:val="auto"/>
        </w:rPr>
        <w:t xml:space="preserve">Changes in and Disagreements with Accountants on Accounting and Financial Disclosure </w:t>
      </w: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9A.</w:t>
        <w:tab/>
        <w:t>Controls and Procedures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Evaluation of Disclosure Controls and Procedures</w:t>
      </w:r>
    </w:p>
    <w:p>
      <w:pPr>
        <w:spacing w:after="0" w:line="120"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134" w:lineRule="exact"/>
        <w:rPr>
          <w:sz w:val="20"/>
          <w:szCs w:val="20"/>
          <w:color w:val="auto"/>
        </w:rPr>
      </w:pPr>
    </w:p>
    <w:p>
      <w:pPr>
        <w:ind w:right="360" w:firstLine="400"/>
        <w:spacing w:after="0" w:line="248" w:lineRule="auto"/>
        <w:rPr>
          <w:sz w:val="20"/>
          <w:szCs w:val="20"/>
          <w:color w:val="auto"/>
        </w:rPr>
      </w:pPr>
      <w:r>
        <w:rPr>
          <w:rFonts w:ascii="Times New Roman" w:cs="Times New Roman" w:eastAsia="Times New Roman" w:hAnsi="Times New Roman"/>
          <w:sz w:val="20"/>
          <w:szCs w:val="20"/>
          <w:color w:val="auto"/>
        </w:rPr>
        <w:t>Management of the Company, with the participation of our Principal Executive Officer and our Principal Financial Officer, conducted an evaluation of the effectiveness of the design and operation of our disclosure controls and procedures, as such term is defined under Rules 13a-15(e) and 15d-15(e) promulgated under the Exchange Act, as of December 31, 2022. Based on this evaluation, our Principal Executive Officer and our Principal Financial Officer have concluded that our disclosure controls and procedures were effective as of December 31, 2022.</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 Management’s Annual Report on Internal Control Over Financial Reporting</w:t>
      </w:r>
    </w:p>
    <w:p>
      <w:pPr>
        <w:spacing w:after="0" w:line="120" w:lineRule="exact"/>
        <w:rPr>
          <w:sz w:val="20"/>
          <w:szCs w:val="20"/>
          <w:color w:val="auto"/>
        </w:rPr>
      </w:pPr>
    </w:p>
    <w:p>
      <w:pPr>
        <w:ind w:right="100" w:firstLine="400"/>
        <w:spacing w:after="0" w:line="248"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Rules 13a-15(f) and 15d-15(f) under the Exchange Act. Our internal control over financial reporting is a process designed under the supervision of our Principal Executive Officer and our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34" w:lineRule="exact"/>
        <w:rPr>
          <w:sz w:val="20"/>
          <w:szCs w:val="20"/>
          <w:color w:val="auto"/>
        </w:rPr>
      </w:pPr>
    </w:p>
    <w:p>
      <w:pPr>
        <w:ind w:right="40" w:firstLine="400"/>
        <w:spacing w:after="0" w:line="24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37" w:lineRule="exact"/>
        <w:rPr>
          <w:sz w:val="20"/>
          <w:szCs w:val="20"/>
          <w:color w:val="auto"/>
        </w:rPr>
      </w:pPr>
    </w:p>
    <w:p>
      <w:pPr>
        <w:ind w:right="580" w:firstLine="400"/>
        <w:spacing w:after="0" w:line="248" w:lineRule="auto"/>
        <w:rPr>
          <w:sz w:val="20"/>
          <w:szCs w:val="20"/>
          <w:color w:val="auto"/>
        </w:rPr>
      </w:pPr>
      <w:r>
        <w:rPr>
          <w:rFonts w:ascii="Times New Roman" w:cs="Times New Roman" w:eastAsia="Times New Roman" w:hAnsi="Times New Roman"/>
          <w:sz w:val="20"/>
          <w:szCs w:val="20"/>
          <w:color w:val="auto"/>
        </w:rPr>
        <w:t xml:space="preserve">Under the supervision and with the participation of our Principal Executive Officer and our Principal Financial Officer, we conducted an evaluation of the effectiveness of the Company’s internal control over financial reporting as of December 31, 2022, based on the criteria set forth in </w:t>
      </w:r>
      <w:r>
        <w:rPr>
          <w:rFonts w:ascii="Times New Roman" w:cs="Times New Roman" w:eastAsia="Times New Roman" w:hAnsi="Times New Roman"/>
          <w:sz w:val="20"/>
          <w:szCs w:val="20"/>
          <w:i w:val="1"/>
          <w:iCs w:val="1"/>
          <w:color w:val="auto"/>
        </w:rPr>
        <w:t>Internal Control—Integrated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w:t>
      </w:r>
      <w:r>
        <w:rPr>
          <w:rFonts w:ascii="Times New Roman" w:cs="Times New Roman" w:eastAsia="Times New Roman" w:hAnsi="Times New Roman"/>
          <w:sz w:val="20"/>
          <w:szCs w:val="20"/>
          <w:color w:val="auto"/>
        </w:rPr>
        <w:t>(2013) issued by the Committee of Sponsoring Organizations of the Treadway Commission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(‘‘COSO’’). Based on our assessment, we concluded that our internal control over financial reporting was effective as of December 31, 2022.</w:t>
      </w:r>
    </w:p>
    <w:p>
      <w:pPr>
        <w:spacing w:after="0" w:line="134" w:lineRule="exact"/>
        <w:rPr>
          <w:sz w:val="20"/>
          <w:szCs w:val="20"/>
          <w:color w:val="auto"/>
        </w:rPr>
      </w:pPr>
    </w:p>
    <w:p>
      <w:pPr>
        <w:jc w:val="both"/>
        <w:ind w:right="260" w:firstLine="400"/>
        <w:spacing w:after="0" w:line="245" w:lineRule="auto"/>
        <w:rPr>
          <w:sz w:val="20"/>
          <w:szCs w:val="20"/>
          <w:color w:val="auto"/>
        </w:rPr>
      </w:pPr>
      <w:r>
        <w:rPr>
          <w:rFonts w:ascii="Times New Roman" w:cs="Times New Roman" w:eastAsia="Times New Roman" w:hAnsi="Times New Roman"/>
          <w:sz w:val="20"/>
          <w:szCs w:val="20"/>
          <w:color w:val="auto"/>
        </w:rPr>
        <w:t>The effectiveness of the Company’s internal control over financial reporting as of December 31, 2022 has been audited by Samil PricewaterhouseCoopers, an independent registered public accounting firm, as stated in their report which appears in Item 8 of this Report.</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 Changes in Internal Control Over Financial Reporting</w:t>
      </w:r>
    </w:p>
    <w:p>
      <w:pPr>
        <w:spacing w:after="0" w:line="120"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auto"/>
        </w:rPr>
        <w:t>There were no changes in internal control over financial reporting during the quarter ended December 31, 2022 that have materially affected, or are reasonably likely to materially affect, our internal control over financial reporting.</w:t>
      </w:r>
    </w:p>
    <w:p>
      <w:pPr>
        <w:spacing w:after="0" w:line="34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9B.</w:t>
        <w:tab/>
        <w:t>Other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352" w:lineRule="exact"/>
        <w:rPr>
          <w:sz w:val="20"/>
          <w:szCs w:val="20"/>
          <w:color w:val="auto"/>
        </w:rPr>
      </w:pPr>
    </w:p>
    <w:p>
      <w:pPr>
        <w:ind w:right="2460"/>
        <w:spacing w:after="0" w:line="352" w:lineRule="auto"/>
        <w:rPr>
          <w:sz w:val="20"/>
          <w:szCs w:val="20"/>
          <w:color w:val="auto"/>
        </w:rPr>
      </w:pPr>
      <w:r>
        <w:rPr>
          <w:rFonts w:ascii="Times New Roman" w:cs="Times New Roman" w:eastAsia="Times New Roman" w:hAnsi="Times New Roman"/>
          <w:sz w:val="20"/>
          <w:szCs w:val="20"/>
          <w:b w:val="1"/>
          <w:b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Not Applicable.</w:t>
      </w:r>
    </w:p>
    <w:p>
      <w:pPr>
        <w:sectPr>
          <w:pgSz w:w="12240" w:h="15840" w:orient="portrait"/>
          <w:cols w:equalWidth="0" w:num="1">
            <w:col w:w="9380"/>
          </w:cols>
          <w:pgMar w:left="1420" w:top="891" w:right="1440" w:bottom="182"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80"/>
          </w:cols>
          <w:pgMar w:left="1420" w:top="891" w:right="1440" w:bottom="182"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6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10.</w:t>
        <w:tab/>
        <w:t>Directors, Executive Officers and Corporate Governance</w:t>
      </w:r>
    </w:p>
    <w:p>
      <w:pPr>
        <w:spacing w:after="0" w:line="130" w:lineRule="exact"/>
        <w:rPr>
          <w:sz w:val="20"/>
          <w:szCs w:val="20"/>
          <w:color w:val="auto"/>
        </w:rPr>
      </w:pPr>
    </w:p>
    <w:p>
      <w:pPr>
        <w:ind w:right="240" w:firstLine="40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relating to our executive officers is included in ‘‘Item 1. Business—Executive Officers of the Company.’’ The other information required by this item is incorporated by reference to our definitive proxy statement relating to our 2023 annual meeting of stockholders or will be included by amendment to this Report within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11.</w:t>
        <w:tab/>
        <w:t>Executive Compensation</w:t>
      </w:r>
    </w:p>
    <w:p>
      <w:pPr>
        <w:spacing w:after="0" w:line="130" w:lineRule="exact"/>
        <w:rPr>
          <w:sz w:val="20"/>
          <w:szCs w:val="20"/>
          <w:color w:val="auto"/>
        </w:rPr>
      </w:pPr>
    </w:p>
    <w:p>
      <w:pPr>
        <w:ind w:right="80" w:firstLine="400"/>
        <w:spacing w:after="0" w:line="255"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relating to our 2023 annual meeting of stockholders or will be included by amendment to this Report within 120 days after the end of the fiscal year to which this Report relates.</w:t>
      </w:r>
    </w:p>
    <w:p>
      <w:pPr>
        <w:spacing w:after="0" w:line="369" w:lineRule="exact"/>
        <w:rPr>
          <w:sz w:val="20"/>
          <w:szCs w:val="20"/>
          <w:color w:val="auto"/>
        </w:rPr>
      </w:pPr>
    </w:p>
    <w:p>
      <w:pPr>
        <w:ind w:left="1000" w:right="260" w:hanging="999"/>
        <w:spacing w:after="0" w:line="238"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12.</w:t>
        <w:tab/>
        <w:t>Security Ownership of Certain Beneficial Owners and Management and Related Stockholder Matters</w:t>
      </w:r>
    </w:p>
    <w:p>
      <w:pPr>
        <w:spacing w:after="0" w:line="132" w:lineRule="exact"/>
        <w:rPr>
          <w:sz w:val="20"/>
          <w:szCs w:val="20"/>
          <w:color w:val="auto"/>
        </w:rPr>
      </w:pPr>
    </w:p>
    <w:p>
      <w:pPr>
        <w:ind w:right="80" w:firstLine="400"/>
        <w:spacing w:after="0" w:line="255"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relating to our 2023 annual meeting of stockholders or will be included by amendment to this Report within 120 days after the end of the fiscal year to which this Report relates.</w:t>
      </w:r>
    </w:p>
    <w:p>
      <w:pPr>
        <w:spacing w:after="0" w:line="3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13.</w:t>
        <w:tab/>
        <w:t>Certain Relationships and Related Transactions, and Director Independence</w:t>
      </w:r>
    </w:p>
    <w:p>
      <w:pPr>
        <w:spacing w:after="0" w:line="130" w:lineRule="exact"/>
        <w:rPr>
          <w:sz w:val="20"/>
          <w:szCs w:val="20"/>
          <w:color w:val="auto"/>
        </w:rPr>
      </w:pPr>
    </w:p>
    <w:p>
      <w:pPr>
        <w:ind w:right="80" w:firstLine="400"/>
        <w:spacing w:after="0" w:line="255"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relating to our 2023 annual meeting of stockholders or will be included by amendment to this Report within 120 days after the end of the fiscal year to which this Report relates.</w:t>
      </w:r>
    </w:p>
    <w:p>
      <w:pPr>
        <w:spacing w:after="0" w:line="3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14.</w:t>
        <w:tab/>
        <w:t>Principal Accounting Fees and Services.</w:t>
      </w:r>
    </w:p>
    <w:p>
      <w:pPr>
        <w:spacing w:after="0" w:line="130" w:lineRule="exact"/>
        <w:rPr>
          <w:sz w:val="20"/>
          <w:szCs w:val="20"/>
          <w:color w:val="auto"/>
        </w:rPr>
      </w:pPr>
    </w:p>
    <w:p>
      <w:pPr>
        <w:ind w:right="80" w:firstLine="400"/>
        <w:spacing w:after="0" w:line="255"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relating to our 2023 annual meeting of stockholders or will be included by amendment to this Report within 120 days after the end of the fiscal year to which this Report relates.</w:t>
      </w: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380"/>
          </w:cols>
          <w:pgMar w:left="1420" w:top="889" w:right="1440" w:bottom="182"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15.</w:t>
        <w:tab/>
        <w:t>Exhibits and Financial Statement Schedules</w:t>
      </w:r>
    </w:p>
    <w:p>
      <w:pPr>
        <w:spacing w:after="0" w:line="110" w:lineRule="exact"/>
        <w:rPr>
          <w:sz w:val="20"/>
          <w:szCs w:val="20"/>
          <w:color w:val="auto"/>
        </w:rPr>
      </w:pPr>
    </w:p>
    <w:p>
      <w:pPr>
        <w:ind w:left="400" w:hanging="394"/>
        <w:spacing w:after="0"/>
        <w:tabs>
          <w:tab w:leader="none" w:pos="4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w:t>
      </w:r>
    </w:p>
    <w:p>
      <w:pPr>
        <w:spacing w:after="0" w:line="130"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required by this item is included in Item 8 of Part II of this Report.</w:t>
      </w:r>
    </w:p>
    <w:p>
      <w:pPr>
        <w:spacing w:after="0" w:line="130" w:lineRule="exact"/>
        <w:rPr>
          <w:rFonts w:ascii="Times New Roman" w:cs="Times New Roman" w:eastAsia="Times New Roman" w:hAnsi="Times New Roman"/>
          <w:sz w:val="20"/>
          <w:szCs w:val="20"/>
          <w:color w:val="auto"/>
        </w:rPr>
      </w:pPr>
    </w:p>
    <w:p>
      <w:pPr>
        <w:ind w:left="400" w:hanging="394"/>
        <w:spacing w:after="0"/>
        <w:tabs>
          <w:tab w:leader="none" w:pos="4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w:t>
      </w:r>
    </w:p>
    <w:p>
      <w:pPr>
        <w:spacing w:after="0" w:line="140" w:lineRule="exact"/>
        <w:rPr>
          <w:sz w:val="20"/>
          <w:szCs w:val="20"/>
          <w:color w:val="auto"/>
        </w:rPr>
      </w:pPr>
    </w:p>
    <w:p>
      <w:pPr>
        <w:ind w:right="100" w:firstLine="400"/>
        <w:spacing w:after="0" w:line="245" w:lineRule="auto"/>
        <w:rPr>
          <w:sz w:val="20"/>
          <w:szCs w:val="20"/>
          <w:color w:val="auto"/>
        </w:rPr>
      </w:pPr>
      <w:r>
        <w:rPr>
          <w:rFonts w:ascii="Times New Roman" w:cs="Times New Roman" w:eastAsia="Times New Roman" w:hAnsi="Times New Roman"/>
          <w:sz w:val="20"/>
          <w:szCs w:val="20"/>
          <w:color w:val="auto"/>
        </w:rPr>
        <w:t>Financial Statement Schedules are omitted because of the absence of the conditions under which they are required or because the information required by such omitted schedules is set forth in the financial statements or the notes thereto.</w:t>
      </w:r>
    </w:p>
    <w:p>
      <w:pPr>
        <w:spacing w:after="0" w:line="126" w:lineRule="exact"/>
        <w:rPr>
          <w:sz w:val="20"/>
          <w:szCs w:val="20"/>
          <w:color w:val="auto"/>
        </w:rPr>
      </w:pPr>
    </w:p>
    <w:p>
      <w:pPr>
        <w:ind w:left="400" w:hanging="394"/>
        <w:spacing w:after="0"/>
        <w:tabs>
          <w:tab w:leader="none" w:pos="4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8220" w:type="dxa"/>
            <w:vAlign w:val="bottom"/>
          </w:tcPr>
          <w:p>
            <w:pPr>
              <w:spacing w:after="0"/>
              <w:rPr>
                <w:sz w:val="16"/>
                <w:szCs w:val="16"/>
                <w:color w:val="auto"/>
              </w:rPr>
            </w:pPr>
          </w:p>
        </w:tc>
      </w:tr>
      <w:tr>
        <w:trPr>
          <w:trHeight w:val="185"/>
        </w:trPr>
        <w:tc>
          <w:tcPr>
            <w:tcW w:w="1020" w:type="dxa"/>
            <w:vAlign w:val="bottom"/>
            <w:tcBorders>
              <w:bottom w:val="single" w:sz="8" w:color="auto"/>
            </w:tcBorders>
          </w:tcPr>
          <w:p>
            <w:pPr>
              <w:ind w:left="400"/>
              <w:spacing w:after="0" w:line="182" w:lineRule="exact"/>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16"/>
                <w:szCs w:val="16"/>
                <w:color w:val="auto"/>
              </w:rPr>
            </w:pPr>
          </w:p>
        </w:tc>
        <w:tc>
          <w:tcPr>
            <w:tcW w:w="8220" w:type="dxa"/>
            <w:vAlign w:val="bottom"/>
            <w:tcBorders>
              <w:bottom w:val="single" w:sz="8" w:color="auto"/>
            </w:tcBorders>
          </w:tcPr>
          <w:p>
            <w:pPr>
              <w:ind w:left="3440"/>
              <w:spacing w:after="0" w:line="182" w:lineRule="exact"/>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Business Transfer Agreement, dated as of March 31, 2020 among by and among Magnus</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Semiconductor, LLC, MagnaChip Semiconductor S.A. and MagnaChip Semiconductor, Ltd.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(incorporated by reference to Exhibit 10.1 to our Current Report on Form 8-K filed on March 31, 2020)</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2.2-1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Agreement and Plan of Merger, dated as of March 25, 2021, by and among South Dearborn Limited,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Michigan Merger Sub, Inc., and Magnachip Semiconductor Corporation (incorporated by reference to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2.1 to our Current Report on Form 8-K filed on March 29, 2021).</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2.2-2</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Letter Agreement, dated as of June 11, 2021, by and among Magnachip Semiconductor Corporation,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South Dearborn Limited and Michigan Merger Sub, Inc. (incorporated by reference to Exhibit 2.1 to our</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Current Report on Form 8-K filed on June 14, 2021).</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2.2-3</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Letter Agreement, dated as of August 23, 2021, by and among Magnachip Semiconductor Corporation,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South Dearborn Limited and Michigan Merger Sub, Inc. (incorporated by reference to Exhibit 2.1 to our</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Current Report on Form 8-K filed on August 23, 2021)</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2.2-4</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Termination and Settlement Agreement, dated December 13, 2021 by and between Magnachip</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Semiconductor Corporation and South Dearborn Limited (incorporated by reference to Exhibit 10.1 to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our Current Report on Form 8-K on December 13, 2021)</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2.2-5</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First Amendment to Termination and Settlement Agreement, dated as of April 4, 2022, by and between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South Dearborn Limited and Wise Road Capital LTD.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(incorporated by reference to Exhibit 10.1 to our Current Report on Form 8-K filed on April 6, 2022).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2.2-6</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Second Amendment to Termination and Settlement Agreement, dated as of August 5, 2022, by and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between Magnachip Semiconductor Corporation, South Dearborn Limited and Wise Road Capital LTD.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(incorporated by reference to Exhibit 10.7 to our Quarterly Report on Form 10-Q filed on November 4,</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2022)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Certificate of Conversion of MagnaChip Semiconductor LLC (incorporated by reference to Exhibit 3.1</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to our Current Report on Form 8-K filed on March 11, 2011).</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Certificate of Incorporation of MagnaChip Semiconductor Corporation (incorporated by reference to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3.2 to our Current Report on Form 8-K filed on March 11, 2011).</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Certificate of Amendment to the Certificate of Incorporation of Magnachip Semiconductor Corporation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(incorporated by reference to Exhibit 3.1 to our Current report on Form 8-K filed on December 30,</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2020)</w:t>
            </w:r>
          </w:p>
        </w:tc>
      </w:tr>
    </w:tbl>
    <w:p>
      <w:pPr>
        <w:spacing w:after="0" w:line="200" w:lineRule="exact"/>
        <w:rPr>
          <w:sz w:val="20"/>
          <w:szCs w:val="20"/>
          <w:color w:val="auto"/>
        </w:rPr>
      </w:pP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380"/>
          </w:cols>
          <w:pgMar w:left="1420" w:top="889" w:right="1440" w:bottom="182"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10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8220" w:type="dxa"/>
            <w:vAlign w:val="bottom"/>
          </w:tcPr>
          <w:p>
            <w:pPr>
              <w:spacing w:after="0"/>
              <w:rPr>
                <w:sz w:val="16"/>
                <w:szCs w:val="16"/>
                <w:color w:val="auto"/>
              </w:rPr>
            </w:pPr>
          </w:p>
        </w:tc>
      </w:tr>
      <w:tr>
        <w:trPr>
          <w:trHeight w:val="185"/>
        </w:trPr>
        <w:tc>
          <w:tcPr>
            <w:tcW w:w="1020" w:type="dxa"/>
            <w:vAlign w:val="bottom"/>
            <w:tcBorders>
              <w:bottom w:val="single" w:sz="8" w:color="auto"/>
            </w:tcBorders>
          </w:tcPr>
          <w:p>
            <w:pPr>
              <w:ind w:left="400"/>
              <w:spacing w:after="0" w:line="182" w:lineRule="exact"/>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16"/>
                <w:szCs w:val="16"/>
                <w:color w:val="auto"/>
              </w:rPr>
            </w:pPr>
          </w:p>
        </w:tc>
        <w:tc>
          <w:tcPr>
            <w:tcW w:w="8220" w:type="dxa"/>
            <w:vAlign w:val="bottom"/>
            <w:tcBorders>
              <w:bottom w:val="single" w:sz="8" w:color="auto"/>
            </w:tcBorders>
          </w:tcPr>
          <w:p>
            <w:pPr>
              <w:ind w:left="3440"/>
              <w:spacing w:after="0" w:line="182" w:lineRule="exact"/>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Amended and Restated Bylaws of MagnaChip Semiconductor Corporation (incorporated by</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3.1 to our Current Report on Form 8-K filed on May 6, 2016).</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3.5</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Plan of Conversion of MagnaChip Semiconductor LLC (incorporated by reference to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3.6 to our Amendment No. 2 to Registration Statement on Form S-1 filed on May 11, 2010</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(Registration No. 333-165467)).</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3.6</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Certificate of Designation, Preferences and Rights of Series A Junior Participating Preferred Stock</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of MagnaChip Semiconductor Corporation, as filed with the Secretary of the State of Delaware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March 6, 2015 (incorporated by reference to Exhibit 3.1 to our Current Report on Form 8-K filed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on March 6, 2015).</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3.7</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Certificate of Designation of Series A-1, Junior Participating Preferred Stock of Magnachip</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Semiconductor Corporation, as filed with the Secretary of State of Delaware on December 13,</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2021.</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Description of Securities</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Intellectual Property License Agreement, dated as of October 6, 2004, by and between Hynix</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Semiconductor Inc. and MagnaChip Semiconductor, Ltd. (Korea) (incorporated by reference to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10.2 to our Amendment No. 1 to Registration Statement on Form S-1 filed on April 20,</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2010 (Registration No. 333-165467)).</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2011 Equity Incentive Plan (as amended on April 26,</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2018) (incorporated by reference to Exhibit 10.24 to our Annual Report on Form 10-K filed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February 22, 2019).</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2020 Equity and Incentive Compensation Plan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(incorporated by reference to Exhibit 10.1 to the Registrant’s Current Report on Form 8-K filed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June 17, 2020).</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2011 Employee Stock Purchase Plan (incorporated by</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10.26 to our Amendment No 9 to the Registration Statement on Form S-1 filed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on February 18, 2011 (Registration No. 333-165467)).</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Form of Indemnification Agreement with Directors and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Officers (incorporated by reference to Exhibit 10.49 to our Registration Statement on Form S-1</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filed on March 15, 2010 (Registration No. 333-165467)).</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Offer Letter, dated as of April 15, 2013, by and between MagnaChip Semiconductor, Ltd. (Korea)</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and Young-Joon Kim (incorporated by reference to Exhibit 10.36 to our Annual Report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10-K filed on February 12, 2015).</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10.6-1*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Amendment of Offer Letter, dated July 27, 2015, from MagnaChip Semiconductor, Ltd. (Korea) to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Young-Joon Kim (incorporated by reference to Exhibit 10.1 to our Quarterly Report on Form 10-Q</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filed on November 6, 2015).</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10.6-2*</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Severance Agreement, dated November 3, 2015, from MagnaChip Semiconductor, Ltd. (Korea) and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to Young-Joon Kim (incorporated by reference to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10.2 to our Quarterly Report on Form 10-Q filed on November 6, 2015).</w:t>
            </w:r>
          </w:p>
        </w:tc>
      </w:tr>
    </w:tbl>
    <w:p>
      <w:pPr>
        <w:spacing w:after="0" w:line="200" w:lineRule="exact"/>
        <w:rPr>
          <w:sz w:val="20"/>
          <w:szCs w:val="20"/>
          <w:color w:val="auto"/>
        </w:rPr>
      </w:pPr>
    </w:p>
    <w:p>
      <w:pPr>
        <w:sectPr>
          <w:pgSz w:w="12240" w:h="15840" w:orient="portrait"/>
          <w:cols w:equalWidth="0" w:num="1">
            <w:col w:w="9380"/>
          </w:cols>
          <w:pgMar w:left="1420" w:top="975"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380"/>
          </w:cols>
          <w:pgMar w:left="1420" w:top="975" w:right="1440" w:bottom="182"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10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8220" w:type="dxa"/>
            <w:vAlign w:val="bottom"/>
          </w:tcPr>
          <w:p>
            <w:pPr>
              <w:spacing w:after="0"/>
              <w:rPr>
                <w:sz w:val="16"/>
                <w:szCs w:val="16"/>
                <w:color w:val="auto"/>
              </w:rPr>
            </w:pPr>
          </w:p>
        </w:tc>
      </w:tr>
      <w:tr>
        <w:trPr>
          <w:trHeight w:val="185"/>
        </w:trPr>
        <w:tc>
          <w:tcPr>
            <w:tcW w:w="1020" w:type="dxa"/>
            <w:vAlign w:val="bottom"/>
            <w:tcBorders>
              <w:bottom w:val="single" w:sz="8" w:color="auto"/>
            </w:tcBorders>
          </w:tcPr>
          <w:p>
            <w:pPr>
              <w:ind w:left="400"/>
              <w:spacing w:after="0" w:line="182" w:lineRule="exact"/>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16"/>
                <w:szCs w:val="16"/>
                <w:color w:val="auto"/>
              </w:rPr>
            </w:pPr>
          </w:p>
        </w:tc>
        <w:tc>
          <w:tcPr>
            <w:tcW w:w="8220" w:type="dxa"/>
            <w:vAlign w:val="bottom"/>
            <w:tcBorders>
              <w:bottom w:val="single" w:sz="8" w:color="auto"/>
            </w:tcBorders>
          </w:tcPr>
          <w:p>
            <w:pPr>
              <w:ind w:left="3440"/>
              <w:spacing w:after="0" w:line="182" w:lineRule="exact"/>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10.6-3*</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Employment Agreement, dated as of April 26, 2018, by and between MagnaChip Semiconductor</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Corporation and Young Joon Kim (incorporated by reference to Exhibit 10.1 to our Current Report</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on Form 8-K filed on April 27, 2018).</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10.6-4*</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Amendment to Employment Agreement by and between MagnaChip Semiconductor Corporation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and Young Joon Kim, dated as of September 3, 2018 (incorporated by reference to Exhibit 10.29-4</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to our Annual Report on Form 10-K filed on February 22, 2019).</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Offer Letter, dated as of September 27, 2013, by and between MagnaChip Semiconductor, Ltd.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(Korea) and Theodore Kim (incorporated by reference to Exhibit 10.37 to our Annual Report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10-K filed on February 12, 2015).</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10.7-1*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Severance Agreement, dated November 3, 2015, from MagnaChip Semiconductor, Ltd. (Korea) and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to Theodore S. Kim (incorporated by reference to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10.4 to our Quarterly Report on Form 10-Q filed on November 6, 2015).</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10.7-2*</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Employment Agreement, dated as of October 22, 2018, by and between MagnaChip Semiconductor</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Corporation and Theodore Kim (incorporated by reference to Exhibit 10.1 to our Current Report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8-K filed on October 26, 2018).</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Offer Letter, dated as of October 16, 2013, by and between MagnaChip Semiconductor, Ltd.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(Korea) and Woung Moo Lee (incorporated by reference to Exhibit 10.36 to our Annual Report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10-K filed on February 22, 2016).</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10.8-1*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Severance Agreement, dated November 3, 2015, from MagnaChip Semiconductor, Ltd. (Korea) and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to Woung Moo Lee (incorporated by reference to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10.6 to our Quarterly Report on Form 10-Q filed on November 6, 2015).</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10.8-2*</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Employment Agreement, dated as of October 22, 2018, by and between MagnaChip Semiconductor</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Corporation and Woung Moo Lee (incorporated by reference to Exhibit 10.2 to our Current Report</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on Form 8-K filed on October 26, 2018).</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Executive Service Agreement, dated as of June 1, 2020, by and between Chan Ho Park,</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and MagnaChip Semiconductor, Ltd. (incorporated by</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10.9 to our Quarterly Report on Form 10-Q filed on August 7, 2020)</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Executive Service Agreement, effective as of February 23, 2022, by and between Shin Young Park,</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and Magnachip Semiconductor, Ltd. (incorporated by</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10.30 to our Annual Report on Form 10-K filed on February 23, 2022)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LLC Profit Sharing Plan as adopted on December 31, 2009 and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amended on February 15, 2010 (incorporated by reference to Exhibit 10.54 to our Quarterly Report</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on Form 10-Q filed on August 5, 2011).</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2011 Form of Stock Option Agreement (U.S. Participants)</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(incorporated by reference to Exhibit 10.55 to our Amendment No 9 to the Registration Statement</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on Form S-1 filed on February 18, 2011 (Registration No. 333-165467)).</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2011 Form of Stock Option Agreement</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(Non-U.S. Participants) (incorporated by reference to Exhibit 10.56 to our Amendment No 9 to the</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Registration Statement on Form S-1 filed on February 18, 2011 (Registration No. 333-165467)).</w:t>
            </w:r>
          </w:p>
        </w:tc>
      </w:tr>
    </w:tbl>
    <w:p>
      <w:pPr>
        <w:spacing w:after="0" w:line="200" w:lineRule="exact"/>
        <w:rPr>
          <w:sz w:val="20"/>
          <w:szCs w:val="20"/>
          <w:color w:val="auto"/>
        </w:rPr>
      </w:pPr>
    </w:p>
    <w:p>
      <w:pPr>
        <w:sectPr>
          <w:pgSz w:w="12240" w:h="15840" w:orient="portrait"/>
          <w:cols w:equalWidth="0" w:num="1">
            <w:col w:w="9380"/>
          </w:cols>
          <w:pgMar w:left="1420" w:top="975"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380"/>
          </w:cols>
          <w:pgMar w:left="1420" w:top="975" w:right="1440" w:bottom="182"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84"/>
        </w:trPr>
        <w:tc>
          <w:tcPr>
            <w:tcW w:w="102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8220" w:type="dxa"/>
            <w:vAlign w:val="bottom"/>
          </w:tcPr>
          <w:p>
            <w:pPr>
              <w:spacing w:after="0"/>
              <w:rPr>
                <w:sz w:val="16"/>
                <w:szCs w:val="16"/>
                <w:color w:val="auto"/>
              </w:rPr>
            </w:pPr>
          </w:p>
        </w:tc>
      </w:tr>
      <w:tr>
        <w:trPr>
          <w:trHeight w:val="185"/>
        </w:trPr>
        <w:tc>
          <w:tcPr>
            <w:tcW w:w="1020" w:type="dxa"/>
            <w:vAlign w:val="bottom"/>
            <w:tcBorders>
              <w:bottom w:val="single" w:sz="8" w:color="auto"/>
            </w:tcBorders>
          </w:tcPr>
          <w:p>
            <w:pPr>
              <w:jc w:val="right"/>
              <w:ind w:right="283"/>
              <w:spacing w:after="0" w:line="182" w:lineRule="exact"/>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16"/>
                <w:szCs w:val="16"/>
                <w:color w:val="auto"/>
              </w:rPr>
            </w:pPr>
          </w:p>
        </w:tc>
        <w:tc>
          <w:tcPr>
            <w:tcW w:w="8220" w:type="dxa"/>
            <w:vAlign w:val="bottom"/>
            <w:tcBorders>
              <w:bottom w:val="single" w:sz="8" w:color="auto"/>
            </w:tcBorders>
          </w:tcPr>
          <w:p>
            <w:pPr>
              <w:ind w:left="3440"/>
              <w:spacing w:after="0" w:line="182" w:lineRule="exact"/>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290"/>
        </w:trPr>
        <w:tc>
          <w:tcPr>
            <w:tcW w:w="10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w w:val="98"/>
              </w:rPr>
              <w:t>10.14*</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2011 Form of Restricted Stock Units Agreement</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(U.S. Participants) (incorporated by reference to Exhibit 10.57 to our Amendment No 9 to the</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Registration Statement on Form S-1 filed on February 18, 2011 (Registration No. 333-165467)).</w:t>
            </w:r>
          </w:p>
        </w:tc>
      </w:tr>
      <w:tr>
        <w:trPr>
          <w:trHeight w:val="510"/>
        </w:trPr>
        <w:tc>
          <w:tcPr>
            <w:tcW w:w="10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w w:val="98"/>
              </w:rPr>
              <w:t>10.15*</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2011 Form of Restricted Stock Units Agreement</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(Non-U.S. Participants) (incorporated by reference to Exhibit 10.58 to our Amendment No 9 to the</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Registration Statement on Form S-1 filed on February 18, 2011 (Registration No. 333-165467)).</w:t>
            </w:r>
          </w:p>
        </w:tc>
      </w:tr>
      <w:tr>
        <w:trPr>
          <w:trHeight w:val="510"/>
        </w:trPr>
        <w:tc>
          <w:tcPr>
            <w:tcW w:w="10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w w:val="98"/>
              </w:rPr>
              <w:t>10.16*</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2011 Form of Restricted Stock Agreement</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(U.S. Participants) (incorporated by reference to Exhibit 10.59 to our Amendment No 9 to the</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Registration Statement on Form S-1 filed on February 18, 2011 (Registration No. 333-165467)).</w:t>
            </w:r>
          </w:p>
        </w:tc>
      </w:tr>
      <w:tr>
        <w:trPr>
          <w:trHeight w:val="510"/>
        </w:trPr>
        <w:tc>
          <w:tcPr>
            <w:tcW w:w="10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w w:val="98"/>
              </w:rPr>
              <w:t>10.17*</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2011 Form of Restricted Stock Agreement</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(Non-U.S. Participants) (incorporated by reference to Exhibit 10.60 to our Amendment No 9 to the</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Registration Statement on Form S-1 filed on February 18, 2011 (Registration No. 333-165467)).</w:t>
            </w:r>
          </w:p>
        </w:tc>
      </w:tr>
      <w:tr>
        <w:trPr>
          <w:trHeight w:val="510"/>
        </w:trPr>
        <w:tc>
          <w:tcPr>
            <w:tcW w:w="10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w w:val="98"/>
              </w:rPr>
              <w:t>10.18*</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2011 Form of Restricted Stock Units Agreement</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(Nonemployee Director) (incorporated by reference to Exhibit 10.1 to our Quarterly Report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10-Q filed on May 6, 2016).</w:t>
            </w:r>
          </w:p>
        </w:tc>
      </w:tr>
      <w:tr>
        <w:trPr>
          <w:trHeight w:val="510"/>
        </w:trPr>
        <w:tc>
          <w:tcPr>
            <w:tcW w:w="10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w w:val="98"/>
              </w:rPr>
              <w:t>10.19*</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Restricted Stock Units Agreement (incorporated by reference to Exhibit 10.3 to our</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Current Report on Form 8-K filed on October 26, 2018).</w:t>
            </w:r>
          </w:p>
        </w:tc>
      </w:tr>
      <w:tr>
        <w:trPr>
          <w:trHeight w:val="510"/>
        </w:trPr>
        <w:tc>
          <w:tcPr>
            <w:tcW w:w="10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w w:val="98"/>
              </w:rPr>
              <w:t>10.20*</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Restricted Stock Units Agreement (TSR Performance) (incorporated by reference to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10.4 to our Current Report on Form 8-K filed on October 26, 2018).</w:t>
            </w:r>
          </w:p>
        </w:tc>
      </w:tr>
      <w:tr>
        <w:trPr>
          <w:trHeight w:val="510"/>
        </w:trPr>
        <w:tc>
          <w:tcPr>
            <w:tcW w:w="10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w w:val="98"/>
              </w:rPr>
              <w:t>10.21*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Restricted Stock Units Agreement (AOP Performance) (incorporated by reference to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10.5 to our Current Report on Form 8-K filed on October 26, 2018).</w:t>
            </w:r>
          </w:p>
        </w:tc>
      </w:tr>
      <w:tr>
        <w:trPr>
          <w:trHeight w:val="510"/>
        </w:trPr>
        <w:tc>
          <w:tcPr>
            <w:tcW w:w="10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w w:val="98"/>
              </w:rPr>
              <w:t>10.22*</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2020 Form of Restricted Stock Units Agreement</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(Non-employee Directors) (incorporated by reference to Exhibit 99.2 to our Registration Statement</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on Form S-8 filed on July 15, 2020)</w:t>
            </w:r>
          </w:p>
        </w:tc>
      </w:tr>
      <w:tr>
        <w:trPr>
          <w:trHeight w:val="510"/>
        </w:trPr>
        <w:tc>
          <w:tcPr>
            <w:tcW w:w="10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w w:val="98"/>
              </w:rPr>
              <w:t>10.23*</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2020 Form of Restricted Stock Units Agreement</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(Section 16 Officers) (incorporated by reference to Exhibit 99.3 to our Registration Statement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S-8 filed on July 15, 2020).</w:t>
            </w:r>
          </w:p>
        </w:tc>
      </w:tr>
      <w:tr>
        <w:trPr>
          <w:trHeight w:val="510"/>
        </w:trPr>
        <w:tc>
          <w:tcPr>
            <w:tcW w:w="10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w w:val="98"/>
              </w:rPr>
              <w:t>10.24*</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2020 Form of Restricted Stock Units</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Agreement—Financial Performance (CEO) (incorporated by reference to Exhibit 99.4 to our</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Registration Statement on Form S-8 filed on July 15, 2020).</w:t>
            </w:r>
          </w:p>
        </w:tc>
      </w:tr>
      <w:tr>
        <w:trPr>
          <w:trHeight w:val="510"/>
        </w:trPr>
        <w:tc>
          <w:tcPr>
            <w:tcW w:w="10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w w:val="98"/>
              </w:rPr>
              <w:t>10.25*</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2020 Form of Restricted Stock Units</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Agreement—Financial Performance (Non-CEO Section 16 Officers) (incorporated by reference to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99.5 to our Registration Statement on Form S-8 filed on July 15, 2020).</w:t>
            </w:r>
          </w:p>
        </w:tc>
      </w:tr>
      <w:tr>
        <w:trPr>
          <w:trHeight w:val="510"/>
        </w:trPr>
        <w:tc>
          <w:tcPr>
            <w:tcW w:w="10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w w:val="98"/>
              </w:rPr>
              <w:t>10.26*</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2020 Form of Restricted Stock Units Agreement—TSR</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Performance (CEO) (incorporated by reference to Exhibit 99.6 to our Registration Statement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S-8 filed on July 15, 2020).</w:t>
            </w:r>
          </w:p>
        </w:tc>
      </w:tr>
    </w:tbl>
    <w:p>
      <w:pPr>
        <w:spacing w:after="0" w:line="200" w:lineRule="exact"/>
        <w:rPr>
          <w:sz w:val="20"/>
          <w:szCs w:val="20"/>
          <w:color w:val="auto"/>
        </w:rPr>
      </w:pPr>
    </w:p>
    <w:p>
      <w:pPr>
        <w:sectPr>
          <w:pgSz w:w="12240" w:h="15840" w:orient="portrait"/>
          <w:cols w:equalWidth="0" w:num="1">
            <w:col w:w="9380"/>
          </w:cols>
          <w:pgMar w:left="1420" w:top="975"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380"/>
          </w:cols>
          <w:pgMar w:left="1420" w:top="975" w:right="1440" w:bottom="182"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10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8220" w:type="dxa"/>
            <w:vAlign w:val="bottom"/>
          </w:tcPr>
          <w:p>
            <w:pPr>
              <w:spacing w:after="0"/>
              <w:rPr>
                <w:sz w:val="16"/>
                <w:szCs w:val="16"/>
                <w:color w:val="auto"/>
              </w:rPr>
            </w:pPr>
          </w:p>
        </w:tc>
      </w:tr>
      <w:tr>
        <w:trPr>
          <w:trHeight w:val="185"/>
        </w:trPr>
        <w:tc>
          <w:tcPr>
            <w:tcW w:w="1020" w:type="dxa"/>
            <w:vAlign w:val="bottom"/>
            <w:tcBorders>
              <w:bottom w:val="single" w:sz="8" w:color="auto"/>
            </w:tcBorders>
          </w:tcPr>
          <w:p>
            <w:pPr>
              <w:ind w:left="400"/>
              <w:spacing w:after="0" w:line="182" w:lineRule="exact"/>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16"/>
                <w:szCs w:val="16"/>
                <w:color w:val="auto"/>
              </w:rPr>
            </w:pPr>
          </w:p>
        </w:tc>
        <w:tc>
          <w:tcPr>
            <w:tcW w:w="8220" w:type="dxa"/>
            <w:vAlign w:val="bottom"/>
            <w:tcBorders>
              <w:bottom w:val="single" w:sz="8" w:color="auto"/>
            </w:tcBorders>
          </w:tcPr>
          <w:p>
            <w:pPr>
              <w:ind w:left="3440"/>
              <w:spacing w:after="0" w:line="182" w:lineRule="exact"/>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MagnaChip Semiconductor Corporation 2020 Form of Restricted Stock Units Agreement—TSR</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Performance (Non-CEO Section 16 Officers) (incorporated by reference to Exhibit 99.7 to our</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Registration Statement on Form S-8 filed on July 15, 2020).</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Patent Cross-License Agreement, with an effective date as of June 15, 2017, by and between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Infineon Technologies AG and Magnachip Semiconductor, Ltd. (incorporated by reference to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10.8 to our Quarterly Report on Form 10-Q filed on November 4, 2022)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First Amendment to the Patent Cross-License Agreement, with an effective date as of January 1,</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2022, by and between Infineon Technologies AG and Magnachip Semiconductor, Ltd. (incorporated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by reference to Exhibit 10.9 to our Quarterly Report on Form 10-Q filed on November 4, 2022)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2020 Plan Restricted Stock Units Agreement (Non-employee Directors) (incorporated by</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10.1 to our Quarterly Report on Form 10-Q filed on November 4, 2022)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2020 Plan Restricted Stock Units Agreement (CEO and other Section 16 Officers)</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(incorporated by reference to Exhibit 10.2 to our Quarterly Report on Form 10-Q filed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November 4, 2022)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10.32*</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2020 Plan Restricted Stock Units Agreement—Financial Performance (CEO) (incorporated</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by reference to Exhibit 10.3 to our Quarterly Report on Form 10-Q filed on November 4, 2022)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10.33*</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2020 Plan Restricted Stock Units Agreement—Financial Performance (Non-CEO</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Section 16 Officers) (incorporated by reference to Exhibit 10.4 to our Quarterly Report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10-Q filed on November 4, 2022)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10.34*</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2020 Plan Restricted Stock Units Agreement—TSR Performance (CEO) (incorporated by</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10.5 to our Quarterly Report on Form 10-Q filed on November 4, 2022)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10.35*</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2020 Plan Restricted Stock Units Agreement—TSR Performance (Non-CEO Section 16</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Officers) (incorporated by reference to Exhibit 10.6 to our Quarterly Report on Form 10-Q filed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November 4, 2022)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Subsidiaries of the Registrant (incorporated by reference to Exhibit 21.1 to our Annual Report on</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10-K filed on March 9, 2021)</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Consent of Samil PricewaterhouseCoopers</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Certification of Chief Executive Officer required by Rule 13(a)-14(a), as adopted pursuant to § 302</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of the Sarbanes-Oxley Act of 2002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Certification of Chief Financial Officer required by Rule 13(a)-14(a), as adopted pursuant to § 302</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of the Sarbanes-Oxley Act of 2002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Certification of Chief Executive Officer required by 18 U.S.C § 1350, as adopted pursuant to § 906</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of the Sarbanes-Oxley Act of 2002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Certification of Chief Financial Officer required by 18 U.S.C. § 1350, as adopted pursuant to § 906</w:t>
            </w:r>
          </w:p>
        </w:tc>
      </w:tr>
      <w:tr>
        <w:trPr>
          <w:trHeight w:val="240"/>
        </w:trPr>
        <w:tc>
          <w:tcPr>
            <w:tcW w:w="10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of the Sarbanes-Oxley Act of 2002</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Instance Document</w:t>
            </w:r>
          </w:p>
        </w:tc>
      </w:tr>
    </w:tbl>
    <w:p>
      <w:pPr>
        <w:spacing w:after="0" w:line="200" w:lineRule="exact"/>
        <w:rPr>
          <w:sz w:val="20"/>
          <w:szCs w:val="20"/>
          <w:color w:val="auto"/>
        </w:rPr>
      </w:pPr>
    </w:p>
    <w:p>
      <w:pPr>
        <w:sectPr>
          <w:pgSz w:w="12240" w:h="15840" w:orient="portrait"/>
          <w:cols w:equalWidth="0" w:num="1">
            <w:col w:w="9380"/>
          </w:cols>
          <w:pgMar w:left="1420" w:top="975" w:right="1440" w:bottom="182"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380"/>
          </w:cols>
          <w:pgMar w:left="1420" w:top="975" w:right="1440" w:bottom="182"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10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8220" w:type="dxa"/>
            <w:vAlign w:val="bottom"/>
          </w:tcPr>
          <w:p>
            <w:pPr>
              <w:spacing w:after="0"/>
              <w:rPr>
                <w:sz w:val="16"/>
                <w:szCs w:val="16"/>
                <w:color w:val="auto"/>
              </w:rPr>
            </w:pPr>
          </w:p>
        </w:tc>
      </w:tr>
      <w:tr>
        <w:trPr>
          <w:trHeight w:val="185"/>
        </w:trPr>
        <w:tc>
          <w:tcPr>
            <w:tcW w:w="1020" w:type="dxa"/>
            <w:vAlign w:val="bottom"/>
            <w:tcBorders>
              <w:bottom w:val="single" w:sz="8" w:color="auto"/>
            </w:tcBorders>
          </w:tcPr>
          <w:p>
            <w:pPr>
              <w:ind w:left="400"/>
              <w:spacing w:after="0" w:line="182" w:lineRule="exact"/>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16"/>
                <w:szCs w:val="16"/>
                <w:color w:val="auto"/>
              </w:rPr>
            </w:pPr>
          </w:p>
        </w:tc>
        <w:tc>
          <w:tcPr>
            <w:tcW w:w="8220" w:type="dxa"/>
            <w:vAlign w:val="bottom"/>
            <w:tcBorders>
              <w:bottom w:val="single" w:sz="8" w:color="auto"/>
            </w:tcBorders>
          </w:tcPr>
          <w:p>
            <w:pPr>
              <w:ind w:left="3440"/>
              <w:spacing w:after="0" w:line="182" w:lineRule="exact"/>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51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220345</wp:posOffset>
                </wp:positionV>
                <wp:extent cx="9144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7.35pt" to="72.3pt,17.35pt" o:allowincell="f" strokecolor="#000000" strokeweight="0.5pt"/>
            </w:pict>
          </mc:Fallback>
        </mc:AlternateConten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Footnotes:</w:t>
      </w:r>
    </w:p>
    <w:p>
      <w:pPr>
        <w:spacing w:after="0" w:line="66" w:lineRule="exact"/>
        <w:rPr>
          <w:sz w:val="20"/>
          <w:szCs w:val="20"/>
          <w:color w:val="auto"/>
        </w:rPr>
      </w:pPr>
    </w:p>
    <w:p>
      <w:pPr>
        <w:ind w:left="400" w:hanging="394"/>
        <w:spacing w:after="0"/>
        <w:tabs>
          <w:tab w:leader="none" w:pos="4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this document have been omitted pursuant to a grant of confidential treatment by the SEC.</w:t>
      </w:r>
    </w:p>
    <w:p>
      <w:pPr>
        <w:spacing w:after="0" w:line="6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compensatory plan or arrangement</w:t>
      </w:r>
    </w:p>
    <w:p>
      <w:pPr>
        <w:spacing w:after="0" w:line="6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6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3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16.</w:t>
        <w:tab/>
        <w:t>Form 10-K Summary</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80"/>
          </w:cols>
          <w:pgMar w:left="1420" w:top="975"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380"/>
          </w:cols>
          <w:pgMar w:left="1420" w:top="975" w:right="1440" w:bottom="182"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30" w:lineRule="exact"/>
        <w:rPr>
          <w:sz w:val="20"/>
          <w:szCs w:val="20"/>
          <w:color w:val="auto"/>
        </w:rPr>
      </w:pPr>
    </w:p>
    <w:p>
      <w:pPr>
        <w:ind w:right="240" w:firstLine="400"/>
        <w:spacing w:after="0" w:line="250"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4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MAGNACHIP SEMICONDUCTOR CORPORATION</w:t>
      </w:r>
    </w:p>
    <w:p>
      <w:pPr>
        <w:spacing w:after="0" w:line="278" w:lineRule="exact"/>
        <w:rPr>
          <w:sz w:val="20"/>
          <w:szCs w:val="20"/>
          <w:color w:val="auto"/>
        </w:rPr>
      </w:pPr>
    </w:p>
    <w:tbl>
      <w:tblPr>
        <w:tblLayout w:type="fixed"/>
        <w:tblInd w:w="40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Young-Joon Kim</w:t>
            </w:r>
          </w:p>
        </w:tc>
      </w:tr>
      <w:tr>
        <w:trPr>
          <w:trHeight w:val="28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Young-Joon Kim</w:t>
            </w:r>
          </w:p>
        </w:tc>
      </w:tr>
      <w:tr>
        <w:trPr>
          <w:trHeight w:val="25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and Director</w:t>
            </w:r>
          </w:p>
        </w:tc>
      </w:tr>
      <w:tr>
        <w:trPr>
          <w:trHeight w:val="25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February 22, 2023</w:t>
            </w:r>
          </w:p>
        </w:tc>
      </w:tr>
    </w:tbl>
    <w:p>
      <w:pPr>
        <w:spacing w:after="0" w:line="165" w:lineRule="exact"/>
        <w:rPr>
          <w:sz w:val="20"/>
          <w:szCs w:val="20"/>
          <w:color w:val="auto"/>
        </w:rPr>
      </w:pPr>
    </w:p>
    <w:p>
      <w:pPr>
        <w:ind w:right="200" w:firstLine="400"/>
        <w:spacing w:after="0" w:line="250"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88"/>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Young-Joon Kim</w:t>
            </w:r>
          </w:p>
        </w:tc>
        <w:tc>
          <w:tcPr>
            <w:tcW w:w="4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22, 2023</w:t>
            </w:r>
          </w:p>
        </w:tc>
      </w:tr>
      <w:tr>
        <w:trPr>
          <w:trHeight w:val="287"/>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Young-Joon Kim, </w:t>
            </w:r>
            <w:r>
              <w:rPr>
                <w:rFonts w:ascii="Times New Roman" w:cs="Times New Roman" w:eastAsia="Times New Roman" w:hAnsi="Times New Roman"/>
                <w:sz w:val="20"/>
                <w:szCs w:val="20"/>
                <w:i w:val="1"/>
                <w:iCs w:val="1"/>
                <w:color w:val="auto"/>
              </w:rPr>
              <w:t>Chief Executive Officer and Director</w:t>
            </w:r>
          </w:p>
        </w:tc>
        <w:tc>
          <w:tcPr>
            <w:tcW w:w="1920" w:type="dxa"/>
            <w:vAlign w:val="bottom"/>
          </w:tcPr>
          <w:p>
            <w:pPr>
              <w:spacing w:after="0"/>
              <w:rPr>
                <w:sz w:val="24"/>
                <w:szCs w:val="24"/>
                <w:color w:val="auto"/>
              </w:rPr>
            </w:pPr>
          </w:p>
        </w:tc>
      </w:tr>
      <w:tr>
        <w:trPr>
          <w:trHeight w:val="240"/>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c>
          <w:tcPr>
            <w:tcW w:w="1920" w:type="dxa"/>
            <w:vAlign w:val="bottom"/>
          </w:tcPr>
          <w:p>
            <w:pPr>
              <w:spacing w:after="0"/>
              <w:rPr>
                <w:sz w:val="20"/>
                <w:szCs w:val="20"/>
                <w:color w:val="auto"/>
              </w:rPr>
            </w:pPr>
          </w:p>
        </w:tc>
      </w:tr>
      <w:tr>
        <w:trPr>
          <w:trHeight w:val="508"/>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Shin Young Park</w:t>
            </w:r>
          </w:p>
        </w:tc>
        <w:tc>
          <w:tcPr>
            <w:tcW w:w="4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22, 2023</w:t>
            </w:r>
          </w:p>
        </w:tc>
      </w:tr>
      <w:tr>
        <w:trPr>
          <w:trHeight w:val="287"/>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Shin Young Park, </w:t>
            </w:r>
            <w:r>
              <w:rPr>
                <w:rFonts w:ascii="Times New Roman" w:cs="Times New Roman" w:eastAsia="Times New Roman" w:hAnsi="Times New Roman"/>
                <w:sz w:val="20"/>
                <w:szCs w:val="20"/>
                <w:i w:val="1"/>
                <w:iCs w:val="1"/>
                <w:color w:val="auto"/>
              </w:rPr>
              <w:t>Chief Financial Officer</w:t>
            </w:r>
          </w:p>
        </w:tc>
        <w:tc>
          <w:tcPr>
            <w:tcW w:w="1920" w:type="dxa"/>
            <w:vAlign w:val="bottom"/>
          </w:tcPr>
          <w:p>
            <w:pPr>
              <w:spacing w:after="0"/>
              <w:rPr>
                <w:sz w:val="24"/>
                <w:szCs w:val="24"/>
                <w:color w:val="auto"/>
              </w:rPr>
            </w:pPr>
          </w:p>
        </w:tc>
      </w:tr>
      <w:tr>
        <w:trPr>
          <w:trHeight w:val="240"/>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(Principal Financial Officer and Principal Accounting Officer)</w:t>
            </w:r>
          </w:p>
        </w:tc>
        <w:tc>
          <w:tcPr>
            <w:tcW w:w="1920" w:type="dxa"/>
            <w:vAlign w:val="bottom"/>
          </w:tcPr>
          <w:p>
            <w:pPr>
              <w:spacing w:after="0"/>
              <w:rPr>
                <w:sz w:val="20"/>
                <w:szCs w:val="20"/>
                <w:color w:val="auto"/>
              </w:rPr>
            </w:pPr>
          </w:p>
        </w:tc>
      </w:tr>
      <w:tr>
        <w:trPr>
          <w:trHeight w:val="508"/>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Melvin Keating</w:t>
            </w:r>
          </w:p>
        </w:tc>
        <w:tc>
          <w:tcPr>
            <w:tcW w:w="4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22, 2023</w:t>
            </w:r>
          </w:p>
        </w:tc>
      </w:tr>
      <w:tr>
        <w:trPr>
          <w:trHeight w:val="287"/>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Melvin Keating, </w:t>
            </w:r>
            <w:r>
              <w:rPr>
                <w:rFonts w:ascii="Times New Roman" w:cs="Times New Roman" w:eastAsia="Times New Roman" w:hAnsi="Times New Roman"/>
                <w:sz w:val="20"/>
                <w:szCs w:val="20"/>
                <w:i w:val="1"/>
                <w:iCs w:val="1"/>
                <w:color w:val="auto"/>
              </w:rPr>
              <w:t>Director</w:t>
            </w:r>
          </w:p>
        </w:tc>
        <w:tc>
          <w:tcPr>
            <w:tcW w:w="1920" w:type="dxa"/>
            <w:vAlign w:val="bottom"/>
          </w:tcPr>
          <w:p>
            <w:pPr>
              <w:spacing w:after="0"/>
              <w:rPr>
                <w:sz w:val="24"/>
                <w:szCs w:val="24"/>
                <w:color w:val="auto"/>
              </w:rPr>
            </w:pPr>
          </w:p>
        </w:tc>
      </w:tr>
      <w:tr>
        <w:trPr>
          <w:trHeight w:val="508"/>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Ilbok Lee</w:t>
            </w:r>
          </w:p>
        </w:tc>
        <w:tc>
          <w:tcPr>
            <w:tcW w:w="4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22, 2023</w:t>
            </w:r>
          </w:p>
        </w:tc>
      </w:tr>
      <w:tr>
        <w:trPr>
          <w:trHeight w:val="287"/>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Ilbok Lee, </w:t>
            </w:r>
            <w:r>
              <w:rPr>
                <w:rFonts w:ascii="Times New Roman" w:cs="Times New Roman" w:eastAsia="Times New Roman" w:hAnsi="Times New Roman"/>
                <w:sz w:val="20"/>
                <w:szCs w:val="20"/>
                <w:i w:val="1"/>
                <w:iCs w:val="1"/>
                <w:color w:val="auto"/>
              </w:rPr>
              <w:t>Director</w:t>
            </w:r>
          </w:p>
        </w:tc>
        <w:tc>
          <w:tcPr>
            <w:tcW w:w="1920" w:type="dxa"/>
            <w:vAlign w:val="bottom"/>
          </w:tcPr>
          <w:p>
            <w:pPr>
              <w:spacing w:after="0"/>
              <w:rPr>
                <w:sz w:val="24"/>
                <w:szCs w:val="24"/>
                <w:color w:val="auto"/>
              </w:rPr>
            </w:pPr>
          </w:p>
        </w:tc>
      </w:tr>
      <w:tr>
        <w:trPr>
          <w:trHeight w:val="508"/>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Camillo Martino</w:t>
            </w:r>
          </w:p>
        </w:tc>
        <w:tc>
          <w:tcPr>
            <w:tcW w:w="4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22, 2023</w:t>
            </w:r>
          </w:p>
        </w:tc>
      </w:tr>
      <w:tr>
        <w:trPr>
          <w:trHeight w:val="287"/>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Camillo Martino, </w:t>
            </w:r>
            <w:r>
              <w:rPr>
                <w:rFonts w:ascii="Times New Roman" w:cs="Times New Roman" w:eastAsia="Times New Roman" w:hAnsi="Times New Roman"/>
                <w:sz w:val="20"/>
                <w:szCs w:val="20"/>
                <w:i w:val="1"/>
                <w:iCs w:val="1"/>
                <w:color w:val="auto"/>
              </w:rPr>
              <w:t>Non-Executive Chairman of the Board of Directors</w:t>
            </w:r>
          </w:p>
        </w:tc>
        <w:tc>
          <w:tcPr>
            <w:tcW w:w="1920" w:type="dxa"/>
            <w:vAlign w:val="bottom"/>
          </w:tcPr>
          <w:p>
            <w:pPr>
              <w:spacing w:after="0"/>
              <w:rPr>
                <w:sz w:val="24"/>
                <w:szCs w:val="24"/>
                <w:color w:val="auto"/>
              </w:rPr>
            </w:pPr>
          </w:p>
        </w:tc>
      </w:tr>
      <w:tr>
        <w:trPr>
          <w:trHeight w:val="508"/>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Gary Tanner</w:t>
            </w:r>
          </w:p>
        </w:tc>
        <w:tc>
          <w:tcPr>
            <w:tcW w:w="4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22, 2023</w:t>
            </w:r>
          </w:p>
        </w:tc>
      </w:tr>
      <w:tr>
        <w:trPr>
          <w:trHeight w:val="287"/>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Gary Tanner, </w:t>
            </w:r>
            <w:r>
              <w:rPr>
                <w:rFonts w:ascii="Times New Roman" w:cs="Times New Roman" w:eastAsia="Times New Roman" w:hAnsi="Times New Roman"/>
                <w:sz w:val="20"/>
                <w:szCs w:val="20"/>
                <w:i w:val="1"/>
                <w:iCs w:val="1"/>
                <w:color w:val="auto"/>
              </w:rPr>
              <w:t>Director</w:t>
            </w:r>
          </w:p>
        </w:tc>
        <w:tc>
          <w:tcPr>
            <w:tcW w:w="1920" w:type="dxa"/>
            <w:vAlign w:val="bottom"/>
          </w:tcPr>
          <w:p>
            <w:pPr>
              <w:spacing w:after="0"/>
              <w:rPr>
                <w:sz w:val="24"/>
                <w:szCs w:val="24"/>
                <w:color w:val="auto"/>
              </w:rPr>
            </w:pPr>
          </w:p>
        </w:tc>
      </w:tr>
      <w:tr>
        <w:trPr>
          <w:trHeight w:val="508"/>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Liz Chung</w:t>
            </w:r>
          </w:p>
        </w:tc>
        <w:tc>
          <w:tcPr>
            <w:tcW w:w="4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22, 2023</w:t>
            </w:r>
          </w:p>
        </w:tc>
      </w:tr>
      <w:tr>
        <w:trPr>
          <w:trHeight w:val="287"/>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Liz Chung, </w:t>
            </w:r>
            <w:r>
              <w:rPr>
                <w:rFonts w:ascii="Times New Roman" w:cs="Times New Roman" w:eastAsia="Times New Roman" w:hAnsi="Times New Roman"/>
                <w:sz w:val="20"/>
                <w:szCs w:val="20"/>
                <w:i w:val="1"/>
                <w:iCs w:val="1"/>
                <w:color w:val="auto"/>
              </w:rPr>
              <w:t>Director</w:t>
            </w:r>
          </w:p>
        </w:tc>
        <w:tc>
          <w:tcPr>
            <w:tcW w:w="192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9380"/>
          </w:cols>
          <w:pgMar w:left="1420" w:top="889"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sectPr>
      <w:pgSz w:w="12240" w:h="15840" w:orient="portrait"/>
      <w:cols w:equalWidth="0" w:num="1">
        <w:col w:w="9380"/>
      </w:cols>
      <w:pgMar w:left="1420" w:top="889" w:right="1440" w:bottom="1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Symbol">
    <w:panose1 w:val="050501020107060205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lvl w:ilvl="1">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lvl w:ilvl="1">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lowerRoman"/>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3"/>
    </w:lvl>
    <w:lvl w:ilvl="1">
      <w:lvlJc w:val="left"/>
      <w:lvlText w:val="•"/>
      <w:numFmt w:val="bullet"/>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lowerRoman"/>
      <w:start w:val="3"/>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5"/>
    </w:lvl>
    <w:lvl w:ilvl="1">
      <w:lvlJc w:val="left"/>
      <w:lvlText w:val="•"/>
      <w:numFmt w:val="bullet"/>
      <w:start w:val="1"/>
    </w:lvl>
  </w:abstractNum>
  <w:abstractNum w:abstractNumId="34">
    <w:nsid w:val="7724C67E"/>
    <w:multiLevelType w:val="hybridMultilevel"/>
    <w:lvl w:ilvl="0">
      <w:lvlJc w:val="left"/>
      <w:lvlText w:val="(%1)"/>
      <w:numFmt w:val="lowerRoman"/>
      <w:start w:val="2"/>
    </w:lvl>
  </w:abstractNum>
  <w:abstractNum w:abstractNumId="35">
    <w:nsid w:val="5C482A97"/>
    <w:multiLevelType w:val="hybridMultilevel"/>
    <w:lvl w:ilvl="0">
      <w:lvlJc w:val="left"/>
      <w:lvlText w:val="(%1)"/>
      <w:numFmt w:val="lowerRoman"/>
      <w:start w:val="2"/>
    </w:lvl>
  </w:abstractNum>
  <w:abstractNum w:abstractNumId="36">
    <w:nsid w:val="2463B9EA"/>
    <w:multiLevelType w:val="hybridMultilevel"/>
    <w:lvl w:ilvl="0">
      <w:lvlJc w:val="left"/>
      <w:lvlText w:val="(%1)"/>
      <w:numFmt w:val="lowerRoman"/>
      <w:start w:val="3"/>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3"/>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2023-04-17T15:50:15Z</dcterms:created>
  <dcterms:modified xsi:type="dcterms:W3CDTF">2023-04-17T15:50:15Z</dcterms:modified>
</cp:coreProperties>
</file>