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September 28,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240" w:type="dxa"/>
        <w:tblCellMar>
          <w:top w:w="0" w:type="dxa"/>
          <w:left w:w="0" w:type="dxa"/>
          <w:bottom w:w="0" w:type="dxa"/>
          <w:right w:w="0" w:type="dxa"/>
        </w:tblCellMar>
      </w:tblPr>
      <w:tr>
        <w:trPr>
          <w:trHeight w:val="218"/>
        </w:trPr>
        <w:tc>
          <w:tcPr>
            <w:tcW w:w="4540" w:type="dxa"/>
            <w:vAlign w:val="bottom"/>
          </w:tcPr>
          <w:p>
            <w:pPr>
              <w:jc w:val="center"/>
              <w:ind w:right="104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right"/>
              <w:ind w:right="922"/>
              <w:spacing w:after="0"/>
              <w:rPr>
                <w:sz w:val="20"/>
                <w:szCs w:val="20"/>
                <w:color w:val="auto"/>
              </w:rPr>
            </w:pPr>
            <w:r>
              <w:rPr>
                <w:rFonts w:ascii="Arial" w:cs="Arial" w:eastAsia="Arial" w:hAnsi="Arial"/>
                <w:sz w:val="18"/>
                <w:szCs w:val="18"/>
                <w:b w:val="1"/>
                <w:bCs w:val="1"/>
                <w:color w:val="auto"/>
              </w:rPr>
              <w:t>333-126019-09</w:t>
            </w:r>
          </w:p>
        </w:tc>
        <w:tc>
          <w:tcPr>
            <w:tcW w:w="2740" w:type="dxa"/>
            <w:vAlign w:val="bottom"/>
          </w:tcPr>
          <w:p>
            <w:pPr>
              <w:jc w:val="center"/>
              <w:ind w:left="16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540" w:type="dxa"/>
            <w:vAlign w:val="bottom"/>
          </w:tcPr>
          <w:p>
            <w:pPr>
              <w:jc w:val="center"/>
              <w:ind w:right="10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40" w:type="dxa"/>
            <w:vAlign w:val="bottom"/>
          </w:tcPr>
          <w:p>
            <w:pPr>
              <w:jc w:val="center"/>
              <w:ind w:left="1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40" w:type="dxa"/>
            <w:vAlign w:val="bottom"/>
          </w:tcPr>
          <w:p>
            <w:pPr>
              <w:jc w:val="center"/>
              <w:ind w:right="102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spacing w:after="0"/>
              <w:rPr>
                <w:sz w:val="15"/>
                <w:szCs w:val="15"/>
                <w:color w:val="auto"/>
              </w:rPr>
            </w:pPr>
          </w:p>
        </w:tc>
        <w:tc>
          <w:tcPr>
            <w:tcW w:w="27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140" w:type="dxa"/>
            <w:vAlign w:val="bottom"/>
            <w:gridSpan w:val="2"/>
          </w:tcPr>
          <w:p>
            <w:pPr>
              <w:jc w:val="center"/>
              <w:ind w:right="1822"/>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2740" w:type="dxa"/>
            <w:vAlign w:val="bottom"/>
          </w:tcPr>
          <w:p>
            <w:pPr>
              <w:spacing w:after="0"/>
              <w:rPr>
                <w:sz w:val="24"/>
                <w:szCs w:val="24"/>
                <w:color w:val="auto"/>
              </w:rPr>
            </w:pPr>
          </w:p>
        </w:tc>
      </w:tr>
      <w:tr>
        <w:trPr>
          <w:trHeight w:val="231"/>
        </w:trPr>
        <w:tc>
          <w:tcPr>
            <w:tcW w:w="4540" w:type="dxa"/>
            <w:vAlign w:val="bottom"/>
          </w:tcPr>
          <w:p>
            <w:pPr>
              <w:jc w:val="center"/>
              <w:ind w:left="64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600" w:type="dxa"/>
            <w:vAlign w:val="bottom"/>
          </w:tcPr>
          <w:p>
            <w:pPr>
              <w:spacing w:after="0"/>
              <w:rPr>
                <w:sz w:val="20"/>
                <w:szCs w:val="20"/>
                <w:color w:val="auto"/>
              </w:rPr>
            </w:pPr>
          </w:p>
        </w:tc>
        <w:tc>
          <w:tcPr>
            <w:tcW w:w="2740" w:type="dxa"/>
            <w:vAlign w:val="bottom"/>
          </w:tcPr>
          <w:p>
            <w:pPr>
              <w:jc w:val="center"/>
              <w:ind w:right="6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540" w:type="dxa"/>
            <w:vAlign w:val="bottom"/>
          </w:tcPr>
          <w:p>
            <w:pPr>
              <w:jc w:val="center"/>
              <w:ind w:left="6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600" w:type="dxa"/>
            <w:vAlign w:val="bottom"/>
          </w:tcPr>
          <w:p>
            <w:pPr>
              <w:spacing w:after="0"/>
              <w:rPr>
                <w:sz w:val="15"/>
                <w:szCs w:val="15"/>
                <w:color w:val="auto"/>
              </w:rPr>
            </w:pPr>
          </w:p>
        </w:tc>
        <w:tc>
          <w:tcPr>
            <w:tcW w:w="27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September 28, 2007, MagnaChip Semiconductor LLC (the “Company”) entered into the Eighth Amendment to Credit Agreement (as amended, the “Credit Agreement”), dated as of September 28, 2007 (the “Amendment”), with MagnaChip Semiconductor S.A. and MagnaChip Semiconductor Finance Company, as borrowers, the Subsidiary Guarantors party thereto, the Lenders party thereto (the “Lenders”), and UBS AG, Stamford Branch, as administrative agent and collateral agent. Under the Amendment, among other things, certain monthly reporting requirements of the Company and certain financial covenants were modified. The foregoing description does not purport to be complete and is qualified in its entirety by reference to the text of the Amendment, which is attached hereto as Exhibit 10.3.h to this report and is incorporated herein by reference.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Exhibits.</w:t>
      </w:r>
    </w:p>
    <w:p>
      <w:pPr>
        <w:spacing w:after="0" w:line="213"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8890</wp:posOffset>
            </wp:positionV>
            <wp:extent cx="6054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7" w:lineRule="exact"/>
        <w:rPr>
          <w:sz w:val="20"/>
          <w:szCs w:val="20"/>
          <w:color w:val="auto"/>
        </w:rPr>
      </w:pPr>
    </w:p>
    <w:p>
      <w:pPr>
        <w:jc w:val="both"/>
        <w:ind w:left="1420" w:right="780" w:hanging="958"/>
        <w:spacing w:after="0" w:line="301" w:lineRule="auto"/>
        <w:tabs>
          <w:tab w:leader="none" w:pos="1400" w:val="left"/>
        </w:tabs>
        <w:rPr>
          <w:sz w:val="20"/>
          <w:szCs w:val="20"/>
          <w:color w:val="auto"/>
        </w:rPr>
      </w:pPr>
      <w:r>
        <w:rPr>
          <w:rFonts w:ascii="Arial" w:cs="Arial" w:eastAsia="Arial" w:hAnsi="Arial"/>
          <w:sz w:val="18"/>
          <w:szCs w:val="18"/>
          <w:color w:val="auto"/>
        </w:rPr>
        <w:t>10.3.h</w:t>
      </w:r>
      <w:r>
        <w:rPr>
          <w:sz w:val="20"/>
          <w:szCs w:val="20"/>
          <w:color w:val="auto"/>
        </w:rPr>
        <w:tab/>
      </w:r>
      <w:r>
        <w:rPr>
          <w:rFonts w:ascii="Arial" w:cs="Arial" w:eastAsia="Arial" w:hAnsi="Arial"/>
          <w:sz w:val="16"/>
          <w:szCs w:val="16"/>
          <w:color w:val="auto"/>
        </w:rPr>
        <w:t>Eighth Amendment to Credit Agreement, dated as of September 28, 2007, by and among MagnaChip Semiconductor S.A. and MagnaChip Semiconductor Finance Company, as borrowers, MagnaChip Semiconductor LLC, the Subsidiary Guarantors party thereto, the Lenders party thereto, and UBS AG, Stamford Branch, as administrative agent and collateral agent.</w:t>
      </w:r>
    </w:p>
    <w:p>
      <w:pPr>
        <w:sectPr>
          <w:pgSz w:w="11900" w:h="16838" w:orient="portrait"/>
          <w:cols w:equalWidth="0" w:num="1">
            <w:col w:w="11180"/>
          </w:cols>
          <w:pgMar w:left="240" w:top="274" w:right="4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September 28, 2007</w:t>
      </w:r>
      <w:r>
        <w:rPr>
          <w:sz w:val="20"/>
          <w:szCs w:val="20"/>
          <w:color w:val="auto"/>
        </w:rPr>
        <w:tab/>
      </w:r>
      <w:r>
        <w:rPr>
          <w:rFonts w:ascii="Arial" w:cs="Arial" w:eastAsia="Arial" w:hAnsi="Arial"/>
          <w:sz w:val="16"/>
          <w:szCs w:val="16"/>
          <w:color w:val="auto"/>
        </w:rPr>
        <w:t>By: /s/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Krakauer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00"/>
          </w:cols>
          <w:pgMar w:left="240" w:top="274" w:right="25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8890</wp:posOffset>
            </wp:positionV>
            <wp:extent cx="66205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7" w:lineRule="exact"/>
        <w:rPr>
          <w:sz w:val="20"/>
          <w:szCs w:val="20"/>
          <w:color w:val="auto"/>
        </w:rPr>
      </w:pPr>
    </w:p>
    <w:p>
      <w:pPr>
        <w:ind w:left="1000" w:hanging="985"/>
        <w:spacing w:after="0" w:line="301" w:lineRule="auto"/>
        <w:tabs>
          <w:tab w:leader="none" w:pos="980" w:val="left"/>
        </w:tabs>
        <w:rPr>
          <w:sz w:val="20"/>
          <w:szCs w:val="20"/>
          <w:color w:val="auto"/>
        </w:rPr>
      </w:pPr>
      <w:r>
        <w:rPr>
          <w:rFonts w:ascii="Arial" w:cs="Arial" w:eastAsia="Arial" w:hAnsi="Arial"/>
          <w:sz w:val="18"/>
          <w:szCs w:val="18"/>
          <w:color w:val="auto"/>
        </w:rPr>
        <w:t>10.3.h</w:t>
      </w:r>
      <w:r>
        <w:rPr>
          <w:sz w:val="20"/>
          <w:szCs w:val="20"/>
          <w:color w:val="auto"/>
        </w:rPr>
        <w:tab/>
      </w:r>
      <w:r>
        <w:rPr>
          <w:rFonts w:ascii="Arial" w:cs="Arial" w:eastAsia="Arial" w:hAnsi="Arial"/>
          <w:sz w:val="16"/>
          <w:szCs w:val="16"/>
          <w:color w:val="auto"/>
        </w:rPr>
        <w:t>Eighth Amendment to Credit Agreement, dated as of September 28, 2007, by and among MagnaChip Semiconductor S.A. and MagnaChip Semiconductor Finance Company, as borrowers, MagnaChip Semiconductor LLC, the Subsidiary Guarantors party thereto, the Lenders party thereto, and UBS AG, Stamford Branch, as administrative agent and collateral agent.</w:t>
      </w:r>
    </w:p>
    <w:p>
      <w:pPr>
        <w:sectPr>
          <w:pgSz w:w="11900" w:h="16838" w:orient="portrait"/>
          <w:cols w:equalWidth="0" w:num="1">
            <w:col w:w="10940"/>
          </w:cols>
          <w:pgMar w:left="240" w:top="274"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10.3.h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AMENDMENT TO CREDIT AGREEMENT</w:t>
      </w:r>
    </w:p>
    <w:p>
      <w:pPr>
        <w:spacing w:after="0" w:line="1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This EIGHTH AMENDMENT TO CREDIT AGREEMENT (as the same may be amended, restated, supplemented, extended or otherwise modified from time to time, this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is entered into as of September 28, 2007,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74, rue de Merl, B.P. 709, L-2017 Luxembourg, Grand Duchy of Luxembourg, registered with the Luxembourg Register of commerce and companies under the number B 97,483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 COMPANY, a Delaware corporation (together with Luxco, “</w:t>
      </w:r>
      <w:r>
        <w:rPr>
          <w:rFonts w:ascii="Arial" w:cs="Arial" w:eastAsia="Arial" w:hAnsi="Arial"/>
          <w:sz w:val="16"/>
          <w:szCs w:val="16"/>
          <w:b w:val="1"/>
          <w:bCs w:val="1"/>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the Subsidiary Guarantors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listed on the signature pages hereto (each of Borrowers, Holdings and Subsidiary Guarantors are sometimes referred to herein as a “</w:t>
      </w:r>
      <w:r>
        <w:rPr>
          <w:rFonts w:ascii="Arial" w:cs="Arial" w:eastAsia="Arial" w:hAnsi="Arial"/>
          <w:sz w:val="16"/>
          <w:szCs w:val="16"/>
          <w:b w:val="1"/>
          <w:bCs w:val="1"/>
          <w:color w:val="auto"/>
        </w:rPr>
        <w:t>Loan 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Loan Parties</w:t>
      </w:r>
      <w:r>
        <w:rPr>
          <w:rFonts w:ascii="Arial" w:cs="Arial" w:eastAsia="Arial" w:hAnsi="Arial"/>
          <w:sz w:val="16"/>
          <w:szCs w:val="16"/>
          <w:color w:val="auto"/>
        </w:rPr>
        <w:t>”), the Lenders, UBS AG, STAMFORD BRANCH, as administrative agent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and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and together with the Administrative Agent, the “</w:t>
      </w:r>
      <w:r>
        <w:rPr>
          <w:rFonts w:ascii="Arial" w:cs="Arial" w:eastAsia="Arial" w:hAnsi="Arial"/>
          <w:sz w:val="16"/>
          <w:szCs w:val="16"/>
          <w:b w:val="1"/>
          <w:bCs w:val="1"/>
          <w:color w:val="auto"/>
        </w:rPr>
        <w:t>Agents</w:t>
      </w:r>
      <w:r>
        <w:rPr>
          <w:rFonts w:ascii="Arial" w:cs="Arial" w:eastAsia="Arial" w:hAnsi="Arial"/>
          <w:sz w:val="16"/>
          <w:szCs w:val="16"/>
          <w:color w:val="auto"/>
        </w:rPr>
        <w:t>”, and each an “</w:t>
      </w:r>
      <w:r>
        <w:rPr>
          <w:rFonts w:ascii="Arial" w:cs="Arial" w:eastAsia="Arial" w:hAnsi="Arial"/>
          <w:sz w:val="16"/>
          <w:szCs w:val="16"/>
          <w:b w:val="1"/>
          <w:bCs w:val="1"/>
          <w:color w:val="auto"/>
        </w:rPr>
        <w:t>Agent</w:t>
      </w:r>
      <w:r>
        <w:rPr>
          <w:rFonts w:ascii="Arial" w:cs="Arial" w:eastAsia="Arial" w:hAnsi="Arial"/>
          <w:sz w:val="16"/>
          <w:szCs w:val="16"/>
          <w:color w:val="auto"/>
        </w:rPr>
        <w:t>”) for the Secured Parties and the Issuing Bank.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The Borrowers, Holdings, Subsidiary Guarantors, the Lenders, UBS Securities LLC, as lead arranger, as documentation agent and as syndication agent, UBS Loan Finance LLC, as swingline lender, Korea Exchange Bank, as issuing bank and Agents are parties to that certain Credit Agreement dated as of December 23, 2004 (as amended hereby, and as the same has been and hereafter may be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Unless otherwise specified herein, all capitalized terms used in this Amendment shall have the meanings ascribed to them in the Credit Agreement.</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 The Borrowers have requested that the Agents and the Required Lenders agree to amend Section 5.01(m) (Monthly Reports), Section 5.01(n) (Liquidity Reports; Flash Reports; Account Information), Section 6.10 and Section 8.01(e) of the Credit Agreement, all upon the terms and subject to the conditions as herein set forth.</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NOW, THEREFORE, in consideration of the foregoing, the covenants and conditions contained herein and other good and valuable consideration, the receipt and sufficiency of which are hereby acknowledged, the parties hereto agree as follows: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Section 5.01(m) of the Credit Agreement (Monthly Reports) is hereby amended and restated to read in its entirety as follows:</w:t>
      </w:r>
    </w:p>
    <w:p>
      <w:pPr>
        <w:spacing w:after="0" w:line="90"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Monthly Reports</w:t>
      </w:r>
      <w:r>
        <w:rPr>
          <w:rFonts w:ascii="Arial" w:cs="Arial" w:eastAsia="Arial" w:hAnsi="Arial"/>
          <w:sz w:val="18"/>
          <w:szCs w:val="18"/>
          <w:color w:val="auto"/>
        </w:rPr>
        <w:t>. As soon as available and in any event within 20 days after the end of each fiscal month of each fiscal year (except, in the case of clauses (i), (ii) and (iii) below, with respect to any months for which quarterly or yearly financial statements are prepared), beginning with the fiscal month ending July 31, 2006, (i) the consolidated balance sheet of Holdings as of the end of such fiscal month and related consolidated statements of income and cash flows for such fiscal month and for the then elapsed portion of the fiscal year, in comparative form with (A) the budget delivered pursuant to Section 5.01(g) in respect of such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fiscal month and such then elapsed portion of such fiscal year and (B) the consolidated statements of income and cash flows for the comparable periods in the previous fiscal year, and notes thereto (including, with respect to any Subsidiary of Holdings that is not a Subsidiary Guarantor, and each other Subsidiary of Holdings for which such note is required to be prepared pursuant to the requirements of applicable law or GAAP, a note with a consolidating balance sheet and financial statement of income and cash flows separating out each such Subsidiary) and accompanied by a certificate of a Financial Officer of a Loan Party certifying that no Event of Default has occurred or, if such Event of Default has occurred, specifying the nature and extent thereof and any corrective action taken or proposed to be taken with respect thereto, and also stating that such financial statements fairly present, in all material respects, the consolidated financial condition, results of operations and cash flows of Holdings as of the date and for the periods specified in accordance with GAAP consistently applied, and on a basis consistent with audited financial statements referred to in clause (a) of this Section, subject to normal year-end audit adjustments, (ii) a narrative report and management’s discussion and analysis, in form and substance reasonably satisfactory to the Administrative Agent, of the consolidated financial condition and results of operations of the Loan Parties for such fiscal month, (iii) a report in form and substance reasonably satisfactory to the Administrative Agent identifying, as of the end of such month, (A) each cash account of Loan Parties (other than (x) payroll accounts and trust accounts maintained in the ordinary course of business, (y) accounts from which cash is swept to other accounts no less frequently than weekly and (z) other accounts that do not contain funds in the aggregate in excess of US$50,000 at any time), (B) the balance of each such account, (C) the financial institution at which each such account is held, and (D) the account number of each such account, (iv) a report in form and substance reasonably satisfactory to the Administrative Agent setting forth Consolidated EBITDA for the twelve fiscal month period ending on the last day of such fiscal month and (v) notwithstanding the foregoing, solely with respect to each month in respect of which the Liquidity Requirement is applicable pursuant to</w:t>
      </w:r>
    </w:p>
    <w:p>
      <w:pPr>
        <w:spacing w:after="0" w:line="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 xml:space="preserve">Section 6.10(f) commencing with the month ending December 31, 2006, a certificate in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hereto with respect to the Loan Parties’ compliance with the Liquidity Requirement.”</w:t>
      </w:r>
    </w:p>
    <w:p>
      <w:pPr>
        <w:spacing w:after="0" w:line="138" w:lineRule="exact"/>
        <w:rPr>
          <w:sz w:val="20"/>
          <w:szCs w:val="20"/>
          <w:color w:val="auto"/>
        </w:rPr>
      </w:pPr>
    </w:p>
    <w:p>
      <w:pPr>
        <w:ind w:left="260" w:hanging="256"/>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5.01(n) of the Credit Agreement (Liquidity Reports; Flash Reports; Account Information) is hereby deleted.</w:t>
      </w:r>
    </w:p>
    <w:p>
      <w:pPr>
        <w:spacing w:after="0" w:line="171" w:lineRule="exact"/>
        <w:rPr>
          <w:rFonts w:ascii="Arial" w:cs="Arial" w:eastAsia="Arial" w:hAnsi="Arial"/>
          <w:sz w:val="18"/>
          <w:szCs w:val="18"/>
          <w:color w:val="auto"/>
        </w:rPr>
      </w:pPr>
    </w:p>
    <w:p>
      <w:pPr>
        <w:ind w:left="240" w:hanging="236"/>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Section 6.10 of the Credit Agreement is hereby amended and restated to read in its entirety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6.10 </w:t>
      </w:r>
      <w:r>
        <w:rPr>
          <w:rFonts w:ascii="Arial" w:cs="Arial" w:eastAsia="Arial" w:hAnsi="Arial"/>
          <w:sz w:val="18"/>
          <w:szCs w:val="18"/>
          <w:b w:val="1"/>
          <w:bCs w:val="1"/>
          <w:u w:val="single" w:color="auto"/>
          <w:color w:val="auto"/>
        </w:rPr>
        <w:t>Financial Covenants</w:t>
      </w:r>
      <w:r>
        <w:rPr>
          <w:rFonts w:ascii="Arial" w:cs="Arial" w:eastAsia="Arial" w:hAnsi="Arial"/>
          <w:sz w:val="18"/>
          <w:szCs w:val="18"/>
          <w:b w:val="1"/>
          <w:bCs w:val="1"/>
          <w:color w:val="auto"/>
        </w:rPr>
        <w:t>.</w:t>
      </w:r>
    </w:p>
    <w:p>
      <w:pPr>
        <w:spacing w:after="0" w:line="96" w:lineRule="exact"/>
        <w:rPr>
          <w:sz w:val="20"/>
          <w:szCs w:val="20"/>
          <w:color w:val="auto"/>
        </w:rPr>
      </w:pPr>
    </w:p>
    <w:p>
      <w:pPr>
        <w:ind w:right="360" w:firstLine="443"/>
        <w:spacing w:after="0" w:line="268" w:lineRule="auto"/>
        <w:tabs>
          <w:tab w:leader="none" w:pos="67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Maximum Total Leverage Ratio</w:t>
      </w:r>
      <w:r>
        <w:rPr>
          <w:rFonts w:ascii="Arial" w:cs="Arial" w:eastAsia="Arial" w:hAnsi="Arial"/>
          <w:sz w:val="18"/>
          <w:szCs w:val="18"/>
          <w:color w:val="auto"/>
        </w:rPr>
        <w:t>. Permit the Total Leverage Ratio, at the last day of each fiscal quarter during any period set forth in the table below, to exceed the ratio set forth opposite such period in the table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 Period</w:t>
            </w:r>
          </w:p>
        </w:tc>
        <w:tc>
          <w:tcPr>
            <w:tcW w:w="5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Leverage Ratio</w:t>
            </w:r>
          </w:p>
        </w:tc>
      </w:tr>
      <w:tr>
        <w:trPr>
          <w:trHeight w:val="209"/>
        </w:trPr>
        <w:tc>
          <w:tcPr>
            <w:tcW w:w="1360" w:type="dxa"/>
            <w:vAlign w:val="bottom"/>
          </w:tcPr>
          <w:p>
            <w:pPr>
              <w:spacing w:after="0" w:line="202" w:lineRule="exact"/>
              <w:rPr>
                <w:sz w:val="20"/>
                <w:szCs w:val="20"/>
                <w:color w:val="auto"/>
              </w:rPr>
            </w:pPr>
            <w:r>
              <w:rPr>
                <w:rFonts w:ascii="Arial" w:cs="Arial" w:eastAsia="Arial" w:hAnsi="Arial"/>
                <w:sz w:val="18"/>
                <w:szCs w:val="18"/>
                <w:color w:val="auto"/>
              </w:rPr>
              <w:t>Closing Date</w:t>
            </w:r>
          </w:p>
        </w:tc>
        <w:tc>
          <w:tcPr>
            <w:tcW w:w="5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ind w:left="160"/>
              <w:spacing w:after="0" w:line="202" w:lineRule="exact"/>
              <w:rPr>
                <w:sz w:val="20"/>
                <w:szCs w:val="20"/>
                <w:color w:val="auto"/>
              </w:rPr>
            </w:pPr>
            <w:r>
              <w:rPr>
                <w:rFonts w:ascii="Arial" w:cs="Arial" w:eastAsia="Arial" w:hAnsi="Arial"/>
                <w:sz w:val="18"/>
                <w:szCs w:val="18"/>
                <w:color w:val="auto"/>
              </w:rPr>
              <w:t>December 31, 2005</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5.100 to 1.0</w:t>
            </w:r>
          </w:p>
        </w:tc>
      </w:tr>
      <w:tr>
        <w:trPr>
          <w:trHeight w:val="316"/>
        </w:trPr>
        <w:tc>
          <w:tcPr>
            <w:tcW w:w="1360" w:type="dxa"/>
            <w:vAlign w:val="bottom"/>
          </w:tcPr>
          <w:p>
            <w:pPr>
              <w:spacing w:after="0"/>
              <w:rPr>
                <w:sz w:val="20"/>
                <w:szCs w:val="20"/>
                <w:color w:val="auto"/>
              </w:rPr>
            </w:pPr>
            <w:r>
              <w:rPr>
                <w:rFonts w:ascii="Arial" w:cs="Arial" w:eastAsia="Arial" w:hAnsi="Arial"/>
                <w:sz w:val="18"/>
                <w:szCs w:val="18"/>
                <w:color w:val="auto"/>
              </w:rPr>
              <w:t>January 1, 2006</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200" w:type="dxa"/>
            <w:vAlign w:val="bottom"/>
          </w:tcPr>
          <w:p>
            <w:pPr>
              <w:ind w:left="160"/>
              <w:spacing w:after="0"/>
              <w:rPr>
                <w:sz w:val="20"/>
                <w:szCs w:val="20"/>
                <w:color w:val="auto"/>
              </w:rPr>
            </w:pPr>
            <w:r>
              <w:rPr>
                <w:rFonts w:ascii="Arial" w:cs="Arial" w:eastAsia="Arial" w:hAnsi="Arial"/>
                <w:sz w:val="18"/>
                <w:szCs w:val="18"/>
                <w:color w:val="auto"/>
              </w:rPr>
              <w:t>March 31, 2006</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4.700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April 1, 2006</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200" w:type="dxa"/>
            <w:vAlign w:val="bottom"/>
          </w:tcPr>
          <w:p>
            <w:pPr>
              <w:ind w:left="160"/>
              <w:spacing w:after="0"/>
              <w:rPr>
                <w:sz w:val="20"/>
                <w:szCs w:val="20"/>
                <w:color w:val="auto"/>
              </w:rPr>
            </w:pPr>
            <w:r>
              <w:rPr>
                <w:rFonts w:ascii="Arial" w:cs="Arial" w:eastAsia="Arial" w:hAnsi="Arial"/>
                <w:sz w:val="18"/>
                <w:szCs w:val="18"/>
                <w:color w:val="auto"/>
              </w:rPr>
              <w:t>June 30, 2006</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4.850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July 1, 2006</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200" w:type="dxa"/>
            <w:vAlign w:val="bottom"/>
          </w:tcPr>
          <w:p>
            <w:pPr>
              <w:ind w:left="160"/>
              <w:spacing w:after="0"/>
              <w:rPr>
                <w:sz w:val="20"/>
                <w:szCs w:val="20"/>
                <w:color w:val="auto"/>
              </w:rPr>
            </w:pPr>
            <w:r>
              <w:rPr>
                <w:rFonts w:ascii="Arial" w:cs="Arial" w:eastAsia="Arial" w:hAnsi="Arial"/>
                <w:sz w:val="18"/>
                <w:szCs w:val="18"/>
                <w:color w:val="auto"/>
              </w:rPr>
              <w:t>September 30, 2006</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6.850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October 1, 2006</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200" w:type="dxa"/>
            <w:vAlign w:val="bottom"/>
          </w:tcPr>
          <w:p>
            <w:pPr>
              <w:ind w:left="160"/>
              <w:spacing w:after="0"/>
              <w:rPr>
                <w:sz w:val="20"/>
                <w:szCs w:val="20"/>
                <w:color w:val="auto"/>
              </w:rPr>
            </w:pPr>
            <w:r>
              <w:rPr>
                <w:rFonts w:ascii="Arial" w:cs="Arial" w:eastAsia="Arial" w:hAnsi="Arial"/>
                <w:sz w:val="18"/>
                <w:szCs w:val="18"/>
                <w:color w:val="auto"/>
              </w:rPr>
              <w:t>December 31, 2006</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15.000 to 1.0</w:t>
            </w:r>
          </w:p>
        </w:tc>
      </w:tr>
      <w:tr>
        <w:trPr>
          <w:trHeight w:val="365"/>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960"/>
          </w:cols>
          <w:pgMar w:left="700" w:top="28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January 1, 2007</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March 31, 2007</w:t>
            </w:r>
          </w:p>
        </w:tc>
        <w:tc>
          <w:tcPr>
            <w:tcW w:w="1900" w:type="dxa"/>
            <w:vAlign w:val="bottom"/>
          </w:tcPr>
          <w:p>
            <w:pPr>
              <w:jc w:val="right"/>
              <w:spacing w:after="0"/>
              <w:rPr>
                <w:sz w:val="20"/>
                <w:szCs w:val="20"/>
                <w:color w:val="auto"/>
              </w:rPr>
            </w:pPr>
            <w:r>
              <w:rPr>
                <w:rFonts w:ascii="Arial" w:cs="Arial" w:eastAsia="Arial" w:hAnsi="Arial"/>
                <w:sz w:val="18"/>
                <w:szCs w:val="18"/>
                <w:color w:val="auto"/>
              </w:rPr>
              <w:t>30.000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April 1, 2007</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June 30, 2007</w:t>
            </w:r>
          </w:p>
        </w:tc>
        <w:tc>
          <w:tcPr>
            <w:tcW w:w="1900" w:type="dxa"/>
            <w:vAlign w:val="bottom"/>
          </w:tcPr>
          <w:p>
            <w:pPr>
              <w:jc w:val="right"/>
              <w:spacing w:after="0"/>
              <w:rPr>
                <w:sz w:val="20"/>
                <w:szCs w:val="20"/>
                <w:color w:val="auto"/>
              </w:rPr>
            </w:pPr>
            <w:r>
              <w:rPr>
                <w:rFonts w:ascii="Arial" w:cs="Arial" w:eastAsia="Arial" w:hAnsi="Arial"/>
                <w:sz w:val="18"/>
                <w:szCs w:val="18"/>
                <w:color w:val="auto"/>
              </w:rPr>
              <w:t>25.000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July 1, 2007</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September 30, 2007</w:t>
            </w:r>
          </w:p>
        </w:tc>
        <w:tc>
          <w:tcPr>
            <w:tcW w:w="1900" w:type="dxa"/>
            <w:vAlign w:val="bottom"/>
          </w:tcPr>
          <w:p>
            <w:pPr>
              <w:jc w:val="right"/>
              <w:spacing w:after="0"/>
              <w:rPr>
                <w:sz w:val="20"/>
                <w:szCs w:val="20"/>
                <w:color w:val="auto"/>
              </w:rPr>
            </w:pPr>
            <w:r>
              <w:rPr>
                <w:rFonts w:ascii="Arial" w:cs="Arial" w:eastAsia="Arial" w:hAnsi="Arial"/>
                <w:sz w:val="18"/>
                <w:szCs w:val="18"/>
                <w:color w:val="auto"/>
              </w:rPr>
              <w:t>20.000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October 1, 2007</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December 31, 2007</w:t>
            </w:r>
          </w:p>
        </w:tc>
        <w:tc>
          <w:tcPr>
            <w:tcW w:w="1900" w:type="dxa"/>
            <w:vAlign w:val="bottom"/>
          </w:tcPr>
          <w:p>
            <w:pPr>
              <w:jc w:val="right"/>
              <w:spacing w:after="0"/>
              <w:rPr>
                <w:sz w:val="20"/>
                <w:szCs w:val="20"/>
                <w:color w:val="auto"/>
              </w:rPr>
            </w:pPr>
            <w:r>
              <w:rPr>
                <w:rFonts w:ascii="Arial" w:cs="Arial" w:eastAsia="Arial" w:hAnsi="Arial"/>
                <w:sz w:val="18"/>
                <w:szCs w:val="18"/>
                <w:color w:val="auto"/>
              </w:rPr>
              <w:t>15.000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January 1, 2008</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March 31, 2008</w:t>
            </w:r>
          </w:p>
        </w:tc>
        <w:tc>
          <w:tcPr>
            <w:tcW w:w="1900" w:type="dxa"/>
            <w:vAlign w:val="bottom"/>
          </w:tcPr>
          <w:p>
            <w:pPr>
              <w:jc w:val="right"/>
              <w:spacing w:after="0"/>
              <w:rPr>
                <w:sz w:val="20"/>
                <w:szCs w:val="20"/>
                <w:color w:val="auto"/>
              </w:rPr>
            </w:pPr>
            <w:r>
              <w:rPr>
                <w:rFonts w:ascii="Arial" w:cs="Arial" w:eastAsia="Arial" w:hAnsi="Arial"/>
                <w:sz w:val="18"/>
                <w:szCs w:val="18"/>
                <w:color w:val="auto"/>
              </w:rPr>
              <w:t>14.000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April 1, 2008</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June 30, 2008</w:t>
            </w:r>
          </w:p>
        </w:tc>
        <w:tc>
          <w:tcPr>
            <w:tcW w:w="1900" w:type="dxa"/>
            <w:vAlign w:val="bottom"/>
          </w:tcPr>
          <w:p>
            <w:pPr>
              <w:jc w:val="right"/>
              <w:spacing w:after="0"/>
              <w:rPr>
                <w:sz w:val="20"/>
                <w:szCs w:val="20"/>
                <w:color w:val="auto"/>
              </w:rPr>
            </w:pPr>
            <w:r>
              <w:rPr>
                <w:rFonts w:ascii="Arial" w:cs="Arial" w:eastAsia="Arial" w:hAnsi="Arial"/>
                <w:sz w:val="18"/>
                <w:szCs w:val="18"/>
                <w:color w:val="auto"/>
              </w:rPr>
              <w:t>14.000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July 1, 2008</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September 30, 2008</w:t>
            </w:r>
          </w:p>
        </w:tc>
        <w:tc>
          <w:tcPr>
            <w:tcW w:w="1900" w:type="dxa"/>
            <w:vAlign w:val="bottom"/>
          </w:tcPr>
          <w:p>
            <w:pPr>
              <w:jc w:val="right"/>
              <w:spacing w:after="0"/>
              <w:rPr>
                <w:sz w:val="20"/>
                <w:szCs w:val="20"/>
                <w:color w:val="auto"/>
              </w:rPr>
            </w:pPr>
            <w:r>
              <w:rPr>
                <w:rFonts w:ascii="Arial" w:cs="Arial" w:eastAsia="Arial" w:hAnsi="Arial"/>
                <w:sz w:val="18"/>
                <w:szCs w:val="18"/>
                <w:color w:val="auto"/>
              </w:rPr>
              <w:t>14.000 to 1.0</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October 1, 2008</w:t>
            </w:r>
          </w:p>
        </w:tc>
        <w:tc>
          <w:tcPr>
            <w:tcW w:w="560" w:type="dxa"/>
            <w:vAlign w:val="bottom"/>
          </w:tcPr>
          <w:p>
            <w:pPr>
              <w:ind w:left="220"/>
              <w:spacing w:after="0"/>
              <w:rPr>
                <w:sz w:val="20"/>
                <w:szCs w:val="20"/>
                <w:color w:val="auto"/>
              </w:rPr>
            </w:pPr>
            <w:r>
              <w:rPr>
                <w:rFonts w:ascii="Arial" w:cs="Arial" w:eastAsia="Arial" w:hAnsi="Arial"/>
                <w:sz w:val="18"/>
                <w:szCs w:val="18"/>
                <w:color w:val="auto"/>
              </w:rPr>
              <w:t>—</w:t>
            </w:r>
          </w:p>
        </w:tc>
        <w:tc>
          <w:tcPr>
            <w:tcW w:w="2540" w:type="dxa"/>
            <w:vAlign w:val="bottom"/>
          </w:tcPr>
          <w:p>
            <w:pPr>
              <w:ind w:left="160"/>
              <w:spacing w:after="0"/>
              <w:rPr>
                <w:sz w:val="20"/>
                <w:szCs w:val="20"/>
                <w:color w:val="auto"/>
              </w:rPr>
            </w:pPr>
            <w:r>
              <w:rPr>
                <w:rFonts w:ascii="Arial" w:cs="Arial" w:eastAsia="Arial" w:hAnsi="Arial"/>
                <w:sz w:val="18"/>
                <w:szCs w:val="18"/>
                <w:color w:val="auto"/>
              </w:rPr>
              <w:t>December 31, 2008</w:t>
            </w:r>
          </w:p>
        </w:tc>
        <w:tc>
          <w:tcPr>
            <w:tcW w:w="1900" w:type="dxa"/>
            <w:vAlign w:val="bottom"/>
          </w:tcPr>
          <w:p>
            <w:pPr>
              <w:jc w:val="right"/>
              <w:spacing w:after="0"/>
              <w:rPr>
                <w:sz w:val="20"/>
                <w:szCs w:val="20"/>
                <w:color w:val="auto"/>
              </w:rPr>
            </w:pPr>
            <w:r>
              <w:rPr>
                <w:rFonts w:ascii="Arial" w:cs="Arial" w:eastAsia="Arial" w:hAnsi="Arial"/>
                <w:sz w:val="18"/>
                <w:szCs w:val="18"/>
                <w:color w:val="auto"/>
              </w:rPr>
              <w:t>13.500 to 1.0</w:t>
            </w:r>
          </w:p>
        </w:tc>
      </w:tr>
      <w:tr>
        <w:trPr>
          <w:trHeight w:val="324"/>
        </w:trPr>
        <w:tc>
          <w:tcPr>
            <w:tcW w:w="4460" w:type="dxa"/>
            <w:vAlign w:val="bottom"/>
            <w:gridSpan w:val="3"/>
          </w:tcPr>
          <w:p>
            <w:pPr>
              <w:spacing w:after="0"/>
              <w:rPr>
                <w:sz w:val="20"/>
                <w:szCs w:val="20"/>
                <w:color w:val="auto"/>
              </w:rPr>
            </w:pPr>
            <w:r>
              <w:rPr>
                <w:rFonts w:ascii="Arial" w:cs="Arial" w:eastAsia="Arial" w:hAnsi="Arial"/>
                <w:sz w:val="18"/>
                <w:szCs w:val="18"/>
                <w:color w:val="auto"/>
              </w:rPr>
              <w:t>January 1, 2009 and thereafter</w:t>
            </w:r>
          </w:p>
        </w:tc>
        <w:tc>
          <w:tcPr>
            <w:tcW w:w="1900" w:type="dxa"/>
            <w:vAlign w:val="bottom"/>
          </w:tcPr>
          <w:p>
            <w:pPr>
              <w:jc w:val="right"/>
              <w:spacing w:after="0"/>
              <w:rPr>
                <w:sz w:val="20"/>
                <w:szCs w:val="20"/>
                <w:color w:val="auto"/>
              </w:rPr>
            </w:pPr>
            <w:r>
              <w:rPr>
                <w:rFonts w:ascii="Arial" w:cs="Arial" w:eastAsia="Arial" w:hAnsi="Arial"/>
                <w:sz w:val="18"/>
                <w:szCs w:val="18"/>
                <w:color w:val="auto"/>
              </w:rPr>
              <w:t>2.625 to 1.0</w:t>
            </w:r>
          </w:p>
        </w:tc>
      </w:tr>
    </w:tbl>
    <w:p>
      <w:pPr>
        <w:spacing w:after="0" w:line="156" w:lineRule="exact"/>
        <w:rPr>
          <w:sz w:val="20"/>
          <w:szCs w:val="20"/>
          <w:color w:val="auto"/>
        </w:rPr>
      </w:pPr>
    </w:p>
    <w:p>
      <w:pPr>
        <w:ind w:right="360" w:firstLine="443"/>
        <w:spacing w:after="0" w:line="268"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Minimum Interest Coverage Ratio</w:t>
      </w:r>
      <w:r>
        <w:rPr>
          <w:rFonts w:ascii="Arial" w:cs="Arial" w:eastAsia="Arial" w:hAnsi="Arial"/>
          <w:sz w:val="18"/>
          <w:szCs w:val="18"/>
          <w:color w:val="auto"/>
        </w:rPr>
        <w:t>. Permit the Consolidated Interest Coverage Ratio, for any Test Period ending during any period set forth below, to be less than the ratio set forth opposite such period in the table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 Period</w:t>
            </w:r>
          </w:p>
        </w:tc>
        <w:tc>
          <w:tcPr>
            <w:tcW w:w="5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w w:val="89"/>
              </w:rPr>
              <w:t>Interest Coverage Ratio</w:t>
            </w:r>
          </w:p>
        </w:tc>
      </w:tr>
      <w:tr>
        <w:trPr>
          <w:trHeight w:val="209"/>
        </w:trPr>
        <w:tc>
          <w:tcPr>
            <w:tcW w:w="1340" w:type="dxa"/>
            <w:vAlign w:val="bottom"/>
          </w:tcPr>
          <w:p>
            <w:pPr>
              <w:spacing w:after="0" w:line="202" w:lineRule="exact"/>
              <w:rPr>
                <w:sz w:val="20"/>
                <w:szCs w:val="20"/>
                <w:color w:val="auto"/>
              </w:rPr>
            </w:pPr>
            <w:r>
              <w:rPr>
                <w:rFonts w:ascii="Arial" w:cs="Arial" w:eastAsia="Arial" w:hAnsi="Arial"/>
                <w:sz w:val="18"/>
                <w:szCs w:val="18"/>
                <w:color w:val="auto"/>
              </w:rPr>
              <w:t>Closing Date</w:t>
            </w:r>
          </w:p>
        </w:tc>
        <w:tc>
          <w:tcPr>
            <w:tcW w:w="5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3240" w:type="dxa"/>
            <w:vAlign w:val="bottom"/>
          </w:tcPr>
          <w:p>
            <w:pPr>
              <w:ind w:left="160"/>
              <w:spacing w:after="0" w:line="202" w:lineRule="exact"/>
              <w:rPr>
                <w:sz w:val="20"/>
                <w:szCs w:val="20"/>
                <w:color w:val="auto"/>
              </w:rPr>
            </w:pPr>
            <w:r>
              <w:rPr>
                <w:rFonts w:ascii="Arial" w:cs="Arial" w:eastAsia="Arial" w:hAnsi="Arial"/>
                <w:sz w:val="18"/>
                <w:szCs w:val="18"/>
                <w:color w:val="auto"/>
              </w:rPr>
              <w:t>December 31, 2005</w:t>
            </w:r>
          </w:p>
        </w:tc>
        <w:tc>
          <w:tcPr>
            <w:tcW w:w="100" w:type="dxa"/>
            <w:vAlign w:val="bottom"/>
          </w:tcPr>
          <w:p>
            <w:pPr>
              <w:spacing w:after="0"/>
              <w:rPr>
                <w:sz w:val="18"/>
                <w:szCs w:val="18"/>
                <w:color w:val="auto"/>
              </w:rPr>
            </w:pPr>
          </w:p>
        </w:tc>
        <w:tc>
          <w:tcPr>
            <w:tcW w:w="140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w w:val="86"/>
              </w:rPr>
              <w:t>2.500 to 1.0</w:t>
            </w:r>
          </w:p>
        </w:tc>
        <w:tc>
          <w:tcPr>
            <w:tcW w:w="20" w:type="dxa"/>
            <w:vAlign w:val="bottom"/>
          </w:tcPr>
          <w:p>
            <w:pPr>
              <w:spacing w:after="0"/>
              <w:rPr>
                <w:sz w:val="18"/>
                <w:szCs w:val="18"/>
                <w:color w:val="auto"/>
              </w:rPr>
            </w:pPr>
          </w:p>
        </w:tc>
      </w:tr>
      <w:tr>
        <w:trPr>
          <w:trHeight w:val="316"/>
        </w:trPr>
        <w:tc>
          <w:tcPr>
            <w:tcW w:w="1340" w:type="dxa"/>
            <w:vAlign w:val="bottom"/>
          </w:tcPr>
          <w:p>
            <w:pPr>
              <w:spacing w:after="0"/>
              <w:rPr>
                <w:sz w:val="20"/>
                <w:szCs w:val="20"/>
                <w:color w:val="auto"/>
              </w:rPr>
            </w:pPr>
            <w:r>
              <w:rPr>
                <w:rFonts w:ascii="Arial" w:cs="Arial" w:eastAsia="Arial" w:hAnsi="Arial"/>
                <w:sz w:val="18"/>
                <w:szCs w:val="18"/>
                <w:color w:val="auto"/>
              </w:rPr>
              <w:t>January 1, 2006</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March 31, 2006</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3.000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April 1, 2006</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September 30, 2006</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2.000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October 1, 2006</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December 31, 2006</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0.400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January 1, 2007</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March 31, 2007</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0.400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April 1, 2007</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June 30, 2007</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0.400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July 1, 2007</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September 30, 2007</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0.650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October 1, 2007</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December 31, 2007</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0.850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January 1, 2008</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March 31, 2008</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0.900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April 1, 2008</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June 30, 2008</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0.900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July 1, 2006</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September 30, 2008</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0.900 to 1.0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October 1, 2008</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3240" w:type="dxa"/>
            <w:vAlign w:val="bottom"/>
          </w:tcPr>
          <w:p>
            <w:pPr>
              <w:ind w:left="160"/>
              <w:spacing w:after="0"/>
              <w:rPr>
                <w:sz w:val="20"/>
                <w:szCs w:val="20"/>
                <w:color w:val="auto"/>
              </w:rPr>
            </w:pPr>
            <w:r>
              <w:rPr>
                <w:rFonts w:ascii="Arial" w:cs="Arial" w:eastAsia="Arial" w:hAnsi="Arial"/>
                <w:sz w:val="18"/>
                <w:szCs w:val="18"/>
                <w:color w:val="auto"/>
              </w:rPr>
              <w:t>December 31, 2008</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0.900 to 1.0</w:t>
            </w:r>
          </w:p>
        </w:tc>
      </w:tr>
      <w:tr>
        <w:trPr>
          <w:trHeight w:val="324"/>
        </w:trPr>
        <w:tc>
          <w:tcPr>
            <w:tcW w:w="5120" w:type="dxa"/>
            <w:vAlign w:val="bottom"/>
            <w:gridSpan w:val="3"/>
          </w:tcPr>
          <w:p>
            <w:pPr>
              <w:spacing w:after="0"/>
              <w:rPr>
                <w:sz w:val="20"/>
                <w:szCs w:val="20"/>
                <w:color w:val="auto"/>
              </w:rPr>
            </w:pPr>
            <w:r>
              <w:rPr>
                <w:rFonts w:ascii="Arial" w:cs="Arial" w:eastAsia="Arial" w:hAnsi="Arial"/>
                <w:sz w:val="18"/>
                <w:szCs w:val="18"/>
                <w:color w:val="auto"/>
              </w:rPr>
              <w:t>January 1, 2009 and thereafter</w:t>
            </w:r>
          </w:p>
        </w:tc>
        <w:tc>
          <w:tcPr>
            <w:tcW w:w="100" w:type="dxa"/>
            <w:vAlign w:val="bottom"/>
          </w:tcPr>
          <w:p>
            <w:pPr>
              <w:spacing w:after="0"/>
              <w:rPr>
                <w:sz w:val="24"/>
                <w:szCs w:val="24"/>
                <w:color w:val="auto"/>
              </w:rPr>
            </w:pP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w w:val="88"/>
              </w:rPr>
              <w:t>5.250 to 1.0</w:t>
            </w:r>
          </w:p>
        </w:tc>
      </w:tr>
    </w:tbl>
    <w:p>
      <w:pPr>
        <w:spacing w:after="0" w:line="156" w:lineRule="exact"/>
        <w:rPr>
          <w:sz w:val="20"/>
          <w:szCs w:val="20"/>
          <w:color w:val="auto"/>
        </w:rPr>
      </w:pPr>
    </w:p>
    <w:p>
      <w:pPr>
        <w:ind w:firstLine="443"/>
        <w:spacing w:after="0" w:line="332" w:lineRule="auto"/>
        <w:tabs>
          <w:tab w:leader="none" w:pos="677"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Minimum Interest Coverage Ratio (Excluding CapEx)</w:t>
      </w:r>
      <w:r>
        <w:rPr>
          <w:rFonts w:ascii="Arial" w:cs="Arial" w:eastAsia="Arial" w:hAnsi="Arial"/>
          <w:sz w:val="16"/>
          <w:szCs w:val="16"/>
          <w:color w:val="auto"/>
        </w:rPr>
        <w:t>. Permit the Consolidated Interest Coverage Ratio (Excluding CapEx), for any Test Period ending during any period set forth in the table below, to be less than the ratio set forth opposite such period in the table below:</w:t>
      </w:r>
    </w:p>
    <w:p>
      <w:pPr>
        <w:spacing w:after="0" w:line="7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700" w:top="280" w:right="379" w:bottom="1440" w:gutter="0" w:footer="0" w:header="0"/>
        </w:sectPr>
      </w:pPr>
    </w:p>
    <w:bookmarkStart w:id="7" w:name="page8"/>
    <w:bookmarkEnd w:id="7"/>
    <w:tbl>
      <w:tblPr>
        <w:tblLayout w:type="fixed"/>
        <w:tblInd w:w="17"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Interest Coverage Ratio</w:t>
            </w:r>
          </w:p>
        </w:tc>
      </w:tr>
      <w:tr>
        <w:trPr>
          <w:trHeight w:val="18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Test Period</w:t>
            </w:r>
          </w:p>
        </w:tc>
        <w:tc>
          <w:tcPr>
            <w:tcW w:w="7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(Excluding CapEx)</w:t>
            </w:r>
          </w:p>
        </w:tc>
      </w:tr>
      <w:tr>
        <w:trPr>
          <w:trHeight w:val="209"/>
        </w:trPr>
        <w:tc>
          <w:tcPr>
            <w:tcW w:w="1380" w:type="dxa"/>
            <w:vAlign w:val="bottom"/>
          </w:tcPr>
          <w:p>
            <w:pPr>
              <w:spacing w:after="0" w:line="202" w:lineRule="exact"/>
              <w:rPr>
                <w:sz w:val="20"/>
                <w:szCs w:val="20"/>
                <w:color w:val="auto"/>
              </w:rPr>
            </w:pPr>
            <w:r>
              <w:rPr>
                <w:rFonts w:ascii="Arial" w:cs="Arial" w:eastAsia="Arial" w:hAnsi="Arial"/>
                <w:sz w:val="18"/>
                <w:szCs w:val="18"/>
                <w:color w:val="auto"/>
              </w:rPr>
              <w:t>Closing Date</w:t>
            </w:r>
          </w:p>
        </w:tc>
        <w:tc>
          <w:tcPr>
            <w:tcW w:w="76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December 31, 2005</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1.000 to 1.0</w:t>
            </w:r>
          </w:p>
        </w:tc>
      </w:tr>
      <w:tr>
        <w:trPr>
          <w:trHeight w:val="316"/>
        </w:trPr>
        <w:tc>
          <w:tcPr>
            <w:tcW w:w="1380" w:type="dxa"/>
            <w:vAlign w:val="bottom"/>
          </w:tcPr>
          <w:p>
            <w:pPr>
              <w:spacing w:after="0"/>
              <w:rPr>
                <w:sz w:val="20"/>
                <w:szCs w:val="20"/>
                <w:color w:val="auto"/>
              </w:rPr>
            </w:pPr>
            <w:r>
              <w:rPr>
                <w:rFonts w:ascii="Arial" w:cs="Arial" w:eastAsia="Arial" w:hAnsi="Arial"/>
                <w:sz w:val="18"/>
                <w:szCs w:val="18"/>
                <w:color w:val="auto"/>
              </w:rPr>
              <w:t>January 1, 2006</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2960" w:type="dxa"/>
            <w:vAlign w:val="bottom"/>
          </w:tcPr>
          <w:p>
            <w:pPr>
              <w:spacing w:after="0"/>
              <w:rPr>
                <w:sz w:val="20"/>
                <w:szCs w:val="20"/>
                <w:color w:val="auto"/>
              </w:rPr>
            </w:pPr>
            <w:r>
              <w:rPr>
                <w:rFonts w:ascii="Arial" w:cs="Arial" w:eastAsia="Arial" w:hAnsi="Arial"/>
                <w:sz w:val="18"/>
                <w:szCs w:val="18"/>
                <w:color w:val="auto"/>
              </w:rPr>
              <w:t>June 30, 2006</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1.400 to 1.0</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July 1, 2006</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2960" w:type="dxa"/>
            <w:vAlign w:val="bottom"/>
          </w:tcPr>
          <w:p>
            <w:pPr>
              <w:spacing w:after="0"/>
              <w:rPr>
                <w:sz w:val="20"/>
                <w:szCs w:val="20"/>
                <w:color w:val="auto"/>
              </w:rPr>
            </w:pPr>
            <w:r>
              <w:rPr>
                <w:rFonts w:ascii="Arial" w:cs="Arial" w:eastAsia="Arial" w:hAnsi="Arial"/>
                <w:sz w:val="18"/>
                <w:szCs w:val="18"/>
                <w:color w:val="auto"/>
              </w:rPr>
              <w:t>September 30, 2006</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0.875 to 1.0</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October 1, 2006</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2960" w:type="dxa"/>
            <w:vAlign w:val="bottom"/>
          </w:tcPr>
          <w:p>
            <w:pPr>
              <w:spacing w:after="0"/>
              <w:rPr>
                <w:sz w:val="20"/>
                <w:szCs w:val="20"/>
                <w:color w:val="auto"/>
              </w:rPr>
            </w:pPr>
            <w:r>
              <w:rPr>
                <w:rFonts w:ascii="Arial" w:cs="Arial" w:eastAsia="Arial" w:hAnsi="Arial"/>
                <w:sz w:val="18"/>
                <w:szCs w:val="18"/>
                <w:color w:val="auto"/>
              </w:rPr>
              <w:t>September 30, 2007</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Waived</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October 1, 2007</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2960" w:type="dxa"/>
            <w:vAlign w:val="bottom"/>
          </w:tcPr>
          <w:p>
            <w:pPr>
              <w:spacing w:after="0"/>
              <w:rPr>
                <w:sz w:val="20"/>
                <w:szCs w:val="20"/>
                <w:color w:val="auto"/>
              </w:rPr>
            </w:pPr>
            <w:r>
              <w:rPr>
                <w:rFonts w:ascii="Arial" w:cs="Arial" w:eastAsia="Arial" w:hAnsi="Arial"/>
                <w:sz w:val="18"/>
                <w:szCs w:val="18"/>
                <w:color w:val="auto"/>
              </w:rPr>
              <w:t>December 31, 2007</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Waived</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January 1, 2008</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2960" w:type="dxa"/>
            <w:vAlign w:val="bottom"/>
          </w:tcPr>
          <w:p>
            <w:pPr>
              <w:spacing w:after="0"/>
              <w:rPr>
                <w:sz w:val="20"/>
                <w:szCs w:val="20"/>
                <w:color w:val="auto"/>
              </w:rPr>
            </w:pPr>
            <w:r>
              <w:rPr>
                <w:rFonts w:ascii="Arial" w:cs="Arial" w:eastAsia="Arial" w:hAnsi="Arial"/>
                <w:sz w:val="18"/>
                <w:szCs w:val="18"/>
                <w:color w:val="auto"/>
              </w:rPr>
              <w:t>December 31, 2008</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Waived</w:t>
            </w:r>
          </w:p>
        </w:tc>
      </w:tr>
      <w:tr>
        <w:trPr>
          <w:trHeight w:val="324"/>
        </w:trPr>
        <w:tc>
          <w:tcPr>
            <w:tcW w:w="2140" w:type="dxa"/>
            <w:vAlign w:val="bottom"/>
            <w:gridSpan w:val="2"/>
          </w:tcPr>
          <w:p>
            <w:pPr>
              <w:spacing w:after="0"/>
              <w:rPr>
                <w:sz w:val="20"/>
                <w:szCs w:val="20"/>
                <w:color w:val="auto"/>
              </w:rPr>
            </w:pPr>
            <w:r>
              <w:rPr>
                <w:rFonts w:ascii="Arial" w:cs="Arial" w:eastAsia="Arial" w:hAnsi="Arial"/>
                <w:sz w:val="18"/>
                <w:szCs w:val="18"/>
                <w:color w:val="auto"/>
                <w:w w:val="86"/>
              </w:rPr>
              <w:t>January 1, 2009 and thereafter</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3.750 to 1.0</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43" w:firstLine="443"/>
        <w:spacing w:after="0" w:line="285" w:lineRule="auto"/>
        <w:tabs>
          <w:tab w:leader="none" w:pos="244"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Capital Expenditure Limit</w:t>
      </w:r>
      <w:r>
        <w:rPr>
          <w:rFonts w:ascii="Arial" w:cs="Arial" w:eastAsia="Arial" w:hAnsi="Arial"/>
          <w:sz w:val="16"/>
          <w:szCs w:val="16"/>
          <w:color w:val="auto"/>
        </w:rPr>
        <w:t xml:space="preserve">. Make Capital Expenditures during the following periods that exceed the aggregate amounts set forth opposite each of such periods;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amount applicable to the period of April 1, 2007 to June 30, 2007 shall be increased by an amount equal to the excess, if any, of the amount for the period of January 1, 2007 to March 31, 2007 set forth below over the actual amount of Capital Expenditures made during the period of January 1, 2007 to March 31, 2007; (ii) the amount applicable to the period of July 1, 2007 to September 30, 2007 shall be increased by an amount equal to the excess, if any, of the collective amounts for the periods of January 1, 2007 to March 31, 2007 and April 1, 2007 to June 30, 2007 set forth below over the actual amount of Capital Expenditures made during the period of January 1, 2007 to June 30, 2007; (iii) the amount applicable to the period of October 1, 2007 to December 31, 2007 shall be increased by an amount equal to the excess, if any, of the collective amounts for the periods of January 1, 2007 to March 31, 2007, April 1 to June 30, 2007 and July 1, 2007 to September 30, 2007 set forth below over the actual amount of Capital Expenditures made during the period of January 1, 2007 to September 30, 2007; (iv) the amount applicable to the period of April 1, 2008 to June 30, 2008 shall be increased by an amount equal to the excess, if any, of the amount for the period of January 1, 2008 to March 31, 2008 set forth below over the actual amount of Capital Expenditures made during the period of January 1, 2008 to March 31, 2008; (v) the amount applicable to the period of July 1, 2008 to September 30, 2008 shall be increased by an amount equal to the excess, if any, of the collective amounts for the periods of January 1, 2008 to March 31, 2008 and April 1, 2008 to June 30, 2008 set forth below over the actual amount of Capital Expenditures made during the period of January 1, 2008 to June 30, 2008; and (vi) the amount applicable to the period of October 1, 2008 to December 31, 2008 shall be increased by an amount equal to the excess, if any, of the collective amounts for the periods of January 1, 2008 to March 31, 2008, April 1, 2008 to June 30, 2008 and July 1, 2008 to September 30, 2008 set forth below over the actual amount of Capital Expenditures made during the period of January 1, 2008 to September 30, 2008:</w:t>
      </w:r>
    </w:p>
    <w:p>
      <w:pPr>
        <w:spacing w:after="0" w:line="160" w:lineRule="exact"/>
        <w:rPr>
          <w:sz w:val="20"/>
          <w:szCs w:val="20"/>
          <w:color w:val="auto"/>
        </w:rPr>
      </w:pPr>
    </w:p>
    <w:tbl>
      <w:tblPr>
        <w:tblLayout w:type="fixed"/>
        <w:tblInd w:w="17" w:type="dxa"/>
        <w:tblCellMar>
          <w:top w:w="0" w:type="dxa"/>
          <w:left w:w="0" w:type="dxa"/>
          <w:bottom w:w="0" w:type="dxa"/>
          <w:right w:w="0" w:type="dxa"/>
        </w:tblCellMar>
      </w:tblPr>
      <w:tr>
        <w:trPr>
          <w:trHeight w:val="168"/>
        </w:trPr>
        <w:tc>
          <w:tcPr>
            <w:tcW w:w="152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Capital Expenditures</w:t>
            </w:r>
          </w:p>
        </w:tc>
      </w:tr>
      <w:tr>
        <w:trPr>
          <w:trHeight w:val="216"/>
        </w:trPr>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2006</w:t>
            </w:r>
          </w:p>
        </w:tc>
        <w:tc>
          <w:tcPr>
            <w:tcW w:w="9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September 30, 2006</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64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October 1, 2006</w:t>
            </w:r>
          </w:p>
        </w:tc>
        <w:tc>
          <w:tcPr>
            <w:tcW w:w="920" w:type="dxa"/>
            <w:vAlign w:val="bottom"/>
          </w:tcPr>
          <w:p>
            <w:pPr>
              <w:ind w:left="400"/>
              <w:spacing w:after="0"/>
              <w:rPr>
                <w:sz w:val="20"/>
                <w:szCs w:val="20"/>
                <w:color w:val="auto"/>
              </w:rPr>
            </w:pPr>
            <w:r>
              <w:rPr>
                <w:rFonts w:ascii="Arial" w:cs="Arial" w:eastAsia="Arial" w:hAnsi="Arial"/>
                <w:sz w:val="18"/>
                <w:szCs w:val="18"/>
                <w:color w:val="auto"/>
              </w:rPr>
              <w:t>—</w:t>
            </w:r>
          </w:p>
        </w:tc>
        <w:tc>
          <w:tcPr>
            <w:tcW w:w="2020" w:type="dxa"/>
            <w:vAlign w:val="bottom"/>
          </w:tcPr>
          <w:p>
            <w:pPr>
              <w:ind w:left="340"/>
              <w:spacing w:after="0"/>
              <w:rPr>
                <w:sz w:val="20"/>
                <w:szCs w:val="20"/>
                <w:color w:val="auto"/>
              </w:rPr>
            </w:pPr>
            <w:r>
              <w:rPr>
                <w:rFonts w:ascii="Arial" w:cs="Arial" w:eastAsia="Arial" w:hAnsi="Arial"/>
                <w:sz w:val="18"/>
                <w:szCs w:val="18"/>
                <w:color w:val="auto"/>
              </w:rPr>
              <w:t>December 31, 2006</w:t>
            </w: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$55,000,000</w:t>
            </w:r>
          </w:p>
        </w:tc>
        <w:tc>
          <w:tcPr>
            <w:tcW w:w="64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January 1, 2007</w:t>
            </w:r>
          </w:p>
        </w:tc>
        <w:tc>
          <w:tcPr>
            <w:tcW w:w="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2007</w:t>
            </w:r>
          </w:p>
        </w:tc>
        <w:tc>
          <w:tcPr>
            <w:tcW w:w="2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640" w:type="dxa"/>
            <w:vAlign w:val="bottom"/>
            <w:shd w:val="clear" w:color="auto" w:fill="CCEEFF"/>
          </w:tcPr>
          <w:p>
            <w:pPr>
              <w:spacing w:after="0"/>
              <w:rPr>
                <w:sz w:val="18"/>
                <w:szCs w:val="18"/>
                <w:color w:val="auto"/>
              </w:rPr>
            </w:pPr>
          </w:p>
        </w:tc>
      </w:tr>
      <w:tr>
        <w:trPr>
          <w:trHeight w:val="363"/>
        </w:trPr>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tcPr>
          <w:p>
            <w:pPr>
              <w:jc w:val="right"/>
              <w:ind w:right="612"/>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477"/>
          </w:cols>
          <w:pgMar w:left="1143" w:top="263" w:right="27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17" w:type="dxa"/>
        <w:tblCellMar>
          <w:top w:w="0" w:type="dxa"/>
          <w:left w:w="0" w:type="dxa"/>
          <w:bottom w:w="0" w:type="dxa"/>
          <w:right w:w="0" w:type="dxa"/>
        </w:tblCellMar>
      </w:tblP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April 1, 2007</w:t>
            </w:r>
          </w:p>
        </w:tc>
        <w:tc>
          <w:tcPr>
            <w:tcW w:w="940" w:type="dxa"/>
            <w:vAlign w:val="bottom"/>
          </w:tcPr>
          <w:p>
            <w:pPr>
              <w:ind w:left="400"/>
              <w:spacing w:after="0"/>
              <w:rPr>
                <w:sz w:val="20"/>
                <w:szCs w:val="20"/>
                <w:color w:val="auto"/>
              </w:rPr>
            </w:pPr>
            <w:r>
              <w:rPr>
                <w:rFonts w:ascii="Arial" w:cs="Arial" w:eastAsia="Arial" w:hAnsi="Arial"/>
                <w:sz w:val="18"/>
                <w:szCs w:val="18"/>
                <w:color w:val="auto"/>
              </w:rPr>
              <w:t>—</w:t>
            </w:r>
          </w:p>
        </w:tc>
        <w:tc>
          <w:tcPr>
            <w:tcW w:w="2840" w:type="dxa"/>
            <w:vAlign w:val="bottom"/>
          </w:tcPr>
          <w:p>
            <w:pPr>
              <w:ind w:left="360"/>
              <w:spacing w:after="0"/>
              <w:rPr>
                <w:sz w:val="20"/>
                <w:szCs w:val="20"/>
                <w:color w:val="auto"/>
              </w:rPr>
            </w:pPr>
            <w:r>
              <w:rPr>
                <w:rFonts w:ascii="Arial" w:cs="Arial" w:eastAsia="Arial" w:hAnsi="Arial"/>
                <w:sz w:val="18"/>
                <w:szCs w:val="18"/>
                <w:color w:val="auto"/>
              </w:rPr>
              <w:t>June 30, 2007</w:t>
            </w:r>
          </w:p>
        </w:tc>
        <w:tc>
          <w:tcPr>
            <w:tcW w:w="2620" w:type="dxa"/>
            <w:vAlign w:val="bottom"/>
          </w:tcPr>
          <w:p>
            <w:pPr>
              <w:jc w:val="right"/>
              <w:ind w:right="572"/>
              <w:spacing w:after="0"/>
              <w:rPr>
                <w:sz w:val="20"/>
                <w:szCs w:val="20"/>
                <w:color w:val="auto"/>
              </w:rPr>
            </w:pPr>
            <w:r>
              <w:rPr>
                <w:rFonts w:ascii="Arial" w:cs="Arial" w:eastAsia="Arial" w:hAnsi="Arial"/>
                <w:sz w:val="18"/>
                <w:szCs w:val="18"/>
                <w:color w:val="auto"/>
              </w:rPr>
              <w:t>$65,000,000</w:t>
            </w:r>
          </w:p>
        </w:tc>
      </w:tr>
      <w:tr>
        <w:trPr>
          <w:trHeight w:val="217"/>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July 1, 2007</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2007</w:t>
            </w:r>
          </w:p>
        </w:tc>
        <w:tc>
          <w:tcPr>
            <w:tcW w:w="2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$20,000,000</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October 1, 2007</w:t>
            </w:r>
          </w:p>
        </w:tc>
        <w:tc>
          <w:tcPr>
            <w:tcW w:w="940" w:type="dxa"/>
            <w:vAlign w:val="bottom"/>
          </w:tcPr>
          <w:p>
            <w:pPr>
              <w:ind w:left="400"/>
              <w:spacing w:after="0"/>
              <w:rPr>
                <w:sz w:val="20"/>
                <w:szCs w:val="20"/>
                <w:color w:val="auto"/>
              </w:rPr>
            </w:pPr>
            <w:r>
              <w:rPr>
                <w:rFonts w:ascii="Arial" w:cs="Arial" w:eastAsia="Arial" w:hAnsi="Arial"/>
                <w:sz w:val="18"/>
                <w:szCs w:val="18"/>
                <w:color w:val="auto"/>
              </w:rPr>
              <w:t>—</w:t>
            </w:r>
          </w:p>
        </w:tc>
        <w:tc>
          <w:tcPr>
            <w:tcW w:w="2840" w:type="dxa"/>
            <w:vAlign w:val="bottom"/>
          </w:tcPr>
          <w:p>
            <w:pPr>
              <w:ind w:left="360"/>
              <w:spacing w:after="0"/>
              <w:rPr>
                <w:sz w:val="20"/>
                <w:szCs w:val="20"/>
                <w:color w:val="auto"/>
              </w:rPr>
            </w:pPr>
            <w:r>
              <w:rPr>
                <w:rFonts w:ascii="Arial" w:cs="Arial" w:eastAsia="Arial" w:hAnsi="Arial"/>
                <w:sz w:val="18"/>
                <w:szCs w:val="18"/>
                <w:color w:val="auto"/>
              </w:rPr>
              <w:t>December 31, 2007</w:t>
            </w:r>
          </w:p>
        </w:tc>
        <w:tc>
          <w:tcPr>
            <w:tcW w:w="2620" w:type="dxa"/>
            <w:vAlign w:val="bottom"/>
          </w:tcPr>
          <w:p>
            <w:pPr>
              <w:jc w:val="right"/>
              <w:ind w:right="572"/>
              <w:spacing w:after="0"/>
              <w:rPr>
                <w:sz w:val="20"/>
                <w:szCs w:val="20"/>
                <w:color w:val="auto"/>
              </w:rPr>
            </w:pPr>
            <w:r>
              <w:rPr>
                <w:rFonts w:ascii="Arial" w:cs="Arial" w:eastAsia="Arial" w:hAnsi="Arial"/>
                <w:sz w:val="18"/>
                <w:szCs w:val="18"/>
                <w:color w:val="auto"/>
              </w:rPr>
              <w:t>$15,000,000</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2008</w:t>
            </w:r>
          </w:p>
        </w:tc>
        <w:tc>
          <w:tcPr>
            <w:tcW w:w="2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$28,000,000</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April 1, 2008</w:t>
            </w:r>
          </w:p>
        </w:tc>
        <w:tc>
          <w:tcPr>
            <w:tcW w:w="940" w:type="dxa"/>
            <w:vAlign w:val="bottom"/>
          </w:tcPr>
          <w:p>
            <w:pPr>
              <w:ind w:left="400"/>
              <w:spacing w:after="0"/>
              <w:rPr>
                <w:sz w:val="20"/>
                <w:szCs w:val="20"/>
                <w:color w:val="auto"/>
              </w:rPr>
            </w:pPr>
            <w:r>
              <w:rPr>
                <w:rFonts w:ascii="Arial" w:cs="Arial" w:eastAsia="Arial" w:hAnsi="Arial"/>
                <w:sz w:val="18"/>
                <w:szCs w:val="18"/>
                <w:color w:val="auto"/>
              </w:rPr>
              <w:t>—</w:t>
            </w:r>
          </w:p>
        </w:tc>
        <w:tc>
          <w:tcPr>
            <w:tcW w:w="2840" w:type="dxa"/>
            <w:vAlign w:val="bottom"/>
          </w:tcPr>
          <w:p>
            <w:pPr>
              <w:ind w:left="360"/>
              <w:spacing w:after="0"/>
              <w:rPr>
                <w:sz w:val="20"/>
                <w:szCs w:val="20"/>
                <w:color w:val="auto"/>
              </w:rPr>
            </w:pPr>
            <w:r>
              <w:rPr>
                <w:rFonts w:ascii="Arial" w:cs="Arial" w:eastAsia="Arial" w:hAnsi="Arial"/>
                <w:sz w:val="18"/>
                <w:szCs w:val="18"/>
                <w:color w:val="auto"/>
              </w:rPr>
              <w:t>June 30, 2008</w:t>
            </w:r>
          </w:p>
        </w:tc>
        <w:tc>
          <w:tcPr>
            <w:tcW w:w="2620" w:type="dxa"/>
            <w:vAlign w:val="bottom"/>
          </w:tcPr>
          <w:p>
            <w:pPr>
              <w:jc w:val="right"/>
              <w:ind w:right="572"/>
              <w:spacing w:after="0"/>
              <w:rPr>
                <w:sz w:val="20"/>
                <w:szCs w:val="20"/>
                <w:color w:val="auto"/>
              </w:rPr>
            </w:pPr>
            <w:r>
              <w:rPr>
                <w:rFonts w:ascii="Arial" w:cs="Arial" w:eastAsia="Arial" w:hAnsi="Arial"/>
                <w:sz w:val="18"/>
                <w:szCs w:val="18"/>
                <w:color w:val="auto"/>
              </w:rPr>
              <w:t>$28,000,000</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July 1, 2008</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2008</w:t>
            </w:r>
          </w:p>
        </w:tc>
        <w:tc>
          <w:tcPr>
            <w:tcW w:w="26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$46,000,000</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October 1, 2008</w:t>
            </w:r>
          </w:p>
        </w:tc>
        <w:tc>
          <w:tcPr>
            <w:tcW w:w="940" w:type="dxa"/>
            <w:vAlign w:val="bottom"/>
          </w:tcPr>
          <w:p>
            <w:pPr>
              <w:ind w:left="400"/>
              <w:spacing w:after="0"/>
              <w:rPr>
                <w:sz w:val="20"/>
                <w:szCs w:val="20"/>
                <w:color w:val="auto"/>
              </w:rPr>
            </w:pPr>
            <w:r>
              <w:rPr>
                <w:rFonts w:ascii="Arial" w:cs="Arial" w:eastAsia="Arial" w:hAnsi="Arial"/>
                <w:sz w:val="18"/>
                <w:szCs w:val="18"/>
                <w:color w:val="auto"/>
              </w:rPr>
              <w:t>—</w:t>
            </w:r>
          </w:p>
        </w:tc>
        <w:tc>
          <w:tcPr>
            <w:tcW w:w="2840" w:type="dxa"/>
            <w:vAlign w:val="bottom"/>
          </w:tcPr>
          <w:p>
            <w:pPr>
              <w:ind w:left="360"/>
              <w:spacing w:after="0"/>
              <w:rPr>
                <w:sz w:val="20"/>
                <w:szCs w:val="20"/>
                <w:color w:val="auto"/>
              </w:rPr>
            </w:pPr>
            <w:r>
              <w:rPr>
                <w:rFonts w:ascii="Arial" w:cs="Arial" w:eastAsia="Arial" w:hAnsi="Arial"/>
                <w:sz w:val="18"/>
                <w:szCs w:val="18"/>
                <w:color w:val="auto"/>
              </w:rPr>
              <w:t>December 31, 2008</w:t>
            </w:r>
          </w:p>
        </w:tc>
        <w:tc>
          <w:tcPr>
            <w:tcW w:w="2620" w:type="dxa"/>
            <w:vAlign w:val="bottom"/>
          </w:tcPr>
          <w:p>
            <w:pPr>
              <w:jc w:val="right"/>
              <w:ind w:right="572"/>
              <w:spacing w:after="0"/>
              <w:rPr>
                <w:sz w:val="20"/>
                <w:szCs w:val="20"/>
                <w:color w:val="auto"/>
              </w:rPr>
            </w:pPr>
            <w:r>
              <w:rPr>
                <w:rFonts w:ascii="Arial" w:cs="Arial" w:eastAsia="Arial" w:hAnsi="Arial"/>
                <w:sz w:val="18"/>
                <w:szCs w:val="18"/>
                <w:color w:val="auto"/>
              </w:rPr>
              <w:t>$10,000,000</w:t>
            </w:r>
          </w:p>
        </w:tc>
      </w:tr>
    </w:tbl>
    <w:p>
      <w:pPr>
        <w:spacing w:after="0" w:line="147" w:lineRule="exact"/>
        <w:rPr>
          <w:sz w:val="20"/>
          <w:szCs w:val="20"/>
          <w:color w:val="auto"/>
        </w:rPr>
      </w:pPr>
    </w:p>
    <w:p>
      <w:pPr>
        <w:ind w:left="-443" w:firstLine="443"/>
        <w:spacing w:after="0" w:line="332" w:lineRule="auto"/>
        <w:tabs>
          <w:tab w:leader="none" w:pos="234"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Minimum Consolidated EBITDA</w:t>
      </w:r>
      <w:r>
        <w:rPr>
          <w:rFonts w:ascii="Arial" w:cs="Arial" w:eastAsia="Arial" w:hAnsi="Arial"/>
          <w:sz w:val="16"/>
          <w:szCs w:val="16"/>
          <w:color w:val="auto"/>
        </w:rPr>
        <w:t>. Permit Consolidated EBITDA, for each twelve (12)-fiscal month period ending on the last day of each fiscal month during each period set forth in the table below, to be less than the aggregate amount set forth opposite such period in the table below:</w:t>
      </w:r>
    </w:p>
    <w:p>
      <w:pPr>
        <w:spacing w:after="0" w:line="121" w:lineRule="exact"/>
        <w:rPr>
          <w:sz w:val="20"/>
          <w:szCs w:val="20"/>
          <w:color w:val="auto"/>
        </w:rPr>
      </w:pPr>
    </w:p>
    <w:tbl>
      <w:tblPr>
        <w:tblLayout w:type="fixed"/>
        <w:tblInd w:w="17" w:type="dxa"/>
        <w:tblCellMar>
          <w:top w:w="0" w:type="dxa"/>
          <w:left w:w="0" w:type="dxa"/>
          <w:bottom w:w="0" w:type="dxa"/>
          <w:right w:w="0" w:type="dxa"/>
        </w:tblCellMar>
      </w:tblPr>
      <w:tr>
        <w:trPr>
          <w:trHeight w:val="168"/>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Consolidated EBITDA</w:t>
            </w:r>
          </w:p>
        </w:tc>
        <w:tc>
          <w:tcPr>
            <w:tcW w:w="100" w:type="dxa"/>
            <w:vAlign w:val="bottom"/>
          </w:tcPr>
          <w:p>
            <w:pPr>
              <w:spacing w:after="0"/>
              <w:rPr>
                <w:sz w:val="14"/>
                <w:szCs w:val="14"/>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9"/>
              </w:rPr>
              <w:t>December 1, 2006</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2007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July 1, 2007</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July 31, 2007</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$30,000,000</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August 1, 2007</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August 31, 2007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$40,000,000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6"/>
              </w:rPr>
              <w:t>September 1, 2007</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September 30, 2007</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$40,000,000</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October 1, 2007</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31, 2007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$48,000,000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9"/>
              </w:rPr>
              <w:t>November 1, 2007</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November 30, 2007</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$48,000,000</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9"/>
              </w:rPr>
              <w:t>December 1, 2007</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2007</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$48,000,000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January 1, 2008</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January 31, 2008</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$55,000,000</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February 1, 2008</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February 29, 2008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$55,000,000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March 1, 2008</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March 31, 2008</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$55,000,000</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April 1, 2008</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April 30, 2008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$55,000,000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May 1, 2008</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May 31, 2008</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$55,000,000</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June 1, 2008</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2008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$55,000,000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July 1, 2008</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July 31, 2008</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$57,000,000</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August 1, 2008</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August 31, 2008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$57,000,000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6"/>
              </w:rPr>
              <w:t>September 1, 2008</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September 30, 2008</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$57,000,000</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October 1, 2008</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31, 2008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$60,000,000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99"/>
              </w:rPr>
              <w:t>November 1, 2008</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160"/>
              <w:spacing w:after="0"/>
              <w:rPr>
                <w:sz w:val="20"/>
                <w:szCs w:val="20"/>
                <w:color w:val="auto"/>
              </w:rPr>
            </w:pPr>
            <w:r>
              <w:rPr>
                <w:rFonts w:ascii="Arial" w:cs="Arial" w:eastAsia="Arial" w:hAnsi="Arial"/>
                <w:sz w:val="18"/>
                <w:szCs w:val="18"/>
                <w:color w:val="auto"/>
              </w:rPr>
              <w:t>November 30, 2008</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$60,000,000</w:t>
            </w: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9"/>
              </w:rPr>
              <w:t>December 1, 2008</w:t>
            </w:r>
          </w:p>
        </w:tc>
        <w:tc>
          <w:tcPr>
            <w:tcW w:w="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$60,000,000</w:t>
            </w:r>
          </w:p>
        </w:tc>
      </w:tr>
    </w:tbl>
    <w:p>
      <w:pPr>
        <w:spacing w:after="0" w:line="154" w:lineRule="exact"/>
        <w:rPr>
          <w:sz w:val="20"/>
          <w:szCs w:val="20"/>
          <w:color w:val="auto"/>
        </w:rPr>
      </w:pPr>
    </w:p>
    <w:p>
      <w:pPr>
        <w:ind w:left="4777" w:right="5060" w:hanging="4777"/>
        <w:spacing w:after="0" w:line="525" w:lineRule="auto"/>
        <w:tabs>
          <w:tab w:leader="none" w:pos="229"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Minimum Liquidity</w:t>
      </w:r>
      <w:r>
        <w:rPr>
          <w:rFonts w:ascii="Arial" w:cs="Arial" w:eastAsia="Arial" w:hAnsi="Arial"/>
          <w:sz w:val="16"/>
          <w:szCs w:val="16"/>
          <w:color w:val="auto"/>
        </w:rPr>
        <w:t>. Other than for each fiscal month ending during the 5</w:t>
      </w:r>
    </w:p>
    <w:p>
      <w:pPr>
        <w:sectPr>
          <w:pgSz w:w="11900" w:h="16838" w:orient="portrait"/>
          <w:cols w:equalWidth="0" w:num="1">
            <w:col w:w="10317"/>
          </w:cols>
          <w:pgMar w:left="1143" w:top="280" w:right="439" w:bottom="1440" w:gutter="0" w:footer="0" w:header="0"/>
        </w:sectPr>
      </w:pPr>
    </w:p>
    <w:bookmarkStart w:id="9" w:name="page10"/>
    <w:bookmarkEnd w:id="9"/>
    <w:p>
      <w:pPr>
        <w:ind w:left="460"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period commencing on September 1, 2007 and ending on December 31, 2008, (i) permit, on the last day of any fiscal month, the sum of (A) the unutilized and available Revolving Commitments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qualified and unrestricted cash and Cash Equivalents held by Loan Parties to be less than $75,000,000 (the “</w:t>
      </w:r>
      <w:r>
        <w:rPr>
          <w:rFonts w:ascii="Arial" w:cs="Arial" w:eastAsia="Arial" w:hAnsi="Arial"/>
          <w:sz w:val="18"/>
          <w:szCs w:val="18"/>
          <w:b w:val="1"/>
          <w:bCs w:val="1"/>
          <w:color w:val="auto"/>
        </w:rPr>
        <w:t>Liquidity Requirement</w:t>
      </w:r>
      <w:r>
        <w:rPr>
          <w:rFonts w:ascii="Arial" w:cs="Arial" w:eastAsia="Arial" w:hAnsi="Arial"/>
          <w:sz w:val="18"/>
          <w:szCs w:val="18"/>
          <w:color w:val="auto"/>
        </w:rPr>
        <w:t>”) or (ii) fail to deliver any certificate in respect of the Liquidity Requirement required to be delivered pursuant to Section 5.01(m)(v) of this Agreement (Monthly Reports).”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Clause (e) of Section 8.01 of the Credit Agreement is hereby amended and restated to read in its entirety as follows:</w:t>
      </w:r>
    </w:p>
    <w:p>
      <w:pPr>
        <w:spacing w:after="0" w:line="90" w:lineRule="exact"/>
        <w:rPr>
          <w:sz w:val="20"/>
          <w:szCs w:val="20"/>
          <w:color w:val="auto"/>
        </w:rPr>
      </w:pPr>
    </w:p>
    <w:p>
      <w:pPr>
        <w:jc w:val="both"/>
        <w:ind w:left="460" w:right="220" w:firstLine="438"/>
        <w:spacing w:after="0" w:line="303" w:lineRule="auto"/>
        <w:rPr>
          <w:sz w:val="20"/>
          <w:szCs w:val="20"/>
          <w:color w:val="auto"/>
        </w:rPr>
      </w:pPr>
      <w:r>
        <w:rPr>
          <w:rFonts w:ascii="Arial" w:cs="Arial" w:eastAsia="Arial" w:hAnsi="Arial"/>
          <w:sz w:val="15"/>
          <w:szCs w:val="15"/>
          <w:color w:val="auto"/>
        </w:rPr>
        <w:t>“(e) default shall be made in the due observance or performance by any Company of any covenant, condition or agreement contained in any Loan Document (other than those specified in paragraphs (a), (b) or (d) immediately above) and such default shall continue unremedied or shall not be waived for a period of: (i) with respect to a default under Section 5.01(m)(iv) (Monthly Reports), six (6) Business Days after the occurrence of such default,</w:t>
      </w:r>
    </w:p>
    <w:p>
      <w:pPr>
        <w:spacing w:after="0" w:line="1" w:lineRule="exact"/>
        <w:rPr>
          <w:sz w:val="20"/>
          <w:szCs w:val="20"/>
          <w:color w:val="auto"/>
        </w:rPr>
      </w:pPr>
    </w:p>
    <w:p>
      <w:pPr>
        <w:ind w:left="460" w:right="80" w:firstLine="4"/>
        <w:spacing w:after="0" w:line="323" w:lineRule="auto"/>
        <w:tabs>
          <w:tab w:leader="none" w:pos="719"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a default under Section 5.01(m)(v) (Monthly Reports), two (2) Business Days after the occurrence of such default, and (iii) with respect to any other default, thirty (30) days after written notice thereof from the Administrative Agent or any Lender to Borrowers;”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b w:val="1"/>
          <w:bCs w:val="1"/>
          <w:u w:val="single" w:color="auto"/>
          <w:color w:val="auto"/>
        </w:rPr>
        <w:t>Acknowledgement by Borrowers of Obligations</w:t>
      </w:r>
      <w:r>
        <w:rPr>
          <w:rFonts w:ascii="Arial" w:cs="Arial" w:eastAsia="Arial" w:hAnsi="Arial"/>
          <w:sz w:val="16"/>
          <w:szCs w:val="16"/>
          <w:color w:val="auto"/>
        </w:rPr>
        <w:t>. The Borrowers hereby acknowledge, confirm, and agree that as of the close of business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September 27, 2007, (a) the Borrowers are indebted to the Lenders in respect of the Revolving Loans in the principal amount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US$20,000,000.00 (subject to currency exchange fluctuations) and (b) the Borrowers are indebted to the Lenders in respect of the Letters of Credit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approximately US$24,514,977.37 (subject to currency exchange fluctuations and reductions for any Letters of Credit which are drawn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reimbursed after September 27, 2007).</w:t>
      </w:r>
    </w:p>
    <w:p>
      <w:pPr>
        <w:spacing w:after="0" w:line="159"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Representations, Warranties and Covenants of Loan Parties</w:t>
      </w:r>
      <w:r>
        <w:rPr>
          <w:rFonts w:ascii="Arial" w:cs="Arial" w:eastAsia="Arial" w:hAnsi="Arial"/>
          <w:sz w:val="18"/>
          <w:szCs w:val="18"/>
          <w:color w:val="auto"/>
        </w:rPr>
        <w:t>. To induce the Agents and Lenders to execute and deliver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Loan Parties represents, warrants and covenants that:</w:t>
      </w:r>
    </w:p>
    <w:p>
      <w:pPr>
        <w:spacing w:after="0" w:line="45" w:lineRule="exact"/>
        <w:rPr>
          <w:sz w:val="20"/>
          <w:szCs w:val="20"/>
          <w:color w:val="auto"/>
        </w:rPr>
      </w:pPr>
    </w:p>
    <w:p>
      <w:pPr>
        <w:ind w:firstLine="464"/>
        <w:spacing w:after="0" w:line="291"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execution, delivery and performance by the Loan Parties of this Amendment and all documents and instruments delivered in connection herewith and the Credit Agreement and all other Loan Documents have been duly authorized, and this Amendment and all documents and instruments delivered in connection herewith and the Credit Agreement and all other Loan Documents are legal, valid and binding obligations of the Loan Parties enforceable against the Loan Parties in accordance with their respective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120" w:lineRule="exact"/>
        <w:rPr>
          <w:rFonts w:ascii="Arial" w:cs="Arial" w:eastAsia="Arial" w:hAnsi="Arial"/>
          <w:sz w:val="16"/>
          <w:szCs w:val="16"/>
          <w:color w:val="auto"/>
        </w:rPr>
      </w:pPr>
    </w:p>
    <w:p>
      <w:pPr>
        <w:ind w:right="20" w:firstLine="464"/>
        <w:spacing w:after="0" w:line="255"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giving effect to this Amendment, each of the representations and warranties made by or on behalf of such Loan Party to either Agent or any Lender in any of the Loan Documents was true and correct when made and in all material respects is true and correct on and as of the date of this Amendment with the same full force and effect as if each of such representations and warranties had been made by such Loan Party on the date hereof and in this Amendment, and each of the agreements and covenants in the Credit Agreement and the other Loan Documents is hereby reaffirmed with the same force and effect as if each were separately stated herein and made as of the date hereof;</w:t>
      </w:r>
    </w:p>
    <w:p>
      <w:pPr>
        <w:spacing w:after="0" w:line="142" w:lineRule="exact"/>
        <w:rPr>
          <w:rFonts w:ascii="Arial" w:cs="Arial" w:eastAsia="Arial" w:hAnsi="Arial"/>
          <w:sz w:val="18"/>
          <w:szCs w:val="18"/>
          <w:color w:val="auto"/>
        </w:rPr>
      </w:pPr>
    </w:p>
    <w:p>
      <w:pPr>
        <w:ind w:right="540" w:firstLine="464"/>
        <w:spacing w:after="0" w:line="268"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the execution, delivery and performance of this Amendment and all documents and instruments delivered in connection herewith nor the consummation of the transactions contemplated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right="2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hereby or thereby (i) does or shall contravene, result in a breach of, or violate (A) any provision of any Loan Party’s corporate charter, bylaws, operating agreement, purchase agreement, or other governing documents, (B) any law or regulation, or any order or decree of any court or government instrumentality, or</w:t>
      </w:r>
    </w:p>
    <w:p>
      <w:pPr>
        <w:ind w:firstLine="8"/>
        <w:spacing w:after="0" w:line="323" w:lineRule="auto"/>
        <w:tabs>
          <w:tab w:leader="none" w:pos="2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indenture, mortgage, deed of trust, lease, agreement or other instrument to which any Loan Party is a party or by which any Loan Party or any of its property is bound or (ii) requires any notice to, registration or filing with, acceptance, consent or approval of, or any other action by, any Governmental Authority;</w:t>
      </w:r>
    </w:p>
    <w:p>
      <w:pPr>
        <w:spacing w:after="0" w:line="92" w:lineRule="exact"/>
        <w:rPr>
          <w:rFonts w:ascii="Arial" w:cs="Arial" w:eastAsia="Arial" w:hAnsi="Arial"/>
          <w:sz w:val="16"/>
          <w:szCs w:val="16"/>
          <w:color w:val="auto"/>
        </w:rPr>
      </w:pPr>
    </w:p>
    <w:p>
      <w:pPr>
        <w:jc w:val="both"/>
        <w:ind w:right="140" w:firstLine="464"/>
        <w:spacing w:after="0" w:line="259" w:lineRule="auto"/>
        <w:tabs>
          <w:tab w:leader="none" w:pos="7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Agents’ and Lenders’ security interests in the Collateral continue to be valid, binding, and enforceable first-priority security interests which secure the Obligations (subject only to any Liens permitted under the Loan Documents), and no tax or judgment liens are currently of record against any Loan Party or any Subsidiary thereof; and</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recitals to this Amendment are true and correct.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Reference to and Effect Upon the Credit Agreement</w:t>
      </w:r>
      <w:r>
        <w:rPr>
          <w:rFonts w:ascii="Arial" w:cs="Arial" w:eastAsia="Arial" w:hAnsi="Arial"/>
          <w:sz w:val="18"/>
          <w:szCs w:val="18"/>
          <w:b w:val="1"/>
          <w:bCs w:val="1"/>
          <w:color w:val="auto"/>
        </w:rPr>
        <w:t>.</w:t>
      </w:r>
    </w:p>
    <w:p>
      <w:pPr>
        <w:spacing w:after="0" w:line="177" w:lineRule="exact"/>
        <w:rPr>
          <w:sz w:val="20"/>
          <w:szCs w:val="20"/>
          <w:color w:val="auto"/>
        </w:rPr>
      </w:pPr>
    </w:p>
    <w:p>
      <w:pPr>
        <w:ind w:right="140" w:firstLine="464"/>
        <w:spacing w:after="0" w:line="314" w:lineRule="auto"/>
        <w:tabs>
          <w:tab w:leader="none" w:pos="695" w:val="left"/>
        </w:tabs>
        <w:numPr>
          <w:ilvl w:val="1"/>
          <w:numId w:val="12"/>
        </w:numPr>
        <w:rPr>
          <w:rFonts w:ascii="Arial" w:cs="Arial" w:eastAsia="Arial" w:hAnsi="Arial"/>
          <w:sz w:val="15"/>
          <w:szCs w:val="15"/>
          <w:color w:val="auto"/>
        </w:rPr>
      </w:pPr>
      <w:r>
        <w:rPr>
          <w:rFonts w:ascii="Arial" w:cs="Arial" w:eastAsia="Arial" w:hAnsi="Arial"/>
          <w:sz w:val="15"/>
          <w:szCs w:val="15"/>
          <w:color w:val="auto"/>
        </w:rPr>
        <w:t xml:space="preserve">Except as specifically set forth herein, all terms, conditions, covenants, representations and warranties contained in the Credit Agreement or any other Loan Documents, and all rights of Agents and Lenders and all of the Obligations, shall remain in full force and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of a conflict between the terms and provisions of the Credit Agreement or any other Loan Documents (other than this Amendment), the terms and provisions of the Credit Agreement (as amended hereby, and as the same has been and hereafter may be amended, restated, supplemented or otherwise modified from time to time) shall control. Each Loan Party hereby confirms that the Credit Agreement and the other Loan Documents are in full force and effect and that neither such Loan Party nor any of its Subsidiaries has any defenses, setoffs, claims, or counterclaims to the Obligations under the Credit Agreement or any other Loan Documents.</w:t>
      </w:r>
    </w:p>
    <w:p>
      <w:pPr>
        <w:spacing w:after="0" w:line="104" w:lineRule="exact"/>
        <w:rPr>
          <w:rFonts w:ascii="Arial" w:cs="Arial" w:eastAsia="Arial" w:hAnsi="Arial"/>
          <w:sz w:val="15"/>
          <w:szCs w:val="15"/>
          <w:color w:val="auto"/>
        </w:rPr>
      </w:pPr>
    </w:p>
    <w:p>
      <w:pPr>
        <w:ind w:right="100" w:firstLine="464"/>
        <w:spacing w:after="0" w:line="284" w:lineRule="auto"/>
        <w:tabs>
          <w:tab w:leader="none" w:pos="70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Except as expressly set forth herein, the execution, delivery and effectiveness of this Amendment shall not directly or indirectly (i) constitute a consent or waiver of any past, present or future violations of any provisions of the Credit Agreement or any other Loan Documents, (ii) amend, modify or operate as a waiver of any provision of the Credit Agreement or any other Loan Documents or any right, power or remedy of any Agent or any Lender thereunder, or</w:t>
      </w:r>
    </w:p>
    <w:p>
      <w:pPr>
        <w:spacing w:after="0" w:line="1" w:lineRule="exact"/>
        <w:rPr>
          <w:rFonts w:ascii="Arial" w:cs="Arial" w:eastAsia="Arial" w:hAnsi="Arial"/>
          <w:sz w:val="16"/>
          <w:szCs w:val="16"/>
          <w:color w:val="auto"/>
        </w:rPr>
      </w:pPr>
    </w:p>
    <w:p>
      <w:pPr>
        <w:ind w:right="140" w:firstLine="8"/>
        <w:spacing w:after="0" w:line="254" w:lineRule="auto"/>
        <w:tabs>
          <w:tab w:leader="none" w:pos="3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constitute a course of dealing or other basis for altering any Obligations or any other contract or instrument. Except as expressly set forth herein, each of the Agents and Lenders reserves all of its rights, powers, and remedies under the Credit Agreement, the other Loan Documents, and/or applicable law. Except as expressly set forth herein, all of the provisions of the Credit Agreement and the other Loan Documents, including, without limitation, the time of the essence provisions, are hereby reiterated, and if ever waived, reinstated.</w:t>
      </w:r>
    </w:p>
    <w:p>
      <w:pPr>
        <w:spacing w:after="0" w:line="143" w:lineRule="exact"/>
        <w:rPr>
          <w:rFonts w:ascii="Arial" w:cs="Arial" w:eastAsia="Arial" w:hAnsi="Arial"/>
          <w:sz w:val="18"/>
          <w:szCs w:val="18"/>
          <w:color w:val="auto"/>
        </w:rPr>
      </w:pPr>
    </w:p>
    <w:p>
      <w:pPr>
        <w:ind w:right="240" w:firstLine="464"/>
        <w:spacing w:after="0" w:line="268" w:lineRule="auto"/>
        <w:tabs>
          <w:tab w:leader="none" w:pos="6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the effectiveness of this Amendment, all references to the Credit Agreement in any Loan Document shall mean and be a reference to the Credit Agreement, as amended hereby, and the term “Loan Documents” shall include, without limitation, this Amendment.</w:t>
      </w:r>
    </w:p>
    <w:p>
      <w:pPr>
        <w:spacing w:after="0" w:line="126"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6"/>
          <w:szCs w:val="16"/>
          <w:b w:val="1"/>
          <w:bCs w:val="1"/>
          <w:u w:val="single" w:color="auto"/>
          <w:color w:val="auto"/>
        </w:rPr>
        <w:t>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Borrowers and the other Loan Parties agrees jointly and severally to reimburse Agents and Lenders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fees, costs and expenses, including the reasonable fees, costs and expenses of counsel or other advisors for advice, assistance, or other representation in connection with this Amendment and the other agreements and documents executed in connection herewith.</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 w:name="page12"/>
    <w:bookmarkEnd w:id="11"/>
    <w:p>
      <w:pPr>
        <w:ind w:right="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LAWS (AS OPPOSED TO CONFLICTS OF LAWS PROVISIONS) OF THE STATE OF NEW YORK.</w:t>
      </w:r>
    </w:p>
    <w:p>
      <w:pPr>
        <w:spacing w:after="0" w:line="12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Amendment are included herein for convenience of reference only and shall not constitute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for any other purposes.</w:t>
      </w:r>
    </w:p>
    <w:p>
      <w:pPr>
        <w:spacing w:after="0" w:line="120"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SECTION 8.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any number of counterparts, each of which when so executed shall be deemed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such counterparts shall constitute one and the same instrument, and all signatures need not appear on any one counterpart. Any party hereto may execute and deliver a counterpart of this Amendment by delivering by facsimile transmission a signature page of this Amendment signed by such party, and any such facsimile signature shall be treated in all respects as having the same effect as an original signature. Any party delivering by facsimile transmission a counterpart executed by it shall promptly thereafter also deliver a manually signed counterpart of this Amendment.</w:t>
      </w:r>
    </w:p>
    <w:p>
      <w:pPr>
        <w:spacing w:after="0" w:line="10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payment and performance of each of the obligations of any of the parties hereunder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conditions to be satisfied by such party.</w:t>
      </w:r>
    </w:p>
    <w:p>
      <w:pPr>
        <w:spacing w:after="0" w:line="120"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agrees to take, and to cause its Subsidiaries to take, all further actions and to execute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and to cause its Subsidiaries to execute and deliver, all further documents as the Agents, or either of them, may from time to time reasonably request to carry out the transactions contemplated by this Amendment.</w:t>
      </w:r>
    </w:p>
    <w:p>
      <w:pPr>
        <w:spacing w:after="0" w:line="13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at the time (the “</w:t>
      </w:r>
      <w:r>
        <w:rPr>
          <w:rFonts w:ascii="Arial" w:cs="Arial" w:eastAsia="Arial" w:hAnsi="Arial"/>
          <w:sz w:val="18"/>
          <w:szCs w:val="18"/>
          <w:b w:val="1"/>
          <w:bCs w:val="1"/>
          <w:color w:val="auto"/>
        </w:rPr>
        <w:t>Effective Date</w:t>
      </w:r>
      <w:r>
        <w:rPr>
          <w:rFonts w:ascii="Arial" w:cs="Arial" w:eastAsia="Arial" w:hAnsi="Arial"/>
          <w:sz w:val="18"/>
          <w:szCs w:val="18"/>
          <w:color w:val="auto"/>
        </w:rPr>
        <w:t>”) that all of the following conditions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satisfied (or waived) as determined by the Required Lenders in their sole discretion (as evidenced by the Required Lenders’ execution and delivery of this Amendment):</w:t>
      </w:r>
    </w:p>
    <w:p>
      <w:pPr>
        <w:spacing w:after="0" w:line="57" w:lineRule="exact"/>
        <w:rPr>
          <w:sz w:val="20"/>
          <w:szCs w:val="20"/>
          <w:color w:val="auto"/>
        </w:rPr>
      </w:pPr>
    </w:p>
    <w:p>
      <w:pPr>
        <w:ind w:right="380" w:firstLine="464"/>
        <w:spacing w:after="0" w:line="268"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Duly executed signature pages for this Amendment signed by the Required Lenders and Loan Parties shall have been delivered to the Administrative Agent.</w:t>
      </w:r>
    </w:p>
    <w:p>
      <w:pPr>
        <w:spacing w:after="0" w:line="131"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contained herein shall be true and correct in all material respects, and no Event of Default or Default shall exist on the Effective Date.</w:t>
      </w:r>
    </w:p>
    <w:p>
      <w:pPr>
        <w:spacing w:after="0" w:line="131"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Payment of Commitment Fees and Letter of Credit Fees</w:t>
      </w:r>
      <w:r>
        <w:rPr>
          <w:rFonts w:ascii="Arial" w:cs="Arial" w:eastAsia="Arial" w:hAnsi="Arial"/>
          <w:sz w:val="18"/>
          <w:szCs w:val="18"/>
          <w:color w:val="auto"/>
        </w:rPr>
        <w:t>. All outstanding Commitment Fees and Fees related to any of the Letters of Credit shall each have been paid in cash to the Administrative Agent.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All of the expenses owing the Agents under Section 10.03 of the Credit Agreement shall have been paid in full.</w:t>
      </w:r>
    </w:p>
    <w:p>
      <w:pPr>
        <w:spacing w:after="0" w:line="171" w:lineRule="exact"/>
        <w:rPr>
          <w:rFonts w:ascii="Arial" w:cs="Arial" w:eastAsia="Arial" w:hAnsi="Arial"/>
          <w:sz w:val="18"/>
          <w:szCs w:val="18"/>
          <w:color w:val="auto"/>
        </w:rPr>
      </w:pPr>
    </w:p>
    <w:p>
      <w:pPr>
        <w:ind w:left="4880" w:hanging="307"/>
        <w:spacing w:after="0"/>
        <w:tabs>
          <w:tab w:leader="none" w:pos="4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Signature Pages Follow ***</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74"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Eighth Amendment to Credit Agreement has been executed by the parties hereto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MAGNACHIP SEMICONDUCTOR S.A., a Luxembourg</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Robert Krakauer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FINANCE COMPANY, a</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Delaware limited liability company</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Robert Krakauer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LLC, a Delaware limited</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liability company</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Robert Krakauer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320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10860"/>
          </w:cols>
          <w:pgMar w:left="700" w:top="280" w:right="339" w:bottom="1440" w:gutter="0" w:footer="0" w:header="0"/>
        </w:sectPr>
      </w:pPr>
    </w:p>
    <w:bookmarkStart w:id="13" w:name="page14"/>
    <w:bookmarkEnd w:id="13"/>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MAGNACHIP SEMICONDUCTOR, INC., a California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9620"/>
          </w:cols>
          <w:pgMar w:left="1440" w:top="280" w:right="839" w:bottom="1440" w:gutter="0" w:footer="0" w:header="0"/>
        </w:sectPr>
      </w:pPr>
    </w:p>
    <w:bookmarkStart w:id="14" w:name="page15"/>
    <w:bookmarkEnd w:id="1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SA HOLDINGS LLC,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Delaware limited liability company</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10020"/>
          </w:cols>
          <w:pgMar w:left="1440" w:top="280" w:right="439" w:bottom="1440" w:gutter="0" w:footer="0" w:header="0"/>
        </w:sectPr>
      </w:pPr>
    </w:p>
    <w:bookmarkStart w:id="15" w:name="page16"/>
    <w:bookmarkEnd w:id="1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 a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incorporated in England and Wales with registered number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05232381</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9880"/>
          </w:cols>
          <w:pgMar w:left="1440" w:top="280" w:right="579" w:bottom="1440" w:gutter="0" w:footer="0" w:header="0"/>
        </w:sectPr>
      </w:pPr>
    </w:p>
    <w:bookmarkStart w:id="16" w:name="page17"/>
    <w:bookmarkEnd w:id="1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 a Japanese</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9540"/>
          </w:cols>
          <w:pgMar w:left="1440" w:top="280" w:right="9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8"/>
        </w:trPr>
        <w:tc>
          <w:tcPr>
            <w:tcW w:w="4240" w:type="dxa"/>
            <w:vAlign w:val="bottom"/>
            <w:gridSpan w:val="6"/>
          </w:tcPr>
          <w:p>
            <w:pPr>
              <w:spacing w:after="0"/>
              <w:rPr>
                <w:sz w:val="20"/>
                <w:szCs w:val="20"/>
                <w:color w:val="auto"/>
              </w:rPr>
            </w:pPr>
            <w:r>
              <w:rPr>
                <w:rFonts w:ascii="Arial" w:cs="Arial" w:eastAsia="Arial" w:hAnsi="Arial"/>
                <w:sz w:val="18"/>
                <w:szCs w:val="18"/>
                <w:b w:val="1"/>
                <w:bCs w:val="1"/>
                <w:color w:val="auto"/>
              </w:rPr>
              <w:t>For execution as a deed:</w:t>
            </w:r>
          </w:p>
        </w:tc>
        <w:tc>
          <w:tcPr>
            <w:tcW w:w="8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2"/>
        </w:trPr>
        <w:tc>
          <w:tcPr>
            <w:tcW w:w="4240" w:type="dxa"/>
            <w:vAlign w:val="bottom"/>
            <w:gridSpan w:val="6"/>
          </w:tcPr>
          <w:p>
            <w:pPr>
              <w:spacing w:after="0"/>
              <w:rPr>
                <w:sz w:val="20"/>
                <w:szCs w:val="20"/>
                <w:color w:val="auto"/>
              </w:rPr>
            </w:pPr>
            <w:r>
              <w:rPr>
                <w:rFonts w:ascii="Arial" w:cs="Arial" w:eastAsia="Arial" w:hAnsi="Arial"/>
                <w:sz w:val="18"/>
                <w:szCs w:val="18"/>
                <w:color w:val="auto"/>
              </w:rPr>
              <w:t>EXECUTED AS A DEED by</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4240" w:type="dxa"/>
            <w:vAlign w:val="bottom"/>
            <w:gridSpan w:val="6"/>
          </w:tcPr>
          <w:p>
            <w:pPr>
              <w:spacing w:after="0"/>
              <w:rPr>
                <w:sz w:val="20"/>
                <w:szCs w:val="20"/>
                <w:color w:val="auto"/>
              </w:rPr>
            </w:pPr>
            <w:r>
              <w:rPr>
                <w:rFonts w:ascii="Arial" w:cs="Arial" w:eastAsia="Arial" w:hAnsi="Arial"/>
                <w:sz w:val="18"/>
                <w:szCs w:val="18"/>
                <w:color w:val="auto"/>
              </w:rPr>
              <w:t>as duly appointed attorney</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4240" w:type="dxa"/>
            <w:vAlign w:val="bottom"/>
            <w:gridSpan w:val="6"/>
          </w:tcPr>
          <w:p>
            <w:pPr>
              <w:spacing w:after="0"/>
              <w:rPr>
                <w:sz w:val="20"/>
                <w:szCs w:val="20"/>
                <w:color w:val="auto"/>
              </w:rPr>
            </w:pPr>
            <w:r>
              <w:rPr>
                <w:rFonts w:ascii="Arial" w:cs="Arial" w:eastAsia="Arial" w:hAnsi="Arial"/>
                <w:sz w:val="18"/>
                <w:szCs w:val="18"/>
                <w:color w:val="auto"/>
              </w:rPr>
              <w:t>pursuant to a power of attorney</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4240" w:type="dxa"/>
            <w:vAlign w:val="bottom"/>
            <w:gridSpan w:val="6"/>
          </w:tcPr>
          <w:p>
            <w:pPr>
              <w:spacing w:after="0"/>
              <w:rPr>
                <w:sz w:val="20"/>
                <w:szCs w:val="20"/>
                <w:color w:val="auto"/>
              </w:rPr>
            </w:pPr>
            <w:r>
              <w:rPr>
                <w:rFonts w:ascii="Arial" w:cs="Arial" w:eastAsia="Arial" w:hAnsi="Arial"/>
                <w:sz w:val="18"/>
                <w:szCs w:val="18"/>
                <w:color w:val="auto"/>
              </w:rPr>
              <w:t>for and on behalf of</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4240" w:type="dxa"/>
            <w:vAlign w:val="bottom"/>
            <w:gridSpan w:val="6"/>
          </w:tcPr>
          <w:p>
            <w:pPr>
              <w:spacing w:after="0"/>
              <w:rPr>
                <w:sz w:val="20"/>
                <w:szCs w:val="20"/>
                <w:color w:val="auto"/>
              </w:rPr>
            </w:pPr>
            <w:r>
              <w:rPr>
                <w:rFonts w:ascii="Arial" w:cs="Arial" w:eastAsia="Arial" w:hAnsi="Arial"/>
                <w:sz w:val="18"/>
                <w:szCs w:val="18"/>
                <w:color w:val="auto"/>
              </w:rPr>
              <w:t>MAGNACHIP SEMICONDUCTOR</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LIMITED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22"/>
        </w:trPr>
        <w:tc>
          <w:tcPr>
            <w:tcW w:w="4240" w:type="dxa"/>
            <w:vAlign w:val="bottom"/>
            <w:gridSpan w:val="6"/>
          </w:tcPr>
          <w:p>
            <w:pPr>
              <w:spacing w:after="0"/>
              <w:rPr>
                <w:sz w:val="20"/>
                <w:szCs w:val="20"/>
                <w:color w:val="auto"/>
              </w:rPr>
            </w:pPr>
            <w:r>
              <w:rPr>
                <w:rFonts w:ascii="Arial" w:cs="Arial" w:eastAsia="Arial" w:hAnsi="Arial"/>
                <w:sz w:val="18"/>
                <w:szCs w:val="18"/>
                <w:color w:val="auto"/>
              </w:rPr>
              <w:t>in the presence of:</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9"/>
                <w:szCs w:val="19"/>
                <w:color w:val="auto"/>
              </w:rPr>
            </w:pPr>
          </w:p>
        </w:tc>
      </w:tr>
      <w:tr>
        <w:trPr>
          <w:trHeight w:val="421"/>
        </w:trPr>
        <w:tc>
          <w:tcPr>
            <w:tcW w:w="820" w:type="dxa"/>
            <w:vAlign w:val="bottom"/>
          </w:tcPr>
          <w:p>
            <w:pPr>
              <w:spacing w:after="0"/>
              <w:rPr>
                <w:sz w:val="20"/>
                <w:szCs w:val="20"/>
                <w:color w:val="auto"/>
              </w:rPr>
            </w:pPr>
            <w:r>
              <w:rPr>
                <w:rFonts w:ascii="Arial" w:cs="Arial" w:eastAsia="Arial" w:hAnsi="Arial"/>
                <w:sz w:val="18"/>
                <w:szCs w:val="18"/>
                <w:color w:val="auto"/>
              </w:rPr>
              <w:t>Witness:</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80" w:type="dxa"/>
            <w:vAlign w:val="bottom"/>
          </w:tcPr>
          <w:p>
            <w:pPr>
              <w:ind w:left="1260"/>
              <w:spacing w:after="0"/>
              <w:rPr>
                <w:sz w:val="20"/>
                <w:szCs w:val="20"/>
                <w:color w:val="auto"/>
              </w:rPr>
            </w:pPr>
            <w:r>
              <w:rPr>
                <w:rFonts w:ascii="Arial" w:cs="Arial" w:eastAsia="Arial" w:hAnsi="Arial"/>
                <w:sz w:val="18"/>
                <w:szCs w:val="18"/>
                <w:color w:val="auto"/>
                <w:w w:val="86"/>
              </w:rPr>
              <w:t>Witness:</w:t>
            </w:r>
          </w:p>
        </w:tc>
      </w:tr>
      <w:tr>
        <w:trPr>
          <w:trHeight w:val="329"/>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Arial" w:cs="Arial" w:eastAsia="Arial" w:hAnsi="Arial"/>
                <w:sz w:val="18"/>
                <w:szCs w:val="18"/>
                <w:color w:val="auto"/>
              </w:rPr>
              <w:t>Name:</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ind w:left="1260"/>
              <w:spacing w:after="0"/>
              <w:rPr>
                <w:sz w:val="20"/>
                <w:szCs w:val="20"/>
                <w:color w:val="auto"/>
              </w:rPr>
            </w:pPr>
            <w:r>
              <w:rPr>
                <w:rFonts w:ascii="Arial" w:cs="Arial" w:eastAsia="Arial" w:hAnsi="Arial"/>
                <w:sz w:val="18"/>
                <w:szCs w:val="18"/>
                <w:color w:val="auto"/>
                <w:w w:val="84"/>
              </w:rPr>
              <w:t>Address:</w:t>
            </w:r>
          </w:p>
        </w:tc>
      </w:tr>
      <w:tr>
        <w:trPr>
          <w:trHeight w:val="459"/>
        </w:trPr>
        <w:tc>
          <w:tcPr>
            <w:tcW w:w="424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For execution otherwise than as a deed:</w:t>
            </w: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21"/>
        </w:trPr>
        <w:tc>
          <w:tcPr>
            <w:tcW w:w="4240" w:type="dxa"/>
            <w:vAlign w:val="bottom"/>
            <w:gridSpan w:val="6"/>
          </w:tcPr>
          <w:p>
            <w:pPr>
              <w:spacing w:after="0"/>
              <w:rPr>
                <w:sz w:val="20"/>
                <w:szCs w:val="20"/>
                <w:color w:val="auto"/>
              </w:rPr>
            </w:pPr>
            <w:r>
              <w:rPr>
                <w:rFonts w:ascii="Arial" w:cs="Arial" w:eastAsia="Arial" w:hAnsi="Arial"/>
                <w:sz w:val="18"/>
                <w:szCs w:val="18"/>
                <w:color w:val="auto"/>
              </w:rPr>
              <w:t>SIGNED by   /s/ Robert Krakauer</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4"/>
                <w:szCs w:val="24"/>
                <w:color w:val="auto"/>
              </w:rPr>
            </w:pPr>
          </w:p>
        </w:tc>
      </w:tr>
      <w:tr>
        <w:trPr>
          <w:trHeight w:val="215"/>
        </w:trPr>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4240" w:type="dxa"/>
            <w:vAlign w:val="bottom"/>
            <w:gridSpan w:val="6"/>
          </w:tcPr>
          <w:p>
            <w:pPr>
              <w:spacing w:after="0"/>
              <w:rPr>
                <w:sz w:val="20"/>
                <w:szCs w:val="20"/>
                <w:color w:val="auto"/>
              </w:rPr>
            </w:pPr>
            <w:r>
              <w:rPr>
                <w:rFonts w:ascii="Arial" w:cs="Arial" w:eastAsia="Arial" w:hAnsi="Arial"/>
                <w:sz w:val="18"/>
                <w:szCs w:val="18"/>
                <w:color w:val="auto"/>
              </w:rPr>
              <w:t>as duly appointed attorney</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4240" w:type="dxa"/>
            <w:vAlign w:val="bottom"/>
            <w:gridSpan w:val="6"/>
          </w:tcPr>
          <w:p>
            <w:pPr>
              <w:spacing w:after="0"/>
              <w:rPr>
                <w:sz w:val="20"/>
                <w:szCs w:val="20"/>
                <w:color w:val="auto"/>
              </w:rPr>
            </w:pPr>
            <w:r>
              <w:rPr>
                <w:rFonts w:ascii="Arial" w:cs="Arial" w:eastAsia="Arial" w:hAnsi="Arial"/>
                <w:sz w:val="18"/>
                <w:szCs w:val="18"/>
                <w:color w:val="auto"/>
              </w:rPr>
              <w:t>pursuant to a power of attorney</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4240" w:type="dxa"/>
            <w:vAlign w:val="bottom"/>
            <w:gridSpan w:val="6"/>
          </w:tcPr>
          <w:p>
            <w:pPr>
              <w:spacing w:after="0"/>
              <w:rPr>
                <w:sz w:val="20"/>
                <w:szCs w:val="20"/>
                <w:color w:val="auto"/>
              </w:rPr>
            </w:pPr>
            <w:r>
              <w:rPr>
                <w:rFonts w:ascii="Arial" w:cs="Arial" w:eastAsia="Arial" w:hAnsi="Arial"/>
                <w:sz w:val="18"/>
                <w:szCs w:val="18"/>
                <w:color w:val="auto"/>
              </w:rPr>
              <w:t>for and on behalf of</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4240" w:type="dxa"/>
            <w:vAlign w:val="bottom"/>
            <w:gridSpan w:val="6"/>
          </w:tcPr>
          <w:p>
            <w:pPr>
              <w:spacing w:after="0"/>
              <w:rPr>
                <w:sz w:val="20"/>
                <w:szCs w:val="20"/>
                <w:color w:val="auto"/>
              </w:rPr>
            </w:pPr>
            <w:r>
              <w:rPr>
                <w:rFonts w:ascii="Arial" w:cs="Arial" w:eastAsia="Arial" w:hAnsi="Arial"/>
                <w:sz w:val="18"/>
                <w:szCs w:val="18"/>
                <w:color w:val="auto"/>
              </w:rPr>
              <w:t>MAGNACHIP SEMICONDUCTOR</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LIMITED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8"/>
                <w:szCs w:val="18"/>
                <w:color w:val="auto"/>
              </w:rPr>
            </w:pPr>
          </w:p>
        </w:tc>
      </w:tr>
      <w:tr>
        <w:trPr>
          <w:trHeight w:val="222"/>
        </w:trPr>
        <w:tc>
          <w:tcPr>
            <w:tcW w:w="4240" w:type="dxa"/>
            <w:vAlign w:val="bottom"/>
            <w:gridSpan w:val="6"/>
          </w:tcPr>
          <w:p>
            <w:pPr>
              <w:spacing w:after="0"/>
              <w:rPr>
                <w:sz w:val="20"/>
                <w:szCs w:val="20"/>
                <w:color w:val="auto"/>
              </w:rPr>
            </w:pPr>
            <w:r>
              <w:rPr>
                <w:rFonts w:ascii="Arial" w:cs="Arial" w:eastAsia="Arial" w:hAnsi="Arial"/>
                <w:sz w:val="18"/>
                <w:szCs w:val="18"/>
                <w:color w:val="auto"/>
              </w:rPr>
              <w:t>in the presence of:</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19"/>
                <w:szCs w:val="19"/>
                <w:color w:val="auto"/>
              </w:rPr>
            </w:pPr>
          </w:p>
        </w:tc>
      </w:tr>
      <w:tr>
        <w:trPr>
          <w:trHeight w:val="420"/>
        </w:trPr>
        <w:tc>
          <w:tcPr>
            <w:tcW w:w="820" w:type="dxa"/>
            <w:vAlign w:val="bottom"/>
          </w:tcPr>
          <w:p>
            <w:pPr>
              <w:spacing w:after="0"/>
              <w:rPr>
                <w:sz w:val="20"/>
                <w:szCs w:val="20"/>
                <w:color w:val="auto"/>
              </w:rPr>
            </w:pPr>
            <w:r>
              <w:rPr>
                <w:rFonts w:ascii="Arial" w:cs="Arial" w:eastAsia="Arial" w:hAnsi="Arial"/>
                <w:sz w:val="18"/>
                <w:szCs w:val="18"/>
                <w:color w:val="auto"/>
              </w:rPr>
              <w:t>Witness:</w:t>
            </w:r>
          </w:p>
        </w:tc>
        <w:tc>
          <w:tcPr>
            <w:tcW w:w="20" w:type="dxa"/>
            <w:vAlign w:val="bottom"/>
          </w:tcPr>
          <w:p>
            <w:pPr>
              <w:spacing w:after="0"/>
              <w:rPr>
                <w:sz w:val="24"/>
                <w:szCs w:val="24"/>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McFarland</w:t>
            </w:r>
          </w:p>
        </w:tc>
        <w:tc>
          <w:tcPr>
            <w:tcW w:w="6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3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Arial" w:cs="Arial" w:eastAsia="Arial" w:hAnsi="Arial"/>
                <w:sz w:val="18"/>
                <w:szCs w:val="18"/>
                <w:color w:val="auto"/>
              </w:rPr>
              <w:t>John McFarland</w:t>
            </w: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Arial" w:cs="Arial" w:eastAsia="Arial" w:hAnsi="Arial"/>
                <w:sz w:val="18"/>
                <w:szCs w:val="18"/>
                <w:color w:val="auto"/>
                <w:w w:val="92"/>
              </w:rPr>
              <w:t>891 Daechi-dong, Gangnam-gu, Seoul, Korea</w:t>
            </w: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-2794000</wp:posOffset>
            </wp:positionV>
            <wp:extent cx="2752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CERTIFICATION LANGUAGE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being a director of MagnaChip Semiconductor Limited, do hereby certify that this document is a true and complete copy of its original.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Robert Krakauer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left="36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10860"/>
          </w:cols>
          <w:pgMar w:left="240" w:top="274" w:right="799" w:bottom="1440" w:gutter="0" w:footer="0" w:header="0"/>
        </w:sectPr>
      </w:pPr>
    </w:p>
    <w:bookmarkStart w:id="18" w:name="page19"/>
    <w:bookmarkEnd w:id="1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B.V.</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Boermans</w:t>
            </w:r>
          </w:p>
        </w:tc>
        <w:tc>
          <w:tcPr>
            <w:tcW w:w="40" w:type="dxa"/>
            <w:vAlign w:val="bottom"/>
          </w:tcPr>
          <w:p>
            <w:pPr>
              <w:spacing w:after="0"/>
              <w:rPr>
                <w:sz w:val="19"/>
                <w:szCs w:val="19"/>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A.M.L. Kuijpers</w:t>
            </w:r>
          </w:p>
        </w:tc>
      </w:tr>
      <w:tr>
        <w:trPr>
          <w:trHeight w:val="217"/>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960" w:type="dxa"/>
            <w:vAlign w:val="bottom"/>
          </w:tcPr>
          <w:p>
            <w:pPr>
              <w:spacing w:after="0"/>
              <w:rPr>
                <w:sz w:val="20"/>
                <w:szCs w:val="20"/>
                <w:color w:val="auto"/>
              </w:rPr>
            </w:pPr>
            <w:r>
              <w:rPr>
                <w:rFonts w:ascii="Arial" w:cs="Arial" w:eastAsia="Arial" w:hAnsi="Arial"/>
                <w:sz w:val="18"/>
                <w:szCs w:val="18"/>
                <w:color w:val="auto"/>
              </w:rPr>
              <w:t>S. Boermans</w:t>
            </w:r>
          </w:p>
        </w:tc>
        <w:tc>
          <w:tcPr>
            <w:tcW w:w="2000" w:type="dxa"/>
            <w:vAlign w:val="bottom"/>
            <w:gridSpan w:val="2"/>
          </w:tcPr>
          <w:p>
            <w:pPr>
              <w:ind w:left="40"/>
              <w:spacing w:after="0"/>
              <w:rPr>
                <w:sz w:val="20"/>
                <w:szCs w:val="20"/>
                <w:color w:val="auto"/>
              </w:rPr>
            </w:pPr>
            <w:r>
              <w:rPr>
                <w:rFonts w:ascii="Arial" w:cs="Arial" w:eastAsia="Arial" w:hAnsi="Arial"/>
                <w:sz w:val="18"/>
                <w:szCs w:val="18"/>
                <w:color w:val="auto"/>
              </w:rPr>
              <w:t>A.M.L. Kuijpers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960" w:type="dxa"/>
            <w:vAlign w:val="bottom"/>
          </w:tcPr>
          <w:p>
            <w:pPr>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10220"/>
          </w:cols>
          <w:pgMar w:left="1440" w:top="280" w:right="239" w:bottom="1440" w:gutter="0" w:footer="0" w:header="0"/>
        </w:sectPr>
      </w:pPr>
    </w:p>
    <w:bookmarkStart w:id="19" w:name="page20"/>
    <w:bookmarkEnd w:id="1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HOLDING</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COMPANY LIMITED, a British Virgin Islands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5"/>
          <w:szCs w:val="15"/>
          <w:i w:val="1"/>
          <w:iCs w:val="1"/>
          <w:color w:val="auto"/>
        </w:rPr>
        <w:t>Signature Page to Eighth Amendment to Credit Agreement</w:t>
      </w:r>
    </w:p>
    <w:p>
      <w:pPr>
        <w:sectPr>
          <w:pgSz w:w="11900" w:h="16838" w:orient="portrait"/>
          <w:cols w:equalWidth="0" w:num="1">
            <w:col w:w="9120"/>
          </w:cols>
          <w:pgMar w:left="1440" w:top="280" w:right="1339" w:bottom="1440" w:gutter="0" w:footer="0" w:header="0"/>
        </w:sectPr>
      </w:pPr>
    </w:p>
    <w:bookmarkStart w:id="20" w:name="page21"/>
    <w:bookmarkEnd w:id="2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LTD., a Taiwan company</w:t>
      </w:r>
    </w:p>
    <w:p>
      <w:pPr>
        <w:spacing w:after="0" w:line="23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Eighth Amendment to Credit Agreement</w:t>
      </w:r>
    </w:p>
    <w:p>
      <w:pPr>
        <w:sectPr>
          <w:pgSz w:w="11900" w:h="16838" w:orient="portrait"/>
          <w:cols w:equalWidth="0" w:num="1">
            <w:col w:w="9019"/>
          </w:cols>
          <w:pgMar w:left="1440" w:top="280" w:right="1440" w:bottom="1440" w:gutter="0" w:footer="0" w:header="0"/>
        </w:sectPr>
      </w:pPr>
    </w:p>
    <w:bookmarkStart w:id="21" w:name="page22"/>
    <w:bookmarkEnd w:id="2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INTERNATIONAL CORPORATION, a</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Cayman Islands company</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9340"/>
          </w:cols>
          <w:pgMar w:left="1440" w:top="280" w:right="1119" w:bottom="1440" w:gutter="0" w:footer="0" w:header="0"/>
        </w:sectPr>
      </w:pPr>
    </w:p>
    <w:bookmarkStart w:id="22" w:name="page23"/>
    <w:bookmarkEnd w:id="2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SECURITIES LLC, as Arranger,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Syndication Agent and Documentation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Tavrow</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L. Tavrow</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 Banking Products Services, U.S.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Julie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B. Julie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Associate Director, Banking Products Services, U.S.</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AG, STAMFORD BRANCH,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 and Collateral Agent</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Tavrow</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L. Tavrow</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 Banking Products Services, U.S.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Julie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B. Julie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Associate Director, Banking Products Services, U.S.</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LOAN FINANCE LLC, as</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Swingline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Tavrow</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L. Tavrow</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 Banking Products Services, U.S.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Julie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B. Julie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Associate Director, Banking Products Services, U.S.</w:t>
            </w:r>
          </w:p>
        </w:tc>
      </w:tr>
    </w:tbl>
    <w:p>
      <w:pPr>
        <w:spacing w:after="0" w:line="15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10220"/>
          </w:cols>
          <w:pgMar w:left="1440" w:top="280" w:right="239" w:bottom="1440" w:gutter="0" w:footer="0" w:header="0"/>
        </w:sectPr>
      </w:pPr>
    </w:p>
    <w:bookmarkStart w:id="23" w:name="page24"/>
    <w:bookmarkEnd w:id="2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Il-Won Joo</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Il-Won Joo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Relationship Manager</w:t>
            </w:r>
          </w:p>
        </w:tc>
      </w:tr>
    </w:tbl>
    <w:p>
      <w:pPr>
        <w:spacing w:after="0" w:line="156"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10220"/>
          </w:cols>
          <w:pgMar w:left="1440" w:top="280" w:right="239" w:bottom="1440" w:gutter="0" w:footer="0" w:header="0"/>
        </w:sectPr>
      </w:pPr>
    </w:p>
    <w:bookmarkStart w:id="24" w:name="page25"/>
    <w:bookmarkEnd w:id="2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5"/>
          <w:szCs w:val="15"/>
          <w:i w:val="1"/>
          <w:iCs w:val="1"/>
          <w:color w:val="auto"/>
        </w:rPr>
        <w:t>Signature Page to Eighth Amendment to Credit Agreement</w:t>
      </w:r>
    </w:p>
    <w:p>
      <w:pPr>
        <w:sectPr>
          <w:pgSz w:w="11900" w:h="16838" w:orient="portrait"/>
          <w:cols w:equalWidth="0" w:num="1">
            <w:col w:w="9080"/>
          </w:cols>
          <w:pgMar w:left="1440" w:top="280" w:right="1379" w:bottom="1440" w:gutter="0" w:footer="0" w:header="0"/>
        </w:sectPr>
      </w:pPr>
    </w:p>
    <w:bookmarkStart w:id="25" w:name="page26"/>
    <w:bookmarkEnd w:id="2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Carl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Carl Cho</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9019"/>
          </w:cols>
          <w:pgMar w:left="1440" w:top="280" w:right="1440" w:bottom="1440" w:gutter="0" w:footer="0" w:header="0"/>
        </w:sectPr>
      </w:pPr>
    </w:p>
    <w:bookmarkStart w:id="26" w:name="page27"/>
    <w:bookmarkEnd w:id="2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A.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A. Austin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 Director</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p>
      <w:pPr>
        <w:sectPr>
          <w:pgSz w:w="11900" w:h="16838" w:orient="portrait"/>
          <w:cols w:equalWidth="0" w:num="1">
            <w:col w:w="9019"/>
          </w:cols>
          <w:pgMar w:left="1440" w:top="280" w:right="1440" w:bottom="1440" w:gutter="0" w:footer="0" w:header="0"/>
        </w:sectPr>
      </w:pPr>
    </w:p>
    <w:bookmarkStart w:id="27" w:name="page28"/>
    <w:bookmarkEnd w:id="2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Paul O’Leary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TRUST COMPANY AMERICAS</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Susan LeFevre</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i w:val="1"/>
          <w:iCs w:val="1"/>
          <w:color w:val="auto"/>
        </w:rPr>
        <w:t>Signature Page to Eighth Amendment to Credit Agreement</w:t>
      </w:r>
    </w:p>
    <w:sectPr>
      <w:pgSz w:w="11900" w:h="16838" w:orient="portrait"/>
      <w:cols w:equalWidth="0" w:num="1">
        <w:col w:w="9580"/>
      </w:cols>
      <w:pgMar w:left="1440" w:top="2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2"/>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1)"/>
      <w:numFmt w:val="lowerLetter"/>
      <w:start w:val="4"/>
    </w:lvl>
  </w:abstractNum>
  <w:abstractNum w:abstractNumId="6">
    <w:nsid w:val="216231B"/>
    <w:multiLevelType w:val="hybridMultilevel"/>
    <w:lvl w:ilvl="0">
      <w:lvlJc w:val="left"/>
      <w:lvlText w:val="(%1)"/>
      <w:numFmt w:val="lowerLetter"/>
      <w:start w:val="5"/>
    </w:lvl>
  </w:abstractNum>
  <w:abstractNum w:abstractNumId="7">
    <w:nsid w:val="1F16E9E8"/>
    <w:multiLevelType w:val="hybridMultilevel"/>
    <w:lvl w:ilvl="0">
      <w:lvlJc w:val="left"/>
      <w:lvlText w:val="(%1)"/>
      <w:numFmt w:val="lowerLetter"/>
      <w:start w:val="6"/>
    </w:lvl>
  </w:abstractNum>
  <w:abstractNum w:abstractNumId="8">
    <w:nsid w:val="1190CDE7"/>
    <w:multiLevelType w:val="hybridMultilevel"/>
    <w:lvl w:ilvl="0">
      <w:lvlJc w:val="left"/>
      <w:lvlText w:val="(%1)"/>
      <w:numFmt w:val="lowerRoman"/>
      <w:start w:val="2"/>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upperLetter"/>
      <w:start w:val="3"/>
    </w:lvl>
    <w:lvl w:ilvl="1">
      <w:lvlJc w:val="left"/>
      <w:lvlText w:val="(%2)"/>
      <w:numFmt w:val="lowerLetter"/>
      <w:start w:val="4"/>
    </w:lvl>
  </w:abstractNum>
  <w:abstractNum w:abstractNumId="11">
    <w:nsid w:val="3352255A"/>
    <w:multiLevelType w:val="hybridMultilevel"/>
    <w:lvl w:ilvl="0">
      <w:lvlJc w:val="left"/>
      <w:lvlText w:val="%1"/>
      <w:numFmt w:val="lowerLetter"/>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61"/>
    </w:lvl>
    <w:lvl w:ilvl="1">
      <w:lvlJc w:val="left"/>
      <w:lvlText w:val="(%2)"/>
      <w:numFmt w:val="lowerLetter"/>
      <w:start w:val="3"/>
    </w:lvl>
  </w:abstractNum>
  <w:abstractNum w:abstractNumId="13">
    <w:nsid w:val="DED7263"/>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2019-12-15T11:53:05Z</dcterms:created>
  <dcterms:modified xsi:type="dcterms:W3CDTF">2019-12-15T11:53:05Z</dcterms:modified>
</cp:coreProperties>
</file>