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gif" ContentType="image/gif"/>
  <Override PartName="/word/media/image2.gif" ContentType="image/gif"/>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80" w:after="283"/>
        <w:jc w:val="center"/>
        <w:rPr>
          <w:rFonts w:ascii="Times New Roman" w:hAnsi="Times New Roman"/>
          <w:sz w:val="20"/>
        </w:rPr>
      </w:pPr>
      <w:bookmarkStart w:id="0" w:name="mx-20260729.htm"/>
      <w:bookmarkStart w:id="1" w:name="ksmx20260729"/>
      <w:bookmarkEnd w:id="0"/>
      <w:bookmarkEnd w:id="1"/>
      <w:r>
        <w:rPr>
          <w:rFonts w:ascii="Times New Roman" w:hAnsi="Times New Roman"/>
          <w:b/>
          <w:color w:val="000000"/>
          <w:sz w:val="36"/>
        </w:rPr>
        <w:t>UNITED STATES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36"/>
        </w:rPr>
        <w:t>SECURITIES AND EXCHANGE COMMISSION</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4"/>
        </w:rPr>
        <w:t>Washington, DC 20549</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36"/>
        </w:rPr>
        <w:t>FORM 8-K</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4"/>
        </w:rPr>
        <w:t>CURRENT REPORT</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4"/>
        </w:rPr>
        <w:t>Pursuant to Section 13 or 15(d) of the</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4"/>
        </w:rPr>
        <w:t>Securities Exchange Act of 1934</w:t>
      </w:r>
      <w:r>
        <w:rPr>
          <w:rFonts w:ascii="Times New Roman" w:hAnsi="Times New Roman"/>
          <w:color w:val="000000"/>
          <w:sz w:val="20"/>
        </w:rPr>
        <w:t xml:space="preserve"> </w:t>
      </w:r>
    </w:p>
    <w:p>
      <w:pPr>
        <w:pStyle w:val="TextBody"/>
        <w:bidi w:val="0"/>
        <w:spacing w:before="240" w:after="283"/>
        <w:jc w:val="center"/>
        <w:rPr>
          <w:rFonts w:ascii="Times New Roman" w:hAnsi="Times New Roman"/>
          <w:b/>
          <w:color w:val="000000"/>
          <w:sz w:val="24"/>
        </w:rPr>
      </w:pPr>
      <w:r>
        <w:rPr>
          <w:rFonts w:ascii="Times New Roman" w:hAnsi="Times New Roman"/>
          <w:b/>
          <w:color w:val="000000"/>
          <w:sz w:val="24"/>
        </w:rPr>
        <w:t>Date of report (Date of earliest event reported): July 29, 2026</w:t>
      </w:r>
    </w:p>
    <w:p>
      <w:pPr>
        <w:pStyle w:val="TextBody"/>
        <w:bidi w:val="0"/>
        <w:spacing w:before="240" w:after="283"/>
        <w:jc w:val="center"/>
        <w:rPr>
          <w:rFonts w:ascii="Times New Roman" w:hAnsi="Times New Roman"/>
          <w:sz w:val="20"/>
        </w:rPr>
      </w:pPr>
      <w:r>
        <w:rPr>
          <w:rFonts w:ascii="Times New Roman" w:hAnsi="Times New Roman"/>
          <w:b/>
          <w:color w:val="000000"/>
          <w:sz w:val="48"/>
        </w:rPr>
        <w:t>Magnachip Semiconductor Corporation</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(Exact name of Registrant as specified in its charter)</w:t>
      </w:r>
      <w:r>
        <w:rPr>
          <w:rFonts w:ascii="Times New Roman" w:hAnsi="Times New Roman"/>
          <w:color w:val="000000"/>
          <w:sz w:val="20"/>
        </w:rPr>
        <w:t xml:space="preserve"> </w:t>
      </w:r>
    </w:p>
    <w:tbl>
      <w:tblPr>
        <w:tblW w:w="6031" w:type="dxa"/>
        <w:jc w:val="left"/>
        <w:tblInd w:w="0" w:type="dxa"/>
        <w:tblLayout w:type="fixed"/>
        <w:tblCellMar>
          <w:top w:w="28" w:type="dxa"/>
          <w:left w:w="28" w:type="dxa"/>
          <w:bottom w:w="28" w:type="dxa"/>
          <w:right w:w="28" w:type="dxa"/>
        </w:tblCellMar>
      </w:tblPr>
      <w:tblGrid>
        <w:gridCol w:w="3037"/>
        <w:gridCol w:w="1508"/>
        <w:gridCol w:w="1486"/>
      </w:tblGrid>
      <w:tr>
        <w:trPr/>
        <w:tc>
          <w:tcPr>
            <w:tcW w:w="3037" w:type="dxa"/>
            <w:tcBorders/>
            <w:vAlign w:val="center"/>
          </w:tcPr>
          <w:p>
            <w:pPr>
              <w:pStyle w:val="TableContents"/>
              <w:bidi w:val="0"/>
              <w:spacing w:before="0" w:after="283"/>
              <w:jc w:val="left"/>
              <w:rPr>
                <w:sz w:val="4"/>
                <w:szCs w:val="4"/>
              </w:rPr>
            </w:pPr>
            <w:r>
              <w:rPr>
                <w:sz w:val="4"/>
                <w:szCs w:val="4"/>
              </w:rPr>
            </w:r>
          </w:p>
        </w:tc>
        <w:tc>
          <w:tcPr>
            <w:tcW w:w="1508"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3037" w:type="dxa"/>
            <w:tcBorders/>
            <w:tcMar>
              <w:top w:w="0" w:type="dxa"/>
              <w:left w:w="0" w:type="dxa"/>
              <w:bottom w:w="0" w:type="dxa"/>
              <w:right w:w="0" w:type="dxa"/>
            </w:tcMar>
            <w:vAlign w:val="center"/>
          </w:tcPr>
          <w:p>
            <w:pPr>
              <w:pStyle w:val="TableContents"/>
              <w:bidi w:val="0"/>
              <w:spacing w:before="0" w:after="283"/>
              <w:jc w:val="left"/>
              <w:rPr/>
            </w:pPr>
            <w:r>
              <w:rPr/>
              <w:t> </w:t>
            </w:r>
          </w:p>
        </w:tc>
        <w:tc>
          <w:tcPr>
            <w:tcW w:w="1508" w:type="dxa"/>
            <w:tcBorders/>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03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50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001-34791</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83-0406195</w:t>
            </w:r>
          </w:p>
        </w:tc>
      </w:tr>
      <w:tr>
        <w:trPr/>
        <w:tc>
          <w:tcPr>
            <w:tcW w:w="3037"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(State or Other Jurisdiction</w:t>
            </w:r>
          </w:p>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of Incorporation)</w:t>
            </w:r>
          </w:p>
        </w:tc>
        <w:tc>
          <w:tcPr>
            <w:tcW w:w="1508"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(Commission</w:t>
            </w:r>
          </w:p>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File Number)</w:t>
            </w:r>
          </w:p>
        </w:tc>
        <w:tc>
          <w:tcPr>
            <w:tcW w:w="148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(IRS Employer</w:t>
            </w:r>
          </w:p>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Identification No.)</w:t>
            </w:r>
          </w:p>
        </w:tc>
      </w:tr>
      <w:tr>
        <w:trPr/>
        <w:tc>
          <w:tcPr>
            <w:tcW w:w="4545"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545" w:type="dxa"/>
            <w:gridSpan w:val="2"/>
            <w:tcBorders/>
            <w:tcMar>
              <w:top w:w="0" w:type="dxa"/>
              <w:left w:w="0" w:type="dxa"/>
              <w:bottom w:w="0" w:type="dxa"/>
              <w:right w:w="0" w:type="dxa"/>
            </w:tcMar>
            <w:vAlign w:val="center"/>
          </w:tcPr>
          <w:p>
            <w:pPr>
              <w:pStyle w:val="TableContents"/>
              <w:bidi w:val="0"/>
              <w:spacing w:before="40" w:after="283"/>
              <w:jc w:val="center"/>
              <w:rPr>
                <w:rFonts w:ascii="Times New Roman" w:hAnsi="Times New Roman"/>
                <w:sz w:val="20"/>
              </w:rPr>
            </w:pPr>
            <w:r>
              <w:rPr>
                <w:rFonts w:ascii="Times New Roman" w:hAnsi="Times New Roman"/>
                <w:b/>
                <w:color w:val="000000"/>
                <w:sz w:val="16"/>
              </w:rPr>
              <w:t>c/o Magnachip Semiconductor, Ltd.</w:t>
            </w:r>
            <w:r>
              <w:rPr>
                <w:rFonts w:ascii="Times New Roman" w:hAnsi="Times New Roman"/>
                <w:color w:val="000000"/>
                <w:sz w:val="20"/>
              </w:rPr>
              <w:t xml:space="preserve"> </w:t>
            </w:r>
          </w:p>
          <w:p>
            <w:pPr>
              <w:pStyle w:val="TableContents"/>
              <w:bidi w:val="0"/>
              <w:spacing w:before="40" w:after="283"/>
              <w:jc w:val="center"/>
              <w:rPr>
                <w:rFonts w:ascii="Times New Roman" w:hAnsi="Times New Roman"/>
                <w:b/>
                <w:color w:val="000000"/>
                <w:sz w:val="16"/>
              </w:rPr>
            </w:pPr>
            <w:r>
              <w:rPr>
                <w:rFonts w:ascii="Times New Roman" w:hAnsi="Times New Roman"/>
                <w:b/>
                <w:color w:val="000000"/>
                <w:sz w:val="16"/>
              </w:rPr>
              <w:t>15F, 76 Jikji-daero 436beon-gil, Heungdeok-gu</w:t>
            </w:r>
          </w:p>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Cheongju-si, Chungcheongbuk-do, 28581, Republic of Korea</w:t>
            </w:r>
          </w:p>
        </w:tc>
        <w:tc>
          <w:tcPr>
            <w:tcW w:w="1486" w:type="dxa"/>
            <w:tcBorders/>
            <w:tcMar>
              <w:top w:w="0" w:type="dxa"/>
              <w:left w:w="0" w:type="dxa"/>
              <w:bottom w:w="0" w:type="dxa"/>
              <w:right w:w="0" w:type="dxa"/>
            </w:tcMar>
            <w:vAlign w:val="center"/>
          </w:tcPr>
          <w:p>
            <w:pPr>
              <w:pStyle w:val="TableContents"/>
              <w:bidi w:val="0"/>
              <w:jc w:val="center"/>
              <w:rPr/>
            </w:pPr>
            <w:r>
              <w:rPr/>
              <w:t> </w:t>
            </w:r>
          </w:p>
          <w:p>
            <w:pPr>
              <w:pStyle w:val="TableContents"/>
              <w:bidi w:val="0"/>
              <w:jc w:val="center"/>
              <w:rPr/>
            </w:pPr>
            <w:r>
              <w:rPr/>
              <w:t> </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Not Applicable</w:t>
            </w:r>
          </w:p>
        </w:tc>
      </w:tr>
      <w:tr>
        <w:trPr/>
        <w:tc>
          <w:tcPr>
            <w:tcW w:w="4545" w:type="dxa"/>
            <w:gridSpan w:val="2"/>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(Address of Principal Executive Offices)</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(Zip Code)</w:t>
            </w:r>
          </w:p>
        </w:tc>
      </w:tr>
    </w:tbl>
    <w:p>
      <w:pPr>
        <w:pStyle w:val="TextBody"/>
        <w:bidi w:val="0"/>
        <w:spacing w:before="240" w:after="283"/>
        <w:jc w:val="center"/>
        <w:rPr>
          <w:rFonts w:ascii="Times New Roman" w:hAnsi="Times New Roman"/>
          <w:sz w:val="20"/>
        </w:rPr>
      </w:pPr>
      <w:r>
        <w:rPr>
          <w:rFonts w:ascii="Times New Roman" w:hAnsi="Times New Roman"/>
          <w:b/>
          <w:color w:val="000000"/>
          <w:sz w:val="20"/>
        </w:rPr>
        <w:t>Registrant’s telephone number, including area code: +82</w:t>
      </w:r>
      <w:r>
        <w:rPr>
          <w:rFonts w:ascii="Times New Roman" w:hAnsi="Times New Roman"/>
          <w:color w:val="000000"/>
          <w:sz w:val="20"/>
        </w:rPr>
        <w:t xml:space="preserve"> </w:t>
      </w:r>
      <w:r>
        <w:rPr>
          <w:rFonts w:ascii="Times New Roman" w:hAnsi="Times New Roman"/>
          <w:b/>
          <w:color w:val="000000"/>
          <w:sz w:val="20"/>
        </w:rPr>
        <w:t>(2) 6903-3000</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120" w:after="283"/>
        <w:jc w:val="left"/>
        <w:rPr/>
      </w:pPr>
      <w:r>
        <w:rPr>
          <w:color w:val="000000"/>
        </w:rPr>
        <w:t xml:space="preserve">☐ </w:t>
      </w:r>
      <w:r>
        <w:rPr>
          <w:rFonts w:ascii="Times New Roman" w:hAnsi="Times New Roman"/>
          <w:color w:val="000000"/>
          <w:sz w:val="20"/>
        </w:rPr>
        <w:t xml:space="preserve">Written communications pursuant to Rule 425 under the Securities Act (17 CFR 230.425) </w:t>
      </w:r>
    </w:p>
    <w:p>
      <w:pPr>
        <w:pStyle w:val="TextBody"/>
        <w:bidi w:val="0"/>
        <w:spacing w:before="120" w:after="283"/>
        <w:jc w:val="left"/>
        <w:rPr/>
      </w:pPr>
      <w:r>
        <w:rPr>
          <w:color w:val="000000"/>
        </w:rPr>
        <w:t xml:space="preserve">☐ </w:t>
      </w:r>
      <w:r>
        <w:rPr>
          <w:rFonts w:ascii="Times New Roman" w:hAnsi="Times New Roman"/>
          <w:color w:val="000000"/>
          <w:sz w:val="20"/>
        </w:rPr>
        <w:t xml:space="preserve">Soliciting material pursuant to Rule 14a-12 under the Exchange Act (17 CFR 240.14a-12) </w:t>
      </w:r>
    </w:p>
    <w:p>
      <w:pPr>
        <w:pStyle w:val="TextBody"/>
        <w:bidi w:val="0"/>
        <w:spacing w:before="120" w:after="283"/>
        <w:jc w:val="left"/>
        <w:rPr/>
      </w:pPr>
      <w:r>
        <w:rPr>
          <w:color w:val="000000"/>
        </w:rPr>
        <w:t xml:space="preserve">☐ </w:t>
      </w:r>
      <w:r>
        <w:rPr>
          <w:rFonts w:ascii="Times New Roman" w:hAnsi="Times New Roman"/>
          <w:color w:val="000000"/>
          <w:sz w:val="20"/>
        </w:rPr>
        <w:t xml:space="preserve">Pre-commencement communications pursuant to Rule 14d-2(b) under the Exchange Act (17 CFR 240.14d-2(b)) </w:t>
      </w:r>
    </w:p>
    <w:p>
      <w:pPr>
        <w:pStyle w:val="TextBody"/>
        <w:bidi w:val="0"/>
        <w:spacing w:before="120" w:after="283"/>
        <w:jc w:val="left"/>
        <w:rPr/>
      </w:pPr>
      <w:r>
        <w:rPr>
          <w:color w:val="000000"/>
        </w:rPr>
        <w:t xml:space="preserve">☐ </w:t>
      </w:r>
      <w:r>
        <w:rPr>
          <w:rFonts w:ascii="Times New Roman" w:hAnsi="Times New Roman"/>
          <w:color w:val="000000"/>
          <w:sz w:val="20"/>
        </w:rPr>
        <w:t xml:space="preserve">Pre-commencement communications pursuant to Rule 13e-4(c) under the Exchange Act (17 CFR 240.13e-4(c))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Securities registered pursuant to Section 12(b) of the Act:</w:t>
      </w:r>
    </w:p>
    <w:tbl>
      <w:tblPr>
        <w:tblW w:w="7788" w:type="dxa"/>
        <w:jc w:val="left"/>
        <w:tblInd w:w="0" w:type="dxa"/>
        <w:tblLayout w:type="fixed"/>
        <w:tblCellMar>
          <w:top w:w="28" w:type="dxa"/>
          <w:left w:w="28" w:type="dxa"/>
          <w:bottom w:w="28" w:type="dxa"/>
          <w:right w:w="28" w:type="dxa"/>
        </w:tblCellMar>
      </w:tblPr>
      <w:tblGrid>
        <w:gridCol w:w="3661"/>
        <w:gridCol w:w="1186"/>
        <w:gridCol w:w="2941"/>
      </w:tblGrid>
      <w:tr>
        <w:trPr/>
        <w:tc>
          <w:tcPr>
            <w:tcW w:w="3661" w:type="dxa"/>
            <w:tcBorders/>
            <w:shd w:fill="FFFFFF" w:val="clear"/>
            <w:vAlign w:val="center"/>
          </w:tcPr>
          <w:p>
            <w:pPr>
              <w:pStyle w:val="TableContents"/>
              <w:bidi w:val="0"/>
              <w:spacing w:before="0" w:after="283"/>
              <w:jc w:val="left"/>
              <w:rPr>
                <w:sz w:val="4"/>
                <w:szCs w:val="4"/>
              </w:rPr>
            </w:pPr>
            <w:r>
              <w:rPr>
                <w:sz w:val="4"/>
                <w:szCs w:val="4"/>
              </w:rPr>
            </w:r>
          </w:p>
        </w:tc>
        <w:tc>
          <w:tcPr>
            <w:tcW w:w="1186" w:type="dxa"/>
            <w:tcBorders/>
            <w:shd w:fill="FFFFFF" w:val="clear"/>
            <w:vAlign w:val="center"/>
          </w:tcPr>
          <w:p>
            <w:pPr>
              <w:pStyle w:val="TableContents"/>
              <w:bidi w:val="0"/>
              <w:spacing w:before="0" w:after="283"/>
              <w:jc w:val="left"/>
              <w:rPr>
                <w:sz w:val="4"/>
                <w:szCs w:val="4"/>
              </w:rPr>
            </w:pPr>
            <w:r>
              <w:rPr>
                <w:sz w:val="4"/>
                <w:szCs w:val="4"/>
              </w:rPr>
            </w:r>
          </w:p>
        </w:tc>
        <w:tc>
          <w:tcPr>
            <w:tcW w:w="2941" w:type="dxa"/>
            <w:tcBorders/>
            <w:shd w:fill="FFFFFF" w:val="clear"/>
            <w:vAlign w:val="center"/>
          </w:tcPr>
          <w:p>
            <w:pPr>
              <w:pStyle w:val="TableContents"/>
              <w:bidi w:val="0"/>
              <w:spacing w:before="0" w:after="283"/>
              <w:jc w:val="left"/>
              <w:rPr>
                <w:sz w:val="4"/>
                <w:szCs w:val="4"/>
              </w:rPr>
            </w:pPr>
            <w:r>
              <w:rPr>
                <w:sz w:val="4"/>
                <w:szCs w:val="4"/>
              </w:rPr>
            </w:r>
          </w:p>
        </w:tc>
      </w:tr>
      <w:tr>
        <w:trPr/>
        <w:tc>
          <w:tcPr>
            <w:tcW w:w="36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Title of each class</w:t>
            </w:r>
          </w:p>
        </w:tc>
        <w:tc>
          <w:tcPr>
            <w:tcW w:w="11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Trading Symbol</w:t>
            </w:r>
          </w:p>
        </w:tc>
        <w:tc>
          <w:tcPr>
            <w:tcW w:w="29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Name of each exchange on which registered</w:t>
            </w:r>
          </w:p>
        </w:tc>
      </w:tr>
      <w:tr>
        <w:trPr/>
        <w:tc>
          <w:tcPr>
            <w:tcW w:w="36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Common Stock, par value $0.01 per share</w:t>
            </w:r>
          </w:p>
        </w:tc>
        <w:tc>
          <w:tcPr>
            <w:tcW w:w="11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MX</w:t>
            </w:r>
          </w:p>
        </w:tc>
        <w:tc>
          <w:tcPr>
            <w:tcW w:w="29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New York Stock Exchange</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Emerging growth company ☐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bidi w:val="0"/>
        <w:spacing w:before="12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sz w:val="20"/>
        </w:rPr>
      </w:pPr>
      <w:r>
        <w:rPr>
          <w:rFonts w:ascii="Times New Roman" w:hAnsi="Times New Roman"/>
          <w:b/>
          <w:color w:val="000000"/>
          <w:sz w:val="20"/>
        </w:rPr>
        <w:t>Item 2.02. Results of Operations and Financial Condition.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Attached hereto as Exhibit 99.1 and incorporated by reference herein is financial information for Magnachip Semiconductor Corporation and its consolidated subsidiaries for the second quarter ended June 30, 2026, as presented in a press release dated July 29, 2026.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disclosed under this Item 2.02, including Exhibit 99.1 hereto, shall not be deemed “filed” for purposes of Section 18 of the Securities Exchange Act of 1934, as amended, and shall not be deemed incorporated by reference into any filing made under the Securities Act of 1933, as amended, except as expressly set forth by specific reference in such filing.</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Item 9.01. Financial Statements and Exhibits.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color w:val="000000"/>
          <w:sz w:val="20"/>
        </w:rPr>
        <w:t>(d) Exhibits.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following exhibit is furnished as part of this report: </w:t>
      </w:r>
    </w:p>
    <w:tbl>
      <w:tblPr>
        <w:tblW w:w="10205" w:type="dxa"/>
        <w:jc w:val="left"/>
        <w:tblInd w:w="0" w:type="dxa"/>
        <w:tblLayout w:type="fixed"/>
        <w:tblCellMar>
          <w:top w:w="28" w:type="dxa"/>
          <w:left w:w="28" w:type="dxa"/>
          <w:bottom w:w="28" w:type="dxa"/>
          <w:right w:w="28" w:type="dxa"/>
        </w:tblCellMar>
      </w:tblPr>
      <w:tblGrid>
        <w:gridCol w:w="646"/>
        <w:gridCol w:w="9559"/>
      </w:tblGrid>
      <w:tr>
        <w:trPr/>
        <w:tc>
          <w:tcPr>
            <w:tcW w:w="646" w:type="dxa"/>
            <w:tcBorders/>
            <w:shd w:fill="FFFFFF" w:val="clear"/>
            <w:vAlign w:val="center"/>
          </w:tcPr>
          <w:p>
            <w:pPr>
              <w:pStyle w:val="TableContents"/>
              <w:bidi w:val="0"/>
              <w:spacing w:before="0" w:after="283"/>
              <w:jc w:val="left"/>
              <w:rPr>
                <w:sz w:val="4"/>
                <w:szCs w:val="4"/>
              </w:rPr>
            </w:pPr>
            <w:r>
              <w:rPr>
                <w:sz w:val="4"/>
                <w:szCs w:val="4"/>
              </w:rPr>
            </w:r>
          </w:p>
        </w:tc>
        <w:tc>
          <w:tcPr>
            <w:tcW w:w="9559" w:type="dxa"/>
            <w:tcBorders/>
            <w:shd w:fill="FFFFFF" w:val="clear"/>
            <w:vAlign w:val="center"/>
          </w:tcPr>
          <w:p>
            <w:pPr>
              <w:pStyle w:val="TableContents"/>
              <w:bidi w:val="0"/>
              <w:spacing w:before="0" w:after="283"/>
              <w:jc w:val="left"/>
              <w:rPr>
                <w:sz w:val="4"/>
                <w:szCs w:val="4"/>
              </w:rPr>
            </w:pPr>
            <w:r>
              <w:rPr>
                <w:sz w:val="4"/>
                <w:szCs w:val="4"/>
              </w:rPr>
            </w:r>
          </w:p>
        </w:tc>
      </w:tr>
      <w:tr>
        <w:trPr/>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9559"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4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w:t>
            </w:r>
          </w:p>
        </w:tc>
        <w:tc>
          <w:tcPr>
            <w:tcW w:w="955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r>
      <w:tr>
        <w:trPr/>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9559"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46" w:type="dxa"/>
            <w:tcBorders/>
            <w:tcMar>
              <w:top w:w="0" w:type="dxa"/>
              <w:left w:w="0" w:type="dxa"/>
              <w:bottom w:w="0" w:type="dxa"/>
              <w:right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99.1</w:t>
            </w:r>
          </w:p>
        </w:tc>
        <w:tc>
          <w:tcPr>
            <w:tcW w:w="9559" w:type="dxa"/>
            <w:tcBorders/>
            <w:tcMar>
              <w:top w:w="0" w:type="dxa"/>
              <w:left w:w="0" w:type="dxa"/>
              <w:bottom w:w="0" w:type="dxa"/>
              <w:right w:w="0" w:type="dxa"/>
            </w:tcMar>
            <w:vAlign w:val="center"/>
          </w:tcPr>
          <w:p>
            <w:pPr>
              <w:pStyle w:val="TableContents"/>
              <w:bidi w:val="0"/>
              <w:spacing w:before="0" w:after="283"/>
              <w:ind w:left="0" w:right="0" w:firstLine="108"/>
              <w:jc w:val="left"/>
              <w:rPr/>
            </w:pPr>
            <w:hyperlink w:anchor="mx-ex99_1.htm">
              <w:r>
                <w:rPr>
                  <w:rStyle w:val="InternetLink"/>
                  <w:rFonts w:ascii="Times New Roman" w:hAnsi="Times New Roman"/>
                  <w:color w:val="0000FF"/>
                  <w:sz w:val="20"/>
                  <w:u w:val="single"/>
                </w:rPr>
                <w:t>Press release for Magnachip Semiconductor Corporation dated July 29, 2026, announcing the results for the second quarter ended June 30, 2026.</w:t>
              </w:r>
            </w:hyperlink>
          </w:p>
        </w:tc>
      </w:tr>
      <w:tr>
        <w:trPr/>
        <w:tc>
          <w:tcPr>
            <w:tcW w:w="646" w:type="dxa"/>
            <w:tcBorders/>
            <w:tcMar>
              <w:top w:w="0" w:type="dxa"/>
              <w:left w:w="0" w:type="dxa"/>
              <w:bottom w:w="0" w:type="dxa"/>
              <w:right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104</w:t>
            </w:r>
          </w:p>
        </w:tc>
        <w:tc>
          <w:tcPr>
            <w:tcW w:w="9559" w:type="dxa"/>
            <w:tcBorders/>
            <w:tcMar>
              <w:top w:w="0" w:type="dxa"/>
              <w:left w:w="0" w:type="dxa"/>
              <w:bottom w:w="0" w:type="dxa"/>
              <w:right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spacing w:before="360" w:after="283"/>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SIGNATURE</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Pursuant to the requirements of the Securities Exchange Act of 1934, the registrant has duly caused this report to be signed on its behalf by the undersigned hereunto duly authorized. </w:t>
      </w:r>
    </w:p>
    <w:tbl>
      <w:tblPr>
        <w:tblW w:w="7240" w:type="dxa"/>
        <w:jc w:val="left"/>
        <w:tblInd w:w="0" w:type="dxa"/>
        <w:tblLayout w:type="fixed"/>
        <w:tblCellMar>
          <w:top w:w="28" w:type="dxa"/>
          <w:left w:w="28" w:type="dxa"/>
          <w:bottom w:w="28" w:type="dxa"/>
          <w:right w:w="28" w:type="dxa"/>
        </w:tblCellMar>
      </w:tblPr>
      <w:tblGrid>
        <w:gridCol w:w="1816"/>
        <w:gridCol w:w="146"/>
        <w:gridCol w:w="2299"/>
        <w:gridCol w:w="969"/>
        <w:gridCol w:w="728"/>
        <w:gridCol w:w="1282"/>
      </w:tblGrid>
      <w:tr>
        <w:trPr/>
        <w:tc>
          <w:tcPr>
            <w:tcW w:w="18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9"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r>
      <w:tr>
        <w:trPr/>
        <w:tc>
          <w:tcPr>
            <w:tcW w:w="18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96"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128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8" w:type="dxa"/>
            <w:gridSpan w:val="4"/>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MAGNACHIP SEMICONDUCTOR CORPORATION</w:t>
            </w:r>
          </w:p>
        </w:tc>
      </w:tr>
      <w:tr>
        <w:trPr/>
        <w:tc>
          <w:tcPr>
            <w:tcW w:w="18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99" w:type="dxa"/>
            <w:tcBorders/>
            <w:tcMar>
              <w:top w:w="0" w:type="dxa"/>
              <w:left w:w="0" w:type="dxa"/>
              <w:bottom w:w="0" w:type="dxa"/>
              <w:right w:w="0" w:type="dxa"/>
            </w:tcMar>
            <w:vAlign w:val="center"/>
          </w:tcPr>
          <w:p>
            <w:pPr>
              <w:pStyle w:val="TableContents"/>
              <w:bidi w:val="0"/>
              <w:spacing w:before="0" w:after="283"/>
              <w:jc w:val="left"/>
              <w:rPr/>
            </w:pPr>
            <w:r>
              <w:rPr/>
              <w:t> </w:t>
            </w:r>
          </w:p>
        </w:tc>
        <w:tc>
          <w:tcPr>
            <w:tcW w:w="969" w:type="dxa"/>
            <w:tcBorders/>
            <w:tcMar>
              <w:top w:w="0" w:type="dxa"/>
              <w:left w:w="0" w:type="dxa"/>
              <w:bottom w:w="0" w:type="dxa"/>
              <w:right w:w="0" w:type="dxa"/>
            </w:tcMar>
            <w:vAlign w:val="center"/>
          </w:tcPr>
          <w:p>
            <w:pPr>
              <w:pStyle w:val="TableContents"/>
              <w:bidi w:val="0"/>
              <w:spacing w:before="0" w:after="283"/>
              <w:jc w:val="left"/>
              <w:rPr/>
            </w:pPr>
            <w:r>
              <w:rPr/>
              <w:t> </w:t>
            </w:r>
          </w:p>
        </w:tc>
        <w:tc>
          <w:tcPr>
            <w:tcW w:w="2010"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Dated: July 29, 2026</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9"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By: </w:t>
            </w:r>
          </w:p>
        </w:tc>
        <w:tc>
          <w:tcPr>
            <w:tcW w:w="969" w:type="dxa"/>
            <w:tcBorders/>
            <w:tcMar>
              <w:top w:w="0" w:type="dxa"/>
              <w:left w:w="0" w:type="dxa"/>
              <w:bottom w:w="0" w:type="dxa"/>
              <w:right w:w="0" w:type="dxa"/>
            </w:tcMar>
            <w:vAlign w:val="center"/>
          </w:tcPr>
          <w:p>
            <w:pPr>
              <w:pStyle w:val="TableContents"/>
              <w:bidi w:val="0"/>
              <w:spacing w:before="0" w:after="283"/>
              <w:jc w:val="left"/>
              <w:rPr/>
            </w:pPr>
            <w:r>
              <w:rPr/>
              <w:t> </w:t>
            </w:r>
          </w:p>
        </w:tc>
        <w:tc>
          <w:tcPr>
            <w:tcW w:w="201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Shinyoung Park</w:t>
            </w:r>
          </w:p>
        </w:tc>
      </w:tr>
      <w:tr>
        <w:trPr/>
        <w:tc>
          <w:tcPr>
            <w:tcW w:w="18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tcBorders/>
            <w:tcMar>
              <w:top w:w="0" w:type="dxa"/>
              <w:left w:w="0" w:type="dxa"/>
              <w:bottom w:w="0" w:type="dxa"/>
              <w:right w:w="0" w:type="dxa"/>
            </w:tcMar>
            <w:vAlign w:val="center"/>
          </w:tcPr>
          <w:p>
            <w:pPr>
              <w:pStyle w:val="TableContents"/>
              <w:bidi w:val="0"/>
              <w:spacing w:before="0" w:after="283"/>
              <w:jc w:val="left"/>
              <w:rPr/>
            </w:pPr>
            <w:r>
              <w:rPr/>
              <w:t> </w:t>
            </w:r>
          </w:p>
        </w:tc>
        <w:tc>
          <w:tcPr>
            <w:tcW w:w="201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Shinyoung Park</w:t>
            </w:r>
          </w:p>
        </w:tc>
      </w:tr>
      <w:tr>
        <w:trPr/>
        <w:tc>
          <w:tcPr>
            <w:tcW w:w="18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tcBorders/>
            <w:tcMar>
              <w:top w:w="0" w:type="dxa"/>
              <w:left w:w="0" w:type="dxa"/>
              <w:bottom w:w="0" w:type="dxa"/>
              <w:right w:w="0" w:type="dxa"/>
            </w:tcMar>
            <w:vAlign w:val="center"/>
          </w:tcPr>
          <w:p>
            <w:pPr>
              <w:pStyle w:val="TableContents"/>
              <w:bidi w:val="0"/>
              <w:spacing w:before="0" w:after="283"/>
              <w:jc w:val="left"/>
              <w:rPr/>
            </w:pPr>
            <w:r>
              <w:rPr/>
              <w:t> </w:t>
            </w:r>
          </w:p>
        </w:tc>
        <w:tc>
          <w:tcPr>
            <w:tcW w:w="201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bl>
    <w:p>
      <w:pPr>
        <w:pStyle w:val="TextBody"/>
        <w:bidi w:val="0"/>
        <w:spacing w:before="360" w:after="283"/>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 w:name="mx-ex99_1.htm"/>
      <w:bookmarkStart w:id="3" w:name="ksmxex99_1"/>
      <w:bookmarkEnd w:id="2"/>
      <w:bookmarkEnd w:id="3"/>
      <w:r>
        <w:rPr/>
        <w:drawing>
          <wp:inline distT="0" distB="0" distL="0" distR="0">
            <wp:extent cx="2447925" cy="4953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447925" cy="495300"/>
                    </a:xfrm>
                    <a:prstGeom prst="rect">
                      <a:avLst/>
                    </a:prstGeom>
                  </pic:spPr>
                </pic:pic>
              </a:graphicData>
            </a:graphic>
          </wp:inline>
        </w:drawing>
      </w:r>
      <w:r>
        <w:br w:type="page"/>
      </w:r>
    </w:p>
    <w:p>
      <w:pPr>
        <w:pStyle w:val="TextBody"/>
        <w:bidi w:val="0"/>
        <w:ind w:left="220" w:right="0" w:hanging="0"/>
        <w:jc w:val="right"/>
        <w:rPr>
          <w:rFonts w:ascii="Times New Roman" w:hAnsi="Times New Roman"/>
          <w:b/>
          <w:color w:val="000000"/>
          <w:sz w:val="22"/>
        </w:rPr>
      </w:pPr>
      <w:r>
        <w:rPr>
          <w:rFonts w:ascii="Times New Roman" w:hAnsi="Times New Roman"/>
          <w:b/>
          <w:color w:val="000000"/>
          <w:sz w:val="22"/>
        </w:rPr>
        <w:t>Exhibit 99.1</w:t>
      </w:r>
    </w:p>
    <w:p>
      <w:pPr>
        <w:pStyle w:val="TextBody"/>
        <w:bidi w:val="0"/>
        <w:ind w:left="220" w:right="0" w:hanging="0"/>
        <w:jc w:val="right"/>
        <w:rPr/>
      </w:pPr>
      <w:r>
        <w:rPr/>
        <w:t> </w:t>
      </w:r>
    </w:p>
    <w:p>
      <w:pPr>
        <w:pStyle w:val="TextBody"/>
        <w:bidi w:val="0"/>
        <w:ind w:left="0" w:right="0" w:firstLine="720"/>
        <w:jc w:val="center"/>
        <w:rPr>
          <w:rFonts w:ascii="Times New Roman" w:hAnsi="Times New Roman"/>
          <w:b/>
          <w:color w:val="000000"/>
          <w:sz w:val="24"/>
        </w:rPr>
      </w:pPr>
      <w:bookmarkStart w:id="4" w:name="ole_link1_1"/>
      <w:bookmarkStart w:id="5" w:name="ole_link46_1"/>
      <w:bookmarkEnd w:id="4"/>
      <w:bookmarkEnd w:id="5"/>
      <w:r>
        <w:rPr>
          <w:rFonts w:ascii="Times New Roman" w:hAnsi="Times New Roman"/>
          <w:b/>
          <w:color w:val="000000"/>
          <w:sz w:val="24"/>
        </w:rPr>
        <w:t>Magnachip Reports Results for Second Quarter 2026</w:t>
      </w:r>
    </w:p>
    <w:p>
      <w:pPr>
        <w:pStyle w:val="TextBody"/>
        <w:bidi w:val="0"/>
        <w:jc w:val="left"/>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Q2 Results Summary</w:t>
      </w:r>
    </w:p>
    <w:p>
      <w:pPr>
        <w:pStyle w:val="TextBody"/>
        <w:bidi w:val="0"/>
        <w:spacing w:before="0" w:after="0"/>
        <w:ind w:left="360" w:right="0" w:hanging="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Consolidated revenue from continuing operations (which includes Power Analog Solutions (“PAS”) and Power IC (“PIC”) businesses) was $44.7 million, within the guidance range of $44.5 to $48.5 million. </w:t>
      </w:r>
    </w:p>
    <w:p>
      <w:pPr>
        <w:pStyle w:val="TextBody"/>
        <w:bidi w:val="0"/>
        <w:spacing w:before="0" w:after="0"/>
        <w:ind w:left="360" w:right="0" w:hanging="0"/>
        <w:jc w:val="both"/>
        <w:rPr>
          <w:color w:val="000000"/>
        </w:rPr>
      </w:pPr>
      <w:r>
        <w:rPr>
          <w:color w:val="000000"/>
        </w:rPr>
        <w:t>•</w:t>
      </w:r>
    </w:p>
    <w:p>
      <w:pPr>
        <w:pStyle w:val="TextBody"/>
        <w:bidi w:val="0"/>
        <w:jc w:val="both"/>
        <w:rPr>
          <w:rFonts w:ascii="Times New Roman" w:hAnsi="Times New Roman"/>
          <w:color w:val="000000"/>
          <w:sz w:val="20"/>
        </w:rPr>
      </w:pPr>
      <w:r>
        <w:rPr>
          <w:rFonts w:ascii="Times New Roman" w:hAnsi="Times New Roman"/>
          <w:color w:val="000000"/>
          <w:sz w:val="20"/>
        </w:rPr>
        <w:t>Consolidated gross profit margin from continuing operations of 19.3% was above the high end of our guidance range of 17.0% to 19.0%.</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Recent Highlights</w:t>
      </w:r>
    </w:p>
    <w:p>
      <w:pPr>
        <w:pStyle w:val="TextBody"/>
        <w:bidi w:val="0"/>
        <w:spacing w:before="0" w:after="0"/>
        <w:ind w:left="360" w:right="0" w:hanging="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Appointment of Chae Lee as Chief Executive Officer</w:t>
      </w:r>
    </w:p>
    <w:p>
      <w:pPr>
        <w:pStyle w:val="TextBody"/>
        <w:bidi w:val="0"/>
        <w:spacing w:before="0" w:after="0"/>
        <w:ind w:left="360" w:right="0" w:hanging="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Launches New 6th-Generation 600V SJ MOSFETs for AI Servers and EV Charging Applications</w:t>
      </w:r>
    </w:p>
    <w:p>
      <w:pPr>
        <w:pStyle w:val="TextBody"/>
        <w:bidi w:val="0"/>
        <w:spacing w:before="0" w:after="0"/>
        <w:ind w:left="360" w:right="0" w:hanging="0"/>
        <w:jc w:val="both"/>
        <w:rPr>
          <w:color w:val="000000"/>
        </w:rPr>
      </w:pPr>
      <w:r>
        <w:rPr>
          <w:color w:val="000000"/>
        </w:rPr>
        <w:t>•</w:t>
      </w:r>
    </w:p>
    <w:p>
      <w:pPr>
        <w:pStyle w:val="TextBody"/>
        <w:bidi w:val="0"/>
        <w:jc w:val="both"/>
        <w:rPr>
          <w:rFonts w:ascii="Times New Roman" w:hAnsi="Times New Roman"/>
          <w:color w:val="000000"/>
          <w:sz w:val="20"/>
        </w:rPr>
      </w:pPr>
      <w:r>
        <w:rPr>
          <w:rFonts w:ascii="Times New Roman" w:hAnsi="Times New Roman"/>
          <w:color w:val="000000"/>
          <w:sz w:val="20"/>
        </w:rPr>
        <w:t>Formed strategic partnership with Navitas Semiconductor to license SiC technology for use in high-voltage and ultra-high-voltage power markets</w:t>
      </w:r>
    </w:p>
    <w:p>
      <w:pPr>
        <w:pStyle w:val="TextBody"/>
        <w:bidi w:val="0"/>
        <w:spacing w:before="200" w:after="283"/>
        <w:jc w:val="both"/>
        <w:rPr>
          <w:rFonts w:ascii="Times New Roman" w:hAnsi="Times New Roman"/>
          <w:sz w:val="20"/>
        </w:rPr>
      </w:pPr>
      <w:r>
        <w:rPr>
          <w:rFonts w:ascii="Times New Roman" w:hAnsi="Times New Roman"/>
          <w:b/>
          <w:color w:val="000000"/>
          <w:sz w:val="20"/>
        </w:rPr>
        <w:t>SEOUL, South Korea, July 29, 2026</w:t>
      </w:r>
      <w:r>
        <w:rPr>
          <w:rFonts w:ascii="Times New Roman" w:hAnsi="Times New Roman"/>
          <w:color w:val="000000"/>
          <w:sz w:val="20"/>
        </w:rPr>
        <w:t xml:space="preserve"> – Magnachip Semiconductor Corporation (NYSE: MX) (“Magnachip” or the “Company”) today announced financial results for the second quarter 2026.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Chae Lee, Magnachip’s CEO said, “Our second quarter results underscore both the challenges and the opportunity ahead. Our strategic relationship with Navitas marks an important milestone toward our plan to rebuild Magnachip. As I have met with our employees and customers over the past month, I have become increasingly confident in the strength of Magnachip's technology, engineering talent and manufacturing capabilities. Building on the strategic transformation already underway, we are focused on developing more differentiated power semiconductor solutions, improving our execution, and positioning Magnachip to compete through advanced innovation. While this transformation will take time, I believe it will strengthen our competitive position and create greater long-term shareholder value."</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drawing>
          <wp:inline distT="0" distB="0" distL="0" distR="0">
            <wp:extent cx="1476375" cy="2952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476375" cy="295275"/>
                    </a:xfrm>
                    <a:prstGeom prst="rect">
                      <a:avLst/>
                    </a:prstGeom>
                  </pic:spPr>
                </pic:pic>
              </a:graphicData>
            </a:graphic>
          </wp:inline>
        </w:drawing>
      </w:r>
    </w:p>
    <w:p>
      <w:pPr>
        <w:pStyle w:val="TextBody"/>
        <w:bidi w:val="0"/>
        <w:jc w:val="left"/>
        <w:rPr/>
      </w:pPr>
      <w:bookmarkStart w:id="6" w:name="page8_1"/>
      <w:bookmarkStart w:id="7" w:name="page6_1"/>
      <w:bookmarkEnd w:id="6"/>
      <w:bookmarkEnd w:id="7"/>
      <w:r>
        <w:rPr/>
        <w:t> </w:t>
      </w:r>
    </w:p>
    <w:tbl>
      <w:tblPr>
        <w:tblW w:w="10205" w:type="dxa"/>
        <w:jc w:val="left"/>
        <w:tblInd w:w="0" w:type="dxa"/>
        <w:tblLayout w:type="fixed"/>
        <w:tblCellMar>
          <w:top w:w="28" w:type="dxa"/>
          <w:left w:w="28" w:type="dxa"/>
          <w:bottom w:w="28" w:type="dxa"/>
          <w:right w:w="28" w:type="dxa"/>
        </w:tblCellMar>
      </w:tblPr>
      <w:tblGrid>
        <w:gridCol w:w="2330"/>
        <w:gridCol w:w="146"/>
        <w:gridCol w:w="622"/>
        <w:gridCol w:w="256"/>
        <w:gridCol w:w="146"/>
        <w:gridCol w:w="146"/>
        <w:gridCol w:w="601"/>
        <w:gridCol w:w="256"/>
        <w:gridCol w:w="146"/>
        <w:gridCol w:w="146"/>
        <w:gridCol w:w="511"/>
        <w:gridCol w:w="146"/>
        <w:gridCol w:w="146"/>
        <w:gridCol w:w="421"/>
        <w:gridCol w:w="466"/>
        <w:gridCol w:w="146"/>
        <w:gridCol w:w="146"/>
        <w:gridCol w:w="622"/>
        <w:gridCol w:w="256"/>
        <w:gridCol w:w="146"/>
        <w:gridCol w:w="146"/>
        <w:gridCol w:w="511"/>
        <w:gridCol w:w="146"/>
        <w:gridCol w:w="146"/>
        <w:gridCol w:w="511"/>
        <w:gridCol w:w="944"/>
      </w:tblGrid>
      <w:tr>
        <w:trPr/>
        <w:tc>
          <w:tcPr>
            <w:tcW w:w="23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r>
      <w:tr>
        <w:trPr/>
        <w:tc>
          <w:tcPr>
            <w:tcW w:w="23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Q2 2026 Financial Highlights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85" w:type="dxa"/>
            <w:gridSpan w:val="23"/>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3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85" w:type="dxa"/>
            <w:gridSpan w:val="23"/>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In thousands of U.S. dollars, except share data</w:t>
            </w:r>
          </w:p>
        </w:tc>
        <w:tc>
          <w:tcPr>
            <w:tcW w:w="9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85" w:type="dxa"/>
            <w:gridSpan w:val="2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GAAP</w:t>
            </w:r>
          </w:p>
        </w:tc>
        <w:tc>
          <w:tcPr>
            <w:tcW w:w="9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Q2 2026</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Q1 2026</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Q/Q change</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Q2 2025</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Y/Y change</w:t>
            </w:r>
          </w:p>
        </w:tc>
        <w:tc>
          <w:tcPr>
            <w:tcW w:w="9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30"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Net Sales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44,704</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46,208</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down</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w:t>
            </w:r>
          </w:p>
        </w:tc>
        <w:tc>
          <w:tcPr>
            <w:tcW w:w="4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 xml:space="preserve">47,622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down</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w:t>
            </w:r>
          </w:p>
        </w:tc>
        <w:tc>
          <w:tcPr>
            <w:tcW w:w="944" w:type="dxa"/>
            <w:tcBorders/>
            <w:shd w:fill="CCEEFF" w:val="clear"/>
            <w:tcMar>
              <w:top w:w="0" w:type="dxa"/>
              <w:left w:w="0" w:type="dxa"/>
              <w:bottom w:w="0" w:type="dxa"/>
              <w:right w:w="0" w:type="dxa"/>
            </w:tcMar>
            <w:vAlign w:val="center"/>
          </w:tcPr>
          <w:p>
            <w:pPr>
              <w:pStyle w:val="TableContents"/>
              <w:bidi w:val="0"/>
              <w:spacing w:before="0" w:after="283"/>
              <w:ind w:left="0" w:right="0" w:firstLine="432"/>
              <w:jc w:val="left"/>
              <w:rPr>
                <w:rFonts w:ascii="Times New Roman" w:hAnsi="Times New Roman"/>
                <w:color w:val="000000"/>
                <w:sz w:val="18"/>
              </w:rPr>
            </w:pPr>
            <w:r>
              <w:rPr>
                <w:rFonts w:ascii="Times New Roman" w:hAnsi="Times New Roman"/>
                <w:color w:val="000000"/>
                <w:sz w:val="18"/>
              </w:rPr>
              <w:t>%</w:t>
            </w:r>
          </w:p>
        </w:tc>
      </w:tr>
      <w:tr>
        <w:trPr/>
        <w:tc>
          <w:tcPr>
            <w:tcW w:w="2330" w:type="dxa"/>
            <w:tcBorders/>
            <w:tcMar>
              <w:top w:w="0" w:type="dxa"/>
              <w:left w:w="0" w:type="dxa"/>
              <w:bottom w:w="0" w:type="dxa"/>
              <w:right w:w="0" w:type="dxa"/>
            </w:tcMar>
            <w:vAlign w:val="center"/>
          </w:tcPr>
          <w:p>
            <w:pPr>
              <w:pStyle w:val="TableContents"/>
              <w:bidi w:val="0"/>
              <w:spacing w:before="0" w:after="283"/>
              <w:ind w:left="432" w:right="0" w:firstLine="432"/>
              <w:jc w:val="left"/>
              <w:rPr>
                <w:rFonts w:ascii="Times New Roman" w:hAnsi="Times New Roman"/>
                <w:color w:val="000000"/>
                <w:sz w:val="18"/>
              </w:rPr>
            </w:pPr>
            <w:r>
              <w:rPr>
                <w:rFonts w:ascii="Times New Roman" w:hAnsi="Times New Roman"/>
                <w:color w:val="000000"/>
                <w:sz w:val="18"/>
              </w:rPr>
              <w:t>Power Analog Solutions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40,574</w:t>
            </w:r>
          </w:p>
        </w:tc>
        <w:tc>
          <w:tcPr>
            <w:tcW w:w="2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41,647</w:t>
            </w:r>
          </w:p>
        </w:tc>
        <w:tc>
          <w:tcPr>
            <w:tcW w:w="2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down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w:t>
            </w:r>
          </w:p>
        </w:tc>
        <w:tc>
          <w:tcPr>
            <w:tcW w:w="4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 xml:space="preserve">42,261 </w:t>
            </w:r>
          </w:p>
        </w:tc>
        <w:tc>
          <w:tcPr>
            <w:tcW w:w="2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down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w:t>
            </w:r>
          </w:p>
        </w:tc>
        <w:tc>
          <w:tcPr>
            <w:tcW w:w="944" w:type="dxa"/>
            <w:tcBorders/>
            <w:tcMar>
              <w:top w:w="0" w:type="dxa"/>
              <w:left w:w="0" w:type="dxa"/>
              <w:bottom w:w="0" w:type="dxa"/>
              <w:right w:w="0" w:type="dxa"/>
            </w:tcMar>
            <w:vAlign w:val="center"/>
          </w:tcPr>
          <w:p>
            <w:pPr>
              <w:pStyle w:val="TableContents"/>
              <w:bidi w:val="0"/>
              <w:spacing w:before="0" w:after="283"/>
              <w:ind w:left="0" w:right="0" w:firstLine="432"/>
              <w:jc w:val="left"/>
              <w:rPr>
                <w:rFonts w:ascii="Times New Roman" w:hAnsi="Times New Roman"/>
                <w:color w:val="000000"/>
                <w:sz w:val="18"/>
              </w:rPr>
            </w:pPr>
            <w:r>
              <w:rPr>
                <w:rFonts w:ascii="Times New Roman" w:hAnsi="Times New Roman"/>
                <w:color w:val="000000"/>
                <w:sz w:val="18"/>
              </w:rPr>
              <w:t>%</w:t>
            </w:r>
          </w:p>
        </w:tc>
      </w:tr>
      <w:tr>
        <w:trPr/>
        <w:tc>
          <w:tcPr>
            <w:tcW w:w="2330" w:type="dxa"/>
            <w:tcBorders/>
            <w:shd w:fill="CCEEFF" w:val="clear"/>
            <w:tcMar>
              <w:top w:w="0" w:type="dxa"/>
              <w:left w:w="0" w:type="dxa"/>
              <w:bottom w:w="0" w:type="dxa"/>
              <w:right w:w="0" w:type="dxa"/>
            </w:tcMar>
            <w:vAlign w:val="center"/>
          </w:tcPr>
          <w:p>
            <w:pPr>
              <w:pStyle w:val="TableContents"/>
              <w:bidi w:val="0"/>
              <w:spacing w:before="0" w:after="283"/>
              <w:ind w:left="432" w:right="0" w:firstLine="432"/>
              <w:jc w:val="left"/>
              <w:rPr>
                <w:rFonts w:ascii="Times New Roman" w:hAnsi="Times New Roman"/>
                <w:color w:val="000000"/>
                <w:sz w:val="18"/>
              </w:rPr>
            </w:pPr>
            <w:r>
              <w:rPr>
                <w:rFonts w:ascii="Times New Roman" w:hAnsi="Times New Roman"/>
                <w:color w:val="000000"/>
                <w:sz w:val="18"/>
              </w:rPr>
              <w:t>Power IC</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4,130</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4,561</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down</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w:t>
            </w:r>
          </w:p>
        </w:tc>
        <w:tc>
          <w:tcPr>
            <w:tcW w:w="4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 xml:space="preserve">%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 xml:space="preserve">5,361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down</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23.0</w:t>
            </w:r>
          </w:p>
        </w:tc>
        <w:tc>
          <w:tcPr>
            <w:tcW w:w="944"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33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Gross Profit Margin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19.3</w:t>
            </w:r>
          </w:p>
        </w:tc>
        <w:tc>
          <w:tcPr>
            <w:tcW w:w="2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15.6</w:t>
            </w:r>
          </w:p>
        </w:tc>
        <w:tc>
          <w:tcPr>
            <w:tcW w:w="2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up</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w:t>
            </w:r>
          </w:p>
        </w:tc>
        <w:tc>
          <w:tcPr>
            <w:tcW w:w="4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%pts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20.4</w:t>
            </w:r>
          </w:p>
        </w:tc>
        <w:tc>
          <w:tcPr>
            <w:tcW w:w="2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down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w:t>
            </w:r>
          </w:p>
        </w:tc>
        <w:tc>
          <w:tcPr>
            <w:tcW w:w="944" w:type="dxa"/>
            <w:tcBorders/>
            <w:tcMar>
              <w:top w:w="0" w:type="dxa"/>
              <w:left w:w="0" w:type="dxa"/>
              <w:bottom w:w="0" w:type="dxa"/>
              <w:right w:w="0" w:type="dxa"/>
            </w:tcMar>
            <w:vAlign w:val="center"/>
          </w:tcPr>
          <w:p>
            <w:pPr>
              <w:pStyle w:val="TableContents"/>
              <w:bidi w:val="0"/>
              <w:spacing w:before="0" w:after="283"/>
              <w:ind w:left="0" w:right="0" w:firstLine="432"/>
              <w:jc w:val="left"/>
              <w:rPr>
                <w:rFonts w:ascii="Times New Roman" w:hAnsi="Times New Roman"/>
                <w:color w:val="000000"/>
                <w:sz w:val="18"/>
              </w:rPr>
            </w:pPr>
            <w:r>
              <w:rPr>
                <w:rFonts w:ascii="Times New Roman" w:hAnsi="Times New Roman"/>
                <w:color w:val="000000"/>
                <w:sz w:val="18"/>
              </w:rPr>
              <w:t>%pts</w:t>
            </w:r>
          </w:p>
        </w:tc>
      </w:tr>
      <w:tr>
        <w:trPr/>
        <w:tc>
          <w:tcPr>
            <w:tcW w:w="2330" w:type="dxa"/>
            <w:tcBorders/>
            <w:shd w:fill="CCEEFF" w:val="clear"/>
            <w:tcMar>
              <w:top w:w="0" w:type="dxa"/>
              <w:left w:w="0" w:type="dxa"/>
              <w:bottom w:w="0" w:type="dxa"/>
              <w:right w:w="0" w:type="dxa"/>
            </w:tcMar>
            <w:vAlign w:val="center"/>
          </w:tcPr>
          <w:p>
            <w:pPr>
              <w:pStyle w:val="TableContents"/>
              <w:bidi w:val="0"/>
              <w:spacing w:before="0" w:after="283"/>
              <w:ind w:left="432" w:right="0" w:firstLine="432"/>
              <w:jc w:val="left"/>
              <w:rPr>
                <w:rFonts w:ascii="Times New Roman" w:hAnsi="Times New Roman"/>
                <w:color w:val="000000"/>
                <w:sz w:val="18"/>
              </w:rPr>
            </w:pPr>
            <w:r>
              <w:rPr>
                <w:rFonts w:ascii="Times New Roman" w:hAnsi="Times New Roman"/>
                <w:color w:val="000000"/>
                <w:sz w:val="18"/>
              </w:rPr>
              <w:t>Power Analog Solutions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17.2</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12.8</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up</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w:t>
            </w:r>
          </w:p>
        </w:tc>
        <w:tc>
          <w:tcPr>
            <w:tcW w:w="4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%pts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18.2</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down</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w:t>
            </w:r>
          </w:p>
        </w:tc>
        <w:tc>
          <w:tcPr>
            <w:tcW w:w="944" w:type="dxa"/>
            <w:tcBorders/>
            <w:shd w:fill="CCEEFF" w:val="clear"/>
            <w:tcMar>
              <w:top w:w="0" w:type="dxa"/>
              <w:left w:w="0" w:type="dxa"/>
              <w:bottom w:w="0" w:type="dxa"/>
              <w:right w:w="0" w:type="dxa"/>
            </w:tcMar>
            <w:vAlign w:val="center"/>
          </w:tcPr>
          <w:p>
            <w:pPr>
              <w:pStyle w:val="TableContents"/>
              <w:bidi w:val="0"/>
              <w:spacing w:before="0" w:after="283"/>
              <w:ind w:left="0" w:right="0" w:firstLine="432"/>
              <w:jc w:val="left"/>
              <w:rPr>
                <w:rFonts w:ascii="Times New Roman" w:hAnsi="Times New Roman"/>
                <w:color w:val="000000"/>
                <w:sz w:val="18"/>
              </w:rPr>
            </w:pPr>
            <w:r>
              <w:rPr>
                <w:rFonts w:ascii="Times New Roman" w:hAnsi="Times New Roman"/>
                <w:color w:val="000000"/>
                <w:sz w:val="18"/>
              </w:rPr>
              <w:t>%pts</w:t>
            </w:r>
          </w:p>
        </w:tc>
      </w:tr>
      <w:tr>
        <w:trPr/>
        <w:tc>
          <w:tcPr>
            <w:tcW w:w="2330" w:type="dxa"/>
            <w:tcBorders/>
            <w:tcMar>
              <w:top w:w="0" w:type="dxa"/>
              <w:left w:w="0" w:type="dxa"/>
              <w:bottom w:w="0" w:type="dxa"/>
              <w:right w:w="0" w:type="dxa"/>
            </w:tcMar>
            <w:vAlign w:val="center"/>
          </w:tcPr>
          <w:p>
            <w:pPr>
              <w:pStyle w:val="TableContents"/>
              <w:bidi w:val="0"/>
              <w:spacing w:before="0" w:after="283"/>
              <w:ind w:left="432" w:right="0" w:firstLine="432"/>
              <w:jc w:val="left"/>
              <w:rPr>
                <w:rFonts w:ascii="Times New Roman" w:hAnsi="Times New Roman"/>
                <w:color w:val="000000"/>
                <w:sz w:val="18"/>
              </w:rPr>
            </w:pPr>
            <w:r>
              <w:rPr>
                <w:rFonts w:ascii="Times New Roman" w:hAnsi="Times New Roman"/>
                <w:color w:val="000000"/>
                <w:sz w:val="18"/>
              </w:rPr>
              <w:t>Power IC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40.9</w:t>
            </w:r>
          </w:p>
        </w:tc>
        <w:tc>
          <w:tcPr>
            <w:tcW w:w="2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40.4</w:t>
            </w:r>
          </w:p>
        </w:tc>
        <w:tc>
          <w:tcPr>
            <w:tcW w:w="2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up</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0.5</w:t>
            </w:r>
          </w:p>
        </w:tc>
        <w:tc>
          <w:tcPr>
            <w:tcW w:w="4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%pts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37.4</w:t>
            </w:r>
          </w:p>
        </w:tc>
        <w:tc>
          <w:tcPr>
            <w:tcW w:w="2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up</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w:t>
            </w:r>
          </w:p>
        </w:tc>
        <w:tc>
          <w:tcPr>
            <w:tcW w:w="94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%pts</w:t>
            </w:r>
          </w:p>
        </w:tc>
      </w:tr>
      <w:tr>
        <w:trPr/>
        <w:tc>
          <w:tcPr>
            <w:tcW w:w="2330"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Operating Loss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(9,976</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(7,170</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down</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39.1</w:t>
            </w:r>
          </w:p>
        </w:tc>
        <w:tc>
          <w:tcPr>
            <w:tcW w:w="4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(6,598</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down</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51.2</w:t>
            </w:r>
          </w:p>
        </w:tc>
        <w:tc>
          <w:tcPr>
            <w:tcW w:w="944"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33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Income (Loss) from continuing operations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(7,601</w:t>
            </w:r>
          </w:p>
        </w:tc>
        <w:tc>
          <w:tcPr>
            <w:tcW w:w="2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(4,697</w:t>
            </w:r>
          </w:p>
        </w:tc>
        <w:tc>
          <w:tcPr>
            <w:tcW w:w="2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down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61.8</w:t>
            </w:r>
          </w:p>
        </w:tc>
        <w:tc>
          <w:tcPr>
            <w:tcW w:w="4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9,203</w:t>
            </w:r>
          </w:p>
        </w:tc>
        <w:tc>
          <w:tcPr>
            <w:tcW w:w="2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down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182.6</w:t>
            </w:r>
          </w:p>
        </w:tc>
        <w:tc>
          <w:tcPr>
            <w:tcW w:w="94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330"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Basic Earnings (Loss) per Common Share</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(0.21</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(0.13</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down</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61.5</w:t>
            </w:r>
          </w:p>
        </w:tc>
        <w:tc>
          <w:tcPr>
            <w:tcW w:w="4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0.26</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down</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180.8</w:t>
            </w:r>
          </w:p>
        </w:tc>
        <w:tc>
          <w:tcPr>
            <w:tcW w:w="944"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33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Diluted Earnings (Loss) per Common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(0.21</w:t>
            </w:r>
          </w:p>
        </w:tc>
        <w:tc>
          <w:tcPr>
            <w:tcW w:w="2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(0.13</w:t>
            </w:r>
          </w:p>
        </w:tc>
        <w:tc>
          <w:tcPr>
            <w:tcW w:w="2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down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61.5</w:t>
            </w:r>
          </w:p>
        </w:tc>
        <w:tc>
          <w:tcPr>
            <w:tcW w:w="4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0.25</w:t>
            </w:r>
          </w:p>
        </w:tc>
        <w:tc>
          <w:tcPr>
            <w:tcW w:w="2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down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184.0</w:t>
            </w:r>
          </w:p>
        </w:tc>
        <w:tc>
          <w:tcPr>
            <w:tcW w:w="94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3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75" w:type="dxa"/>
            <w:gridSpan w:val="25"/>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85" w:type="dxa"/>
            <w:gridSpan w:val="23"/>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In thousands of U.S. dollars, except share data</w:t>
            </w:r>
          </w:p>
        </w:tc>
        <w:tc>
          <w:tcPr>
            <w:tcW w:w="9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23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85" w:type="dxa"/>
            <w:gridSpan w:val="2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5"/>
              </w:rPr>
            </w:pPr>
            <w:r>
              <w:rPr>
                <w:rFonts w:ascii="Times New Roman" w:hAnsi="Times New Roman"/>
                <w:b/>
                <w:color w:val="000000"/>
                <w:sz w:val="15"/>
              </w:rPr>
              <w:t>Non-GAAP</w:t>
            </w:r>
            <w:r>
              <w:rPr>
                <w:rFonts w:ascii="Times New Roman" w:hAnsi="Times New Roman"/>
                <w:b/>
                <w:color w:val="000000"/>
                <w:sz w:val="10"/>
              </w:rPr>
              <w:t>(1)</w:t>
            </w:r>
          </w:p>
        </w:tc>
        <w:tc>
          <w:tcPr>
            <w:tcW w:w="9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23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Q2 2026</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bottom w:val="single" w:sz="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Q1 2026</w:t>
            </w:r>
          </w:p>
        </w:tc>
        <w:tc>
          <w:tcPr>
            <w:tcW w:w="256"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Q/Q change</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Q2 2025</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Y/Y change</w:t>
            </w:r>
          </w:p>
        </w:tc>
        <w:tc>
          <w:tcPr>
            <w:tcW w:w="9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2330"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Adjusted Operating Loss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(6,976</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(6,527</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down</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w:t>
            </w:r>
          </w:p>
        </w:tc>
        <w:tc>
          <w:tcPr>
            <w:tcW w:w="4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(4,776</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down</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46.1</w:t>
            </w:r>
          </w:p>
        </w:tc>
        <w:tc>
          <w:tcPr>
            <w:tcW w:w="944"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3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Adjusted EBITDA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(4,219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(3,640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down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15.9</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(1,542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down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173.6</w:t>
            </w:r>
          </w:p>
        </w:tc>
        <w:tc>
          <w:tcPr>
            <w:tcW w:w="9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330"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Adjusted Loss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(4,901</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(4,073</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down</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20.3</w:t>
            </w:r>
          </w:p>
        </w:tc>
        <w:tc>
          <w:tcPr>
            <w:tcW w:w="4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(1,978</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down</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147.8</w:t>
            </w:r>
          </w:p>
        </w:tc>
        <w:tc>
          <w:tcPr>
            <w:tcW w:w="944"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3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Adjusted Loss per Common Share—Diluted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(0.13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(0.11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down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18.2</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down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160.0</w:t>
            </w:r>
          </w:p>
        </w:tc>
        <w:tc>
          <w:tcPr>
            <w:tcW w:w="9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jc w:val="left"/>
        <w:rPr/>
      </w:pPr>
      <w:r>
        <w:rPr/>
        <w:t> </w:t>
      </w:r>
    </w:p>
    <w:p>
      <w:pPr>
        <w:pStyle w:val="TextBody"/>
        <w:bidi w:val="0"/>
        <w:spacing w:before="0" w:after="0"/>
        <w:jc w:val="both"/>
        <w:rPr>
          <w:rFonts w:ascii="Times New Roman" w:hAnsi="Times New Roman"/>
          <w:color w:val="000000"/>
          <w:sz w:val="18"/>
        </w:rPr>
      </w:pPr>
      <w:r>
        <w:rPr>
          <w:rFonts w:ascii="Times New Roman" w:hAnsi="Times New Roman"/>
          <w:color w:val="000000"/>
          <w:sz w:val="18"/>
        </w:rPr>
        <w:t>(1)</w:t>
      </w:r>
    </w:p>
    <w:p>
      <w:pPr>
        <w:pStyle w:val="TextBody"/>
        <w:bidi w:val="0"/>
        <w:jc w:val="both"/>
        <w:rPr>
          <w:rFonts w:ascii="Times New Roman" w:hAnsi="Times New Roman"/>
          <w:color w:val="000000"/>
          <w:sz w:val="20"/>
        </w:rPr>
      </w:pPr>
      <w:r>
        <w:rPr>
          <w:rFonts w:ascii="Times New Roman" w:hAnsi="Times New Roman"/>
          <w:color w:val="000000"/>
          <w:sz w:val="20"/>
        </w:rPr>
        <w:t>Management believes that non-GAAP financial measures, when viewed in conjunction with GAAP results, can provide a meaningful understanding of the factors and trends affecting our business and operations and assist in evaluating our core operating performance. However, such non-GAAP financial measures have limitations and should not be considered as a substitute for net loss or as a better indicator of our operating performance than measures that are presented in accordance with GAAP. A reconciliation of historical GAAP results to non-GAAP results is included in this press release.</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Q3 2026 Financial Guidance</w:t>
      </w:r>
    </w:p>
    <w:p>
      <w:pPr>
        <w:pStyle w:val="TextBody"/>
        <w:bidi w:val="0"/>
        <w:jc w:val="both"/>
        <w:rPr>
          <w:rFonts w:ascii="Times New Roman" w:hAnsi="Times New Roman"/>
          <w:color w:val="000000"/>
          <w:sz w:val="20"/>
        </w:rPr>
      </w:pPr>
      <w:r>
        <w:rPr>
          <w:rFonts w:ascii="Times New Roman" w:hAnsi="Times New Roman"/>
          <w:color w:val="000000"/>
          <w:sz w:val="20"/>
        </w:rPr>
        <w:t>While actual results may vary, Magnachip currently expects the following:</w:t>
      </w:r>
    </w:p>
    <w:p>
      <w:pPr>
        <w:pStyle w:val="TextBody"/>
        <w:bidi w:val="0"/>
        <w:jc w:val="both"/>
        <w:rPr/>
      </w:pPr>
      <w:r>
        <w:rPr/>
        <w:t> </w:t>
      </w:r>
    </w:p>
    <w:p>
      <w:pPr>
        <w:pStyle w:val="TextBody"/>
        <w:bidi w:val="0"/>
        <w:spacing w:before="0" w:after="0"/>
        <w:ind w:left="360" w:right="0" w:hanging="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Consolidated revenue from continuing operations (which includes Power Analog Solutions and Power IC businesses) to be in the range of $41.5 million to $45.5 million, a decrease of 2.7% sequentially and a decrease of 5.2% year-over-year at the mid-point. This compares with $44.7 million in Q2 2026 and $45.9 million in Q3 2025. </w:t>
      </w:r>
    </w:p>
    <w:p>
      <w:pPr>
        <w:pStyle w:val="TextBody"/>
        <w:bidi w:val="0"/>
        <w:spacing w:before="240" w:after="283"/>
        <w:ind w:left="360" w:right="0" w:hanging="0"/>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Consolidated gross profit margin from continuing operations to be in the range of 17% to 19%, compared with 19.3% in Q2 2026 and 18.6% in Q3 2025. The sequential decline is primarily due to an unfavorable product mix.</w:t>
      </w:r>
    </w:p>
    <w:p>
      <w:pPr>
        <w:pStyle w:val="TextBody"/>
        <w:pBdr/>
        <w:bidi w:val="0"/>
        <w:ind w:left="360" w:right="0" w:hanging="36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Commenting on the third quarter guidance, Shinyoung Park, Chief Financial Officer, said, “We continue to see healthy demand for our Low Voltage BatteryFET product line for mobile products. Nevertheless, we expect third-quarter revenue to decline sequentially due to three near-term factors: packaging constraints in our supply chain that are limiting our ability to fully satisfy demand, lower-than-expected customer volumes in certain consumer applications, and an unfavorable product mix resulting from continued pricing pressure on our legacy products.”</w:t>
      </w:r>
    </w:p>
    <w:p>
      <w:pPr>
        <w:pStyle w:val="TextBody"/>
        <w:bidi w:val="0"/>
        <w:jc w:val="both"/>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Q2 2026 Earnings Conference Call</w:t>
      </w:r>
    </w:p>
    <w:p>
      <w:pPr>
        <w:pStyle w:val="TextBody"/>
        <w:bidi w:val="0"/>
        <w:jc w:val="both"/>
        <w:rPr>
          <w:rFonts w:ascii="Times New Roman" w:hAnsi="Times New Roman"/>
          <w:sz w:val="20"/>
        </w:rPr>
      </w:pPr>
      <w:r>
        <w:rPr>
          <w:rFonts w:ascii="Times New Roman" w:hAnsi="Times New Roman"/>
          <w:color w:val="000000"/>
          <w:sz w:val="20"/>
        </w:rPr>
        <w:t xml:space="preserve">Magnachip will host a corresponding conference call at 2:00 p.m. PT / 5:00 p.m. ET on Wednesday, July 29, 2026, to discuss its financial results. In advance of the conference call, all participants must use the following link to complete the online registration process. Upon registering, each participant will receive access details for this event including the dial-in numbers, a PIN number, and an e-mail with detailed instructions to join the conference call. A live and archived webcast of the conference call and a copy of the earnings release will be accessible from the ‘Investors’ section of the Company’s website at </w:t>
      </w:r>
      <w:r>
        <w:rPr>
          <w:rFonts w:ascii="Times New Roman" w:hAnsi="Times New Roman"/>
          <w:sz w:val="20"/>
        </w:rPr>
        <w:t>www.magnachip.com</w:t>
      </w:r>
      <w:r>
        <w:rPr>
          <w:rFonts w:ascii="Times New Roman" w:hAnsi="Times New Roman"/>
          <w:color w:val="000000"/>
          <w:sz w:val="20"/>
        </w:rPr>
        <w:t>.</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Online registration: </w:t>
      </w:r>
      <w:r>
        <w:rPr>
          <w:rFonts w:ascii="Times New Roman" w:hAnsi="Times New Roman"/>
          <w:sz w:val="20"/>
        </w:rPr>
        <w:t>https://register-conf.media-server.com/register/BIb70b5b5cb65045238d2757182fd0d278</w:t>
      </w:r>
    </w:p>
    <w:p>
      <w:pPr>
        <w:pStyle w:val="TextBody"/>
        <w:bidi w:val="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drawing>
          <wp:inline distT="0" distB="0" distL="0" distR="0">
            <wp:extent cx="1476375" cy="2952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476375" cy="295275"/>
                    </a:xfrm>
                    <a:prstGeom prst="rect">
                      <a:avLst/>
                    </a:prstGeom>
                  </pic:spPr>
                </pic:pic>
              </a:graphicData>
            </a:graphic>
          </wp:inline>
        </w:drawing>
      </w:r>
    </w:p>
    <w:p>
      <w:pPr>
        <w:pStyle w:val="TextBody"/>
        <w:bidi w:val="0"/>
        <w:jc w:val="both"/>
        <w:rPr>
          <w:rFonts w:ascii="Times New Roman" w:hAnsi="Times New Roman"/>
          <w:b/>
          <w:color w:val="000000"/>
          <w:sz w:val="20"/>
        </w:rPr>
      </w:pPr>
      <w:r>
        <w:rPr>
          <w:rFonts w:ascii="Times New Roman" w:hAnsi="Times New Roman"/>
          <w:b/>
          <w:color w:val="000000"/>
          <w:sz w:val="20"/>
        </w:rPr>
        <w:t>Safe Harbor for Forward-Looking Statements</w:t>
      </w:r>
    </w:p>
    <w:p>
      <w:pPr>
        <w:pStyle w:val="TextBody"/>
        <w:bidi w:val="0"/>
        <w:jc w:val="both"/>
        <w:rPr>
          <w:rFonts w:ascii="Times New Roman" w:hAnsi="Times New Roman"/>
          <w:color w:val="000000"/>
          <w:sz w:val="20"/>
        </w:rPr>
      </w:pPr>
      <w:r>
        <w:rPr>
          <w:rFonts w:ascii="Times New Roman" w:hAnsi="Times New Roman"/>
          <w:color w:val="000000"/>
          <w:sz w:val="20"/>
        </w:rPr>
        <w:t>Information in this press release regarding Magnachip’s forecasts, business outlook, expectations and beliefs are forward-looking statements within the meaning of the Private Securities Litigation Reform Act of 1995 that involve risks and uncertainties. These statements include expectations regarding our financial performance and business outlook, including third quarter 2026 revenue and gross profit margin, future growth and revenue opportunities, strategic relationships, product development and commercialization, and other future events. All forward-looking statements included in this release are based upon information available to Magnachip as of the date of this release. These statements are not guarantees of future performance and actual results could differ materially from our current expectations. Factors that could cause or contribute to such differences include, among others: changes in macroeconomic conditions, trade policies, geopolitical conditions and market conditions; manufacturing capacity constraints, supply chain disruptions and changes in customer demand; the impact of competitive products and pricing; our ability to establish, maintain and expand strategic relationships with customers and business partners, and to realize the anticipated benefits of those relationships; customer acceptance of our products and technologies; our ability to develop, introduce and ramp new products into volume production; changes in semiconductor industry supply and demand, including overcapacity and manufacturing utilization; financial stability in foreign markets and the impact of foreign exchange rates; unanticipated costs and expenses; changes in, or compliance with, applicable trade, export and other laws and regulations; public health issues; other business interruptions; and other risks described in Magnachip's filings with the SEC, including our Annual Report on Form 10-K filed on March 16, 2026. Magnachip assumes no obligation and does not intend to update the forward-looking statements provided, whether as a result of new information, future events or otherwise.</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About Magnachip Semiconductor</w:t>
      </w:r>
    </w:p>
    <w:p>
      <w:pPr>
        <w:pStyle w:val="TextBody"/>
        <w:bidi w:val="0"/>
        <w:jc w:val="both"/>
        <w:rPr>
          <w:rFonts w:ascii="Times New Roman" w:hAnsi="Times New Roman"/>
          <w:sz w:val="20"/>
        </w:rPr>
      </w:pPr>
      <w:r>
        <w:rPr>
          <w:rFonts w:ascii="Times New Roman" w:hAnsi="Times New Roman"/>
          <w:color w:val="000000"/>
          <w:sz w:val="20"/>
        </w:rPr>
        <w:t>Magnachip is a designer and manufacturer of analog and mixed-signal power semiconductor platform solutions for various applications, including industrial, automotive, communication, consumer and computing. The Company provides a broad range of standard products to customers worldwide. Magnachip, with about 45 years of operating history, owns a substantial number of registered patents and pending applications, and has extensive engineering, design and manufacturing process expertise. For more information, please visit </w:t>
      </w:r>
      <w:r>
        <w:rPr>
          <w:rFonts w:ascii="Times New Roman" w:hAnsi="Times New Roman"/>
          <w:sz w:val="20"/>
        </w:rPr>
        <w:t>www.magnachip.com</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CONTACT:</w:t>
      </w:r>
    </w:p>
    <w:p>
      <w:pPr>
        <w:pStyle w:val="TextBody"/>
        <w:bidi w:val="0"/>
        <w:jc w:val="both"/>
        <w:rPr>
          <w:rFonts w:ascii="Times New Roman" w:hAnsi="Times New Roman"/>
          <w:color w:val="000000"/>
          <w:sz w:val="20"/>
        </w:rPr>
      </w:pPr>
      <w:r>
        <w:rPr>
          <w:rFonts w:ascii="Times New Roman" w:hAnsi="Times New Roman"/>
          <w:color w:val="000000"/>
          <w:sz w:val="20"/>
        </w:rPr>
        <w:t>Mike Bishop</w:t>
      </w:r>
    </w:p>
    <w:p>
      <w:pPr>
        <w:pStyle w:val="TextBody"/>
        <w:bidi w:val="0"/>
        <w:jc w:val="both"/>
        <w:rPr>
          <w:rFonts w:ascii="Times New Roman" w:hAnsi="Times New Roman"/>
          <w:color w:val="000000"/>
          <w:sz w:val="20"/>
        </w:rPr>
      </w:pPr>
      <w:r>
        <w:rPr>
          <w:rFonts w:ascii="Times New Roman" w:hAnsi="Times New Roman"/>
          <w:color w:val="000000"/>
          <w:sz w:val="20"/>
        </w:rPr>
        <w:t>Bishop IR, LLC</w:t>
      </w:r>
    </w:p>
    <w:p>
      <w:pPr>
        <w:pStyle w:val="TextBody"/>
        <w:bidi w:val="0"/>
        <w:jc w:val="both"/>
        <w:rPr>
          <w:rFonts w:ascii="Times New Roman" w:hAnsi="Times New Roman"/>
          <w:color w:val="000000"/>
          <w:sz w:val="20"/>
        </w:rPr>
      </w:pPr>
      <w:r>
        <w:rPr>
          <w:rFonts w:ascii="Times New Roman" w:hAnsi="Times New Roman"/>
          <w:color w:val="000000"/>
          <w:sz w:val="20"/>
        </w:rPr>
        <w:t>Tel. +1 (415) 891-9633</w:t>
      </w:r>
    </w:p>
    <w:p>
      <w:pPr>
        <w:pStyle w:val="TextBody"/>
        <w:bidi w:val="0"/>
        <w:jc w:val="both"/>
        <w:rPr>
          <w:rFonts w:ascii="Times New Roman" w:hAnsi="Times New Roman"/>
          <w:color w:val="000000"/>
          <w:sz w:val="20"/>
        </w:rPr>
      </w:pPr>
      <w:r>
        <w:rPr>
          <w:rFonts w:ascii="Times New Roman" w:hAnsi="Times New Roman"/>
          <w:color w:val="000000"/>
          <w:sz w:val="20"/>
        </w:rPr>
        <w:t>mike@bishopir.com</w:t>
      </w:r>
    </w:p>
    <w:p>
      <w:pPr>
        <w:pStyle w:val="TextBody"/>
        <w:bidi w:val="0"/>
        <w:ind w:left="0" w:right="20" w:hanging="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drawing>
          <wp:inline distT="0" distB="0" distL="0" distR="0">
            <wp:extent cx="1476375" cy="2952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476375" cy="295275"/>
                    </a:xfrm>
                    <a:prstGeom prst="rect">
                      <a:avLst/>
                    </a:prstGeom>
                  </pic:spPr>
                </pic:pic>
              </a:graphicData>
            </a:graphic>
          </wp:inline>
        </w:drawing>
      </w:r>
    </w:p>
    <w:p>
      <w:pPr>
        <w:pStyle w:val="TextBody"/>
        <w:bidi w:val="0"/>
        <w:ind w:left="0" w:right="20" w:hanging="0"/>
        <w:jc w:val="center"/>
        <w:rPr>
          <w:rFonts w:ascii="Times New Roman" w:hAnsi="Times New Roman"/>
          <w:b/>
          <w:color w:val="000000"/>
          <w:sz w:val="18"/>
        </w:rPr>
      </w:pPr>
      <w:r>
        <w:rPr>
          <w:rFonts w:ascii="Times New Roman" w:hAnsi="Times New Roman"/>
          <w:b/>
          <w:color w:val="000000"/>
          <w:sz w:val="18"/>
        </w:rPr>
        <w:t>MAGNACHIP SEMICONDUCTOR CORPORATION AND SUBSIDIARIES</w:t>
      </w:r>
    </w:p>
    <w:p>
      <w:pPr>
        <w:pStyle w:val="TextBody"/>
        <w:bidi w:val="0"/>
        <w:ind w:left="0" w:right="20" w:hanging="0"/>
        <w:jc w:val="center"/>
        <w:rPr>
          <w:rFonts w:ascii="Times New Roman" w:hAnsi="Times New Roman"/>
          <w:b/>
          <w:color w:val="000000"/>
          <w:sz w:val="18"/>
        </w:rPr>
      </w:pPr>
      <w:r>
        <w:rPr>
          <w:rFonts w:ascii="Times New Roman" w:hAnsi="Times New Roman"/>
          <w:b/>
          <w:color w:val="000000"/>
          <w:sz w:val="18"/>
        </w:rPr>
        <w:t>CONSOLIDATED STATEMENTS OF OPERATIONS</w:t>
      </w:r>
    </w:p>
    <w:p>
      <w:pPr>
        <w:pStyle w:val="TextBody"/>
        <w:bidi w:val="0"/>
        <w:ind w:left="0" w:right="20" w:hanging="0"/>
        <w:jc w:val="center"/>
        <w:rPr>
          <w:rFonts w:ascii="Times New Roman" w:hAnsi="Times New Roman"/>
          <w:b/>
          <w:color w:val="000000"/>
          <w:sz w:val="18"/>
        </w:rPr>
      </w:pPr>
      <w:r>
        <w:rPr>
          <w:rFonts w:ascii="Times New Roman" w:hAnsi="Times New Roman"/>
          <w:b/>
          <w:color w:val="000000"/>
          <w:sz w:val="18"/>
        </w:rPr>
        <w:t>(In thousands of U.S. dollars, except share data)</w:t>
      </w:r>
    </w:p>
    <w:p>
      <w:pPr>
        <w:pStyle w:val="TextBody"/>
        <w:bidi w:val="0"/>
        <w:ind w:left="0" w:right="20" w:hanging="0"/>
        <w:jc w:val="center"/>
        <w:rPr>
          <w:rFonts w:ascii="Times New Roman" w:hAnsi="Times New Roman"/>
          <w:b/>
          <w:color w:val="000000"/>
          <w:sz w:val="18"/>
        </w:rPr>
      </w:pPr>
      <w:r>
        <w:rPr>
          <w:rFonts w:ascii="Times New Roman" w:hAnsi="Times New Roman"/>
          <w:b/>
          <w:color w:val="000000"/>
          <w:sz w:val="18"/>
        </w:rPr>
        <w:t>(Unaudited)</w:t>
      </w:r>
    </w:p>
    <w:p>
      <w:pPr>
        <w:pStyle w:val="TextBody"/>
        <w:bidi w:val="0"/>
        <w:ind w:left="0" w:right="20" w:hanging="0"/>
        <w:jc w:val="left"/>
        <w:rPr/>
      </w:pPr>
      <w:r>
        <w:rPr/>
        <w:t> </w:t>
      </w:r>
    </w:p>
    <w:tbl>
      <w:tblPr>
        <w:tblW w:w="10205" w:type="dxa"/>
        <w:jc w:val="left"/>
        <w:tblInd w:w="0" w:type="dxa"/>
        <w:tblLayout w:type="fixed"/>
        <w:tblCellMar>
          <w:top w:w="28" w:type="dxa"/>
          <w:left w:w="28" w:type="dxa"/>
          <w:bottom w:w="28" w:type="dxa"/>
          <w:right w:w="28" w:type="dxa"/>
        </w:tblCellMar>
      </w:tblPr>
      <w:tblGrid>
        <w:gridCol w:w="1982"/>
        <w:gridCol w:w="196"/>
        <w:gridCol w:w="916"/>
        <w:gridCol w:w="256"/>
        <w:gridCol w:w="146"/>
        <w:gridCol w:w="196"/>
        <w:gridCol w:w="916"/>
        <w:gridCol w:w="256"/>
        <w:gridCol w:w="146"/>
        <w:gridCol w:w="196"/>
        <w:gridCol w:w="916"/>
        <w:gridCol w:w="256"/>
        <w:gridCol w:w="146"/>
        <w:gridCol w:w="196"/>
        <w:gridCol w:w="916"/>
        <w:gridCol w:w="256"/>
        <w:gridCol w:w="146"/>
        <w:gridCol w:w="196"/>
        <w:gridCol w:w="916"/>
        <w:gridCol w:w="1055"/>
      </w:tblGrid>
      <w:tr>
        <w:trPr/>
        <w:tc>
          <w:tcPr>
            <w:tcW w:w="1982" w:type="dxa"/>
            <w:tcBorders/>
            <w:shd w:fill="FFFFFF" w:val="clear"/>
            <w:vAlign w:val="center"/>
          </w:tcPr>
          <w:p>
            <w:pPr>
              <w:pStyle w:val="TableContents"/>
              <w:bidi w:val="0"/>
              <w:spacing w:before="0" w:after="283"/>
              <w:jc w:val="left"/>
              <w:rPr>
                <w:sz w:val="4"/>
                <w:szCs w:val="4"/>
              </w:rPr>
            </w:pPr>
            <w:r>
              <w:rPr>
                <w:sz w:val="4"/>
                <w:szCs w:val="4"/>
              </w:rPr>
            </w:r>
          </w:p>
        </w:tc>
        <w:tc>
          <w:tcPr>
            <w:tcW w:w="196" w:type="dxa"/>
            <w:tcBorders/>
            <w:shd w:fill="FFFFFF" w:val="clear"/>
            <w:vAlign w:val="center"/>
          </w:tcPr>
          <w:p>
            <w:pPr>
              <w:pStyle w:val="TableContents"/>
              <w:bidi w:val="0"/>
              <w:spacing w:before="0" w:after="283"/>
              <w:jc w:val="left"/>
              <w:rPr>
                <w:sz w:val="4"/>
                <w:szCs w:val="4"/>
              </w:rPr>
            </w:pPr>
            <w:r>
              <w:rPr>
                <w:sz w:val="4"/>
                <w:szCs w:val="4"/>
              </w:rPr>
            </w:r>
          </w:p>
        </w:tc>
        <w:tc>
          <w:tcPr>
            <w:tcW w:w="916" w:type="dxa"/>
            <w:tcBorders/>
            <w:shd w:fill="FFFFFF" w:val="clear"/>
            <w:vAlign w:val="center"/>
          </w:tcPr>
          <w:p>
            <w:pPr>
              <w:pStyle w:val="TableContents"/>
              <w:bidi w:val="0"/>
              <w:spacing w:before="0" w:after="283"/>
              <w:jc w:val="left"/>
              <w:rPr>
                <w:sz w:val="4"/>
                <w:szCs w:val="4"/>
              </w:rPr>
            </w:pPr>
            <w:r>
              <w:rPr>
                <w:sz w:val="4"/>
                <w:szCs w:val="4"/>
              </w:rPr>
            </w:r>
          </w:p>
        </w:tc>
        <w:tc>
          <w:tcPr>
            <w:tcW w:w="25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96" w:type="dxa"/>
            <w:tcBorders/>
            <w:shd w:fill="FFFFFF" w:val="clear"/>
            <w:vAlign w:val="center"/>
          </w:tcPr>
          <w:p>
            <w:pPr>
              <w:pStyle w:val="TableContents"/>
              <w:bidi w:val="0"/>
              <w:spacing w:before="0" w:after="283"/>
              <w:jc w:val="left"/>
              <w:rPr>
                <w:sz w:val="4"/>
                <w:szCs w:val="4"/>
              </w:rPr>
            </w:pPr>
            <w:r>
              <w:rPr>
                <w:sz w:val="4"/>
                <w:szCs w:val="4"/>
              </w:rPr>
            </w:r>
          </w:p>
        </w:tc>
        <w:tc>
          <w:tcPr>
            <w:tcW w:w="916" w:type="dxa"/>
            <w:tcBorders/>
            <w:shd w:fill="FFFFFF" w:val="clear"/>
            <w:vAlign w:val="center"/>
          </w:tcPr>
          <w:p>
            <w:pPr>
              <w:pStyle w:val="TableContents"/>
              <w:bidi w:val="0"/>
              <w:spacing w:before="0" w:after="283"/>
              <w:jc w:val="left"/>
              <w:rPr>
                <w:sz w:val="4"/>
                <w:szCs w:val="4"/>
              </w:rPr>
            </w:pPr>
            <w:r>
              <w:rPr>
                <w:sz w:val="4"/>
                <w:szCs w:val="4"/>
              </w:rPr>
            </w:r>
          </w:p>
        </w:tc>
        <w:tc>
          <w:tcPr>
            <w:tcW w:w="25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96" w:type="dxa"/>
            <w:tcBorders/>
            <w:shd w:fill="FFFFFF" w:val="clear"/>
            <w:vAlign w:val="center"/>
          </w:tcPr>
          <w:p>
            <w:pPr>
              <w:pStyle w:val="TableContents"/>
              <w:bidi w:val="0"/>
              <w:spacing w:before="0" w:after="283"/>
              <w:jc w:val="left"/>
              <w:rPr>
                <w:sz w:val="4"/>
                <w:szCs w:val="4"/>
              </w:rPr>
            </w:pPr>
            <w:r>
              <w:rPr>
                <w:sz w:val="4"/>
                <w:szCs w:val="4"/>
              </w:rPr>
            </w:r>
          </w:p>
        </w:tc>
        <w:tc>
          <w:tcPr>
            <w:tcW w:w="916" w:type="dxa"/>
            <w:tcBorders/>
            <w:shd w:fill="FFFFFF" w:val="clear"/>
            <w:vAlign w:val="center"/>
          </w:tcPr>
          <w:p>
            <w:pPr>
              <w:pStyle w:val="TableContents"/>
              <w:bidi w:val="0"/>
              <w:spacing w:before="0" w:after="283"/>
              <w:jc w:val="left"/>
              <w:rPr>
                <w:sz w:val="4"/>
                <w:szCs w:val="4"/>
              </w:rPr>
            </w:pPr>
            <w:r>
              <w:rPr>
                <w:sz w:val="4"/>
                <w:szCs w:val="4"/>
              </w:rPr>
            </w:r>
          </w:p>
        </w:tc>
        <w:tc>
          <w:tcPr>
            <w:tcW w:w="25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96" w:type="dxa"/>
            <w:tcBorders/>
            <w:shd w:fill="FFFFFF" w:val="clear"/>
            <w:vAlign w:val="center"/>
          </w:tcPr>
          <w:p>
            <w:pPr>
              <w:pStyle w:val="TableContents"/>
              <w:bidi w:val="0"/>
              <w:spacing w:before="0" w:after="283"/>
              <w:jc w:val="left"/>
              <w:rPr>
                <w:sz w:val="4"/>
                <w:szCs w:val="4"/>
              </w:rPr>
            </w:pPr>
            <w:r>
              <w:rPr>
                <w:sz w:val="4"/>
                <w:szCs w:val="4"/>
              </w:rPr>
            </w:r>
          </w:p>
        </w:tc>
        <w:tc>
          <w:tcPr>
            <w:tcW w:w="916" w:type="dxa"/>
            <w:tcBorders/>
            <w:shd w:fill="FFFFFF" w:val="clear"/>
            <w:vAlign w:val="center"/>
          </w:tcPr>
          <w:p>
            <w:pPr>
              <w:pStyle w:val="TableContents"/>
              <w:bidi w:val="0"/>
              <w:spacing w:before="0" w:after="283"/>
              <w:jc w:val="left"/>
              <w:rPr>
                <w:sz w:val="4"/>
                <w:szCs w:val="4"/>
              </w:rPr>
            </w:pPr>
            <w:r>
              <w:rPr>
                <w:sz w:val="4"/>
                <w:szCs w:val="4"/>
              </w:rPr>
            </w:r>
          </w:p>
        </w:tc>
        <w:tc>
          <w:tcPr>
            <w:tcW w:w="25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96" w:type="dxa"/>
            <w:tcBorders/>
            <w:shd w:fill="FFFFFF" w:val="clear"/>
            <w:vAlign w:val="center"/>
          </w:tcPr>
          <w:p>
            <w:pPr>
              <w:pStyle w:val="TableContents"/>
              <w:bidi w:val="0"/>
              <w:spacing w:before="0" w:after="283"/>
              <w:jc w:val="left"/>
              <w:rPr>
                <w:sz w:val="4"/>
                <w:szCs w:val="4"/>
              </w:rPr>
            </w:pPr>
            <w:r>
              <w:rPr>
                <w:sz w:val="4"/>
                <w:szCs w:val="4"/>
              </w:rPr>
            </w:r>
          </w:p>
        </w:tc>
        <w:tc>
          <w:tcPr>
            <w:tcW w:w="916" w:type="dxa"/>
            <w:tcBorders/>
            <w:shd w:fill="FFFFFF" w:val="clear"/>
            <w:vAlign w:val="center"/>
          </w:tcPr>
          <w:p>
            <w:pPr>
              <w:pStyle w:val="TableContents"/>
              <w:bidi w:val="0"/>
              <w:spacing w:before="0" w:after="283"/>
              <w:jc w:val="left"/>
              <w:rPr>
                <w:sz w:val="4"/>
                <w:szCs w:val="4"/>
              </w:rPr>
            </w:pPr>
            <w:r>
              <w:rPr>
                <w:sz w:val="4"/>
                <w:szCs w:val="4"/>
              </w:rPr>
            </w:r>
          </w:p>
        </w:tc>
        <w:tc>
          <w:tcPr>
            <w:tcW w:w="1055" w:type="dxa"/>
            <w:tcBorders/>
            <w:shd w:fill="FFFFFF" w:val="clear"/>
            <w:vAlign w:val="center"/>
          </w:tcPr>
          <w:p>
            <w:pPr>
              <w:pStyle w:val="TableContents"/>
              <w:bidi w:val="0"/>
              <w:spacing w:before="0" w:after="283"/>
              <w:jc w:val="left"/>
              <w:rPr>
                <w:sz w:val="4"/>
                <w:szCs w:val="4"/>
              </w:rPr>
            </w:pPr>
            <w:r>
              <w:rPr>
                <w:sz w:val="4"/>
                <w:szCs w:val="4"/>
              </w:rPr>
            </w:r>
          </w:p>
        </w:tc>
      </w:tr>
      <w:tr>
        <w:trPr/>
        <w:tc>
          <w:tcPr>
            <w:tcW w:w="19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3944" w:type="dxa"/>
            <w:gridSpan w:val="9"/>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Three Months Ended</w:t>
            </w:r>
            <w:r>
              <w:rPr>
                <w:rFonts w:ascii="Times New Roman" w:hAnsi="Times New Roman"/>
                <w:color w:val="000000"/>
                <w:sz w:val="16"/>
              </w:rPr>
              <w:t xml:space="preserve"> </w:t>
            </w:r>
          </w:p>
        </w:tc>
        <w:tc>
          <w:tcPr>
            <w:tcW w:w="25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2430" w:type="dxa"/>
            <w:gridSpan w:val="5"/>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Six Months Ended</w:t>
            </w:r>
            <w:r>
              <w:rPr>
                <w:rFonts w:ascii="Times New Roman" w:hAnsi="Times New Roman"/>
                <w:color w:val="000000"/>
                <w:sz w:val="16"/>
              </w:rPr>
              <w:t xml:space="preserve"> </w:t>
            </w:r>
          </w:p>
        </w:tc>
        <w:tc>
          <w:tcPr>
            <w:tcW w:w="1055"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1982" w:type="dxa"/>
            <w:tcBorders/>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June 30,</w:t>
            </w:r>
            <w:r>
              <w:rPr>
                <w:rFonts w:ascii="Times New Roman" w:hAnsi="Times New Roman"/>
                <w:color w:val="000000"/>
                <w:sz w:val="16"/>
              </w:rPr>
              <w:br/>
            </w:r>
            <w:r>
              <w:rPr>
                <w:rFonts w:ascii="Times New Roman" w:hAnsi="Times New Roman"/>
                <w:b/>
                <w:color w:val="000000"/>
                <w:sz w:val="16"/>
              </w:rPr>
              <w:t>2026</w:t>
            </w:r>
            <w:r>
              <w:rPr>
                <w:rFonts w:ascii="Times New Roman" w:hAnsi="Times New Roman"/>
                <w:color w:val="000000"/>
                <w:sz w:val="16"/>
              </w:rPr>
              <w:t xml:space="preserve"> </w:t>
            </w:r>
          </w:p>
        </w:tc>
        <w:tc>
          <w:tcPr>
            <w:tcW w:w="25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March 31,</w:t>
            </w:r>
            <w:r>
              <w:rPr>
                <w:rFonts w:ascii="Times New Roman" w:hAnsi="Times New Roman"/>
                <w:color w:val="000000"/>
                <w:sz w:val="16"/>
              </w:rPr>
              <w:br/>
            </w:r>
            <w:r>
              <w:rPr>
                <w:rFonts w:ascii="Times New Roman" w:hAnsi="Times New Roman"/>
                <w:b/>
                <w:color w:val="000000"/>
                <w:sz w:val="16"/>
              </w:rPr>
              <w:t>2026</w:t>
            </w:r>
            <w:r>
              <w:rPr>
                <w:rFonts w:ascii="Times New Roman" w:hAnsi="Times New Roman"/>
                <w:color w:val="000000"/>
                <w:sz w:val="16"/>
              </w:rPr>
              <w:t xml:space="preserve"> </w:t>
            </w:r>
          </w:p>
        </w:tc>
        <w:tc>
          <w:tcPr>
            <w:tcW w:w="25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June 30,</w:t>
            </w:r>
            <w:r>
              <w:rPr>
                <w:rFonts w:ascii="Times New Roman" w:hAnsi="Times New Roman"/>
                <w:color w:val="000000"/>
                <w:sz w:val="16"/>
              </w:rPr>
              <w:br/>
            </w:r>
            <w:r>
              <w:rPr>
                <w:rFonts w:ascii="Times New Roman" w:hAnsi="Times New Roman"/>
                <w:b/>
                <w:color w:val="000000"/>
                <w:sz w:val="16"/>
              </w:rPr>
              <w:t>2025</w:t>
            </w:r>
            <w:r>
              <w:rPr>
                <w:rFonts w:ascii="Times New Roman" w:hAnsi="Times New Roman"/>
                <w:color w:val="000000"/>
                <w:sz w:val="16"/>
              </w:rPr>
              <w:t xml:space="preserve"> </w:t>
            </w:r>
          </w:p>
        </w:tc>
        <w:tc>
          <w:tcPr>
            <w:tcW w:w="25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June 30,</w:t>
            </w:r>
            <w:r>
              <w:rPr>
                <w:rFonts w:ascii="Times New Roman" w:hAnsi="Times New Roman"/>
                <w:color w:val="000000"/>
                <w:sz w:val="16"/>
              </w:rPr>
              <w:br/>
            </w:r>
            <w:r>
              <w:rPr>
                <w:rFonts w:ascii="Times New Roman" w:hAnsi="Times New Roman"/>
                <w:b/>
                <w:color w:val="000000"/>
                <w:sz w:val="16"/>
              </w:rPr>
              <w:t>2026</w:t>
            </w:r>
            <w:r>
              <w:rPr>
                <w:rFonts w:ascii="Times New Roman" w:hAnsi="Times New Roman"/>
                <w:color w:val="000000"/>
                <w:sz w:val="16"/>
              </w:rPr>
              <w:t xml:space="preserve"> </w:t>
            </w:r>
          </w:p>
        </w:tc>
        <w:tc>
          <w:tcPr>
            <w:tcW w:w="25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June 30,</w:t>
            </w:r>
            <w:r>
              <w:rPr>
                <w:rFonts w:ascii="Times New Roman" w:hAnsi="Times New Roman"/>
                <w:color w:val="000000"/>
                <w:sz w:val="16"/>
              </w:rPr>
              <w:br/>
            </w:r>
            <w:r>
              <w:rPr>
                <w:rFonts w:ascii="Times New Roman" w:hAnsi="Times New Roman"/>
                <w:b/>
                <w:color w:val="000000"/>
                <w:sz w:val="16"/>
              </w:rPr>
              <w:t>2025</w:t>
            </w:r>
            <w:r>
              <w:rPr>
                <w:rFonts w:ascii="Times New Roman" w:hAnsi="Times New Roman"/>
                <w:color w:val="000000"/>
                <w:sz w:val="16"/>
              </w:rPr>
              <w:t xml:space="preserve"> </w:t>
            </w:r>
          </w:p>
        </w:tc>
        <w:tc>
          <w:tcPr>
            <w:tcW w:w="1055"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982"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sales</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44,704</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46,208</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47,622</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90,912</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92,344</w:t>
            </w:r>
          </w:p>
        </w:tc>
        <w:tc>
          <w:tcPr>
            <w:tcW w:w="105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8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Cost of sales</w:t>
            </w:r>
          </w:p>
        </w:tc>
        <w:tc>
          <w:tcPr>
            <w:tcW w:w="19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36,056</w:t>
            </w:r>
          </w:p>
        </w:tc>
        <w:tc>
          <w:tcPr>
            <w:tcW w:w="25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39,014</w:t>
            </w:r>
          </w:p>
        </w:tc>
        <w:tc>
          <w:tcPr>
            <w:tcW w:w="25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37,910</w:t>
            </w:r>
          </w:p>
        </w:tc>
        <w:tc>
          <w:tcPr>
            <w:tcW w:w="25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75,070</w:t>
            </w:r>
          </w:p>
        </w:tc>
        <w:tc>
          <w:tcPr>
            <w:tcW w:w="25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73,270</w:t>
            </w:r>
          </w:p>
        </w:tc>
        <w:tc>
          <w:tcPr>
            <w:tcW w:w="1055"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982"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Gross profit</w:t>
            </w:r>
          </w:p>
        </w:tc>
        <w:tc>
          <w:tcPr>
            <w:tcW w:w="19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8,648</w:t>
            </w:r>
          </w:p>
        </w:tc>
        <w:tc>
          <w:tcPr>
            <w:tcW w:w="25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7,194</w:t>
            </w:r>
          </w:p>
        </w:tc>
        <w:tc>
          <w:tcPr>
            <w:tcW w:w="25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9,712</w:t>
            </w:r>
          </w:p>
        </w:tc>
        <w:tc>
          <w:tcPr>
            <w:tcW w:w="25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15,842</w:t>
            </w:r>
          </w:p>
        </w:tc>
        <w:tc>
          <w:tcPr>
            <w:tcW w:w="25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19,074</w:t>
            </w:r>
          </w:p>
        </w:tc>
        <w:tc>
          <w:tcPr>
            <w:tcW w:w="1055"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r>
        <w:trPr/>
        <w:tc>
          <w:tcPr>
            <w:tcW w:w="198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Gross profit as a percentage of net sales</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19.3</w:t>
            </w:r>
          </w:p>
        </w:tc>
        <w:tc>
          <w:tcPr>
            <w:tcW w:w="2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15.6</w:t>
            </w:r>
          </w:p>
        </w:tc>
        <w:tc>
          <w:tcPr>
            <w:tcW w:w="2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20.4</w:t>
            </w:r>
          </w:p>
        </w:tc>
        <w:tc>
          <w:tcPr>
            <w:tcW w:w="2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17.4</w:t>
            </w:r>
          </w:p>
        </w:tc>
        <w:tc>
          <w:tcPr>
            <w:tcW w:w="2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20.7</w:t>
            </w:r>
          </w:p>
        </w:tc>
        <w:tc>
          <w:tcPr>
            <w:tcW w:w="105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982"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expenses:</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055" w:type="dxa"/>
            <w:tcBorders/>
            <w:shd w:fill="CCEEFF" w:val="clear"/>
            <w:tcMar>
              <w:top w:w="0" w:type="dxa"/>
              <w:left w:w="0" w:type="dxa"/>
              <w:bottom w:w="0" w:type="dxa"/>
              <w:right w:w="0" w:type="dxa"/>
            </w:tcMar>
            <w:vAlign w:val="center"/>
          </w:tcPr>
          <w:p>
            <w:pPr>
              <w:pStyle w:val="TableContents"/>
              <w:bidi w:val="0"/>
              <w:spacing w:before="0" w:after="283"/>
              <w:ind w:left="0" w:right="0" w:firstLine="432"/>
              <w:jc w:val="left"/>
              <w:rPr/>
            </w:pPr>
            <w:r>
              <w:rPr/>
              <w:t> </w:t>
            </w:r>
          </w:p>
        </w:tc>
      </w:tr>
      <w:tr>
        <w:trPr/>
        <w:tc>
          <w:tcPr>
            <w:tcW w:w="1982" w:type="dxa"/>
            <w:tcBorders/>
            <w:tcMar>
              <w:top w:w="0" w:type="dxa"/>
              <w:left w:w="0" w:type="dxa"/>
              <w:bottom w:w="0" w:type="dxa"/>
              <w:right w:w="0" w:type="dxa"/>
            </w:tcMar>
            <w:vAlign w:val="center"/>
          </w:tcPr>
          <w:p>
            <w:pPr>
              <w:pStyle w:val="TableContents"/>
              <w:bidi w:val="0"/>
              <w:spacing w:before="0" w:after="283"/>
              <w:ind w:left="432" w:right="0" w:firstLine="432"/>
              <w:jc w:val="left"/>
              <w:rPr>
                <w:rFonts w:ascii="Times New Roman" w:hAnsi="Times New Roman"/>
                <w:color w:val="000000"/>
                <w:sz w:val="18"/>
              </w:rPr>
            </w:pPr>
            <w:r>
              <w:rPr>
                <w:rFonts w:ascii="Times New Roman" w:hAnsi="Times New Roman"/>
                <w:color w:val="000000"/>
                <w:sz w:val="18"/>
              </w:rPr>
              <w:t>Selling, general and administrative expenses</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8,747</w:t>
            </w:r>
          </w:p>
        </w:tc>
        <w:tc>
          <w:tcPr>
            <w:tcW w:w="2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7,666</w:t>
            </w:r>
          </w:p>
        </w:tc>
        <w:tc>
          <w:tcPr>
            <w:tcW w:w="2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8,976</w:t>
            </w:r>
          </w:p>
        </w:tc>
        <w:tc>
          <w:tcPr>
            <w:tcW w:w="2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16,413</w:t>
            </w:r>
          </w:p>
        </w:tc>
        <w:tc>
          <w:tcPr>
            <w:tcW w:w="2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18,179</w:t>
            </w:r>
          </w:p>
        </w:tc>
        <w:tc>
          <w:tcPr>
            <w:tcW w:w="1055" w:type="dxa"/>
            <w:tcBorders/>
            <w:tcMar>
              <w:top w:w="0" w:type="dxa"/>
              <w:left w:w="0" w:type="dxa"/>
              <w:bottom w:w="0" w:type="dxa"/>
              <w:right w:w="0" w:type="dxa"/>
            </w:tcMar>
            <w:vAlign w:val="center"/>
          </w:tcPr>
          <w:p>
            <w:pPr>
              <w:pStyle w:val="TableContents"/>
              <w:bidi w:val="0"/>
              <w:spacing w:before="0" w:after="283"/>
              <w:ind w:left="0" w:right="0" w:firstLine="432"/>
              <w:jc w:val="left"/>
              <w:rPr/>
            </w:pPr>
            <w:r>
              <w:rPr/>
              <w:t> </w:t>
            </w:r>
          </w:p>
        </w:tc>
      </w:tr>
      <w:tr>
        <w:trPr/>
        <w:tc>
          <w:tcPr>
            <w:tcW w:w="1982" w:type="dxa"/>
            <w:tcBorders/>
            <w:shd w:fill="CCEEFF" w:val="clear"/>
            <w:tcMar>
              <w:top w:w="0" w:type="dxa"/>
              <w:left w:w="0" w:type="dxa"/>
              <w:bottom w:w="0" w:type="dxa"/>
              <w:right w:w="0" w:type="dxa"/>
            </w:tcMar>
            <w:vAlign w:val="center"/>
          </w:tcPr>
          <w:p>
            <w:pPr>
              <w:pStyle w:val="TableContents"/>
              <w:bidi w:val="0"/>
              <w:spacing w:before="0" w:after="283"/>
              <w:ind w:left="432" w:right="0" w:firstLine="432"/>
              <w:jc w:val="left"/>
              <w:rPr>
                <w:rFonts w:ascii="Times New Roman" w:hAnsi="Times New Roman"/>
                <w:color w:val="000000"/>
                <w:sz w:val="18"/>
              </w:rPr>
            </w:pPr>
            <w:r>
              <w:rPr>
                <w:rFonts w:ascii="Times New Roman" w:hAnsi="Times New Roman"/>
                <w:color w:val="000000"/>
                <w:sz w:val="18"/>
              </w:rPr>
              <w:t>Research and development expenses</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7,896</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6,698</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6,488</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14,594</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11,925</w:t>
            </w:r>
          </w:p>
        </w:tc>
        <w:tc>
          <w:tcPr>
            <w:tcW w:w="1055" w:type="dxa"/>
            <w:tcBorders/>
            <w:shd w:fill="CCEEFF" w:val="clear"/>
            <w:tcMar>
              <w:top w:w="0" w:type="dxa"/>
              <w:left w:w="0" w:type="dxa"/>
              <w:bottom w:w="0" w:type="dxa"/>
              <w:right w:w="0" w:type="dxa"/>
            </w:tcMar>
            <w:vAlign w:val="center"/>
          </w:tcPr>
          <w:p>
            <w:pPr>
              <w:pStyle w:val="TableContents"/>
              <w:bidi w:val="0"/>
              <w:spacing w:before="0" w:after="283"/>
              <w:ind w:left="0" w:right="0" w:firstLine="432"/>
              <w:jc w:val="left"/>
              <w:rPr/>
            </w:pPr>
            <w:r>
              <w:rPr/>
              <w:t> </w:t>
            </w:r>
          </w:p>
        </w:tc>
      </w:tr>
      <w:tr>
        <w:trPr/>
        <w:tc>
          <w:tcPr>
            <w:tcW w:w="1982" w:type="dxa"/>
            <w:tcBorders/>
            <w:tcMar>
              <w:top w:w="0" w:type="dxa"/>
              <w:left w:w="0" w:type="dxa"/>
              <w:bottom w:w="0" w:type="dxa"/>
              <w:right w:w="0" w:type="dxa"/>
            </w:tcMar>
            <w:vAlign w:val="center"/>
          </w:tcPr>
          <w:p>
            <w:pPr>
              <w:pStyle w:val="TableContents"/>
              <w:bidi w:val="0"/>
              <w:spacing w:before="0" w:after="283"/>
              <w:ind w:left="432" w:right="0" w:firstLine="432"/>
              <w:jc w:val="left"/>
              <w:rPr>
                <w:rFonts w:ascii="Times New Roman" w:hAnsi="Times New Roman"/>
                <w:color w:val="000000"/>
                <w:sz w:val="18"/>
              </w:rPr>
            </w:pPr>
            <w:r>
              <w:rPr>
                <w:rFonts w:ascii="Times New Roman" w:hAnsi="Times New Roman"/>
                <w:color w:val="000000"/>
                <w:sz w:val="18"/>
              </w:rPr>
              <w:t>Other charges</w:t>
            </w:r>
          </w:p>
        </w:tc>
        <w:tc>
          <w:tcPr>
            <w:tcW w:w="19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1,981</w:t>
            </w:r>
          </w:p>
        </w:tc>
        <w:tc>
          <w:tcPr>
            <w:tcW w:w="25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5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846</w:t>
            </w:r>
          </w:p>
        </w:tc>
        <w:tc>
          <w:tcPr>
            <w:tcW w:w="25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1,981</w:t>
            </w:r>
          </w:p>
        </w:tc>
        <w:tc>
          <w:tcPr>
            <w:tcW w:w="25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846</w:t>
            </w:r>
          </w:p>
        </w:tc>
        <w:tc>
          <w:tcPr>
            <w:tcW w:w="1055" w:type="dxa"/>
            <w:tcBorders>
              <w:bottom w:val="single" w:sz="4" w:space="0" w:color="000000"/>
            </w:tcBorders>
            <w:tcMar>
              <w:top w:w="0" w:type="dxa"/>
              <w:left w:w="0" w:type="dxa"/>
              <w:right w:w="0" w:type="dxa"/>
            </w:tcMar>
            <w:vAlign w:val="center"/>
          </w:tcPr>
          <w:p>
            <w:pPr>
              <w:pStyle w:val="TableContents"/>
              <w:bidi w:val="0"/>
              <w:spacing w:before="0" w:after="283"/>
              <w:ind w:left="0" w:right="0" w:firstLine="864"/>
              <w:jc w:val="left"/>
              <w:rPr/>
            </w:pPr>
            <w:r>
              <w:rPr/>
              <w:t> </w:t>
            </w:r>
          </w:p>
        </w:tc>
      </w:tr>
      <w:tr>
        <w:trPr/>
        <w:tc>
          <w:tcPr>
            <w:tcW w:w="1982" w:type="dxa"/>
            <w:tcBorders/>
            <w:shd w:fill="CCEEFF" w:val="clear"/>
            <w:tcMar>
              <w:top w:w="0" w:type="dxa"/>
              <w:left w:w="0" w:type="dxa"/>
              <w:bottom w:w="0" w:type="dxa"/>
              <w:right w:w="0" w:type="dxa"/>
            </w:tcMar>
            <w:vAlign w:val="center"/>
          </w:tcPr>
          <w:p>
            <w:pPr>
              <w:pStyle w:val="TableContents"/>
              <w:bidi w:val="0"/>
              <w:spacing w:before="0" w:after="283"/>
              <w:ind w:left="864" w:right="0" w:firstLine="864"/>
              <w:jc w:val="left"/>
              <w:rPr>
                <w:rFonts w:ascii="Times New Roman" w:hAnsi="Times New Roman"/>
                <w:color w:val="000000"/>
                <w:sz w:val="18"/>
              </w:rPr>
            </w:pPr>
            <w:r>
              <w:rPr>
                <w:rFonts w:ascii="Times New Roman" w:hAnsi="Times New Roman"/>
                <w:color w:val="000000"/>
                <w:sz w:val="18"/>
              </w:rPr>
              <w:t>Total operating expenses</w:t>
            </w:r>
          </w:p>
        </w:tc>
        <w:tc>
          <w:tcPr>
            <w:tcW w:w="19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18,624</w:t>
            </w:r>
          </w:p>
        </w:tc>
        <w:tc>
          <w:tcPr>
            <w:tcW w:w="25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14,364</w:t>
            </w:r>
          </w:p>
        </w:tc>
        <w:tc>
          <w:tcPr>
            <w:tcW w:w="25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16,310</w:t>
            </w:r>
          </w:p>
        </w:tc>
        <w:tc>
          <w:tcPr>
            <w:tcW w:w="25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32,988</w:t>
            </w:r>
          </w:p>
        </w:tc>
        <w:tc>
          <w:tcPr>
            <w:tcW w:w="25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30,950</w:t>
            </w:r>
          </w:p>
        </w:tc>
        <w:tc>
          <w:tcPr>
            <w:tcW w:w="1055"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r>
        <w:trPr/>
        <w:tc>
          <w:tcPr>
            <w:tcW w:w="198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loss</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(9,976</w:t>
            </w:r>
          </w:p>
        </w:tc>
        <w:tc>
          <w:tcPr>
            <w:tcW w:w="2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(7,170</w:t>
            </w:r>
          </w:p>
        </w:tc>
        <w:tc>
          <w:tcPr>
            <w:tcW w:w="2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(6,598</w:t>
            </w:r>
          </w:p>
        </w:tc>
        <w:tc>
          <w:tcPr>
            <w:tcW w:w="2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(17,146</w:t>
            </w:r>
          </w:p>
        </w:tc>
        <w:tc>
          <w:tcPr>
            <w:tcW w:w="2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(11,876</w:t>
            </w:r>
          </w:p>
        </w:tc>
        <w:tc>
          <w:tcPr>
            <w:tcW w:w="1055" w:type="dxa"/>
            <w:tcBorders/>
            <w:tcMar>
              <w:top w:w="0" w:type="dxa"/>
              <w:left w:w="0" w:type="dxa"/>
              <w:bottom w:w="0" w:type="dxa"/>
              <w:right w:w="0" w:type="dxa"/>
            </w:tcMar>
            <w:vAlign w:val="center"/>
          </w:tcPr>
          <w:p>
            <w:pPr>
              <w:pStyle w:val="TableContents"/>
              <w:bidi w:val="0"/>
              <w:spacing w:before="0" w:after="283"/>
              <w:ind w:left="0" w:right="0" w:firstLine="432"/>
              <w:jc w:val="left"/>
              <w:rPr>
                <w:rFonts w:ascii="Times New Roman" w:hAnsi="Times New Roman"/>
                <w:color w:val="000000"/>
                <w:sz w:val="18"/>
              </w:rPr>
            </w:pPr>
            <w:r>
              <w:rPr>
                <w:rFonts w:ascii="Times New Roman" w:hAnsi="Times New Roman"/>
                <w:color w:val="000000"/>
                <w:sz w:val="18"/>
              </w:rPr>
              <w:t>)</w:t>
            </w:r>
          </w:p>
        </w:tc>
      </w:tr>
      <w:tr>
        <w:trPr/>
        <w:tc>
          <w:tcPr>
            <w:tcW w:w="1982" w:type="dxa"/>
            <w:tcBorders/>
            <w:shd w:fill="CCEEFF" w:val="clear"/>
            <w:tcMar>
              <w:top w:w="0" w:type="dxa"/>
              <w:left w:w="0" w:type="dxa"/>
              <w:bottom w:w="0" w:type="dxa"/>
              <w:right w:w="0" w:type="dxa"/>
            </w:tcMar>
            <w:vAlign w:val="center"/>
          </w:tcPr>
          <w:p>
            <w:pPr>
              <w:pStyle w:val="TableContents"/>
              <w:bidi w:val="0"/>
              <w:spacing w:before="0" w:after="283"/>
              <w:ind w:left="432" w:right="0" w:firstLine="432"/>
              <w:jc w:val="left"/>
              <w:rPr>
                <w:rFonts w:ascii="Times New Roman" w:hAnsi="Times New Roman"/>
                <w:color w:val="000000"/>
                <w:sz w:val="18"/>
              </w:rPr>
            </w:pPr>
            <w:r>
              <w:rPr>
                <w:rFonts w:ascii="Times New Roman" w:hAnsi="Times New Roman"/>
                <w:color w:val="000000"/>
                <w:sz w:val="18"/>
              </w:rPr>
              <w:t>Interest income</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949</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1,063</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1,322</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2,012</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2,862</w:t>
            </w:r>
          </w:p>
        </w:tc>
        <w:tc>
          <w:tcPr>
            <w:tcW w:w="1055" w:type="dxa"/>
            <w:tcBorders/>
            <w:shd w:fill="CCEEFF" w:val="clear"/>
            <w:tcMar>
              <w:top w:w="0" w:type="dxa"/>
              <w:left w:w="0" w:type="dxa"/>
              <w:bottom w:w="0" w:type="dxa"/>
              <w:right w:w="0" w:type="dxa"/>
            </w:tcMar>
            <w:vAlign w:val="center"/>
          </w:tcPr>
          <w:p>
            <w:pPr>
              <w:pStyle w:val="TableContents"/>
              <w:bidi w:val="0"/>
              <w:spacing w:before="0" w:after="283"/>
              <w:ind w:left="0" w:right="0" w:firstLine="432"/>
              <w:jc w:val="left"/>
              <w:rPr/>
            </w:pPr>
            <w:r>
              <w:rPr/>
              <w:t> </w:t>
            </w:r>
          </w:p>
        </w:tc>
      </w:tr>
      <w:tr>
        <w:trPr/>
        <w:tc>
          <w:tcPr>
            <w:tcW w:w="1982" w:type="dxa"/>
            <w:tcBorders/>
            <w:tcMar>
              <w:top w:w="0" w:type="dxa"/>
              <w:left w:w="0" w:type="dxa"/>
              <w:bottom w:w="0" w:type="dxa"/>
              <w:right w:w="0" w:type="dxa"/>
            </w:tcMar>
            <w:vAlign w:val="center"/>
          </w:tcPr>
          <w:p>
            <w:pPr>
              <w:pStyle w:val="TableContents"/>
              <w:bidi w:val="0"/>
              <w:spacing w:before="0" w:after="283"/>
              <w:ind w:left="432" w:right="0" w:firstLine="432"/>
              <w:jc w:val="left"/>
              <w:rPr>
                <w:rFonts w:ascii="Times New Roman" w:hAnsi="Times New Roman"/>
                <w:color w:val="000000"/>
                <w:sz w:val="18"/>
              </w:rPr>
            </w:pPr>
            <w:r>
              <w:rPr>
                <w:rFonts w:ascii="Times New Roman" w:hAnsi="Times New Roman"/>
                <w:color w:val="000000"/>
                <w:sz w:val="18"/>
              </w:rPr>
              <w:t>Interest expense</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(320</w:t>
            </w:r>
          </w:p>
        </w:tc>
        <w:tc>
          <w:tcPr>
            <w:tcW w:w="2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(373</w:t>
            </w:r>
          </w:p>
        </w:tc>
        <w:tc>
          <w:tcPr>
            <w:tcW w:w="2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(373</w:t>
            </w:r>
          </w:p>
        </w:tc>
        <w:tc>
          <w:tcPr>
            <w:tcW w:w="2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(693</w:t>
            </w:r>
          </w:p>
        </w:tc>
        <w:tc>
          <w:tcPr>
            <w:tcW w:w="2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(796</w:t>
            </w:r>
          </w:p>
        </w:tc>
        <w:tc>
          <w:tcPr>
            <w:tcW w:w="1055" w:type="dxa"/>
            <w:tcBorders/>
            <w:tcMar>
              <w:top w:w="0" w:type="dxa"/>
              <w:left w:w="0" w:type="dxa"/>
              <w:bottom w:w="0" w:type="dxa"/>
              <w:right w:w="0" w:type="dxa"/>
            </w:tcMar>
            <w:vAlign w:val="center"/>
          </w:tcPr>
          <w:p>
            <w:pPr>
              <w:pStyle w:val="TableContents"/>
              <w:bidi w:val="0"/>
              <w:spacing w:before="0" w:after="283"/>
              <w:ind w:left="0" w:right="0" w:firstLine="432"/>
              <w:jc w:val="left"/>
              <w:rPr>
                <w:rFonts w:ascii="Times New Roman" w:hAnsi="Times New Roman"/>
                <w:color w:val="000000"/>
                <w:sz w:val="18"/>
              </w:rPr>
            </w:pPr>
            <w:r>
              <w:rPr>
                <w:rFonts w:ascii="Times New Roman" w:hAnsi="Times New Roman"/>
                <w:color w:val="000000"/>
                <w:sz w:val="18"/>
              </w:rPr>
              <w:t>)</w:t>
            </w:r>
          </w:p>
        </w:tc>
      </w:tr>
      <w:tr>
        <w:trPr/>
        <w:tc>
          <w:tcPr>
            <w:tcW w:w="1982" w:type="dxa"/>
            <w:tcBorders/>
            <w:shd w:fill="CCEEFF" w:val="clear"/>
            <w:tcMar>
              <w:top w:w="0" w:type="dxa"/>
              <w:left w:w="0" w:type="dxa"/>
              <w:bottom w:w="0" w:type="dxa"/>
              <w:right w:w="0" w:type="dxa"/>
            </w:tcMar>
            <w:vAlign w:val="center"/>
          </w:tcPr>
          <w:p>
            <w:pPr>
              <w:pStyle w:val="TableContents"/>
              <w:bidi w:val="0"/>
              <w:spacing w:before="0" w:after="283"/>
              <w:ind w:left="432" w:right="0" w:firstLine="432"/>
              <w:jc w:val="left"/>
              <w:rPr>
                <w:rFonts w:ascii="Times New Roman" w:hAnsi="Times New Roman"/>
                <w:color w:val="000000"/>
                <w:sz w:val="18"/>
              </w:rPr>
            </w:pPr>
            <w:r>
              <w:rPr>
                <w:rFonts w:ascii="Times New Roman" w:hAnsi="Times New Roman"/>
                <w:color w:val="000000"/>
                <w:sz w:val="18"/>
              </w:rPr>
              <w:t>Foreign currency gain (loss), net</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 xml:space="preserve">(526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(115</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10,797</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(641</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10,392</w:t>
            </w:r>
          </w:p>
        </w:tc>
        <w:tc>
          <w:tcPr>
            <w:tcW w:w="1055" w:type="dxa"/>
            <w:tcBorders/>
            <w:shd w:fill="CCEEFF" w:val="clear"/>
            <w:tcMar>
              <w:top w:w="0" w:type="dxa"/>
              <w:left w:w="0" w:type="dxa"/>
              <w:bottom w:w="0" w:type="dxa"/>
              <w:right w:w="0" w:type="dxa"/>
            </w:tcMar>
            <w:vAlign w:val="center"/>
          </w:tcPr>
          <w:p>
            <w:pPr>
              <w:pStyle w:val="TableContents"/>
              <w:bidi w:val="0"/>
              <w:spacing w:before="0" w:after="283"/>
              <w:ind w:left="0" w:right="0" w:firstLine="432"/>
              <w:jc w:val="left"/>
              <w:rPr/>
            </w:pPr>
            <w:r>
              <w:rPr/>
              <w:t> </w:t>
            </w:r>
          </w:p>
        </w:tc>
      </w:tr>
      <w:tr>
        <w:trPr/>
        <w:tc>
          <w:tcPr>
            <w:tcW w:w="1982" w:type="dxa"/>
            <w:tcBorders/>
            <w:tcMar>
              <w:top w:w="0" w:type="dxa"/>
              <w:left w:w="0" w:type="dxa"/>
              <w:bottom w:w="0" w:type="dxa"/>
              <w:right w:w="0" w:type="dxa"/>
            </w:tcMar>
            <w:vAlign w:val="center"/>
          </w:tcPr>
          <w:p>
            <w:pPr>
              <w:pStyle w:val="TableContents"/>
              <w:bidi w:val="0"/>
              <w:spacing w:before="0" w:after="283"/>
              <w:ind w:left="432" w:right="0" w:firstLine="432"/>
              <w:jc w:val="left"/>
              <w:rPr>
                <w:rFonts w:ascii="Times New Roman" w:hAnsi="Times New Roman"/>
                <w:color w:val="000000"/>
                <w:sz w:val="18"/>
              </w:rPr>
            </w:pPr>
            <w:r>
              <w:rPr>
                <w:rFonts w:ascii="Times New Roman" w:hAnsi="Times New Roman"/>
                <w:color w:val="000000"/>
                <w:sz w:val="18"/>
              </w:rPr>
              <w:t>Other income (loss), net</w:t>
            </w:r>
          </w:p>
        </w:tc>
        <w:tc>
          <w:tcPr>
            <w:tcW w:w="19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286</w:t>
            </w:r>
          </w:p>
        </w:tc>
        <w:tc>
          <w:tcPr>
            <w:tcW w:w="25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w:t>
            </w:r>
          </w:p>
        </w:tc>
        <w:tc>
          <w:tcPr>
            <w:tcW w:w="25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w:t>
            </w:r>
          </w:p>
        </w:tc>
        <w:tc>
          <w:tcPr>
            <w:tcW w:w="25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276</w:t>
            </w:r>
          </w:p>
        </w:tc>
        <w:tc>
          <w:tcPr>
            <w:tcW w:w="25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w:t>
            </w:r>
          </w:p>
        </w:tc>
        <w:tc>
          <w:tcPr>
            <w:tcW w:w="1055"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982"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Income (Loss) from continuing operations before</w:t>
              <w:br/>
              <w:t>   income tax benefit, net</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(9,587</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(6,605</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5,065</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(16,192</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613</w:t>
            </w:r>
          </w:p>
        </w:tc>
        <w:tc>
          <w:tcPr>
            <w:tcW w:w="105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8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Income tax benefit, net</w:t>
            </w:r>
          </w:p>
        </w:tc>
        <w:tc>
          <w:tcPr>
            <w:tcW w:w="19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(1,986</w:t>
            </w:r>
          </w:p>
        </w:tc>
        <w:tc>
          <w:tcPr>
            <w:tcW w:w="25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(1,908</w:t>
            </w:r>
          </w:p>
        </w:tc>
        <w:tc>
          <w:tcPr>
            <w:tcW w:w="25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(4,138</w:t>
            </w:r>
          </w:p>
        </w:tc>
        <w:tc>
          <w:tcPr>
            <w:tcW w:w="25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(3,894</w:t>
            </w:r>
          </w:p>
        </w:tc>
        <w:tc>
          <w:tcPr>
            <w:tcW w:w="25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(4,539</w:t>
            </w:r>
          </w:p>
        </w:tc>
        <w:tc>
          <w:tcPr>
            <w:tcW w:w="1055"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982"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Income (Loss) from continuing operations</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(7,601</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(4,697</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9,203</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(12,298</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5,152</w:t>
            </w:r>
          </w:p>
        </w:tc>
        <w:tc>
          <w:tcPr>
            <w:tcW w:w="105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8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Income (Loss) from discontinued operations, net of tax</w:t>
            </w:r>
          </w:p>
        </w:tc>
        <w:tc>
          <w:tcPr>
            <w:tcW w:w="19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2,786</w:t>
            </w:r>
          </w:p>
        </w:tc>
        <w:tc>
          <w:tcPr>
            <w:tcW w:w="25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w:t>
            </w:r>
          </w:p>
        </w:tc>
        <w:tc>
          <w:tcPr>
            <w:tcW w:w="25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(8,880</w:t>
            </w:r>
          </w:p>
        </w:tc>
        <w:tc>
          <w:tcPr>
            <w:tcW w:w="25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2,836</w:t>
            </w:r>
          </w:p>
        </w:tc>
        <w:tc>
          <w:tcPr>
            <w:tcW w:w="25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(13,707</w:t>
            </w:r>
          </w:p>
        </w:tc>
        <w:tc>
          <w:tcPr>
            <w:tcW w:w="1055"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982"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income (loss)</w:t>
            </w:r>
          </w:p>
        </w:tc>
        <w:tc>
          <w:tcPr>
            <w:tcW w:w="19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(4,815</w:t>
            </w:r>
          </w:p>
        </w:tc>
        <w:tc>
          <w:tcPr>
            <w:tcW w:w="25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(4,647</w:t>
            </w:r>
          </w:p>
        </w:tc>
        <w:tc>
          <w:tcPr>
            <w:tcW w:w="25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323</w:t>
            </w:r>
          </w:p>
        </w:tc>
        <w:tc>
          <w:tcPr>
            <w:tcW w:w="25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(9,462</w:t>
            </w:r>
          </w:p>
        </w:tc>
        <w:tc>
          <w:tcPr>
            <w:tcW w:w="25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(8,555</w:t>
            </w:r>
          </w:p>
        </w:tc>
        <w:tc>
          <w:tcPr>
            <w:tcW w:w="1055"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98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Basic earnings (loss) per common share—</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tcMar>
              <w:top w:w="0" w:type="dxa"/>
              <w:left w:w="0" w:type="dxa"/>
              <w:bottom w:w="0" w:type="dxa"/>
              <w:right w:w="0" w:type="dxa"/>
            </w:tcMar>
            <w:vAlign w:val="center"/>
          </w:tcPr>
          <w:p>
            <w:pPr>
              <w:pStyle w:val="TableContents"/>
              <w:bidi w:val="0"/>
              <w:spacing w:before="0" w:after="283"/>
              <w:jc w:val="right"/>
              <w:rPr/>
            </w:pPr>
            <w:r>
              <w:rPr/>
              <w:t> </w:t>
            </w:r>
          </w:p>
        </w:tc>
        <w:tc>
          <w:tcPr>
            <w:tcW w:w="1055" w:type="dxa"/>
            <w:tcBorders/>
            <w:tcMar>
              <w:top w:w="0" w:type="dxa"/>
              <w:left w:w="0" w:type="dxa"/>
              <w:bottom w:w="0" w:type="dxa"/>
              <w:right w:w="0" w:type="dxa"/>
            </w:tcMar>
            <w:vAlign w:val="center"/>
          </w:tcPr>
          <w:p>
            <w:pPr>
              <w:pStyle w:val="TableContents"/>
              <w:bidi w:val="0"/>
              <w:spacing w:before="0" w:after="283"/>
              <w:ind w:left="0" w:right="0" w:firstLine="432"/>
              <w:jc w:val="left"/>
              <w:rPr/>
            </w:pPr>
            <w:r>
              <w:rPr/>
              <w:t> </w:t>
            </w:r>
          </w:p>
        </w:tc>
      </w:tr>
      <w:tr>
        <w:trPr/>
        <w:tc>
          <w:tcPr>
            <w:tcW w:w="1982" w:type="dxa"/>
            <w:tcBorders/>
            <w:shd w:fill="CCEEFF" w:val="clear"/>
            <w:tcMar>
              <w:top w:w="0" w:type="dxa"/>
              <w:left w:w="0" w:type="dxa"/>
              <w:bottom w:w="0" w:type="dxa"/>
              <w:right w:w="0" w:type="dxa"/>
            </w:tcMar>
            <w:vAlign w:val="center"/>
          </w:tcPr>
          <w:p>
            <w:pPr>
              <w:pStyle w:val="TableContents"/>
              <w:bidi w:val="0"/>
              <w:spacing w:before="0" w:after="283"/>
              <w:ind w:left="432" w:right="0" w:firstLine="432"/>
              <w:jc w:val="left"/>
              <w:rPr>
                <w:rFonts w:ascii="Times New Roman" w:hAnsi="Times New Roman"/>
                <w:color w:val="000000"/>
                <w:sz w:val="18"/>
              </w:rPr>
            </w:pPr>
            <w:r>
              <w:rPr>
                <w:rFonts w:ascii="Times New Roman" w:hAnsi="Times New Roman"/>
                <w:color w:val="000000"/>
                <w:sz w:val="18"/>
              </w:rPr>
              <w:t>Continuing operations</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(0.21</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(0.13</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0.26</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(0.34</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$0.14</w:t>
            </w:r>
          </w:p>
        </w:tc>
        <w:tc>
          <w:tcPr>
            <w:tcW w:w="1055" w:type="dxa"/>
            <w:tcBorders/>
            <w:shd w:fill="CCEEFF" w:val="clear"/>
            <w:tcMar>
              <w:top w:w="0" w:type="dxa"/>
              <w:left w:w="0" w:type="dxa"/>
              <w:bottom w:w="0" w:type="dxa"/>
              <w:right w:w="0" w:type="dxa"/>
            </w:tcMar>
            <w:vAlign w:val="center"/>
          </w:tcPr>
          <w:p>
            <w:pPr>
              <w:pStyle w:val="TableContents"/>
              <w:bidi w:val="0"/>
              <w:spacing w:before="0" w:after="283"/>
              <w:ind w:left="0" w:right="0" w:firstLine="432"/>
              <w:jc w:val="left"/>
              <w:rPr/>
            </w:pPr>
            <w:r>
              <w:rPr/>
              <w:t> </w:t>
            </w:r>
          </w:p>
        </w:tc>
      </w:tr>
      <w:tr>
        <w:trPr/>
        <w:tc>
          <w:tcPr>
            <w:tcW w:w="1982" w:type="dxa"/>
            <w:tcBorders/>
            <w:tcMar>
              <w:top w:w="0" w:type="dxa"/>
              <w:left w:w="0" w:type="dxa"/>
              <w:bottom w:w="0" w:type="dxa"/>
              <w:right w:w="0" w:type="dxa"/>
            </w:tcMar>
            <w:vAlign w:val="center"/>
          </w:tcPr>
          <w:p>
            <w:pPr>
              <w:pStyle w:val="TableContents"/>
              <w:bidi w:val="0"/>
              <w:spacing w:before="0" w:after="283"/>
              <w:ind w:left="432" w:right="0" w:firstLine="432"/>
              <w:jc w:val="left"/>
              <w:rPr>
                <w:rFonts w:ascii="Times New Roman" w:hAnsi="Times New Roman"/>
                <w:color w:val="000000"/>
                <w:sz w:val="18"/>
              </w:rPr>
            </w:pPr>
            <w:r>
              <w:rPr>
                <w:rFonts w:ascii="Times New Roman" w:hAnsi="Times New Roman"/>
                <w:color w:val="000000"/>
                <w:sz w:val="18"/>
              </w:rPr>
              <w:t>Discontinuing operations</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0.08</w:t>
            </w:r>
          </w:p>
        </w:tc>
        <w:tc>
          <w:tcPr>
            <w:tcW w:w="2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0.00</w:t>
            </w:r>
          </w:p>
        </w:tc>
        <w:tc>
          <w:tcPr>
            <w:tcW w:w="2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(0.25</w:t>
            </w:r>
          </w:p>
        </w:tc>
        <w:tc>
          <w:tcPr>
            <w:tcW w:w="2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0.08</w:t>
            </w:r>
          </w:p>
        </w:tc>
        <w:tc>
          <w:tcPr>
            <w:tcW w:w="2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(0.37</w:t>
            </w:r>
          </w:p>
        </w:tc>
        <w:tc>
          <w:tcPr>
            <w:tcW w:w="1055" w:type="dxa"/>
            <w:tcBorders/>
            <w:tcMar>
              <w:top w:w="0" w:type="dxa"/>
              <w:left w:w="0" w:type="dxa"/>
              <w:bottom w:w="0" w:type="dxa"/>
              <w:right w:w="0" w:type="dxa"/>
            </w:tcMar>
            <w:vAlign w:val="center"/>
          </w:tcPr>
          <w:p>
            <w:pPr>
              <w:pStyle w:val="TableContents"/>
              <w:bidi w:val="0"/>
              <w:spacing w:before="0" w:after="283"/>
              <w:ind w:left="0" w:right="0" w:firstLine="432"/>
              <w:jc w:val="left"/>
              <w:rPr>
                <w:rFonts w:ascii="Times New Roman" w:hAnsi="Times New Roman"/>
                <w:color w:val="000000"/>
                <w:sz w:val="18"/>
              </w:rPr>
            </w:pPr>
            <w:r>
              <w:rPr>
                <w:rFonts w:ascii="Times New Roman" w:hAnsi="Times New Roman"/>
                <w:color w:val="000000"/>
                <w:sz w:val="18"/>
              </w:rPr>
              <w:t>)</w:t>
            </w:r>
          </w:p>
        </w:tc>
      </w:tr>
      <w:tr>
        <w:trPr/>
        <w:tc>
          <w:tcPr>
            <w:tcW w:w="1982" w:type="dxa"/>
            <w:tcBorders/>
            <w:shd w:fill="CCEEFF" w:val="clear"/>
            <w:tcMar>
              <w:top w:w="0" w:type="dxa"/>
              <w:left w:w="0" w:type="dxa"/>
              <w:bottom w:w="0" w:type="dxa"/>
              <w:right w:w="0" w:type="dxa"/>
            </w:tcMar>
            <w:vAlign w:val="center"/>
          </w:tcPr>
          <w:p>
            <w:pPr>
              <w:pStyle w:val="TableContents"/>
              <w:bidi w:val="0"/>
              <w:spacing w:before="0" w:after="283"/>
              <w:ind w:left="432" w:right="0" w:firstLine="432"/>
              <w:jc w:val="left"/>
              <w:rPr>
                <w:rFonts w:ascii="Times New Roman" w:hAnsi="Times New Roman"/>
                <w:color w:val="000000"/>
                <w:sz w:val="18"/>
              </w:rPr>
            </w:pPr>
            <w:r>
              <w:rPr>
                <w:rFonts w:ascii="Times New Roman" w:hAnsi="Times New Roman"/>
                <w:color w:val="000000"/>
                <w:sz w:val="18"/>
              </w:rPr>
              <w:t>Total</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(0.13</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(0.13</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0.01</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(0.26</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(0.23</w:t>
            </w:r>
          </w:p>
        </w:tc>
        <w:tc>
          <w:tcPr>
            <w:tcW w:w="1055"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98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Diluted earnings (loss) per common share—</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tcMar>
              <w:top w:w="0" w:type="dxa"/>
              <w:left w:w="0" w:type="dxa"/>
              <w:bottom w:w="0" w:type="dxa"/>
              <w:right w:w="0" w:type="dxa"/>
            </w:tcMar>
            <w:vAlign w:val="center"/>
          </w:tcPr>
          <w:p>
            <w:pPr>
              <w:pStyle w:val="TableContents"/>
              <w:bidi w:val="0"/>
              <w:spacing w:before="0" w:after="283"/>
              <w:jc w:val="right"/>
              <w:rPr/>
            </w:pPr>
            <w:r>
              <w:rPr/>
              <w:t> </w:t>
            </w:r>
          </w:p>
        </w:tc>
        <w:tc>
          <w:tcPr>
            <w:tcW w:w="1055" w:type="dxa"/>
            <w:tcBorders/>
            <w:tcMar>
              <w:top w:w="0" w:type="dxa"/>
              <w:left w:w="0" w:type="dxa"/>
              <w:bottom w:w="0" w:type="dxa"/>
              <w:right w:w="0" w:type="dxa"/>
            </w:tcMar>
            <w:vAlign w:val="center"/>
          </w:tcPr>
          <w:p>
            <w:pPr>
              <w:pStyle w:val="TableContents"/>
              <w:bidi w:val="0"/>
              <w:spacing w:before="0" w:after="283"/>
              <w:ind w:left="0" w:right="0" w:firstLine="432"/>
              <w:jc w:val="left"/>
              <w:rPr/>
            </w:pPr>
            <w:r>
              <w:rPr/>
              <w:t> </w:t>
            </w:r>
          </w:p>
        </w:tc>
      </w:tr>
      <w:tr>
        <w:trPr/>
        <w:tc>
          <w:tcPr>
            <w:tcW w:w="1982" w:type="dxa"/>
            <w:tcBorders/>
            <w:shd w:fill="CCEEFF" w:val="clear"/>
            <w:tcMar>
              <w:top w:w="0" w:type="dxa"/>
              <w:left w:w="0" w:type="dxa"/>
              <w:bottom w:w="0" w:type="dxa"/>
              <w:right w:w="0" w:type="dxa"/>
            </w:tcMar>
            <w:vAlign w:val="center"/>
          </w:tcPr>
          <w:p>
            <w:pPr>
              <w:pStyle w:val="TableContents"/>
              <w:bidi w:val="0"/>
              <w:spacing w:before="0" w:after="283"/>
              <w:ind w:left="432" w:right="0" w:firstLine="432"/>
              <w:jc w:val="left"/>
              <w:rPr>
                <w:rFonts w:ascii="Times New Roman" w:hAnsi="Times New Roman"/>
                <w:color w:val="000000"/>
                <w:sz w:val="18"/>
              </w:rPr>
            </w:pPr>
            <w:r>
              <w:rPr>
                <w:rFonts w:ascii="Times New Roman" w:hAnsi="Times New Roman"/>
                <w:color w:val="000000"/>
                <w:sz w:val="18"/>
              </w:rPr>
              <w:t>Continuing operations</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(0.21</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(0.13</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0.25</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(0.34</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0.14</w:t>
            </w:r>
          </w:p>
        </w:tc>
        <w:tc>
          <w:tcPr>
            <w:tcW w:w="1055" w:type="dxa"/>
            <w:tcBorders/>
            <w:shd w:fill="CCEEFF" w:val="clear"/>
            <w:tcMar>
              <w:top w:w="0" w:type="dxa"/>
              <w:left w:w="0" w:type="dxa"/>
              <w:bottom w:w="0" w:type="dxa"/>
              <w:right w:w="0" w:type="dxa"/>
            </w:tcMar>
            <w:vAlign w:val="center"/>
          </w:tcPr>
          <w:p>
            <w:pPr>
              <w:pStyle w:val="TableContents"/>
              <w:bidi w:val="0"/>
              <w:spacing w:before="0" w:after="283"/>
              <w:ind w:left="0" w:right="0" w:firstLine="432"/>
              <w:jc w:val="left"/>
              <w:rPr/>
            </w:pPr>
            <w:r>
              <w:rPr/>
              <w:t> </w:t>
            </w:r>
          </w:p>
        </w:tc>
      </w:tr>
      <w:tr>
        <w:trPr/>
        <w:tc>
          <w:tcPr>
            <w:tcW w:w="1982" w:type="dxa"/>
            <w:tcBorders/>
            <w:tcMar>
              <w:top w:w="0" w:type="dxa"/>
              <w:left w:w="0" w:type="dxa"/>
              <w:bottom w:w="0" w:type="dxa"/>
              <w:right w:w="0" w:type="dxa"/>
            </w:tcMar>
            <w:vAlign w:val="center"/>
          </w:tcPr>
          <w:p>
            <w:pPr>
              <w:pStyle w:val="TableContents"/>
              <w:bidi w:val="0"/>
              <w:spacing w:before="0" w:after="283"/>
              <w:ind w:left="432" w:right="0" w:firstLine="432"/>
              <w:jc w:val="left"/>
              <w:rPr>
                <w:rFonts w:ascii="Times New Roman" w:hAnsi="Times New Roman"/>
                <w:color w:val="000000"/>
                <w:sz w:val="18"/>
              </w:rPr>
            </w:pPr>
            <w:r>
              <w:rPr>
                <w:rFonts w:ascii="Times New Roman" w:hAnsi="Times New Roman"/>
                <w:color w:val="000000"/>
                <w:sz w:val="18"/>
              </w:rPr>
              <w:t>Discontinuing operations</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0.08</w:t>
            </w:r>
          </w:p>
        </w:tc>
        <w:tc>
          <w:tcPr>
            <w:tcW w:w="2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0.00</w:t>
            </w:r>
          </w:p>
        </w:tc>
        <w:tc>
          <w:tcPr>
            <w:tcW w:w="2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(0.24</w:t>
            </w:r>
          </w:p>
        </w:tc>
        <w:tc>
          <w:tcPr>
            <w:tcW w:w="2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0.08</w:t>
            </w:r>
          </w:p>
        </w:tc>
        <w:tc>
          <w:tcPr>
            <w:tcW w:w="2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(0.37</w:t>
            </w:r>
          </w:p>
        </w:tc>
        <w:tc>
          <w:tcPr>
            <w:tcW w:w="1055" w:type="dxa"/>
            <w:tcBorders/>
            <w:tcMar>
              <w:top w:w="0" w:type="dxa"/>
              <w:left w:w="0" w:type="dxa"/>
              <w:bottom w:w="0" w:type="dxa"/>
              <w:right w:w="0" w:type="dxa"/>
            </w:tcMar>
            <w:vAlign w:val="center"/>
          </w:tcPr>
          <w:p>
            <w:pPr>
              <w:pStyle w:val="TableContents"/>
              <w:bidi w:val="0"/>
              <w:spacing w:before="0" w:after="283"/>
              <w:ind w:left="0" w:right="0" w:firstLine="432"/>
              <w:jc w:val="left"/>
              <w:rPr>
                <w:rFonts w:ascii="Times New Roman" w:hAnsi="Times New Roman"/>
                <w:color w:val="000000"/>
                <w:sz w:val="18"/>
              </w:rPr>
            </w:pPr>
            <w:r>
              <w:rPr>
                <w:rFonts w:ascii="Times New Roman" w:hAnsi="Times New Roman"/>
                <w:color w:val="000000"/>
                <w:sz w:val="18"/>
              </w:rPr>
              <w:t>)</w:t>
            </w:r>
          </w:p>
        </w:tc>
      </w:tr>
      <w:tr>
        <w:trPr/>
        <w:tc>
          <w:tcPr>
            <w:tcW w:w="1982" w:type="dxa"/>
            <w:tcBorders/>
            <w:shd w:fill="CCEEFF" w:val="clear"/>
            <w:tcMar>
              <w:top w:w="0" w:type="dxa"/>
              <w:left w:w="0" w:type="dxa"/>
              <w:bottom w:w="0" w:type="dxa"/>
              <w:right w:w="0" w:type="dxa"/>
            </w:tcMar>
            <w:vAlign w:val="center"/>
          </w:tcPr>
          <w:p>
            <w:pPr>
              <w:pStyle w:val="TableContents"/>
              <w:bidi w:val="0"/>
              <w:spacing w:before="0" w:after="283"/>
              <w:ind w:left="432" w:right="0" w:firstLine="432"/>
              <w:jc w:val="left"/>
              <w:rPr>
                <w:rFonts w:ascii="Times New Roman" w:hAnsi="Times New Roman"/>
                <w:color w:val="000000"/>
                <w:sz w:val="18"/>
              </w:rPr>
            </w:pPr>
            <w:r>
              <w:rPr>
                <w:rFonts w:ascii="Times New Roman" w:hAnsi="Times New Roman"/>
                <w:color w:val="000000"/>
                <w:sz w:val="18"/>
              </w:rPr>
              <w:t>Total</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(0.13</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(0.13</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0.01</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(0.26</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(0.23</w:t>
            </w:r>
          </w:p>
        </w:tc>
        <w:tc>
          <w:tcPr>
            <w:tcW w:w="1055"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98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Weighted average number of shares—</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tcBorders/>
            <w:tcMar>
              <w:top w:w="0" w:type="dxa"/>
              <w:left w:w="0" w:type="dxa"/>
              <w:bottom w:w="0" w:type="dxa"/>
              <w:right w:w="0" w:type="dxa"/>
            </w:tcMar>
            <w:vAlign w:val="center"/>
          </w:tcPr>
          <w:p>
            <w:pPr>
              <w:pStyle w:val="TableContents"/>
              <w:bidi w:val="0"/>
              <w:spacing w:before="0" w:after="283"/>
              <w:ind w:left="0" w:right="0" w:firstLine="432"/>
              <w:jc w:val="left"/>
              <w:rPr/>
            </w:pPr>
            <w:r>
              <w:rPr/>
              <w:t> </w:t>
            </w:r>
          </w:p>
        </w:tc>
      </w:tr>
      <w:tr>
        <w:trPr/>
        <w:tc>
          <w:tcPr>
            <w:tcW w:w="1982" w:type="dxa"/>
            <w:tcBorders/>
            <w:shd w:fill="CCEEFF" w:val="clear"/>
            <w:tcMar>
              <w:top w:w="0" w:type="dxa"/>
              <w:left w:w="0" w:type="dxa"/>
              <w:bottom w:w="0" w:type="dxa"/>
              <w:right w:w="0" w:type="dxa"/>
            </w:tcMar>
            <w:vAlign w:val="center"/>
          </w:tcPr>
          <w:p>
            <w:pPr>
              <w:pStyle w:val="TableContents"/>
              <w:bidi w:val="0"/>
              <w:spacing w:before="0" w:after="283"/>
              <w:ind w:left="432" w:right="0" w:firstLine="432"/>
              <w:jc w:val="left"/>
              <w:rPr>
                <w:rFonts w:ascii="Times New Roman" w:hAnsi="Times New Roman"/>
                <w:color w:val="000000"/>
                <w:sz w:val="18"/>
              </w:rPr>
            </w:pPr>
            <w:r>
              <w:rPr>
                <w:rFonts w:ascii="Times New Roman" w:hAnsi="Times New Roman"/>
                <w:color w:val="000000"/>
                <w:sz w:val="18"/>
              </w:rPr>
              <w:t>Basic</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36,454,812</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36,407,581</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36,083,703</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36,431,327</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36,483,551</w:t>
            </w:r>
          </w:p>
        </w:tc>
        <w:tc>
          <w:tcPr>
            <w:tcW w:w="1055" w:type="dxa"/>
            <w:tcBorders/>
            <w:shd w:fill="CCEEFF" w:val="clear"/>
            <w:tcMar>
              <w:top w:w="0" w:type="dxa"/>
              <w:left w:w="0" w:type="dxa"/>
              <w:bottom w:w="0" w:type="dxa"/>
              <w:right w:w="0" w:type="dxa"/>
            </w:tcMar>
            <w:vAlign w:val="center"/>
          </w:tcPr>
          <w:p>
            <w:pPr>
              <w:pStyle w:val="TableContents"/>
              <w:bidi w:val="0"/>
              <w:spacing w:before="0" w:after="283"/>
              <w:ind w:left="0" w:right="0" w:firstLine="432"/>
              <w:jc w:val="left"/>
              <w:rPr/>
            </w:pPr>
            <w:r>
              <w:rPr/>
              <w:t> </w:t>
            </w:r>
          </w:p>
        </w:tc>
      </w:tr>
      <w:tr>
        <w:trPr/>
        <w:tc>
          <w:tcPr>
            <w:tcW w:w="1982" w:type="dxa"/>
            <w:tcBorders/>
            <w:tcMar>
              <w:top w:w="0" w:type="dxa"/>
              <w:left w:w="0" w:type="dxa"/>
              <w:bottom w:w="0" w:type="dxa"/>
              <w:right w:w="0" w:type="dxa"/>
            </w:tcMar>
            <w:vAlign w:val="center"/>
          </w:tcPr>
          <w:p>
            <w:pPr>
              <w:pStyle w:val="TableContents"/>
              <w:bidi w:val="0"/>
              <w:spacing w:before="0" w:after="283"/>
              <w:ind w:left="432" w:right="0" w:firstLine="432"/>
              <w:jc w:val="left"/>
              <w:rPr>
                <w:rFonts w:ascii="Times New Roman" w:hAnsi="Times New Roman"/>
                <w:color w:val="000000"/>
                <w:sz w:val="18"/>
              </w:rPr>
            </w:pPr>
            <w:r>
              <w:rPr>
                <w:rFonts w:ascii="Times New Roman" w:hAnsi="Times New Roman"/>
                <w:color w:val="000000"/>
                <w:sz w:val="18"/>
              </w:rPr>
              <w:t>Diluted</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36,454,812</w:t>
            </w:r>
          </w:p>
        </w:tc>
        <w:tc>
          <w:tcPr>
            <w:tcW w:w="2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36,407,581</w:t>
            </w:r>
          </w:p>
        </w:tc>
        <w:tc>
          <w:tcPr>
            <w:tcW w:w="2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36,768,647</w:t>
            </w:r>
          </w:p>
        </w:tc>
        <w:tc>
          <w:tcPr>
            <w:tcW w:w="2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36,431,327</w:t>
            </w:r>
          </w:p>
        </w:tc>
        <w:tc>
          <w:tcPr>
            <w:tcW w:w="2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37,209,622</w:t>
            </w:r>
          </w:p>
        </w:tc>
        <w:tc>
          <w:tcPr>
            <w:tcW w:w="1055"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drawing>
          <wp:inline distT="0" distB="0" distL="0" distR="0">
            <wp:extent cx="1476375" cy="2952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476375" cy="295275"/>
                    </a:xfrm>
                    <a:prstGeom prst="rect">
                      <a:avLst/>
                    </a:prstGeom>
                  </pic:spPr>
                </pic:pic>
              </a:graphicData>
            </a:graphic>
          </wp:inline>
        </w:drawing>
      </w:r>
    </w:p>
    <w:p>
      <w:pPr>
        <w:pStyle w:val="TextBody"/>
        <w:bidi w:val="0"/>
        <w:ind w:left="0" w:right="20" w:hanging="0"/>
        <w:jc w:val="center"/>
        <w:rPr>
          <w:rFonts w:ascii="Times New Roman" w:hAnsi="Times New Roman"/>
          <w:b/>
          <w:color w:val="000000"/>
          <w:sz w:val="18"/>
        </w:rPr>
      </w:pPr>
      <w:r>
        <w:rPr>
          <w:rFonts w:ascii="Times New Roman" w:hAnsi="Times New Roman"/>
          <w:b/>
          <w:color w:val="000000"/>
          <w:sz w:val="18"/>
        </w:rPr>
        <w:t>MAGNACHIP SEMICONDUCTOR CORPORATION AND SUBSIDIARIES</w:t>
      </w:r>
    </w:p>
    <w:p>
      <w:pPr>
        <w:pStyle w:val="TextBody"/>
        <w:bidi w:val="0"/>
        <w:ind w:left="0" w:right="20" w:hanging="0"/>
        <w:jc w:val="center"/>
        <w:rPr>
          <w:rFonts w:ascii="Times New Roman" w:hAnsi="Times New Roman"/>
          <w:sz w:val="20"/>
        </w:rPr>
      </w:pPr>
      <w:r>
        <w:rPr>
          <w:rFonts w:ascii="Times New Roman" w:hAnsi="Times New Roman"/>
          <w:b/>
          <w:color w:val="000000"/>
          <w:sz w:val="18"/>
        </w:rPr>
        <w:t>CONSOLIDATED BALANCE SHEETS</w:t>
      </w:r>
      <w:r>
        <w:rPr>
          <w:rFonts w:ascii="Times New Roman" w:hAnsi="Times New Roman"/>
          <w:color w:val="000000"/>
          <w:sz w:val="20"/>
        </w:rPr>
        <w:t xml:space="preserve"> </w:t>
      </w:r>
    </w:p>
    <w:p>
      <w:pPr>
        <w:pStyle w:val="TextBody"/>
        <w:bidi w:val="0"/>
        <w:ind w:left="0" w:right="20" w:hanging="0"/>
        <w:jc w:val="center"/>
        <w:rPr>
          <w:rFonts w:ascii="Times New Roman" w:hAnsi="Times New Roman"/>
          <w:sz w:val="20"/>
        </w:rPr>
      </w:pPr>
      <w:r>
        <w:rPr>
          <w:rFonts w:ascii="Times New Roman" w:hAnsi="Times New Roman"/>
          <w:b/>
          <w:color w:val="000000"/>
          <w:sz w:val="18"/>
        </w:rPr>
        <w:t>(In thousands of U.S. dollars, except share data)</w:t>
      </w:r>
      <w:r>
        <w:rPr>
          <w:rFonts w:ascii="Times New Roman" w:hAnsi="Times New Roman"/>
          <w:color w:val="000000"/>
          <w:sz w:val="20"/>
        </w:rPr>
        <w:t xml:space="preserve"> </w:t>
      </w:r>
    </w:p>
    <w:p>
      <w:pPr>
        <w:pStyle w:val="TextBody"/>
        <w:bidi w:val="0"/>
        <w:ind w:left="0" w:right="20" w:hanging="0"/>
        <w:jc w:val="center"/>
        <w:rPr>
          <w:rFonts w:ascii="Times New Roman" w:hAnsi="Times New Roman"/>
          <w:b/>
          <w:color w:val="000000"/>
          <w:sz w:val="18"/>
        </w:rPr>
      </w:pPr>
      <w:r>
        <w:rPr>
          <w:rFonts w:ascii="Times New Roman" w:hAnsi="Times New Roman"/>
          <w:b/>
          <w:color w:val="000000"/>
          <w:sz w:val="18"/>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778"/>
        <w:gridCol w:w="146"/>
        <w:gridCol w:w="196"/>
        <w:gridCol w:w="751"/>
        <w:gridCol w:w="166"/>
        <w:gridCol w:w="146"/>
        <w:gridCol w:w="196"/>
        <w:gridCol w:w="751"/>
        <w:gridCol w:w="1075"/>
      </w:tblGrid>
      <w:tr>
        <w:trPr/>
        <w:tc>
          <w:tcPr>
            <w:tcW w:w="6778"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96" w:type="dxa"/>
            <w:tcBorders/>
            <w:shd w:fill="FFFFFF" w:val="clear"/>
            <w:vAlign w:val="center"/>
          </w:tcPr>
          <w:p>
            <w:pPr>
              <w:pStyle w:val="TableContents"/>
              <w:bidi w:val="0"/>
              <w:spacing w:before="0" w:after="283"/>
              <w:jc w:val="left"/>
              <w:rPr>
                <w:sz w:val="4"/>
                <w:szCs w:val="4"/>
              </w:rPr>
            </w:pPr>
            <w:r>
              <w:rPr>
                <w:sz w:val="4"/>
                <w:szCs w:val="4"/>
              </w:rPr>
            </w:r>
          </w:p>
        </w:tc>
        <w:tc>
          <w:tcPr>
            <w:tcW w:w="751" w:type="dxa"/>
            <w:tcBorders/>
            <w:shd w:fill="FFFFFF" w:val="clear"/>
            <w:vAlign w:val="center"/>
          </w:tcPr>
          <w:p>
            <w:pPr>
              <w:pStyle w:val="TableContents"/>
              <w:bidi w:val="0"/>
              <w:spacing w:before="0" w:after="283"/>
              <w:jc w:val="left"/>
              <w:rPr>
                <w:sz w:val="4"/>
                <w:szCs w:val="4"/>
              </w:rPr>
            </w:pPr>
            <w:r>
              <w:rPr>
                <w:sz w:val="4"/>
                <w:szCs w:val="4"/>
              </w:rPr>
            </w:r>
          </w:p>
        </w:tc>
        <w:tc>
          <w:tcPr>
            <w:tcW w:w="16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96" w:type="dxa"/>
            <w:tcBorders/>
            <w:shd w:fill="FFFFFF" w:val="clear"/>
            <w:vAlign w:val="center"/>
          </w:tcPr>
          <w:p>
            <w:pPr>
              <w:pStyle w:val="TableContents"/>
              <w:bidi w:val="0"/>
              <w:spacing w:before="0" w:after="283"/>
              <w:jc w:val="left"/>
              <w:rPr>
                <w:sz w:val="4"/>
                <w:szCs w:val="4"/>
              </w:rPr>
            </w:pPr>
            <w:r>
              <w:rPr>
                <w:sz w:val="4"/>
                <w:szCs w:val="4"/>
              </w:rPr>
            </w:r>
          </w:p>
        </w:tc>
        <w:tc>
          <w:tcPr>
            <w:tcW w:w="751" w:type="dxa"/>
            <w:tcBorders/>
            <w:shd w:fill="FFFFFF" w:val="clear"/>
            <w:vAlign w:val="center"/>
          </w:tcPr>
          <w:p>
            <w:pPr>
              <w:pStyle w:val="TableContents"/>
              <w:bidi w:val="0"/>
              <w:spacing w:before="0" w:after="283"/>
              <w:jc w:val="left"/>
              <w:rPr>
                <w:sz w:val="4"/>
                <w:szCs w:val="4"/>
              </w:rPr>
            </w:pPr>
            <w:r>
              <w:rPr>
                <w:sz w:val="4"/>
                <w:szCs w:val="4"/>
              </w:rPr>
            </w:r>
          </w:p>
        </w:tc>
        <w:tc>
          <w:tcPr>
            <w:tcW w:w="1075" w:type="dxa"/>
            <w:tcBorders/>
            <w:shd w:fill="FFFFFF" w:val="clear"/>
            <w:vAlign w:val="center"/>
          </w:tcPr>
          <w:p>
            <w:pPr>
              <w:pStyle w:val="TableContents"/>
              <w:bidi w:val="0"/>
              <w:spacing w:before="0" w:after="283"/>
              <w:jc w:val="left"/>
              <w:rPr>
                <w:sz w:val="4"/>
                <w:szCs w:val="4"/>
              </w:rPr>
            </w:pPr>
            <w:r>
              <w:rPr>
                <w:sz w:val="4"/>
                <w:szCs w:val="4"/>
              </w:rPr>
            </w:r>
          </w:p>
        </w:tc>
      </w:tr>
      <w:tr>
        <w:trPr/>
        <w:tc>
          <w:tcPr>
            <w:tcW w:w="677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13" w:type="dxa"/>
            <w:gridSpan w:val="3"/>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5"/>
              </w:rPr>
            </w:pPr>
            <w:r>
              <w:rPr>
                <w:rFonts w:ascii="Times New Roman" w:hAnsi="Times New Roman"/>
                <w:b/>
                <w:color w:val="000000"/>
                <w:sz w:val="15"/>
              </w:rPr>
              <w:t>June 30,</w:t>
            </w:r>
          </w:p>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2026</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2022" w:type="dxa"/>
            <w:gridSpan w:val="3"/>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5"/>
              </w:rPr>
            </w:pPr>
            <w:r>
              <w:rPr>
                <w:rFonts w:ascii="Times New Roman" w:hAnsi="Times New Roman"/>
                <w:b/>
                <w:color w:val="000000"/>
                <w:sz w:val="15"/>
              </w:rPr>
              <w:t>December 31,</w:t>
            </w:r>
          </w:p>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2025</w:t>
            </w:r>
          </w:p>
        </w:tc>
      </w:tr>
      <w:tr>
        <w:trPr/>
        <w:tc>
          <w:tcPr>
            <w:tcW w:w="6778"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Assets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07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7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Current assets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right"/>
              <w:rPr/>
            </w:pPr>
            <w:r>
              <w:rPr/>
              <w:t> </w:t>
            </w:r>
          </w:p>
        </w:tc>
        <w:tc>
          <w:tcPr>
            <w:tcW w:w="1075" w:type="dxa"/>
            <w:tcBorders/>
            <w:tcMar>
              <w:top w:w="0" w:type="dxa"/>
              <w:left w:w="0" w:type="dxa"/>
              <w:bottom w:w="0" w:type="dxa"/>
              <w:right w:w="0" w:type="dxa"/>
            </w:tcMar>
            <w:vAlign w:val="center"/>
          </w:tcPr>
          <w:p>
            <w:pPr>
              <w:pStyle w:val="TableContents"/>
              <w:bidi w:val="0"/>
              <w:spacing w:before="0" w:after="283"/>
              <w:ind w:left="0" w:right="0" w:firstLine="432"/>
              <w:jc w:val="left"/>
              <w:rPr/>
            </w:pPr>
            <w:r>
              <w:rPr/>
              <w:t> </w:t>
            </w:r>
          </w:p>
        </w:tc>
      </w:tr>
      <w:tr>
        <w:trPr/>
        <w:tc>
          <w:tcPr>
            <w:tcW w:w="6778" w:type="dxa"/>
            <w:tcBorders/>
            <w:shd w:fill="CCEEFF" w:val="clear"/>
            <w:tcMar>
              <w:top w:w="0" w:type="dxa"/>
              <w:left w:w="0" w:type="dxa"/>
              <w:bottom w:w="0" w:type="dxa"/>
              <w:right w:w="0" w:type="dxa"/>
            </w:tcMar>
            <w:vAlign w:val="center"/>
          </w:tcPr>
          <w:p>
            <w:pPr>
              <w:pStyle w:val="TableContents"/>
              <w:bidi w:val="0"/>
              <w:spacing w:before="0" w:after="283"/>
              <w:ind w:left="432" w:right="0" w:firstLine="432"/>
              <w:jc w:val="left"/>
              <w:rPr>
                <w:rFonts w:ascii="Times New Roman" w:hAnsi="Times New Roman"/>
                <w:color w:val="000000"/>
                <w:sz w:val="18"/>
              </w:rPr>
            </w:pPr>
            <w:r>
              <w:rPr>
                <w:rFonts w:ascii="Times New Roman" w:hAnsi="Times New Roman"/>
                <w:color w:val="000000"/>
                <w:sz w:val="18"/>
              </w:rPr>
              <w:t>Cash and cash equivalents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87,936</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103,756</w:t>
            </w:r>
          </w:p>
        </w:tc>
        <w:tc>
          <w:tcPr>
            <w:tcW w:w="1075" w:type="dxa"/>
            <w:tcBorders/>
            <w:shd w:fill="CCEEFF" w:val="clear"/>
            <w:tcMar>
              <w:top w:w="0" w:type="dxa"/>
              <w:left w:w="0" w:type="dxa"/>
              <w:bottom w:w="0" w:type="dxa"/>
              <w:right w:w="0" w:type="dxa"/>
            </w:tcMar>
            <w:vAlign w:val="center"/>
          </w:tcPr>
          <w:p>
            <w:pPr>
              <w:pStyle w:val="TableContents"/>
              <w:bidi w:val="0"/>
              <w:spacing w:before="0" w:after="283"/>
              <w:ind w:left="0" w:right="0" w:firstLine="432"/>
              <w:jc w:val="left"/>
              <w:rPr/>
            </w:pPr>
            <w:r>
              <w:rPr/>
              <w:t> </w:t>
            </w:r>
          </w:p>
        </w:tc>
      </w:tr>
      <w:tr>
        <w:trPr/>
        <w:tc>
          <w:tcPr>
            <w:tcW w:w="6778" w:type="dxa"/>
            <w:tcBorders/>
            <w:tcMar>
              <w:top w:w="0" w:type="dxa"/>
              <w:left w:w="0" w:type="dxa"/>
              <w:bottom w:w="0" w:type="dxa"/>
              <w:right w:w="0" w:type="dxa"/>
            </w:tcMar>
            <w:vAlign w:val="center"/>
          </w:tcPr>
          <w:p>
            <w:pPr>
              <w:pStyle w:val="TableContents"/>
              <w:bidi w:val="0"/>
              <w:spacing w:before="0" w:after="283"/>
              <w:ind w:left="432" w:right="0" w:firstLine="432"/>
              <w:jc w:val="left"/>
              <w:rPr>
                <w:rFonts w:ascii="Times New Roman" w:hAnsi="Times New Roman"/>
                <w:color w:val="000000"/>
                <w:sz w:val="18"/>
              </w:rPr>
            </w:pPr>
            <w:r>
              <w:rPr>
                <w:rFonts w:ascii="Times New Roman" w:hAnsi="Times New Roman"/>
                <w:color w:val="000000"/>
                <w:sz w:val="18"/>
              </w:rPr>
              <w:t>Accounts receivable, net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23,788</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26,022</w:t>
            </w:r>
          </w:p>
        </w:tc>
        <w:tc>
          <w:tcPr>
            <w:tcW w:w="1075" w:type="dxa"/>
            <w:tcBorders/>
            <w:tcMar>
              <w:top w:w="0" w:type="dxa"/>
              <w:left w:w="0" w:type="dxa"/>
              <w:bottom w:w="0" w:type="dxa"/>
              <w:right w:w="0" w:type="dxa"/>
            </w:tcMar>
            <w:vAlign w:val="center"/>
          </w:tcPr>
          <w:p>
            <w:pPr>
              <w:pStyle w:val="TableContents"/>
              <w:bidi w:val="0"/>
              <w:spacing w:before="0" w:after="283"/>
              <w:ind w:left="0" w:right="0" w:firstLine="432"/>
              <w:jc w:val="left"/>
              <w:rPr/>
            </w:pPr>
            <w:r>
              <w:rPr/>
              <w:t> </w:t>
            </w:r>
          </w:p>
        </w:tc>
      </w:tr>
      <w:tr>
        <w:trPr/>
        <w:tc>
          <w:tcPr>
            <w:tcW w:w="6778" w:type="dxa"/>
            <w:tcBorders/>
            <w:shd w:fill="CCEEFF" w:val="clear"/>
            <w:tcMar>
              <w:top w:w="0" w:type="dxa"/>
              <w:left w:w="0" w:type="dxa"/>
              <w:bottom w:w="0" w:type="dxa"/>
              <w:right w:w="0" w:type="dxa"/>
            </w:tcMar>
            <w:vAlign w:val="center"/>
          </w:tcPr>
          <w:p>
            <w:pPr>
              <w:pStyle w:val="TableContents"/>
              <w:bidi w:val="0"/>
              <w:spacing w:before="0" w:after="283"/>
              <w:ind w:left="432" w:right="0" w:firstLine="432"/>
              <w:jc w:val="left"/>
              <w:rPr>
                <w:rFonts w:ascii="Times New Roman" w:hAnsi="Times New Roman"/>
                <w:color w:val="000000"/>
                <w:sz w:val="18"/>
              </w:rPr>
            </w:pPr>
            <w:r>
              <w:rPr>
                <w:rFonts w:ascii="Times New Roman" w:hAnsi="Times New Roman"/>
                <w:color w:val="000000"/>
                <w:sz w:val="18"/>
              </w:rPr>
              <w:t>Inventories, net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34,136</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34,151</w:t>
            </w:r>
          </w:p>
        </w:tc>
        <w:tc>
          <w:tcPr>
            <w:tcW w:w="1075" w:type="dxa"/>
            <w:tcBorders/>
            <w:shd w:fill="CCEEFF" w:val="clear"/>
            <w:tcMar>
              <w:top w:w="0" w:type="dxa"/>
              <w:left w:w="0" w:type="dxa"/>
              <w:bottom w:w="0" w:type="dxa"/>
              <w:right w:w="0" w:type="dxa"/>
            </w:tcMar>
            <w:vAlign w:val="center"/>
          </w:tcPr>
          <w:p>
            <w:pPr>
              <w:pStyle w:val="TableContents"/>
              <w:bidi w:val="0"/>
              <w:spacing w:before="0" w:after="283"/>
              <w:ind w:left="0" w:right="0" w:firstLine="432"/>
              <w:jc w:val="left"/>
              <w:rPr/>
            </w:pPr>
            <w:r>
              <w:rPr/>
              <w:t> </w:t>
            </w:r>
          </w:p>
        </w:tc>
      </w:tr>
      <w:tr>
        <w:trPr/>
        <w:tc>
          <w:tcPr>
            <w:tcW w:w="6778" w:type="dxa"/>
            <w:tcBorders/>
            <w:tcMar>
              <w:top w:w="0" w:type="dxa"/>
              <w:left w:w="0" w:type="dxa"/>
              <w:bottom w:w="0" w:type="dxa"/>
              <w:right w:w="0" w:type="dxa"/>
            </w:tcMar>
            <w:vAlign w:val="center"/>
          </w:tcPr>
          <w:p>
            <w:pPr>
              <w:pStyle w:val="TableContents"/>
              <w:bidi w:val="0"/>
              <w:spacing w:before="0" w:after="283"/>
              <w:ind w:left="432" w:right="0" w:firstLine="432"/>
              <w:jc w:val="left"/>
              <w:rPr>
                <w:rFonts w:ascii="Times New Roman" w:hAnsi="Times New Roman"/>
                <w:color w:val="000000"/>
                <w:sz w:val="18"/>
              </w:rPr>
            </w:pPr>
            <w:r>
              <w:rPr>
                <w:rFonts w:ascii="Times New Roman" w:hAnsi="Times New Roman"/>
                <w:color w:val="000000"/>
                <w:sz w:val="18"/>
              </w:rPr>
              <w:t>Other receivables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4,096</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2,882</w:t>
            </w:r>
          </w:p>
        </w:tc>
        <w:tc>
          <w:tcPr>
            <w:tcW w:w="1075" w:type="dxa"/>
            <w:tcBorders/>
            <w:tcMar>
              <w:top w:w="0" w:type="dxa"/>
              <w:left w:w="0" w:type="dxa"/>
              <w:bottom w:w="0" w:type="dxa"/>
              <w:right w:w="0" w:type="dxa"/>
            </w:tcMar>
            <w:vAlign w:val="center"/>
          </w:tcPr>
          <w:p>
            <w:pPr>
              <w:pStyle w:val="TableContents"/>
              <w:bidi w:val="0"/>
              <w:spacing w:before="0" w:after="283"/>
              <w:ind w:left="0" w:right="0" w:firstLine="432"/>
              <w:jc w:val="left"/>
              <w:rPr/>
            </w:pPr>
            <w:r>
              <w:rPr/>
              <w:t> </w:t>
            </w:r>
          </w:p>
        </w:tc>
      </w:tr>
      <w:tr>
        <w:trPr/>
        <w:tc>
          <w:tcPr>
            <w:tcW w:w="6778" w:type="dxa"/>
            <w:tcBorders/>
            <w:shd w:fill="CCEEFF" w:val="clear"/>
            <w:tcMar>
              <w:top w:w="0" w:type="dxa"/>
              <w:left w:w="0" w:type="dxa"/>
              <w:bottom w:w="0" w:type="dxa"/>
              <w:right w:w="0" w:type="dxa"/>
            </w:tcMar>
            <w:vAlign w:val="center"/>
          </w:tcPr>
          <w:p>
            <w:pPr>
              <w:pStyle w:val="TableContents"/>
              <w:bidi w:val="0"/>
              <w:spacing w:before="0" w:after="283"/>
              <w:ind w:left="432" w:right="0" w:firstLine="432"/>
              <w:jc w:val="left"/>
              <w:rPr>
                <w:rFonts w:ascii="Times New Roman" w:hAnsi="Times New Roman"/>
                <w:color w:val="000000"/>
                <w:sz w:val="18"/>
              </w:rPr>
            </w:pPr>
            <w:r>
              <w:rPr>
                <w:rFonts w:ascii="Times New Roman" w:hAnsi="Times New Roman"/>
                <w:color w:val="000000"/>
                <w:sz w:val="18"/>
              </w:rPr>
              <w:t>Prepaid expenses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4,346</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5,062</w:t>
            </w:r>
          </w:p>
        </w:tc>
        <w:tc>
          <w:tcPr>
            <w:tcW w:w="1075" w:type="dxa"/>
            <w:tcBorders/>
            <w:shd w:fill="CCEEFF" w:val="clear"/>
            <w:tcMar>
              <w:top w:w="0" w:type="dxa"/>
              <w:left w:w="0" w:type="dxa"/>
              <w:bottom w:w="0" w:type="dxa"/>
              <w:right w:w="0" w:type="dxa"/>
            </w:tcMar>
            <w:vAlign w:val="center"/>
          </w:tcPr>
          <w:p>
            <w:pPr>
              <w:pStyle w:val="TableContents"/>
              <w:bidi w:val="0"/>
              <w:spacing w:before="0" w:after="283"/>
              <w:ind w:left="0" w:right="0" w:firstLine="432"/>
              <w:jc w:val="left"/>
              <w:rPr/>
            </w:pPr>
            <w:r>
              <w:rPr/>
              <w:t> </w:t>
            </w:r>
          </w:p>
        </w:tc>
      </w:tr>
      <w:tr>
        <w:trPr/>
        <w:tc>
          <w:tcPr>
            <w:tcW w:w="6778" w:type="dxa"/>
            <w:tcBorders/>
            <w:tcMar>
              <w:top w:w="0" w:type="dxa"/>
              <w:left w:w="0" w:type="dxa"/>
              <w:bottom w:w="0" w:type="dxa"/>
              <w:right w:w="0" w:type="dxa"/>
            </w:tcMar>
            <w:vAlign w:val="center"/>
          </w:tcPr>
          <w:p>
            <w:pPr>
              <w:pStyle w:val="TableContents"/>
              <w:bidi w:val="0"/>
              <w:spacing w:before="0" w:after="283"/>
              <w:ind w:left="432" w:right="0" w:firstLine="432"/>
              <w:jc w:val="left"/>
              <w:rPr>
                <w:rFonts w:ascii="Times New Roman" w:hAnsi="Times New Roman"/>
                <w:color w:val="000000"/>
                <w:sz w:val="18"/>
              </w:rPr>
            </w:pPr>
            <w:r>
              <w:rPr>
                <w:rFonts w:ascii="Times New Roman" w:hAnsi="Times New Roman"/>
                <w:color w:val="000000"/>
                <w:sz w:val="18"/>
              </w:rPr>
              <w:t>Hedge collateral</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4,540</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1,200</w:t>
            </w:r>
          </w:p>
        </w:tc>
        <w:tc>
          <w:tcPr>
            <w:tcW w:w="1075" w:type="dxa"/>
            <w:tcBorders/>
            <w:tcMar>
              <w:top w:w="0" w:type="dxa"/>
              <w:left w:w="0" w:type="dxa"/>
              <w:bottom w:w="0" w:type="dxa"/>
              <w:right w:w="0" w:type="dxa"/>
            </w:tcMar>
            <w:vAlign w:val="center"/>
          </w:tcPr>
          <w:p>
            <w:pPr>
              <w:pStyle w:val="TableContents"/>
              <w:bidi w:val="0"/>
              <w:spacing w:before="0" w:after="283"/>
              <w:ind w:left="0" w:right="0" w:firstLine="432"/>
              <w:jc w:val="left"/>
              <w:rPr/>
            </w:pPr>
            <w:r>
              <w:rPr/>
              <w:t> </w:t>
            </w:r>
          </w:p>
        </w:tc>
      </w:tr>
      <w:tr>
        <w:trPr/>
        <w:tc>
          <w:tcPr>
            <w:tcW w:w="6778" w:type="dxa"/>
            <w:tcBorders/>
            <w:shd w:fill="CCEEFF" w:val="clear"/>
            <w:tcMar>
              <w:top w:w="0" w:type="dxa"/>
              <w:left w:w="0" w:type="dxa"/>
              <w:bottom w:w="0" w:type="dxa"/>
              <w:right w:w="0" w:type="dxa"/>
            </w:tcMar>
            <w:vAlign w:val="center"/>
          </w:tcPr>
          <w:p>
            <w:pPr>
              <w:pStyle w:val="TableContents"/>
              <w:bidi w:val="0"/>
              <w:spacing w:before="0" w:after="283"/>
              <w:ind w:left="432" w:right="0" w:firstLine="432"/>
              <w:jc w:val="left"/>
              <w:rPr>
                <w:rFonts w:ascii="Times New Roman" w:hAnsi="Times New Roman"/>
                <w:color w:val="000000"/>
                <w:sz w:val="18"/>
              </w:rPr>
            </w:pPr>
            <w:r>
              <w:rPr>
                <w:rFonts w:ascii="Times New Roman" w:hAnsi="Times New Roman"/>
                <w:color w:val="000000"/>
                <w:sz w:val="18"/>
              </w:rPr>
              <w:t>Other current assets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5,631</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3,782</w:t>
            </w:r>
          </w:p>
        </w:tc>
        <w:tc>
          <w:tcPr>
            <w:tcW w:w="1075" w:type="dxa"/>
            <w:tcBorders>
              <w:bottom w:val="single" w:sz="4" w:space="0" w:color="000000"/>
            </w:tcBorders>
            <w:shd w:fill="CCEEFF" w:val="clear"/>
            <w:tcMar>
              <w:top w:w="0" w:type="dxa"/>
              <w:left w:w="0" w:type="dxa"/>
              <w:right w:w="0" w:type="dxa"/>
            </w:tcMar>
            <w:vAlign w:val="center"/>
          </w:tcPr>
          <w:p>
            <w:pPr>
              <w:pStyle w:val="TableContents"/>
              <w:bidi w:val="0"/>
              <w:spacing w:before="0" w:after="283"/>
              <w:ind w:left="0" w:right="0" w:firstLine="864"/>
              <w:jc w:val="left"/>
              <w:rPr/>
            </w:pPr>
            <w:r>
              <w:rPr/>
              <w:t> </w:t>
            </w:r>
          </w:p>
        </w:tc>
      </w:tr>
      <w:tr>
        <w:trPr/>
        <w:tc>
          <w:tcPr>
            <w:tcW w:w="6778" w:type="dxa"/>
            <w:tcBorders/>
            <w:tcMar>
              <w:top w:w="0" w:type="dxa"/>
              <w:left w:w="0" w:type="dxa"/>
              <w:bottom w:w="0" w:type="dxa"/>
              <w:right w:w="0" w:type="dxa"/>
            </w:tcMar>
            <w:vAlign w:val="center"/>
          </w:tcPr>
          <w:p>
            <w:pPr>
              <w:pStyle w:val="TableContents"/>
              <w:bidi w:val="0"/>
              <w:spacing w:before="0" w:after="283"/>
              <w:ind w:left="864" w:right="0" w:firstLine="864"/>
              <w:jc w:val="left"/>
              <w:rPr>
                <w:rFonts w:ascii="Times New Roman" w:hAnsi="Times New Roman"/>
                <w:color w:val="000000"/>
                <w:sz w:val="18"/>
              </w:rPr>
            </w:pPr>
            <w:r>
              <w:rPr>
                <w:rFonts w:ascii="Times New Roman" w:hAnsi="Times New Roman"/>
                <w:color w:val="000000"/>
                <w:sz w:val="18"/>
              </w:rPr>
              <w:t>Total current assets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164,473</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176,855</w:t>
            </w:r>
          </w:p>
        </w:tc>
        <w:tc>
          <w:tcPr>
            <w:tcW w:w="107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778"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Property, plant and equipment, net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92,243</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100,204</w:t>
            </w:r>
          </w:p>
        </w:tc>
        <w:tc>
          <w:tcPr>
            <w:tcW w:w="107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7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lease right-of-use assets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1,423</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2,070</w:t>
            </w:r>
          </w:p>
        </w:tc>
        <w:tc>
          <w:tcPr>
            <w:tcW w:w="107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778"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Intangible assets, net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395</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454</w:t>
            </w:r>
          </w:p>
        </w:tc>
        <w:tc>
          <w:tcPr>
            <w:tcW w:w="107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7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Long-term prepaid expenses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498</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584</w:t>
            </w:r>
          </w:p>
        </w:tc>
        <w:tc>
          <w:tcPr>
            <w:tcW w:w="107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778"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Deferred income taxes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60,217</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CEEFF" w:val="clear"/>
            <w:tcMar>
              <w:top w:w="0" w:type="dxa"/>
              <w:left w:w="0" w:type="dxa"/>
              <w:bottom w:w="0" w:type="dxa"/>
              <w:right w:w="0" w:type="dxa"/>
            </w:tcMar>
            <w:vAlign w:val="center"/>
          </w:tcPr>
          <w:p>
            <w:pPr>
              <w:pStyle w:val="TableContents"/>
              <w:bidi w:val="0"/>
              <w:spacing w:before="0" w:after="283"/>
              <w:jc w:val="right"/>
              <w:rPr/>
            </w:pPr>
            <w:r>
              <w:rPr>
                <w:color w:val="000000"/>
              </w:rPr>
              <w:t> </w:t>
            </w:r>
            <w:r>
              <w:rPr>
                <w:rFonts w:ascii="Times New Roman" w:hAnsi="Times New Roman"/>
                <w:color w:val="000000"/>
                <w:sz w:val="18"/>
              </w:rPr>
              <w:t xml:space="preserve">64,248 </w:t>
            </w:r>
          </w:p>
        </w:tc>
        <w:tc>
          <w:tcPr>
            <w:tcW w:w="107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7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non-current assets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5,602</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7,114</w:t>
            </w:r>
          </w:p>
        </w:tc>
        <w:tc>
          <w:tcPr>
            <w:tcW w:w="1075" w:type="dxa"/>
            <w:tcBorders>
              <w:bottom w:val="single" w:sz="4" w:space="0" w:color="000000"/>
            </w:tcBorders>
            <w:tcMar>
              <w:top w:w="0" w:type="dxa"/>
              <w:left w:w="0" w:type="dxa"/>
              <w:right w:w="0" w:type="dxa"/>
            </w:tcMar>
            <w:vAlign w:val="center"/>
          </w:tcPr>
          <w:p>
            <w:pPr>
              <w:pStyle w:val="TableContents"/>
              <w:bidi w:val="0"/>
              <w:spacing w:before="0" w:after="283"/>
              <w:ind w:left="0" w:right="0" w:firstLine="864"/>
              <w:jc w:val="left"/>
              <w:rPr/>
            </w:pPr>
            <w:r>
              <w:rPr/>
              <w:t> </w:t>
            </w:r>
          </w:p>
        </w:tc>
      </w:tr>
      <w:tr>
        <w:trPr/>
        <w:tc>
          <w:tcPr>
            <w:tcW w:w="6778" w:type="dxa"/>
            <w:tcBorders/>
            <w:shd w:fill="CCEEFF" w:val="clear"/>
            <w:tcMar>
              <w:top w:w="0" w:type="dxa"/>
              <w:left w:w="0" w:type="dxa"/>
              <w:bottom w:w="0" w:type="dxa"/>
              <w:right w:w="0" w:type="dxa"/>
            </w:tcMar>
            <w:vAlign w:val="center"/>
          </w:tcPr>
          <w:p>
            <w:pPr>
              <w:pStyle w:val="TableContents"/>
              <w:bidi w:val="0"/>
              <w:spacing w:before="0" w:after="283"/>
              <w:ind w:left="864" w:right="0" w:firstLine="864"/>
              <w:jc w:val="left"/>
              <w:rPr>
                <w:rFonts w:ascii="Times New Roman" w:hAnsi="Times New Roman"/>
                <w:color w:val="000000"/>
                <w:sz w:val="18"/>
              </w:rPr>
            </w:pPr>
            <w:r>
              <w:rPr>
                <w:rFonts w:ascii="Times New Roman" w:hAnsi="Times New Roman"/>
                <w:color w:val="000000"/>
                <w:sz w:val="18"/>
              </w:rPr>
              <w:t>Total assets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324,851</w:t>
            </w:r>
          </w:p>
        </w:tc>
        <w:tc>
          <w:tcPr>
            <w:tcW w:w="16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 xml:space="preserve">351,529 </w:t>
            </w:r>
          </w:p>
        </w:tc>
        <w:tc>
          <w:tcPr>
            <w:tcW w:w="1075"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r>
        <w:trPr/>
        <w:tc>
          <w:tcPr>
            <w:tcW w:w="677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Liabilities and Stockholders’ Equity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778"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Current liabilities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tcBorders/>
            <w:shd w:fill="CCEEFF" w:val="clear"/>
            <w:tcMar>
              <w:top w:w="0" w:type="dxa"/>
              <w:left w:w="0" w:type="dxa"/>
              <w:bottom w:w="0" w:type="dxa"/>
              <w:right w:w="0" w:type="dxa"/>
            </w:tcMar>
            <w:vAlign w:val="center"/>
          </w:tcPr>
          <w:p>
            <w:pPr>
              <w:pStyle w:val="TableContents"/>
              <w:bidi w:val="0"/>
              <w:spacing w:before="0" w:after="283"/>
              <w:ind w:left="0" w:right="0" w:firstLine="432"/>
              <w:jc w:val="left"/>
              <w:rPr/>
            </w:pPr>
            <w:r>
              <w:rPr/>
              <w:t> </w:t>
            </w:r>
          </w:p>
        </w:tc>
      </w:tr>
      <w:tr>
        <w:trPr/>
        <w:tc>
          <w:tcPr>
            <w:tcW w:w="6778" w:type="dxa"/>
            <w:tcBorders/>
            <w:tcMar>
              <w:top w:w="0" w:type="dxa"/>
              <w:left w:w="0" w:type="dxa"/>
              <w:bottom w:w="0" w:type="dxa"/>
              <w:right w:w="0" w:type="dxa"/>
            </w:tcMar>
            <w:vAlign w:val="center"/>
          </w:tcPr>
          <w:p>
            <w:pPr>
              <w:pStyle w:val="TableContents"/>
              <w:bidi w:val="0"/>
              <w:spacing w:before="0" w:after="283"/>
              <w:ind w:left="432" w:right="0" w:firstLine="432"/>
              <w:jc w:val="left"/>
              <w:rPr>
                <w:rFonts w:ascii="Times New Roman" w:hAnsi="Times New Roman"/>
                <w:color w:val="000000"/>
                <w:sz w:val="18"/>
              </w:rPr>
            </w:pPr>
            <w:r>
              <w:rPr>
                <w:rFonts w:ascii="Times New Roman" w:hAnsi="Times New Roman"/>
                <w:color w:val="000000"/>
                <w:sz w:val="18"/>
              </w:rPr>
              <w:t>Accounts payable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21,127</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20,848</w:t>
            </w:r>
          </w:p>
        </w:tc>
        <w:tc>
          <w:tcPr>
            <w:tcW w:w="1075" w:type="dxa"/>
            <w:tcBorders/>
            <w:tcMar>
              <w:top w:w="0" w:type="dxa"/>
              <w:left w:w="0" w:type="dxa"/>
              <w:bottom w:w="0" w:type="dxa"/>
              <w:right w:w="0" w:type="dxa"/>
            </w:tcMar>
            <w:vAlign w:val="center"/>
          </w:tcPr>
          <w:p>
            <w:pPr>
              <w:pStyle w:val="TableContents"/>
              <w:bidi w:val="0"/>
              <w:spacing w:before="0" w:after="283"/>
              <w:ind w:left="0" w:right="0" w:firstLine="432"/>
              <w:jc w:val="left"/>
              <w:rPr/>
            </w:pPr>
            <w:r>
              <w:rPr/>
              <w:t> </w:t>
            </w:r>
          </w:p>
        </w:tc>
      </w:tr>
      <w:tr>
        <w:trPr/>
        <w:tc>
          <w:tcPr>
            <w:tcW w:w="6778" w:type="dxa"/>
            <w:tcBorders/>
            <w:shd w:fill="CCEEFF" w:val="clear"/>
            <w:tcMar>
              <w:top w:w="0" w:type="dxa"/>
              <w:left w:w="0" w:type="dxa"/>
              <w:bottom w:w="0" w:type="dxa"/>
              <w:right w:w="0" w:type="dxa"/>
            </w:tcMar>
            <w:vAlign w:val="center"/>
          </w:tcPr>
          <w:p>
            <w:pPr>
              <w:pStyle w:val="TableContents"/>
              <w:bidi w:val="0"/>
              <w:spacing w:before="0" w:after="283"/>
              <w:ind w:left="432" w:right="0" w:firstLine="432"/>
              <w:jc w:val="left"/>
              <w:rPr>
                <w:rFonts w:ascii="Times New Roman" w:hAnsi="Times New Roman"/>
                <w:color w:val="000000"/>
                <w:sz w:val="18"/>
              </w:rPr>
            </w:pPr>
            <w:r>
              <w:rPr>
                <w:rFonts w:ascii="Times New Roman" w:hAnsi="Times New Roman"/>
                <w:color w:val="000000"/>
                <w:sz w:val="18"/>
              </w:rPr>
              <w:t>Other accounts payable</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5,690</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11,444</w:t>
            </w:r>
          </w:p>
        </w:tc>
        <w:tc>
          <w:tcPr>
            <w:tcW w:w="1075" w:type="dxa"/>
            <w:tcBorders/>
            <w:shd w:fill="CCEEFF" w:val="clear"/>
            <w:tcMar>
              <w:top w:w="0" w:type="dxa"/>
              <w:left w:w="0" w:type="dxa"/>
              <w:bottom w:w="0" w:type="dxa"/>
              <w:right w:w="0" w:type="dxa"/>
            </w:tcMar>
            <w:vAlign w:val="center"/>
          </w:tcPr>
          <w:p>
            <w:pPr>
              <w:pStyle w:val="TableContents"/>
              <w:bidi w:val="0"/>
              <w:spacing w:before="0" w:after="283"/>
              <w:ind w:left="0" w:right="0" w:firstLine="432"/>
              <w:jc w:val="left"/>
              <w:rPr/>
            </w:pPr>
            <w:r>
              <w:rPr/>
              <w:t> </w:t>
            </w:r>
          </w:p>
        </w:tc>
      </w:tr>
      <w:tr>
        <w:trPr/>
        <w:tc>
          <w:tcPr>
            <w:tcW w:w="6778" w:type="dxa"/>
            <w:tcBorders/>
            <w:tcMar>
              <w:top w:w="0" w:type="dxa"/>
              <w:left w:w="0" w:type="dxa"/>
              <w:bottom w:w="0" w:type="dxa"/>
              <w:right w:w="0" w:type="dxa"/>
            </w:tcMar>
            <w:vAlign w:val="center"/>
          </w:tcPr>
          <w:p>
            <w:pPr>
              <w:pStyle w:val="TableContents"/>
              <w:bidi w:val="0"/>
              <w:spacing w:before="0" w:after="283"/>
              <w:ind w:left="432" w:right="0" w:firstLine="432"/>
              <w:jc w:val="left"/>
              <w:rPr>
                <w:rFonts w:ascii="Times New Roman" w:hAnsi="Times New Roman"/>
                <w:color w:val="000000"/>
                <w:sz w:val="18"/>
              </w:rPr>
            </w:pPr>
            <w:r>
              <w:rPr>
                <w:rFonts w:ascii="Times New Roman" w:hAnsi="Times New Roman"/>
                <w:color w:val="000000"/>
                <w:sz w:val="18"/>
              </w:rPr>
              <w:t>Accrued expenses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7,696</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6,929</w:t>
            </w:r>
          </w:p>
        </w:tc>
        <w:tc>
          <w:tcPr>
            <w:tcW w:w="1075" w:type="dxa"/>
            <w:tcBorders/>
            <w:tcMar>
              <w:top w:w="0" w:type="dxa"/>
              <w:left w:w="0" w:type="dxa"/>
              <w:bottom w:w="0" w:type="dxa"/>
              <w:right w:w="0" w:type="dxa"/>
            </w:tcMar>
            <w:vAlign w:val="center"/>
          </w:tcPr>
          <w:p>
            <w:pPr>
              <w:pStyle w:val="TableContents"/>
              <w:bidi w:val="0"/>
              <w:spacing w:before="0" w:after="283"/>
              <w:ind w:left="0" w:right="0" w:firstLine="432"/>
              <w:jc w:val="left"/>
              <w:rPr/>
            </w:pPr>
            <w:r>
              <w:rPr/>
              <w:t> </w:t>
            </w:r>
          </w:p>
        </w:tc>
      </w:tr>
      <w:tr>
        <w:trPr/>
        <w:tc>
          <w:tcPr>
            <w:tcW w:w="6778" w:type="dxa"/>
            <w:tcBorders/>
            <w:shd w:fill="CCEEFF" w:val="clear"/>
            <w:tcMar>
              <w:top w:w="0" w:type="dxa"/>
              <w:left w:w="0" w:type="dxa"/>
              <w:bottom w:w="0" w:type="dxa"/>
              <w:right w:w="0" w:type="dxa"/>
            </w:tcMar>
            <w:vAlign w:val="center"/>
          </w:tcPr>
          <w:p>
            <w:pPr>
              <w:pStyle w:val="TableContents"/>
              <w:bidi w:val="0"/>
              <w:spacing w:before="0" w:after="283"/>
              <w:ind w:left="432" w:right="0" w:firstLine="432"/>
              <w:jc w:val="left"/>
              <w:rPr>
                <w:rFonts w:ascii="Times New Roman" w:hAnsi="Times New Roman"/>
                <w:color w:val="000000"/>
                <w:sz w:val="18"/>
              </w:rPr>
            </w:pPr>
            <w:r>
              <w:rPr>
                <w:rFonts w:ascii="Times New Roman" w:hAnsi="Times New Roman"/>
                <w:color w:val="000000"/>
                <w:sz w:val="18"/>
              </w:rPr>
              <w:t>Accrued income taxes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w:t>
            </w:r>
          </w:p>
        </w:tc>
        <w:tc>
          <w:tcPr>
            <w:tcW w:w="1075" w:type="dxa"/>
            <w:tcBorders/>
            <w:shd w:fill="CCEEFF" w:val="clear"/>
            <w:tcMar>
              <w:top w:w="0" w:type="dxa"/>
              <w:left w:w="0" w:type="dxa"/>
              <w:bottom w:w="0" w:type="dxa"/>
              <w:right w:w="0" w:type="dxa"/>
            </w:tcMar>
            <w:vAlign w:val="center"/>
          </w:tcPr>
          <w:p>
            <w:pPr>
              <w:pStyle w:val="TableContents"/>
              <w:bidi w:val="0"/>
              <w:spacing w:before="0" w:after="283"/>
              <w:ind w:left="0" w:right="0" w:firstLine="432"/>
              <w:jc w:val="left"/>
              <w:rPr/>
            </w:pPr>
            <w:r>
              <w:rPr/>
              <w:t> </w:t>
            </w:r>
          </w:p>
        </w:tc>
      </w:tr>
      <w:tr>
        <w:trPr/>
        <w:tc>
          <w:tcPr>
            <w:tcW w:w="6778" w:type="dxa"/>
            <w:tcBorders/>
            <w:tcMar>
              <w:top w:w="0" w:type="dxa"/>
              <w:left w:w="0" w:type="dxa"/>
              <w:bottom w:w="0" w:type="dxa"/>
              <w:right w:w="0" w:type="dxa"/>
            </w:tcMar>
            <w:vAlign w:val="center"/>
          </w:tcPr>
          <w:p>
            <w:pPr>
              <w:pStyle w:val="TableContents"/>
              <w:bidi w:val="0"/>
              <w:spacing w:before="0" w:after="283"/>
              <w:ind w:left="432" w:right="0" w:firstLine="432"/>
              <w:jc w:val="left"/>
              <w:rPr>
                <w:rFonts w:ascii="Times New Roman" w:hAnsi="Times New Roman"/>
                <w:color w:val="000000"/>
                <w:sz w:val="18"/>
              </w:rPr>
            </w:pPr>
            <w:r>
              <w:rPr>
                <w:rFonts w:ascii="Times New Roman" w:hAnsi="Times New Roman"/>
                <w:color w:val="000000"/>
                <w:sz w:val="18"/>
              </w:rPr>
              <w:t>Operating lease liabilities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1,144</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1,427</w:t>
            </w:r>
          </w:p>
        </w:tc>
        <w:tc>
          <w:tcPr>
            <w:tcW w:w="1075" w:type="dxa"/>
            <w:tcBorders/>
            <w:tcMar>
              <w:top w:w="0" w:type="dxa"/>
              <w:left w:w="0" w:type="dxa"/>
              <w:bottom w:w="0" w:type="dxa"/>
              <w:right w:w="0" w:type="dxa"/>
            </w:tcMar>
            <w:vAlign w:val="center"/>
          </w:tcPr>
          <w:p>
            <w:pPr>
              <w:pStyle w:val="TableContents"/>
              <w:bidi w:val="0"/>
              <w:spacing w:before="0" w:after="283"/>
              <w:ind w:left="0" w:right="0" w:firstLine="432"/>
              <w:jc w:val="left"/>
              <w:rPr/>
            </w:pPr>
            <w:r>
              <w:rPr/>
              <w:t> </w:t>
            </w:r>
          </w:p>
        </w:tc>
      </w:tr>
      <w:tr>
        <w:trPr/>
        <w:tc>
          <w:tcPr>
            <w:tcW w:w="6778" w:type="dxa"/>
            <w:tcBorders/>
            <w:shd w:fill="CCEEFF" w:val="clear"/>
            <w:tcMar>
              <w:top w:w="0" w:type="dxa"/>
              <w:left w:w="0" w:type="dxa"/>
              <w:bottom w:w="0" w:type="dxa"/>
              <w:right w:w="0" w:type="dxa"/>
            </w:tcMar>
            <w:vAlign w:val="center"/>
          </w:tcPr>
          <w:p>
            <w:pPr>
              <w:pStyle w:val="TableContents"/>
              <w:bidi w:val="0"/>
              <w:spacing w:before="0" w:after="283"/>
              <w:ind w:left="432" w:right="0" w:firstLine="432"/>
              <w:jc w:val="left"/>
              <w:rPr>
                <w:rFonts w:ascii="Times New Roman" w:hAnsi="Times New Roman"/>
                <w:color w:val="000000"/>
                <w:sz w:val="18"/>
              </w:rPr>
            </w:pPr>
            <w:r>
              <w:rPr>
                <w:rFonts w:ascii="Times New Roman" w:hAnsi="Times New Roman"/>
                <w:color w:val="000000"/>
                <w:sz w:val="18"/>
              </w:rPr>
              <w:t>Current portion of long-term borrowings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25,949</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075" w:type="dxa"/>
            <w:tcBorders/>
            <w:shd w:fill="CCEEFF" w:val="clear"/>
            <w:tcMar>
              <w:top w:w="0" w:type="dxa"/>
              <w:left w:w="0" w:type="dxa"/>
              <w:bottom w:w="0" w:type="dxa"/>
              <w:right w:w="0" w:type="dxa"/>
            </w:tcMar>
            <w:vAlign w:val="center"/>
          </w:tcPr>
          <w:p>
            <w:pPr>
              <w:pStyle w:val="TableContents"/>
              <w:bidi w:val="0"/>
              <w:spacing w:before="0" w:after="283"/>
              <w:ind w:left="0" w:right="0" w:firstLine="432"/>
              <w:jc w:val="left"/>
              <w:rPr/>
            </w:pPr>
            <w:r>
              <w:rPr/>
              <w:t> </w:t>
            </w:r>
          </w:p>
        </w:tc>
      </w:tr>
      <w:tr>
        <w:trPr/>
        <w:tc>
          <w:tcPr>
            <w:tcW w:w="6778" w:type="dxa"/>
            <w:tcBorders/>
            <w:tcMar>
              <w:top w:w="0" w:type="dxa"/>
              <w:left w:w="0" w:type="dxa"/>
              <w:bottom w:w="0" w:type="dxa"/>
              <w:right w:w="0" w:type="dxa"/>
            </w:tcMar>
            <w:vAlign w:val="center"/>
          </w:tcPr>
          <w:p>
            <w:pPr>
              <w:pStyle w:val="TableContents"/>
              <w:bidi w:val="0"/>
              <w:spacing w:before="0" w:after="283"/>
              <w:ind w:left="432" w:right="0" w:firstLine="432"/>
              <w:jc w:val="left"/>
              <w:rPr>
                <w:rFonts w:ascii="Times New Roman" w:hAnsi="Times New Roman"/>
                <w:color w:val="000000"/>
                <w:sz w:val="18"/>
              </w:rPr>
            </w:pPr>
            <w:r>
              <w:rPr>
                <w:rFonts w:ascii="Times New Roman" w:hAnsi="Times New Roman"/>
                <w:color w:val="000000"/>
                <w:sz w:val="18"/>
              </w:rPr>
              <w:t>Other current liabilities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6,044</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2,681</w:t>
            </w:r>
          </w:p>
        </w:tc>
        <w:tc>
          <w:tcPr>
            <w:tcW w:w="1075" w:type="dxa"/>
            <w:tcBorders>
              <w:bottom w:val="single" w:sz="4" w:space="0" w:color="000000"/>
            </w:tcBorders>
            <w:tcMar>
              <w:top w:w="0" w:type="dxa"/>
              <w:left w:w="0" w:type="dxa"/>
              <w:right w:w="0" w:type="dxa"/>
            </w:tcMar>
            <w:vAlign w:val="center"/>
          </w:tcPr>
          <w:p>
            <w:pPr>
              <w:pStyle w:val="TableContents"/>
              <w:bidi w:val="0"/>
              <w:spacing w:before="0" w:after="283"/>
              <w:ind w:left="0" w:right="0" w:firstLine="864"/>
              <w:jc w:val="left"/>
              <w:rPr/>
            </w:pPr>
            <w:r>
              <w:rPr/>
              <w:t> </w:t>
            </w:r>
          </w:p>
        </w:tc>
      </w:tr>
      <w:tr>
        <w:trPr/>
        <w:tc>
          <w:tcPr>
            <w:tcW w:w="6778" w:type="dxa"/>
            <w:tcBorders/>
            <w:shd w:fill="CCEEFF" w:val="clear"/>
            <w:tcMar>
              <w:top w:w="0" w:type="dxa"/>
              <w:left w:w="0" w:type="dxa"/>
              <w:bottom w:w="0" w:type="dxa"/>
              <w:right w:w="0" w:type="dxa"/>
            </w:tcMar>
            <w:vAlign w:val="center"/>
          </w:tcPr>
          <w:p>
            <w:pPr>
              <w:pStyle w:val="TableContents"/>
              <w:bidi w:val="0"/>
              <w:spacing w:before="0" w:after="283"/>
              <w:ind w:left="864" w:right="0" w:firstLine="864"/>
              <w:jc w:val="left"/>
              <w:rPr>
                <w:rFonts w:ascii="Times New Roman" w:hAnsi="Times New Roman"/>
                <w:color w:val="000000"/>
                <w:sz w:val="18"/>
              </w:rPr>
            </w:pPr>
            <w:r>
              <w:rPr>
                <w:rFonts w:ascii="Times New Roman" w:hAnsi="Times New Roman"/>
                <w:color w:val="000000"/>
                <w:sz w:val="18"/>
              </w:rPr>
              <w:t>Total current liabilities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67,688</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43,410</w:t>
            </w:r>
          </w:p>
        </w:tc>
        <w:tc>
          <w:tcPr>
            <w:tcW w:w="1075"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r>
        <w:trPr/>
        <w:tc>
          <w:tcPr>
            <w:tcW w:w="677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Long-term borrowings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15,566</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44,599</w:t>
            </w:r>
          </w:p>
        </w:tc>
        <w:tc>
          <w:tcPr>
            <w:tcW w:w="107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778"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Accrued severance benefits, net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11,908</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11,502</w:t>
            </w:r>
          </w:p>
        </w:tc>
        <w:tc>
          <w:tcPr>
            <w:tcW w:w="107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7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Non-current operating lease liabilities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324</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690</w:t>
            </w:r>
          </w:p>
        </w:tc>
        <w:tc>
          <w:tcPr>
            <w:tcW w:w="107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778"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non-current liabilities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2,833</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 xml:space="preserve">3,078 </w:t>
            </w:r>
          </w:p>
        </w:tc>
        <w:tc>
          <w:tcPr>
            <w:tcW w:w="1075" w:type="dxa"/>
            <w:tcBorders>
              <w:bottom w:val="single" w:sz="4" w:space="0" w:color="000000"/>
            </w:tcBorders>
            <w:shd w:fill="CCEEFF" w:val="clear"/>
            <w:tcMar>
              <w:top w:w="0" w:type="dxa"/>
              <w:left w:w="0" w:type="dxa"/>
              <w:right w:w="0" w:type="dxa"/>
            </w:tcMar>
            <w:vAlign w:val="center"/>
          </w:tcPr>
          <w:p>
            <w:pPr>
              <w:pStyle w:val="TableContents"/>
              <w:bidi w:val="0"/>
              <w:spacing w:before="0" w:after="283"/>
              <w:ind w:left="0" w:right="0" w:firstLine="864"/>
              <w:jc w:val="left"/>
              <w:rPr/>
            </w:pPr>
            <w:r>
              <w:rPr/>
              <w:t> </w:t>
            </w:r>
          </w:p>
        </w:tc>
      </w:tr>
      <w:tr>
        <w:trPr/>
        <w:tc>
          <w:tcPr>
            <w:tcW w:w="6778" w:type="dxa"/>
            <w:tcBorders/>
            <w:tcMar>
              <w:top w:w="0" w:type="dxa"/>
              <w:left w:w="0" w:type="dxa"/>
              <w:bottom w:w="0" w:type="dxa"/>
              <w:right w:w="0" w:type="dxa"/>
            </w:tcMar>
            <w:vAlign w:val="center"/>
          </w:tcPr>
          <w:p>
            <w:pPr>
              <w:pStyle w:val="TableContents"/>
              <w:bidi w:val="0"/>
              <w:spacing w:before="0" w:after="283"/>
              <w:ind w:left="864" w:right="0" w:firstLine="864"/>
              <w:jc w:val="left"/>
              <w:rPr>
                <w:rFonts w:ascii="Times New Roman" w:hAnsi="Times New Roman"/>
                <w:color w:val="000000"/>
                <w:sz w:val="18"/>
              </w:rPr>
            </w:pPr>
            <w:r>
              <w:rPr>
                <w:rFonts w:ascii="Times New Roman" w:hAnsi="Times New Roman"/>
                <w:color w:val="000000"/>
                <w:sz w:val="18"/>
              </w:rPr>
              <w:t>Total liabilities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98,319</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103,279</w:t>
            </w:r>
          </w:p>
        </w:tc>
        <w:tc>
          <w:tcPr>
            <w:tcW w:w="1075"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6778"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Commitments and contingencies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07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7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Stockholders’ equity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right"/>
              <w:rPr/>
            </w:pPr>
            <w:r>
              <w:rPr/>
              <w:t> </w:t>
            </w:r>
          </w:p>
        </w:tc>
        <w:tc>
          <w:tcPr>
            <w:tcW w:w="1075" w:type="dxa"/>
            <w:tcBorders/>
            <w:tcMar>
              <w:top w:w="0" w:type="dxa"/>
              <w:left w:w="0" w:type="dxa"/>
              <w:bottom w:w="0" w:type="dxa"/>
              <w:right w:w="0" w:type="dxa"/>
            </w:tcMar>
            <w:vAlign w:val="center"/>
          </w:tcPr>
          <w:p>
            <w:pPr>
              <w:pStyle w:val="TableContents"/>
              <w:bidi w:val="0"/>
              <w:spacing w:before="0" w:after="283"/>
              <w:ind w:left="0" w:right="0" w:firstLine="432"/>
              <w:jc w:val="left"/>
              <w:rPr/>
            </w:pPr>
            <w:r>
              <w:rPr/>
              <w:t> </w:t>
            </w:r>
          </w:p>
        </w:tc>
      </w:tr>
      <w:tr>
        <w:trPr/>
        <w:tc>
          <w:tcPr>
            <w:tcW w:w="6778" w:type="dxa"/>
            <w:tcBorders/>
            <w:shd w:fill="CCEEFF" w:val="clear"/>
            <w:tcMar>
              <w:top w:w="0" w:type="dxa"/>
              <w:left w:w="0" w:type="dxa"/>
              <w:bottom w:w="0" w:type="dxa"/>
              <w:right w:w="0" w:type="dxa"/>
            </w:tcMar>
            <w:vAlign w:val="center"/>
          </w:tcPr>
          <w:p>
            <w:pPr>
              <w:pStyle w:val="TableContents"/>
              <w:bidi w:val="0"/>
              <w:spacing w:before="0" w:after="283"/>
              <w:ind w:left="432" w:right="0" w:firstLine="432"/>
              <w:jc w:val="left"/>
              <w:rPr>
                <w:rFonts w:ascii="Times New Roman" w:hAnsi="Times New Roman"/>
                <w:color w:val="000000"/>
                <w:sz w:val="18"/>
              </w:rPr>
            </w:pPr>
            <w:r>
              <w:rPr>
                <w:rFonts w:ascii="Times New Roman" w:hAnsi="Times New Roman"/>
                <w:color w:val="000000"/>
                <w:sz w:val="18"/>
              </w:rPr>
              <w:t>Common stock, $0.01 par value, 150,000,000 shares authorized, 58,318,707 shares issued and 36,510,111</w:t>
              <w:br/>
              <w:t>   outstanding at June 30, 2026 and 58,027,696 shares issued and 36,219,100 outstanding at</w:t>
              <w:br/>
              <w:t>   December 31, 2025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581</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579</w:t>
            </w:r>
          </w:p>
        </w:tc>
        <w:tc>
          <w:tcPr>
            <w:tcW w:w="1075" w:type="dxa"/>
            <w:tcBorders/>
            <w:shd w:fill="CCEEFF" w:val="clear"/>
            <w:tcMar>
              <w:top w:w="0" w:type="dxa"/>
              <w:left w:w="0" w:type="dxa"/>
              <w:bottom w:w="0" w:type="dxa"/>
              <w:right w:w="0" w:type="dxa"/>
            </w:tcMar>
            <w:vAlign w:val="center"/>
          </w:tcPr>
          <w:p>
            <w:pPr>
              <w:pStyle w:val="TableContents"/>
              <w:bidi w:val="0"/>
              <w:spacing w:before="0" w:after="283"/>
              <w:ind w:left="0" w:right="0" w:firstLine="432"/>
              <w:jc w:val="left"/>
              <w:rPr/>
            </w:pPr>
            <w:r>
              <w:rPr/>
              <w:t> </w:t>
            </w:r>
          </w:p>
        </w:tc>
      </w:tr>
      <w:tr>
        <w:trPr/>
        <w:tc>
          <w:tcPr>
            <w:tcW w:w="6778" w:type="dxa"/>
            <w:tcBorders/>
            <w:tcMar>
              <w:top w:w="0" w:type="dxa"/>
              <w:left w:w="0" w:type="dxa"/>
              <w:bottom w:w="0" w:type="dxa"/>
              <w:right w:w="0" w:type="dxa"/>
            </w:tcMar>
            <w:vAlign w:val="center"/>
          </w:tcPr>
          <w:p>
            <w:pPr>
              <w:pStyle w:val="TableContents"/>
              <w:bidi w:val="0"/>
              <w:spacing w:before="0" w:after="283"/>
              <w:ind w:left="432" w:right="0" w:firstLine="432"/>
              <w:jc w:val="left"/>
              <w:rPr>
                <w:rFonts w:ascii="Times New Roman" w:hAnsi="Times New Roman"/>
                <w:color w:val="000000"/>
                <w:sz w:val="18"/>
              </w:rPr>
            </w:pPr>
            <w:r>
              <w:rPr>
                <w:rFonts w:ascii="Times New Roman" w:hAnsi="Times New Roman"/>
                <w:color w:val="000000"/>
                <w:sz w:val="18"/>
              </w:rPr>
              <w:t>Additional paid-in capital</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283,263</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281,537</w:t>
            </w:r>
          </w:p>
        </w:tc>
        <w:tc>
          <w:tcPr>
            <w:tcW w:w="1075" w:type="dxa"/>
            <w:tcBorders/>
            <w:tcMar>
              <w:top w:w="0" w:type="dxa"/>
              <w:left w:w="0" w:type="dxa"/>
              <w:bottom w:w="0" w:type="dxa"/>
              <w:right w:w="0" w:type="dxa"/>
            </w:tcMar>
            <w:vAlign w:val="center"/>
          </w:tcPr>
          <w:p>
            <w:pPr>
              <w:pStyle w:val="TableContents"/>
              <w:bidi w:val="0"/>
              <w:spacing w:before="0" w:after="283"/>
              <w:ind w:left="0" w:right="0" w:firstLine="432"/>
              <w:jc w:val="left"/>
              <w:rPr/>
            </w:pPr>
            <w:r>
              <w:rPr/>
              <w:t> </w:t>
            </w:r>
          </w:p>
        </w:tc>
      </w:tr>
      <w:tr>
        <w:trPr/>
        <w:tc>
          <w:tcPr>
            <w:tcW w:w="6778" w:type="dxa"/>
            <w:tcBorders/>
            <w:shd w:fill="CCEEFF" w:val="clear"/>
            <w:tcMar>
              <w:top w:w="0" w:type="dxa"/>
              <w:left w:w="0" w:type="dxa"/>
              <w:bottom w:w="0" w:type="dxa"/>
              <w:right w:w="0" w:type="dxa"/>
            </w:tcMar>
            <w:vAlign w:val="center"/>
          </w:tcPr>
          <w:p>
            <w:pPr>
              <w:pStyle w:val="TableContents"/>
              <w:bidi w:val="0"/>
              <w:spacing w:before="0" w:after="283"/>
              <w:ind w:left="432" w:right="0" w:firstLine="432"/>
              <w:jc w:val="left"/>
              <w:rPr>
                <w:rFonts w:ascii="Times New Roman" w:hAnsi="Times New Roman"/>
                <w:color w:val="000000"/>
                <w:sz w:val="18"/>
              </w:rPr>
            </w:pPr>
            <w:r>
              <w:rPr>
                <w:rFonts w:ascii="Times New Roman" w:hAnsi="Times New Roman"/>
                <w:color w:val="000000"/>
                <w:sz w:val="18"/>
              </w:rPr>
              <w:t>Retained earnings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205,390</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214,852</w:t>
            </w:r>
          </w:p>
        </w:tc>
        <w:tc>
          <w:tcPr>
            <w:tcW w:w="1075" w:type="dxa"/>
            <w:tcBorders/>
            <w:shd w:fill="CCEEFF" w:val="clear"/>
            <w:tcMar>
              <w:top w:w="0" w:type="dxa"/>
              <w:left w:w="0" w:type="dxa"/>
              <w:bottom w:w="0" w:type="dxa"/>
              <w:right w:w="0" w:type="dxa"/>
            </w:tcMar>
            <w:vAlign w:val="center"/>
          </w:tcPr>
          <w:p>
            <w:pPr>
              <w:pStyle w:val="TableContents"/>
              <w:bidi w:val="0"/>
              <w:spacing w:before="0" w:after="283"/>
              <w:ind w:left="0" w:right="0" w:firstLine="432"/>
              <w:jc w:val="left"/>
              <w:rPr/>
            </w:pPr>
            <w:r>
              <w:rPr/>
              <w:t> </w:t>
            </w:r>
          </w:p>
        </w:tc>
      </w:tr>
      <w:tr>
        <w:trPr/>
        <w:tc>
          <w:tcPr>
            <w:tcW w:w="6778" w:type="dxa"/>
            <w:tcBorders/>
            <w:tcMar>
              <w:top w:w="0" w:type="dxa"/>
              <w:left w:w="0" w:type="dxa"/>
              <w:bottom w:w="0" w:type="dxa"/>
              <w:right w:w="0" w:type="dxa"/>
            </w:tcMar>
            <w:vAlign w:val="center"/>
          </w:tcPr>
          <w:p>
            <w:pPr>
              <w:pStyle w:val="TableContents"/>
              <w:bidi w:val="0"/>
              <w:spacing w:before="0" w:after="283"/>
              <w:ind w:left="432" w:right="0" w:firstLine="432"/>
              <w:jc w:val="left"/>
              <w:rPr>
                <w:rFonts w:ascii="Times New Roman" w:hAnsi="Times New Roman"/>
                <w:color w:val="000000"/>
                <w:sz w:val="18"/>
              </w:rPr>
            </w:pPr>
            <w:r>
              <w:rPr>
                <w:rFonts w:ascii="Times New Roman" w:hAnsi="Times New Roman"/>
                <w:color w:val="000000"/>
                <w:sz w:val="18"/>
              </w:rPr>
              <w:t>Treasury stock, 21,808,596 shares at June 30, 2026 and 21,808,596 shares at December 31, 2025, respectively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(229,910</w:t>
            </w:r>
          </w:p>
        </w:tc>
        <w:tc>
          <w:tcPr>
            <w:tcW w:w="1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(229,910</w:t>
            </w:r>
          </w:p>
        </w:tc>
        <w:tc>
          <w:tcPr>
            <w:tcW w:w="1075" w:type="dxa"/>
            <w:tcBorders/>
            <w:tcMar>
              <w:top w:w="0" w:type="dxa"/>
              <w:left w:w="0" w:type="dxa"/>
              <w:bottom w:w="0" w:type="dxa"/>
              <w:right w:w="0" w:type="dxa"/>
            </w:tcMar>
            <w:vAlign w:val="center"/>
          </w:tcPr>
          <w:p>
            <w:pPr>
              <w:pStyle w:val="TableContents"/>
              <w:bidi w:val="0"/>
              <w:spacing w:before="0" w:after="283"/>
              <w:ind w:left="0" w:right="0" w:firstLine="432"/>
              <w:jc w:val="left"/>
              <w:rPr>
                <w:rFonts w:ascii="Times New Roman" w:hAnsi="Times New Roman"/>
                <w:color w:val="000000"/>
                <w:sz w:val="18"/>
              </w:rPr>
            </w:pPr>
            <w:r>
              <w:rPr>
                <w:rFonts w:ascii="Times New Roman" w:hAnsi="Times New Roman"/>
                <w:color w:val="000000"/>
                <w:sz w:val="18"/>
              </w:rPr>
              <w:t>)</w:t>
            </w:r>
          </w:p>
        </w:tc>
      </w:tr>
      <w:tr>
        <w:trPr/>
        <w:tc>
          <w:tcPr>
            <w:tcW w:w="6778" w:type="dxa"/>
            <w:tcBorders/>
            <w:shd w:fill="CCEEFF" w:val="clear"/>
            <w:tcMar>
              <w:top w:w="0" w:type="dxa"/>
              <w:left w:w="0" w:type="dxa"/>
              <w:bottom w:w="0" w:type="dxa"/>
              <w:right w:w="0" w:type="dxa"/>
            </w:tcMar>
            <w:vAlign w:val="center"/>
          </w:tcPr>
          <w:p>
            <w:pPr>
              <w:pStyle w:val="TableContents"/>
              <w:bidi w:val="0"/>
              <w:spacing w:before="0" w:after="283"/>
              <w:ind w:left="432" w:right="0" w:firstLine="432"/>
              <w:jc w:val="left"/>
              <w:rPr>
                <w:rFonts w:ascii="Times New Roman" w:hAnsi="Times New Roman"/>
                <w:color w:val="000000"/>
                <w:sz w:val="18"/>
              </w:rPr>
            </w:pPr>
            <w:r>
              <w:rPr>
                <w:rFonts w:ascii="Times New Roman" w:hAnsi="Times New Roman"/>
                <w:color w:val="000000"/>
                <w:sz w:val="18"/>
              </w:rPr>
              <w:t>Accumulated other comprehensive loss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(32,792</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 xml:space="preserve">(18,808 </w:t>
            </w:r>
          </w:p>
        </w:tc>
        <w:tc>
          <w:tcPr>
            <w:tcW w:w="1075" w:type="dxa"/>
            <w:tcBorders>
              <w:bottom w:val="single" w:sz="4" w:space="0" w:color="000000"/>
            </w:tcBorders>
            <w:shd w:fill="CCEEFF" w:val="clear"/>
            <w:tcMar>
              <w:top w:w="0" w:type="dxa"/>
              <w:left w:w="0" w:type="dxa"/>
              <w:right w:w="0" w:type="dxa"/>
            </w:tcMar>
            <w:vAlign w:val="center"/>
          </w:tcPr>
          <w:p>
            <w:pPr>
              <w:pStyle w:val="TableContents"/>
              <w:bidi w:val="0"/>
              <w:spacing w:before="0" w:after="283"/>
              <w:ind w:left="0" w:right="0" w:firstLine="864"/>
              <w:jc w:val="left"/>
              <w:rPr>
                <w:rFonts w:ascii="Times New Roman" w:hAnsi="Times New Roman"/>
                <w:color w:val="000000"/>
                <w:sz w:val="18"/>
              </w:rPr>
            </w:pPr>
            <w:r>
              <w:rPr>
                <w:rFonts w:ascii="Times New Roman" w:hAnsi="Times New Roman"/>
                <w:color w:val="000000"/>
                <w:sz w:val="18"/>
              </w:rPr>
              <w:t>)</w:t>
            </w:r>
          </w:p>
        </w:tc>
      </w:tr>
      <w:tr>
        <w:trPr/>
        <w:tc>
          <w:tcPr>
            <w:tcW w:w="6778" w:type="dxa"/>
            <w:tcBorders/>
            <w:tcMar>
              <w:top w:w="0" w:type="dxa"/>
              <w:left w:w="0" w:type="dxa"/>
              <w:bottom w:w="0" w:type="dxa"/>
              <w:right w:w="0" w:type="dxa"/>
            </w:tcMar>
            <w:vAlign w:val="center"/>
          </w:tcPr>
          <w:p>
            <w:pPr>
              <w:pStyle w:val="TableContents"/>
              <w:bidi w:val="0"/>
              <w:spacing w:before="0" w:after="283"/>
              <w:ind w:left="864" w:right="0" w:firstLine="864"/>
              <w:jc w:val="left"/>
              <w:rPr>
                <w:rFonts w:ascii="Times New Roman" w:hAnsi="Times New Roman"/>
                <w:color w:val="000000"/>
                <w:sz w:val="18"/>
              </w:rPr>
            </w:pPr>
            <w:r>
              <w:rPr>
                <w:rFonts w:ascii="Times New Roman" w:hAnsi="Times New Roman"/>
                <w:color w:val="000000"/>
                <w:sz w:val="18"/>
              </w:rPr>
              <w:t>Total stockholders’ equity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226,532</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248,250</w:t>
            </w:r>
          </w:p>
        </w:tc>
        <w:tc>
          <w:tcPr>
            <w:tcW w:w="1075" w:type="dxa"/>
            <w:tcBorders>
              <w:bottom w:val="single" w:sz="4" w:space="0" w:color="000000"/>
            </w:tcBorders>
            <w:tcMar>
              <w:top w:w="0" w:type="dxa"/>
              <w:left w:w="0" w:type="dxa"/>
              <w:right w:w="0" w:type="dxa"/>
            </w:tcMar>
            <w:vAlign w:val="center"/>
          </w:tcPr>
          <w:p>
            <w:pPr>
              <w:pStyle w:val="TableContents"/>
              <w:bidi w:val="0"/>
              <w:spacing w:before="0" w:after="283"/>
              <w:ind w:left="0" w:right="0" w:firstLine="864"/>
              <w:jc w:val="left"/>
              <w:rPr/>
            </w:pPr>
            <w:r>
              <w:rPr/>
              <w:t> </w:t>
            </w:r>
          </w:p>
        </w:tc>
      </w:tr>
      <w:tr>
        <w:trPr/>
        <w:tc>
          <w:tcPr>
            <w:tcW w:w="6778" w:type="dxa"/>
            <w:tcBorders/>
            <w:shd w:fill="CCEEFF" w:val="clear"/>
            <w:tcMar>
              <w:top w:w="0" w:type="dxa"/>
              <w:left w:w="0" w:type="dxa"/>
              <w:bottom w:w="0" w:type="dxa"/>
              <w:right w:w="0" w:type="dxa"/>
            </w:tcMar>
            <w:vAlign w:val="center"/>
          </w:tcPr>
          <w:p>
            <w:pPr>
              <w:pStyle w:val="TableContents"/>
              <w:bidi w:val="0"/>
              <w:spacing w:before="0" w:after="283"/>
              <w:ind w:left="864" w:right="0" w:firstLine="864"/>
              <w:jc w:val="left"/>
              <w:rPr>
                <w:rFonts w:ascii="Times New Roman" w:hAnsi="Times New Roman"/>
                <w:color w:val="000000"/>
                <w:sz w:val="18"/>
              </w:rPr>
            </w:pPr>
            <w:r>
              <w:rPr>
                <w:rFonts w:ascii="Times New Roman" w:hAnsi="Times New Roman"/>
                <w:color w:val="000000"/>
                <w:sz w:val="18"/>
              </w:rPr>
              <w:t>Total liabilities and stockholders’ equity</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324,851</w:t>
            </w:r>
          </w:p>
        </w:tc>
        <w:tc>
          <w:tcPr>
            <w:tcW w:w="16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351,529</w:t>
            </w:r>
          </w:p>
        </w:tc>
        <w:tc>
          <w:tcPr>
            <w:tcW w:w="1075"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drawing>
          <wp:inline distT="0" distB="0" distL="0" distR="0">
            <wp:extent cx="1476375" cy="2952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476375" cy="295275"/>
                    </a:xfrm>
                    <a:prstGeom prst="rect">
                      <a:avLst/>
                    </a:prstGeom>
                  </pic:spPr>
                </pic:pic>
              </a:graphicData>
            </a:graphic>
          </wp:inline>
        </w:drawing>
      </w:r>
    </w:p>
    <w:p>
      <w:pPr>
        <w:pStyle w:val="TextBody"/>
        <w:bidi w:val="0"/>
        <w:ind w:left="0" w:right="20" w:hanging="0"/>
        <w:jc w:val="center"/>
        <w:rPr>
          <w:rFonts w:ascii="Times New Roman" w:hAnsi="Times New Roman"/>
          <w:b/>
          <w:color w:val="000000"/>
          <w:sz w:val="18"/>
        </w:rPr>
      </w:pPr>
      <w:r>
        <w:rPr>
          <w:rFonts w:ascii="Times New Roman" w:hAnsi="Times New Roman"/>
          <w:b/>
          <w:color w:val="000000"/>
          <w:sz w:val="18"/>
        </w:rPr>
        <w:t>MAGNACHIP SEMICONDUCTOR CORPORATION AND SUBSIDIARIES</w:t>
      </w:r>
    </w:p>
    <w:p>
      <w:pPr>
        <w:pStyle w:val="TextBody"/>
        <w:bidi w:val="0"/>
        <w:ind w:left="0" w:right="20" w:hanging="0"/>
        <w:jc w:val="center"/>
        <w:rPr>
          <w:rFonts w:ascii="Times New Roman" w:hAnsi="Times New Roman"/>
          <w:b/>
          <w:color w:val="000000"/>
          <w:sz w:val="18"/>
        </w:rPr>
      </w:pPr>
      <w:r>
        <w:rPr>
          <w:rFonts w:ascii="Times New Roman" w:hAnsi="Times New Roman"/>
          <w:b/>
          <w:color w:val="000000"/>
          <w:sz w:val="18"/>
        </w:rPr>
        <w:t>CONSOLIDATED STATEMENTS OF CASH FLOWS</w:t>
      </w:r>
    </w:p>
    <w:p>
      <w:pPr>
        <w:pStyle w:val="TextBody"/>
        <w:bidi w:val="0"/>
        <w:ind w:left="0" w:right="20" w:hanging="0"/>
        <w:jc w:val="center"/>
        <w:rPr>
          <w:rFonts w:ascii="Times New Roman" w:hAnsi="Times New Roman"/>
          <w:b/>
          <w:color w:val="000000"/>
          <w:sz w:val="18"/>
        </w:rPr>
      </w:pPr>
      <w:r>
        <w:rPr>
          <w:rFonts w:ascii="Times New Roman" w:hAnsi="Times New Roman"/>
          <w:b/>
          <w:color w:val="000000"/>
          <w:sz w:val="18"/>
        </w:rPr>
        <w:t>(In thousands of U.S. dollars)</w:t>
      </w:r>
    </w:p>
    <w:p>
      <w:pPr>
        <w:pStyle w:val="TextBody"/>
        <w:bidi w:val="0"/>
        <w:ind w:left="0" w:right="20" w:hanging="0"/>
        <w:jc w:val="center"/>
        <w:rPr>
          <w:rFonts w:ascii="Times New Roman" w:hAnsi="Times New Roman"/>
          <w:b/>
          <w:color w:val="000000"/>
          <w:sz w:val="18"/>
        </w:rPr>
      </w:pPr>
      <w:r>
        <w:rPr>
          <w:rFonts w:ascii="Times New Roman" w:hAnsi="Times New Roman"/>
          <w:b/>
          <w:color w:val="000000"/>
          <w:sz w:val="18"/>
        </w:rPr>
        <w:t>(Unaudited)</w:t>
      </w:r>
    </w:p>
    <w:p>
      <w:pPr>
        <w:pStyle w:val="TextBody"/>
        <w:bidi w:val="0"/>
        <w:ind w:left="0" w:right="20" w:hanging="0"/>
        <w:jc w:val="center"/>
        <w:rPr/>
      </w:pPr>
      <w:r>
        <w:rPr/>
        <w:t> </w:t>
      </w:r>
    </w:p>
    <w:tbl>
      <w:tblPr>
        <w:tblW w:w="10057" w:type="dxa"/>
        <w:jc w:val="left"/>
        <w:tblInd w:w="0" w:type="dxa"/>
        <w:tblLayout w:type="fixed"/>
        <w:tblCellMar>
          <w:top w:w="28" w:type="dxa"/>
          <w:left w:w="28" w:type="dxa"/>
          <w:bottom w:w="28" w:type="dxa"/>
          <w:right w:w="28" w:type="dxa"/>
        </w:tblCellMar>
      </w:tblPr>
      <w:tblGrid>
        <w:gridCol w:w="5503"/>
        <w:gridCol w:w="146"/>
        <w:gridCol w:w="196"/>
        <w:gridCol w:w="1111"/>
        <w:gridCol w:w="166"/>
        <w:gridCol w:w="146"/>
        <w:gridCol w:w="196"/>
        <w:gridCol w:w="721"/>
        <w:gridCol w:w="166"/>
        <w:gridCol w:w="146"/>
        <w:gridCol w:w="196"/>
        <w:gridCol w:w="721"/>
        <w:gridCol w:w="643"/>
      </w:tblGrid>
      <w:tr>
        <w:trPr/>
        <w:tc>
          <w:tcPr>
            <w:tcW w:w="5503"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96" w:type="dxa"/>
            <w:tcBorders/>
            <w:shd w:fill="FFFFFF" w:val="clear"/>
            <w:vAlign w:val="center"/>
          </w:tcPr>
          <w:p>
            <w:pPr>
              <w:pStyle w:val="TableContents"/>
              <w:bidi w:val="0"/>
              <w:spacing w:before="0" w:after="283"/>
              <w:jc w:val="left"/>
              <w:rPr>
                <w:sz w:val="4"/>
                <w:szCs w:val="4"/>
              </w:rPr>
            </w:pPr>
            <w:r>
              <w:rPr>
                <w:sz w:val="4"/>
                <w:szCs w:val="4"/>
              </w:rPr>
            </w:r>
          </w:p>
        </w:tc>
        <w:tc>
          <w:tcPr>
            <w:tcW w:w="1111" w:type="dxa"/>
            <w:tcBorders/>
            <w:shd w:fill="FFFFFF" w:val="clear"/>
            <w:vAlign w:val="center"/>
          </w:tcPr>
          <w:p>
            <w:pPr>
              <w:pStyle w:val="TableContents"/>
              <w:bidi w:val="0"/>
              <w:spacing w:before="0" w:after="283"/>
              <w:jc w:val="left"/>
              <w:rPr>
                <w:sz w:val="4"/>
                <w:szCs w:val="4"/>
              </w:rPr>
            </w:pPr>
            <w:r>
              <w:rPr>
                <w:sz w:val="4"/>
                <w:szCs w:val="4"/>
              </w:rPr>
            </w:r>
          </w:p>
        </w:tc>
        <w:tc>
          <w:tcPr>
            <w:tcW w:w="16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96" w:type="dxa"/>
            <w:tcBorders/>
            <w:shd w:fill="FFFFFF" w:val="clear"/>
            <w:vAlign w:val="center"/>
          </w:tcPr>
          <w:p>
            <w:pPr>
              <w:pStyle w:val="TableContents"/>
              <w:bidi w:val="0"/>
              <w:spacing w:before="0" w:after="283"/>
              <w:jc w:val="left"/>
              <w:rPr>
                <w:sz w:val="4"/>
                <w:szCs w:val="4"/>
              </w:rPr>
            </w:pPr>
            <w:r>
              <w:rPr>
                <w:sz w:val="4"/>
                <w:szCs w:val="4"/>
              </w:rPr>
            </w:r>
          </w:p>
        </w:tc>
        <w:tc>
          <w:tcPr>
            <w:tcW w:w="721" w:type="dxa"/>
            <w:tcBorders/>
            <w:shd w:fill="FFFFFF" w:val="clear"/>
            <w:vAlign w:val="center"/>
          </w:tcPr>
          <w:p>
            <w:pPr>
              <w:pStyle w:val="TableContents"/>
              <w:bidi w:val="0"/>
              <w:spacing w:before="0" w:after="283"/>
              <w:jc w:val="left"/>
              <w:rPr>
                <w:sz w:val="4"/>
                <w:szCs w:val="4"/>
              </w:rPr>
            </w:pPr>
            <w:r>
              <w:rPr>
                <w:sz w:val="4"/>
                <w:szCs w:val="4"/>
              </w:rPr>
            </w:r>
          </w:p>
        </w:tc>
        <w:tc>
          <w:tcPr>
            <w:tcW w:w="16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96" w:type="dxa"/>
            <w:tcBorders/>
            <w:shd w:fill="FFFFFF" w:val="clear"/>
            <w:vAlign w:val="center"/>
          </w:tcPr>
          <w:p>
            <w:pPr>
              <w:pStyle w:val="TableContents"/>
              <w:bidi w:val="0"/>
              <w:spacing w:before="0" w:after="283"/>
              <w:jc w:val="left"/>
              <w:rPr>
                <w:sz w:val="4"/>
                <w:szCs w:val="4"/>
              </w:rPr>
            </w:pPr>
            <w:r>
              <w:rPr>
                <w:sz w:val="4"/>
                <w:szCs w:val="4"/>
              </w:rPr>
            </w:r>
          </w:p>
        </w:tc>
        <w:tc>
          <w:tcPr>
            <w:tcW w:w="721" w:type="dxa"/>
            <w:tcBorders/>
            <w:shd w:fill="FFFFFF" w:val="clear"/>
            <w:vAlign w:val="center"/>
          </w:tcPr>
          <w:p>
            <w:pPr>
              <w:pStyle w:val="TableContents"/>
              <w:bidi w:val="0"/>
              <w:spacing w:before="0" w:after="283"/>
              <w:jc w:val="left"/>
              <w:rPr>
                <w:sz w:val="4"/>
                <w:szCs w:val="4"/>
              </w:rPr>
            </w:pPr>
            <w:r>
              <w:rPr>
                <w:sz w:val="4"/>
                <w:szCs w:val="4"/>
              </w:rPr>
            </w:r>
          </w:p>
        </w:tc>
        <w:tc>
          <w:tcPr>
            <w:tcW w:w="643" w:type="dxa"/>
            <w:tcBorders/>
            <w:shd w:fill="FFFFFF" w:val="clear"/>
            <w:vAlign w:val="center"/>
          </w:tcPr>
          <w:p>
            <w:pPr>
              <w:pStyle w:val="TableContents"/>
              <w:bidi w:val="0"/>
              <w:spacing w:before="0" w:after="283"/>
              <w:jc w:val="left"/>
              <w:rPr>
                <w:sz w:val="4"/>
                <w:szCs w:val="4"/>
              </w:rPr>
            </w:pPr>
            <w:r>
              <w:rPr>
                <w:sz w:val="4"/>
                <w:szCs w:val="4"/>
              </w:rPr>
            </w:r>
          </w:p>
        </w:tc>
      </w:tr>
      <w:tr>
        <w:trPr/>
        <w:tc>
          <w:tcPr>
            <w:tcW w:w="550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111"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Three Months</w:t>
            </w:r>
          </w:p>
          <w:p>
            <w:pPr>
              <w:pStyle w:val="TableContents"/>
              <w:bidi w:val="0"/>
              <w:spacing w:before="0" w:after="283"/>
              <w:jc w:val="center"/>
              <w:rPr>
                <w:rFonts w:ascii="Times New Roman" w:hAnsi="Times New Roman"/>
                <w:sz w:val="16"/>
              </w:rPr>
            </w:pPr>
            <w:r>
              <w:rPr>
                <w:rFonts w:ascii="Times New Roman" w:hAnsi="Times New Roman"/>
                <w:b/>
                <w:color w:val="000000"/>
                <w:sz w:val="16"/>
              </w:rPr>
              <w:t>Ended</w:t>
            </w:r>
            <w:r>
              <w:rPr>
                <w:rFonts w:ascii="Times New Roman" w:hAnsi="Times New Roman"/>
                <w:color w:val="000000"/>
                <w:sz w:val="16"/>
              </w:rPr>
              <w:t xml:space="preserve">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950" w:type="dxa"/>
            <w:gridSpan w:val="5"/>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Six Months</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Ended</w:t>
            </w:r>
          </w:p>
        </w:tc>
        <w:tc>
          <w:tcPr>
            <w:tcW w:w="643"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550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11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June 30,</w:t>
            </w:r>
            <w:r>
              <w:rPr>
                <w:rFonts w:ascii="Times New Roman" w:hAnsi="Times New Roman"/>
                <w:color w:val="000000"/>
                <w:sz w:val="16"/>
              </w:rPr>
              <w:br/>
            </w:r>
            <w:r>
              <w:rPr>
                <w:rFonts w:ascii="Times New Roman" w:hAnsi="Times New Roman"/>
                <w:b/>
                <w:color w:val="000000"/>
                <w:sz w:val="16"/>
              </w:rPr>
              <w:t>2026</w:t>
            </w:r>
            <w:r>
              <w:rPr>
                <w:rFonts w:ascii="Times New Roman" w:hAnsi="Times New Roman"/>
                <w:color w:val="000000"/>
                <w:sz w:val="16"/>
              </w:rPr>
              <w:t xml:space="preserve">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72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June 30,</w:t>
            </w:r>
            <w:r>
              <w:rPr>
                <w:rFonts w:ascii="Times New Roman" w:hAnsi="Times New Roman"/>
                <w:color w:val="000000"/>
                <w:sz w:val="16"/>
              </w:rPr>
              <w:br/>
            </w:r>
            <w:r>
              <w:rPr>
                <w:rFonts w:ascii="Times New Roman" w:hAnsi="Times New Roman"/>
                <w:b/>
                <w:color w:val="000000"/>
                <w:sz w:val="16"/>
              </w:rPr>
              <w:t>2026</w:t>
            </w:r>
            <w:r>
              <w:rPr>
                <w:rFonts w:ascii="Times New Roman" w:hAnsi="Times New Roman"/>
                <w:color w:val="000000"/>
                <w:sz w:val="16"/>
              </w:rPr>
              <w:t xml:space="preserve">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72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June 30,</w:t>
            </w:r>
            <w:r>
              <w:rPr>
                <w:rFonts w:ascii="Times New Roman" w:hAnsi="Times New Roman"/>
                <w:color w:val="000000"/>
                <w:sz w:val="16"/>
              </w:rPr>
              <w:br/>
            </w:r>
            <w:r>
              <w:rPr>
                <w:rFonts w:ascii="Times New Roman" w:hAnsi="Times New Roman"/>
                <w:b/>
                <w:color w:val="000000"/>
                <w:sz w:val="16"/>
              </w:rPr>
              <w:t>2025</w:t>
            </w:r>
            <w:r>
              <w:rPr>
                <w:rFonts w:ascii="Times New Roman" w:hAnsi="Times New Roman"/>
                <w:color w:val="000000"/>
                <w:sz w:val="16"/>
              </w:rPr>
              <w:t xml:space="preserve"> </w:t>
            </w:r>
          </w:p>
        </w:tc>
        <w:tc>
          <w:tcPr>
            <w:tcW w:w="643"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5503"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flows from operating activities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0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1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(4,815</w:t>
            </w:r>
          </w:p>
        </w:tc>
        <w:tc>
          <w:tcPr>
            <w:tcW w:w="1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2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(9,462</w:t>
            </w:r>
          </w:p>
        </w:tc>
        <w:tc>
          <w:tcPr>
            <w:tcW w:w="1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2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(8,555</w:t>
            </w:r>
          </w:p>
        </w:tc>
        <w:tc>
          <w:tcPr>
            <w:tcW w:w="64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503"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Adjustments to reconcile net loss to net cash used in operating activities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tcBorders/>
            <w:shd w:fill="CCEEFF" w:val="clear"/>
            <w:tcMar>
              <w:top w:w="0" w:type="dxa"/>
              <w:left w:w="0" w:type="dxa"/>
              <w:bottom w:w="0" w:type="dxa"/>
              <w:right w:w="0" w:type="dxa"/>
            </w:tcMar>
            <w:vAlign w:val="center"/>
          </w:tcPr>
          <w:p>
            <w:pPr>
              <w:pStyle w:val="TableContents"/>
              <w:bidi w:val="0"/>
              <w:spacing w:before="0" w:after="283"/>
              <w:ind w:left="0" w:right="0" w:firstLine="432"/>
              <w:jc w:val="left"/>
              <w:rPr/>
            </w:pPr>
            <w:r>
              <w:rPr/>
              <w:t> </w:t>
            </w:r>
          </w:p>
        </w:tc>
      </w:tr>
      <w:tr>
        <w:trPr/>
        <w:tc>
          <w:tcPr>
            <w:tcW w:w="5503" w:type="dxa"/>
            <w:tcBorders/>
            <w:tcMar>
              <w:top w:w="0" w:type="dxa"/>
              <w:left w:w="0" w:type="dxa"/>
              <w:bottom w:w="0" w:type="dxa"/>
              <w:right w:w="0" w:type="dxa"/>
            </w:tcMar>
            <w:vAlign w:val="center"/>
          </w:tcPr>
          <w:p>
            <w:pPr>
              <w:pStyle w:val="TableContents"/>
              <w:bidi w:val="0"/>
              <w:spacing w:before="0" w:after="283"/>
              <w:ind w:left="432" w:right="0" w:firstLine="432"/>
              <w:jc w:val="left"/>
              <w:rPr>
                <w:rFonts w:ascii="Times New Roman" w:hAnsi="Times New Roman"/>
                <w:color w:val="000000"/>
                <w:sz w:val="18"/>
              </w:rPr>
            </w:pPr>
            <w:r>
              <w:rPr>
                <w:rFonts w:ascii="Times New Roman" w:hAnsi="Times New Roman"/>
                <w:color w:val="000000"/>
                <w:sz w:val="18"/>
              </w:rPr>
              <w:t>Depreciation and amortization</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2,755</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5,637</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6,661</w:t>
            </w:r>
          </w:p>
        </w:tc>
        <w:tc>
          <w:tcPr>
            <w:tcW w:w="643" w:type="dxa"/>
            <w:tcBorders/>
            <w:tcMar>
              <w:top w:w="0" w:type="dxa"/>
              <w:left w:w="0" w:type="dxa"/>
              <w:bottom w:w="0" w:type="dxa"/>
              <w:right w:w="0" w:type="dxa"/>
            </w:tcMar>
            <w:vAlign w:val="center"/>
          </w:tcPr>
          <w:p>
            <w:pPr>
              <w:pStyle w:val="TableContents"/>
              <w:bidi w:val="0"/>
              <w:spacing w:before="0" w:after="283"/>
              <w:ind w:left="0" w:right="0" w:firstLine="432"/>
              <w:jc w:val="left"/>
              <w:rPr/>
            </w:pPr>
            <w:r>
              <w:rPr/>
              <w:t> </w:t>
            </w:r>
          </w:p>
        </w:tc>
      </w:tr>
      <w:tr>
        <w:trPr/>
        <w:tc>
          <w:tcPr>
            <w:tcW w:w="5503" w:type="dxa"/>
            <w:tcBorders/>
            <w:shd w:fill="CCEEFF" w:val="clear"/>
            <w:tcMar>
              <w:top w:w="0" w:type="dxa"/>
              <w:left w:w="0" w:type="dxa"/>
              <w:bottom w:w="0" w:type="dxa"/>
              <w:right w:w="0" w:type="dxa"/>
            </w:tcMar>
            <w:vAlign w:val="center"/>
          </w:tcPr>
          <w:p>
            <w:pPr>
              <w:pStyle w:val="TableContents"/>
              <w:bidi w:val="0"/>
              <w:spacing w:before="0" w:after="283"/>
              <w:ind w:left="432" w:right="0" w:firstLine="432"/>
              <w:jc w:val="left"/>
              <w:rPr>
                <w:rFonts w:ascii="Times New Roman" w:hAnsi="Times New Roman"/>
                <w:color w:val="000000"/>
                <w:sz w:val="18"/>
              </w:rPr>
            </w:pPr>
            <w:r>
              <w:rPr>
                <w:rFonts w:ascii="Times New Roman" w:hAnsi="Times New Roman"/>
                <w:color w:val="000000"/>
                <w:sz w:val="18"/>
              </w:rPr>
              <w:t>Provision for severance benefits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1,126</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2,338</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2,175</w:t>
            </w:r>
          </w:p>
        </w:tc>
        <w:tc>
          <w:tcPr>
            <w:tcW w:w="643" w:type="dxa"/>
            <w:tcBorders/>
            <w:shd w:fill="CCEEFF" w:val="clear"/>
            <w:tcMar>
              <w:top w:w="0" w:type="dxa"/>
              <w:left w:w="0" w:type="dxa"/>
              <w:bottom w:w="0" w:type="dxa"/>
              <w:right w:w="0" w:type="dxa"/>
            </w:tcMar>
            <w:vAlign w:val="center"/>
          </w:tcPr>
          <w:p>
            <w:pPr>
              <w:pStyle w:val="TableContents"/>
              <w:bidi w:val="0"/>
              <w:spacing w:before="0" w:after="283"/>
              <w:ind w:left="0" w:right="0" w:firstLine="432"/>
              <w:jc w:val="left"/>
              <w:rPr/>
            </w:pPr>
            <w:r>
              <w:rPr/>
              <w:t> </w:t>
            </w:r>
          </w:p>
        </w:tc>
      </w:tr>
      <w:tr>
        <w:trPr/>
        <w:tc>
          <w:tcPr>
            <w:tcW w:w="5503" w:type="dxa"/>
            <w:tcBorders/>
            <w:tcMar>
              <w:top w:w="0" w:type="dxa"/>
              <w:left w:w="0" w:type="dxa"/>
              <w:bottom w:w="0" w:type="dxa"/>
              <w:right w:w="0" w:type="dxa"/>
            </w:tcMar>
            <w:vAlign w:val="center"/>
          </w:tcPr>
          <w:p>
            <w:pPr>
              <w:pStyle w:val="TableContents"/>
              <w:bidi w:val="0"/>
              <w:spacing w:before="0" w:after="283"/>
              <w:ind w:left="432" w:right="0" w:firstLine="432"/>
              <w:jc w:val="left"/>
              <w:rPr>
                <w:rFonts w:ascii="Times New Roman" w:hAnsi="Times New Roman"/>
                <w:color w:val="000000"/>
                <w:sz w:val="18"/>
              </w:rPr>
            </w:pPr>
            <w:r>
              <w:rPr>
                <w:rFonts w:ascii="Times New Roman" w:hAnsi="Times New Roman"/>
                <w:color w:val="000000"/>
                <w:sz w:val="18"/>
              </w:rPr>
              <w:t>Loss (gain) on foreign currency, net</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1,616</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5,878</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(18,085</w:t>
            </w:r>
          </w:p>
        </w:tc>
        <w:tc>
          <w:tcPr>
            <w:tcW w:w="643" w:type="dxa"/>
            <w:tcBorders/>
            <w:tcMar>
              <w:top w:w="0" w:type="dxa"/>
              <w:left w:w="0" w:type="dxa"/>
              <w:bottom w:w="0" w:type="dxa"/>
              <w:right w:w="0" w:type="dxa"/>
            </w:tcMar>
            <w:vAlign w:val="center"/>
          </w:tcPr>
          <w:p>
            <w:pPr>
              <w:pStyle w:val="TableContents"/>
              <w:bidi w:val="0"/>
              <w:spacing w:before="0" w:after="283"/>
              <w:ind w:left="0" w:right="0" w:firstLine="432"/>
              <w:jc w:val="left"/>
              <w:rPr>
                <w:rFonts w:ascii="Times New Roman" w:hAnsi="Times New Roman"/>
                <w:color w:val="000000"/>
                <w:sz w:val="18"/>
              </w:rPr>
            </w:pPr>
            <w:r>
              <w:rPr>
                <w:rFonts w:ascii="Times New Roman" w:hAnsi="Times New Roman"/>
                <w:color w:val="000000"/>
                <w:sz w:val="18"/>
              </w:rPr>
              <w:t>)</w:t>
            </w:r>
          </w:p>
        </w:tc>
      </w:tr>
      <w:tr>
        <w:trPr/>
        <w:tc>
          <w:tcPr>
            <w:tcW w:w="5503" w:type="dxa"/>
            <w:tcBorders/>
            <w:shd w:fill="CCEEFF" w:val="clear"/>
            <w:tcMar>
              <w:top w:w="0" w:type="dxa"/>
              <w:left w:w="0" w:type="dxa"/>
              <w:bottom w:w="0" w:type="dxa"/>
              <w:right w:w="0" w:type="dxa"/>
            </w:tcMar>
            <w:vAlign w:val="center"/>
          </w:tcPr>
          <w:p>
            <w:pPr>
              <w:pStyle w:val="TableContents"/>
              <w:bidi w:val="0"/>
              <w:spacing w:before="0" w:after="283"/>
              <w:ind w:left="432" w:right="0" w:firstLine="432"/>
              <w:jc w:val="left"/>
              <w:rPr>
                <w:rFonts w:ascii="Times New Roman" w:hAnsi="Times New Roman"/>
                <w:color w:val="000000"/>
                <w:sz w:val="18"/>
              </w:rPr>
            </w:pPr>
            <w:r>
              <w:rPr>
                <w:rFonts w:ascii="Times New Roman" w:hAnsi="Times New Roman"/>
                <w:color w:val="000000"/>
                <w:sz w:val="18"/>
              </w:rPr>
              <w:t>Provision (reversal) for inventory reserves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(903)</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(1,224</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845</w:t>
            </w:r>
          </w:p>
        </w:tc>
        <w:tc>
          <w:tcPr>
            <w:tcW w:w="643" w:type="dxa"/>
            <w:tcBorders/>
            <w:shd w:fill="CCEEFF" w:val="clear"/>
            <w:tcMar>
              <w:top w:w="0" w:type="dxa"/>
              <w:left w:w="0" w:type="dxa"/>
              <w:bottom w:w="0" w:type="dxa"/>
              <w:right w:w="0" w:type="dxa"/>
            </w:tcMar>
            <w:vAlign w:val="center"/>
          </w:tcPr>
          <w:p>
            <w:pPr>
              <w:pStyle w:val="TableContents"/>
              <w:bidi w:val="0"/>
              <w:spacing w:before="0" w:after="283"/>
              <w:ind w:left="0" w:right="0" w:firstLine="432"/>
              <w:jc w:val="left"/>
              <w:rPr/>
            </w:pPr>
            <w:r>
              <w:rPr/>
              <w:t> </w:t>
            </w:r>
          </w:p>
        </w:tc>
      </w:tr>
      <w:tr>
        <w:trPr/>
        <w:tc>
          <w:tcPr>
            <w:tcW w:w="5503" w:type="dxa"/>
            <w:tcBorders/>
            <w:tcMar>
              <w:top w:w="0" w:type="dxa"/>
              <w:left w:w="0" w:type="dxa"/>
              <w:bottom w:w="0" w:type="dxa"/>
              <w:right w:w="0" w:type="dxa"/>
            </w:tcMar>
            <w:vAlign w:val="center"/>
          </w:tcPr>
          <w:p>
            <w:pPr>
              <w:pStyle w:val="TableContents"/>
              <w:bidi w:val="0"/>
              <w:spacing w:before="0" w:after="283"/>
              <w:ind w:left="432" w:right="0" w:firstLine="432"/>
              <w:jc w:val="left"/>
              <w:rPr>
                <w:rFonts w:ascii="Times New Roman" w:hAnsi="Times New Roman"/>
                <w:color w:val="000000"/>
                <w:sz w:val="18"/>
              </w:rPr>
            </w:pPr>
            <w:r>
              <w:rPr>
                <w:rFonts w:ascii="Times New Roman" w:hAnsi="Times New Roman"/>
                <w:color w:val="000000"/>
                <w:sz w:val="18"/>
              </w:rPr>
              <w:t>Stock-based compensation</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1,019</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1,662</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1,492</w:t>
            </w:r>
          </w:p>
        </w:tc>
        <w:tc>
          <w:tcPr>
            <w:tcW w:w="643" w:type="dxa"/>
            <w:tcBorders/>
            <w:tcMar>
              <w:top w:w="0" w:type="dxa"/>
              <w:left w:w="0" w:type="dxa"/>
              <w:bottom w:w="0" w:type="dxa"/>
              <w:right w:w="0" w:type="dxa"/>
            </w:tcMar>
            <w:vAlign w:val="center"/>
          </w:tcPr>
          <w:p>
            <w:pPr>
              <w:pStyle w:val="TableContents"/>
              <w:bidi w:val="0"/>
              <w:spacing w:before="0" w:after="283"/>
              <w:ind w:left="0" w:right="0" w:firstLine="432"/>
              <w:jc w:val="left"/>
              <w:rPr/>
            </w:pPr>
            <w:r>
              <w:rPr/>
              <w:t> </w:t>
            </w:r>
          </w:p>
        </w:tc>
      </w:tr>
      <w:tr>
        <w:trPr/>
        <w:tc>
          <w:tcPr>
            <w:tcW w:w="5503" w:type="dxa"/>
            <w:tcBorders/>
            <w:shd w:fill="CCEEFF" w:val="clear"/>
            <w:tcMar>
              <w:top w:w="0" w:type="dxa"/>
              <w:left w:w="0" w:type="dxa"/>
              <w:bottom w:w="0" w:type="dxa"/>
              <w:right w:w="0" w:type="dxa"/>
            </w:tcMar>
            <w:vAlign w:val="center"/>
          </w:tcPr>
          <w:p>
            <w:pPr>
              <w:pStyle w:val="TableContents"/>
              <w:bidi w:val="0"/>
              <w:spacing w:before="0" w:after="283"/>
              <w:ind w:left="432" w:right="0" w:firstLine="432"/>
              <w:jc w:val="left"/>
              <w:rPr>
                <w:rFonts w:ascii="Times New Roman" w:hAnsi="Times New Roman"/>
                <w:color w:val="000000"/>
                <w:sz w:val="18"/>
              </w:rPr>
            </w:pPr>
            <w:r>
              <w:rPr>
                <w:rFonts w:ascii="Times New Roman" w:hAnsi="Times New Roman"/>
                <w:color w:val="000000"/>
                <w:sz w:val="18"/>
              </w:rPr>
              <w:t>Impairment charges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 xml:space="preserve">7,362 </w:t>
            </w:r>
          </w:p>
        </w:tc>
        <w:tc>
          <w:tcPr>
            <w:tcW w:w="643" w:type="dxa"/>
            <w:tcBorders/>
            <w:shd w:fill="CCEEFF" w:val="clear"/>
            <w:tcMar>
              <w:top w:w="0" w:type="dxa"/>
              <w:left w:w="0" w:type="dxa"/>
              <w:bottom w:w="0" w:type="dxa"/>
              <w:right w:w="0" w:type="dxa"/>
            </w:tcMar>
            <w:vAlign w:val="center"/>
          </w:tcPr>
          <w:p>
            <w:pPr>
              <w:pStyle w:val="TableContents"/>
              <w:bidi w:val="0"/>
              <w:spacing w:before="0" w:after="283"/>
              <w:ind w:left="0" w:right="0" w:firstLine="432"/>
              <w:jc w:val="left"/>
              <w:rPr/>
            </w:pPr>
            <w:r>
              <w:rPr/>
              <w:t> </w:t>
            </w:r>
          </w:p>
        </w:tc>
      </w:tr>
      <w:tr>
        <w:trPr/>
        <w:tc>
          <w:tcPr>
            <w:tcW w:w="5503" w:type="dxa"/>
            <w:tcBorders/>
            <w:tcMar>
              <w:top w:w="0" w:type="dxa"/>
              <w:left w:w="0" w:type="dxa"/>
              <w:bottom w:w="0" w:type="dxa"/>
              <w:right w:w="0" w:type="dxa"/>
            </w:tcMar>
            <w:vAlign w:val="center"/>
          </w:tcPr>
          <w:p>
            <w:pPr>
              <w:pStyle w:val="TableContents"/>
              <w:bidi w:val="0"/>
              <w:spacing w:before="0" w:after="283"/>
              <w:ind w:left="432" w:right="0" w:firstLine="432"/>
              <w:jc w:val="left"/>
              <w:rPr>
                <w:rFonts w:ascii="Times New Roman" w:hAnsi="Times New Roman"/>
                <w:color w:val="000000"/>
                <w:sz w:val="18"/>
              </w:rPr>
            </w:pPr>
            <w:r>
              <w:rPr>
                <w:rFonts w:ascii="Times New Roman" w:hAnsi="Times New Roman"/>
                <w:color w:val="000000"/>
                <w:sz w:val="18"/>
              </w:rPr>
              <w:t>Deferred income tax assets</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(649</w:t>
            </w:r>
          </w:p>
        </w:tc>
        <w:tc>
          <w:tcPr>
            <w:tcW w:w="643" w:type="dxa"/>
            <w:tcBorders/>
            <w:tcMar>
              <w:top w:w="0" w:type="dxa"/>
              <w:left w:w="0" w:type="dxa"/>
              <w:bottom w:w="0" w:type="dxa"/>
              <w:right w:w="0" w:type="dxa"/>
            </w:tcMar>
            <w:vAlign w:val="center"/>
          </w:tcPr>
          <w:p>
            <w:pPr>
              <w:pStyle w:val="TableContents"/>
              <w:bidi w:val="0"/>
              <w:spacing w:before="0" w:after="283"/>
              <w:ind w:left="0" w:right="0" w:firstLine="432"/>
              <w:jc w:val="left"/>
              <w:rPr>
                <w:rFonts w:ascii="Times New Roman" w:hAnsi="Times New Roman"/>
                <w:color w:val="000000"/>
                <w:sz w:val="18"/>
              </w:rPr>
            </w:pPr>
            <w:r>
              <w:rPr>
                <w:rFonts w:ascii="Times New Roman" w:hAnsi="Times New Roman"/>
                <w:color w:val="000000"/>
                <w:sz w:val="18"/>
              </w:rPr>
              <w:t>)</w:t>
            </w:r>
          </w:p>
        </w:tc>
      </w:tr>
      <w:tr>
        <w:trPr/>
        <w:tc>
          <w:tcPr>
            <w:tcW w:w="5503" w:type="dxa"/>
            <w:tcBorders/>
            <w:shd w:fill="CCEEFF" w:val="clear"/>
            <w:tcMar>
              <w:top w:w="0" w:type="dxa"/>
              <w:left w:w="0" w:type="dxa"/>
              <w:bottom w:w="0" w:type="dxa"/>
              <w:right w:w="0" w:type="dxa"/>
            </w:tcMar>
            <w:vAlign w:val="center"/>
          </w:tcPr>
          <w:p>
            <w:pPr>
              <w:pStyle w:val="TableContents"/>
              <w:bidi w:val="0"/>
              <w:spacing w:before="0" w:after="283"/>
              <w:ind w:left="432" w:right="0" w:firstLine="432"/>
              <w:jc w:val="left"/>
              <w:rPr>
                <w:rFonts w:ascii="Times New Roman" w:hAnsi="Times New Roman"/>
                <w:color w:val="000000"/>
                <w:sz w:val="18"/>
              </w:rPr>
            </w:pPr>
            <w:r>
              <w:rPr>
                <w:rFonts w:ascii="Times New Roman" w:hAnsi="Times New Roman"/>
                <w:color w:val="000000"/>
                <w:sz w:val="18"/>
              </w:rPr>
              <w:t>Others, net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128</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476</w:t>
            </w:r>
          </w:p>
        </w:tc>
        <w:tc>
          <w:tcPr>
            <w:tcW w:w="64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0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Changes in operating assets and liabilities</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tcMar>
              <w:top w:w="0" w:type="dxa"/>
              <w:left w:w="0" w:type="dxa"/>
              <w:bottom w:w="0" w:type="dxa"/>
              <w:right w:w="0" w:type="dxa"/>
            </w:tcMar>
            <w:vAlign w:val="center"/>
          </w:tcPr>
          <w:p>
            <w:pPr>
              <w:pStyle w:val="TableContents"/>
              <w:bidi w:val="0"/>
              <w:spacing w:before="0" w:after="283"/>
              <w:jc w:val="right"/>
              <w:rPr/>
            </w:pPr>
            <w:r>
              <w:rPr/>
              <w:t> </w:t>
            </w:r>
          </w:p>
        </w:tc>
        <w:tc>
          <w:tcPr>
            <w:tcW w:w="643" w:type="dxa"/>
            <w:tcBorders/>
            <w:tcMar>
              <w:top w:w="0" w:type="dxa"/>
              <w:left w:w="0" w:type="dxa"/>
              <w:bottom w:w="0" w:type="dxa"/>
              <w:right w:w="0" w:type="dxa"/>
            </w:tcMar>
            <w:vAlign w:val="center"/>
          </w:tcPr>
          <w:p>
            <w:pPr>
              <w:pStyle w:val="TableContents"/>
              <w:bidi w:val="0"/>
              <w:spacing w:before="0" w:after="283"/>
              <w:ind w:left="0" w:right="0" w:firstLine="432"/>
              <w:jc w:val="left"/>
              <w:rPr/>
            </w:pPr>
            <w:r>
              <w:rPr/>
              <w:t> </w:t>
            </w:r>
          </w:p>
        </w:tc>
      </w:tr>
      <w:tr>
        <w:trPr/>
        <w:tc>
          <w:tcPr>
            <w:tcW w:w="5503" w:type="dxa"/>
            <w:tcBorders/>
            <w:shd w:fill="CCEEFF" w:val="clear"/>
            <w:tcMar>
              <w:top w:w="0" w:type="dxa"/>
              <w:left w:w="0" w:type="dxa"/>
              <w:bottom w:w="0" w:type="dxa"/>
              <w:right w:w="0" w:type="dxa"/>
            </w:tcMar>
            <w:vAlign w:val="center"/>
          </w:tcPr>
          <w:p>
            <w:pPr>
              <w:pStyle w:val="TableContents"/>
              <w:bidi w:val="0"/>
              <w:spacing w:before="0" w:after="283"/>
              <w:ind w:left="432" w:right="0" w:firstLine="432"/>
              <w:jc w:val="left"/>
              <w:rPr>
                <w:rFonts w:ascii="Times New Roman" w:hAnsi="Times New Roman"/>
                <w:color w:val="000000"/>
                <w:sz w:val="18"/>
              </w:rPr>
            </w:pPr>
            <w:r>
              <w:rPr>
                <w:rFonts w:ascii="Times New Roman" w:hAnsi="Times New Roman"/>
                <w:color w:val="000000"/>
                <w:sz w:val="18"/>
              </w:rPr>
              <w:t>Accounts receivable, net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(593</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1,018</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(4,600</w:t>
            </w:r>
          </w:p>
        </w:tc>
        <w:tc>
          <w:tcPr>
            <w:tcW w:w="643" w:type="dxa"/>
            <w:tcBorders/>
            <w:shd w:fill="CCEEFF" w:val="clear"/>
            <w:tcMar>
              <w:top w:w="0" w:type="dxa"/>
              <w:left w:w="0" w:type="dxa"/>
              <w:bottom w:w="0" w:type="dxa"/>
              <w:right w:w="0" w:type="dxa"/>
            </w:tcMar>
            <w:vAlign w:val="center"/>
          </w:tcPr>
          <w:p>
            <w:pPr>
              <w:pStyle w:val="TableContents"/>
              <w:bidi w:val="0"/>
              <w:spacing w:before="0" w:after="283"/>
              <w:ind w:left="0" w:right="0" w:firstLine="432"/>
              <w:jc w:val="left"/>
              <w:rPr>
                <w:rFonts w:ascii="Times New Roman" w:hAnsi="Times New Roman"/>
                <w:color w:val="000000"/>
                <w:sz w:val="18"/>
              </w:rPr>
            </w:pPr>
            <w:r>
              <w:rPr>
                <w:rFonts w:ascii="Times New Roman" w:hAnsi="Times New Roman"/>
                <w:color w:val="000000"/>
                <w:sz w:val="18"/>
              </w:rPr>
              <w:t>)</w:t>
            </w:r>
          </w:p>
        </w:tc>
      </w:tr>
      <w:tr>
        <w:trPr/>
        <w:tc>
          <w:tcPr>
            <w:tcW w:w="5503" w:type="dxa"/>
            <w:tcBorders/>
            <w:tcMar>
              <w:top w:w="0" w:type="dxa"/>
              <w:left w:w="0" w:type="dxa"/>
              <w:bottom w:w="0" w:type="dxa"/>
              <w:right w:w="0" w:type="dxa"/>
            </w:tcMar>
            <w:vAlign w:val="center"/>
          </w:tcPr>
          <w:p>
            <w:pPr>
              <w:pStyle w:val="TableContents"/>
              <w:bidi w:val="0"/>
              <w:spacing w:before="0" w:after="283"/>
              <w:ind w:left="432" w:right="0" w:firstLine="432"/>
              <w:jc w:val="left"/>
              <w:rPr>
                <w:rFonts w:ascii="Times New Roman" w:hAnsi="Times New Roman"/>
                <w:color w:val="000000"/>
                <w:sz w:val="18"/>
              </w:rPr>
            </w:pPr>
            <w:r>
              <w:rPr>
                <w:rFonts w:ascii="Times New Roman" w:hAnsi="Times New Roman"/>
                <w:color w:val="000000"/>
                <w:sz w:val="18"/>
              </w:rPr>
              <w:t>Inventories</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(1,029</w:t>
            </w:r>
          </w:p>
        </w:tc>
        <w:tc>
          <w:tcPr>
            <w:tcW w:w="1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(1,220</w:t>
            </w:r>
          </w:p>
        </w:tc>
        <w:tc>
          <w:tcPr>
            <w:tcW w:w="1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(4,979</w:t>
            </w:r>
          </w:p>
        </w:tc>
        <w:tc>
          <w:tcPr>
            <w:tcW w:w="643" w:type="dxa"/>
            <w:tcBorders/>
            <w:tcMar>
              <w:top w:w="0" w:type="dxa"/>
              <w:left w:w="0" w:type="dxa"/>
              <w:bottom w:w="0" w:type="dxa"/>
              <w:right w:w="0" w:type="dxa"/>
            </w:tcMar>
            <w:vAlign w:val="center"/>
          </w:tcPr>
          <w:p>
            <w:pPr>
              <w:pStyle w:val="TableContents"/>
              <w:bidi w:val="0"/>
              <w:spacing w:before="0" w:after="283"/>
              <w:ind w:left="0" w:right="0" w:firstLine="432"/>
              <w:jc w:val="left"/>
              <w:rPr>
                <w:rFonts w:ascii="Times New Roman" w:hAnsi="Times New Roman"/>
                <w:color w:val="000000"/>
                <w:sz w:val="18"/>
              </w:rPr>
            </w:pPr>
            <w:r>
              <w:rPr>
                <w:rFonts w:ascii="Times New Roman" w:hAnsi="Times New Roman"/>
                <w:color w:val="000000"/>
                <w:sz w:val="18"/>
              </w:rPr>
              <w:t>)</w:t>
            </w:r>
          </w:p>
        </w:tc>
      </w:tr>
      <w:tr>
        <w:trPr/>
        <w:tc>
          <w:tcPr>
            <w:tcW w:w="5503" w:type="dxa"/>
            <w:tcBorders/>
            <w:shd w:fill="CCEEFF" w:val="clear"/>
            <w:tcMar>
              <w:top w:w="0" w:type="dxa"/>
              <w:left w:w="0" w:type="dxa"/>
              <w:bottom w:w="0" w:type="dxa"/>
              <w:right w:w="0" w:type="dxa"/>
            </w:tcMar>
            <w:vAlign w:val="center"/>
          </w:tcPr>
          <w:p>
            <w:pPr>
              <w:pStyle w:val="TableContents"/>
              <w:bidi w:val="0"/>
              <w:spacing w:before="0" w:after="283"/>
              <w:ind w:left="432" w:right="0" w:firstLine="432"/>
              <w:jc w:val="left"/>
              <w:rPr>
                <w:rFonts w:ascii="Times New Roman" w:hAnsi="Times New Roman"/>
                <w:color w:val="000000"/>
                <w:sz w:val="18"/>
              </w:rPr>
            </w:pPr>
            <w:r>
              <w:rPr>
                <w:rFonts w:ascii="Times New Roman" w:hAnsi="Times New Roman"/>
                <w:color w:val="000000"/>
                <w:sz w:val="18"/>
              </w:rPr>
              <w:t>Other receivables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301</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(1,246</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(5,835</w:t>
            </w:r>
          </w:p>
        </w:tc>
        <w:tc>
          <w:tcPr>
            <w:tcW w:w="643" w:type="dxa"/>
            <w:tcBorders/>
            <w:shd w:fill="CCEEFF" w:val="clear"/>
            <w:tcMar>
              <w:top w:w="0" w:type="dxa"/>
              <w:left w:w="0" w:type="dxa"/>
              <w:bottom w:w="0" w:type="dxa"/>
              <w:right w:w="0" w:type="dxa"/>
            </w:tcMar>
            <w:vAlign w:val="center"/>
          </w:tcPr>
          <w:p>
            <w:pPr>
              <w:pStyle w:val="TableContents"/>
              <w:bidi w:val="0"/>
              <w:spacing w:before="0" w:after="283"/>
              <w:ind w:left="0" w:right="0" w:firstLine="432"/>
              <w:jc w:val="left"/>
              <w:rPr>
                <w:rFonts w:ascii="Times New Roman" w:hAnsi="Times New Roman"/>
                <w:color w:val="000000"/>
                <w:sz w:val="18"/>
              </w:rPr>
            </w:pPr>
            <w:r>
              <w:rPr>
                <w:rFonts w:ascii="Times New Roman" w:hAnsi="Times New Roman"/>
                <w:color w:val="000000"/>
                <w:sz w:val="18"/>
              </w:rPr>
              <w:t>)</w:t>
            </w:r>
          </w:p>
        </w:tc>
      </w:tr>
      <w:tr>
        <w:trPr/>
        <w:tc>
          <w:tcPr>
            <w:tcW w:w="5503" w:type="dxa"/>
            <w:tcBorders/>
            <w:tcMar>
              <w:top w:w="0" w:type="dxa"/>
              <w:left w:w="0" w:type="dxa"/>
              <w:bottom w:w="0" w:type="dxa"/>
              <w:right w:w="0" w:type="dxa"/>
            </w:tcMar>
            <w:vAlign w:val="center"/>
          </w:tcPr>
          <w:p>
            <w:pPr>
              <w:pStyle w:val="TableContents"/>
              <w:bidi w:val="0"/>
              <w:spacing w:before="0" w:after="283"/>
              <w:ind w:left="432" w:right="0" w:firstLine="432"/>
              <w:jc w:val="left"/>
              <w:rPr>
                <w:rFonts w:ascii="Times New Roman" w:hAnsi="Times New Roman"/>
                <w:color w:val="000000"/>
                <w:sz w:val="18"/>
              </w:rPr>
            </w:pPr>
            <w:r>
              <w:rPr>
                <w:rFonts w:ascii="Times New Roman" w:hAnsi="Times New Roman"/>
                <w:color w:val="000000"/>
                <w:sz w:val="18"/>
              </w:rPr>
              <w:t>Prepaid expenses</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 xml:space="preserve">1,532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1,380</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4,621</w:t>
            </w:r>
          </w:p>
        </w:tc>
        <w:tc>
          <w:tcPr>
            <w:tcW w:w="643" w:type="dxa"/>
            <w:tcBorders/>
            <w:tcMar>
              <w:top w:w="0" w:type="dxa"/>
              <w:left w:w="0" w:type="dxa"/>
              <w:bottom w:w="0" w:type="dxa"/>
              <w:right w:w="0" w:type="dxa"/>
            </w:tcMar>
            <w:vAlign w:val="center"/>
          </w:tcPr>
          <w:p>
            <w:pPr>
              <w:pStyle w:val="TableContents"/>
              <w:bidi w:val="0"/>
              <w:spacing w:before="0" w:after="283"/>
              <w:ind w:left="0" w:right="0" w:firstLine="432"/>
              <w:jc w:val="left"/>
              <w:rPr/>
            </w:pPr>
            <w:r>
              <w:rPr/>
              <w:t> </w:t>
            </w:r>
          </w:p>
        </w:tc>
      </w:tr>
      <w:tr>
        <w:trPr/>
        <w:tc>
          <w:tcPr>
            <w:tcW w:w="5503" w:type="dxa"/>
            <w:tcBorders/>
            <w:shd w:fill="CCEEFF" w:val="clear"/>
            <w:tcMar>
              <w:top w:w="0" w:type="dxa"/>
              <w:left w:w="0" w:type="dxa"/>
              <w:bottom w:w="0" w:type="dxa"/>
              <w:right w:w="0" w:type="dxa"/>
            </w:tcMar>
            <w:vAlign w:val="center"/>
          </w:tcPr>
          <w:p>
            <w:pPr>
              <w:pStyle w:val="TableContents"/>
              <w:bidi w:val="0"/>
              <w:spacing w:before="0" w:after="283"/>
              <w:ind w:left="432" w:right="0" w:firstLine="432"/>
              <w:jc w:val="left"/>
              <w:rPr>
                <w:rFonts w:ascii="Times New Roman" w:hAnsi="Times New Roman"/>
                <w:color w:val="000000"/>
                <w:sz w:val="18"/>
              </w:rPr>
            </w:pPr>
            <w:r>
              <w:rPr>
                <w:rFonts w:ascii="Times New Roman" w:hAnsi="Times New Roman"/>
                <w:color w:val="000000"/>
                <w:sz w:val="18"/>
              </w:rPr>
              <w:t>Other current assets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(1,157</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(2,882</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675</w:t>
            </w:r>
          </w:p>
        </w:tc>
        <w:tc>
          <w:tcPr>
            <w:tcW w:w="643" w:type="dxa"/>
            <w:tcBorders/>
            <w:shd w:fill="CCEEFF" w:val="clear"/>
            <w:tcMar>
              <w:top w:w="0" w:type="dxa"/>
              <w:left w:w="0" w:type="dxa"/>
              <w:bottom w:w="0" w:type="dxa"/>
              <w:right w:w="0" w:type="dxa"/>
            </w:tcMar>
            <w:vAlign w:val="center"/>
          </w:tcPr>
          <w:p>
            <w:pPr>
              <w:pStyle w:val="TableContents"/>
              <w:bidi w:val="0"/>
              <w:spacing w:before="0" w:after="283"/>
              <w:ind w:left="0" w:right="0" w:firstLine="432"/>
              <w:jc w:val="left"/>
              <w:rPr/>
            </w:pPr>
            <w:r>
              <w:rPr/>
              <w:t> </w:t>
            </w:r>
          </w:p>
        </w:tc>
      </w:tr>
      <w:tr>
        <w:trPr/>
        <w:tc>
          <w:tcPr>
            <w:tcW w:w="5503" w:type="dxa"/>
            <w:tcBorders/>
            <w:tcMar>
              <w:top w:w="0" w:type="dxa"/>
              <w:left w:w="0" w:type="dxa"/>
              <w:bottom w:w="0" w:type="dxa"/>
              <w:right w:w="0" w:type="dxa"/>
            </w:tcMar>
            <w:vAlign w:val="center"/>
          </w:tcPr>
          <w:p>
            <w:pPr>
              <w:pStyle w:val="TableContents"/>
              <w:bidi w:val="0"/>
              <w:spacing w:before="0" w:after="283"/>
              <w:ind w:left="432" w:right="0" w:firstLine="432"/>
              <w:jc w:val="left"/>
              <w:rPr>
                <w:rFonts w:ascii="Times New Roman" w:hAnsi="Times New Roman"/>
                <w:color w:val="000000"/>
                <w:sz w:val="18"/>
              </w:rPr>
            </w:pPr>
            <w:r>
              <w:rPr>
                <w:rFonts w:ascii="Times New Roman" w:hAnsi="Times New Roman"/>
                <w:color w:val="000000"/>
                <w:sz w:val="18"/>
              </w:rPr>
              <w:t>Accounts payable</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581</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2,559</w:t>
            </w:r>
          </w:p>
        </w:tc>
        <w:tc>
          <w:tcPr>
            <w:tcW w:w="643" w:type="dxa"/>
            <w:tcBorders/>
            <w:tcMar>
              <w:top w:w="0" w:type="dxa"/>
              <w:left w:w="0" w:type="dxa"/>
              <w:bottom w:w="0" w:type="dxa"/>
              <w:right w:w="0" w:type="dxa"/>
            </w:tcMar>
            <w:vAlign w:val="center"/>
          </w:tcPr>
          <w:p>
            <w:pPr>
              <w:pStyle w:val="TableContents"/>
              <w:bidi w:val="0"/>
              <w:spacing w:before="0" w:after="283"/>
              <w:ind w:left="0" w:right="0" w:firstLine="432"/>
              <w:jc w:val="left"/>
              <w:rPr/>
            </w:pPr>
            <w:r>
              <w:rPr/>
              <w:t> </w:t>
            </w:r>
          </w:p>
        </w:tc>
      </w:tr>
      <w:tr>
        <w:trPr/>
        <w:tc>
          <w:tcPr>
            <w:tcW w:w="5503" w:type="dxa"/>
            <w:tcBorders/>
            <w:shd w:fill="CCEEFF" w:val="clear"/>
            <w:tcMar>
              <w:top w:w="0" w:type="dxa"/>
              <w:left w:w="0" w:type="dxa"/>
              <w:bottom w:w="0" w:type="dxa"/>
              <w:right w:w="0" w:type="dxa"/>
            </w:tcMar>
            <w:vAlign w:val="center"/>
          </w:tcPr>
          <w:p>
            <w:pPr>
              <w:pStyle w:val="TableContents"/>
              <w:bidi w:val="0"/>
              <w:spacing w:before="0" w:after="283"/>
              <w:ind w:left="432" w:right="0" w:firstLine="432"/>
              <w:jc w:val="left"/>
              <w:rPr>
                <w:rFonts w:ascii="Times New Roman" w:hAnsi="Times New Roman"/>
                <w:color w:val="000000"/>
                <w:sz w:val="18"/>
              </w:rPr>
            </w:pPr>
            <w:r>
              <w:rPr>
                <w:rFonts w:ascii="Times New Roman" w:hAnsi="Times New Roman"/>
                <w:color w:val="000000"/>
                <w:sz w:val="18"/>
              </w:rPr>
              <w:t>Other accounts payable</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(5,436</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(5,690</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(4,972</w:t>
            </w:r>
          </w:p>
        </w:tc>
        <w:tc>
          <w:tcPr>
            <w:tcW w:w="643" w:type="dxa"/>
            <w:tcBorders/>
            <w:shd w:fill="CCEEFF" w:val="clear"/>
            <w:tcMar>
              <w:top w:w="0" w:type="dxa"/>
              <w:left w:w="0" w:type="dxa"/>
              <w:bottom w:w="0" w:type="dxa"/>
              <w:right w:w="0" w:type="dxa"/>
            </w:tcMar>
            <w:vAlign w:val="center"/>
          </w:tcPr>
          <w:p>
            <w:pPr>
              <w:pStyle w:val="TableContents"/>
              <w:bidi w:val="0"/>
              <w:spacing w:before="0" w:after="283"/>
              <w:ind w:left="0" w:right="0" w:firstLine="432"/>
              <w:jc w:val="left"/>
              <w:rPr>
                <w:rFonts w:ascii="Times New Roman" w:hAnsi="Times New Roman"/>
                <w:color w:val="000000"/>
                <w:sz w:val="18"/>
              </w:rPr>
            </w:pPr>
            <w:r>
              <w:rPr>
                <w:rFonts w:ascii="Times New Roman" w:hAnsi="Times New Roman"/>
                <w:color w:val="000000"/>
                <w:sz w:val="18"/>
              </w:rPr>
              <w:t>)</w:t>
            </w:r>
          </w:p>
        </w:tc>
      </w:tr>
      <w:tr>
        <w:trPr/>
        <w:tc>
          <w:tcPr>
            <w:tcW w:w="5503" w:type="dxa"/>
            <w:tcBorders/>
            <w:tcMar>
              <w:top w:w="0" w:type="dxa"/>
              <w:left w:w="0" w:type="dxa"/>
              <w:bottom w:w="0" w:type="dxa"/>
              <w:right w:w="0" w:type="dxa"/>
            </w:tcMar>
            <w:vAlign w:val="center"/>
          </w:tcPr>
          <w:p>
            <w:pPr>
              <w:pStyle w:val="TableContents"/>
              <w:bidi w:val="0"/>
              <w:spacing w:before="0" w:after="283"/>
              <w:ind w:left="432" w:right="0" w:firstLine="432"/>
              <w:jc w:val="left"/>
              <w:rPr>
                <w:rFonts w:ascii="Times New Roman" w:hAnsi="Times New Roman"/>
                <w:color w:val="000000"/>
                <w:sz w:val="18"/>
              </w:rPr>
            </w:pPr>
            <w:r>
              <w:rPr>
                <w:rFonts w:ascii="Times New Roman" w:hAnsi="Times New Roman"/>
                <w:color w:val="000000"/>
                <w:sz w:val="18"/>
              </w:rPr>
              <w:t>Accrued expenses</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2,355</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1,287</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(2,022</w:t>
            </w:r>
          </w:p>
        </w:tc>
        <w:tc>
          <w:tcPr>
            <w:tcW w:w="643" w:type="dxa"/>
            <w:tcBorders/>
            <w:tcMar>
              <w:top w:w="0" w:type="dxa"/>
              <w:left w:w="0" w:type="dxa"/>
              <w:bottom w:w="0" w:type="dxa"/>
              <w:right w:w="0" w:type="dxa"/>
            </w:tcMar>
            <w:vAlign w:val="center"/>
          </w:tcPr>
          <w:p>
            <w:pPr>
              <w:pStyle w:val="TableContents"/>
              <w:bidi w:val="0"/>
              <w:spacing w:before="0" w:after="283"/>
              <w:ind w:left="0" w:right="0" w:firstLine="432"/>
              <w:jc w:val="left"/>
              <w:rPr>
                <w:rFonts w:ascii="Times New Roman" w:hAnsi="Times New Roman"/>
                <w:color w:val="000000"/>
                <w:sz w:val="18"/>
              </w:rPr>
            </w:pPr>
            <w:r>
              <w:rPr>
                <w:rFonts w:ascii="Times New Roman" w:hAnsi="Times New Roman"/>
                <w:color w:val="000000"/>
                <w:sz w:val="18"/>
              </w:rPr>
              <w:t>)</w:t>
            </w:r>
          </w:p>
        </w:tc>
      </w:tr>
      <w:tr>
        <w:trPr/>
        <w:tc>
          <w:tcPr>
            <w:tcW w:w="5503" w:type="dxa"/>
            <w:tcBorders/>
            <w:shd w:fill="CCEEFF" w:val="clear"/>
            <w:tcMar>
              <w:top w:w="0" w:type="dxa"/>
              <w:left w:w="0" w:type="dxa"/>
              <w:bottom w:w="0" w:type="dxa"/>
              <w:right w:w="0" w:type="dxa"/>
            </w:tcMar>
            <w:vAlign w:val="center"/>
          </w:tcPr>
          <w:p>
            <w:pPr>
              <w:pStyle w:val="TableContents"/>
              <w:bidi w:val="0"/>
              <w:spacing w:before="0" w:after="283"/>
              <w:ind w:left="432" w:right="0" w:firstLine="432"/>
              <w:jc w:val="left"/>
              <w:rPr>
                <w:rFonts w:ascii="Times New Roman" w:hAnsi="Times New Roman"/>
                <w:color w:val="000000"/>
                <w:sz w:val="18"/>
              </w:rPr>
            </w:pPr>
            <w:r>
              <w:rPr>
                <w:rFonts w:ascii="Times New Roman" w:hAnsi="Times New Roman"/>
                <w:color w:val="000000"/>
                <w:sz w:val="18"/>
              </w:rPr>
              <w:t>Accrued income taxes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w:t>
            </w:r>
          </w:p>
        </w:tc>
        <w:tc>
          <w:tcPr>
            <w:tcW w:w="643" w:type="dxa"/>
            <w:tcBorders/>
            <w:shd w:fill="CCEEFF" w:val="clear"/>
            <w:tcMar>
              <w:top w:w="0" w:type="dxa"/>
              <w:left w:w="0" w:type="dxa"/>
              <w:bottom w:w="0" w:type="dxa"/>
              <w:right w:w="0" w:type="dxa"/>
            </w:tcMar>
            <w:vAlign w:val="center"/>
          </w:tcPr>
          <w:p>
            <w:pPr>
              <w:pStyle w:val="TableContents"/>
              <w:bidi w:val="0"/>
              <w:spacing w:before="0" w:after="283"/>
              <w:ind w:left="0" w:right="0" w:firstLine="432"/>
              <w:jc w:val="left"/>
              <w:rPr/>
            </w:pPr>
            <w:r>
              <w:rPr/>
              <w:t> </w:t>
            </w:r>
          </w:p>
        </w:tc>
      </w:tr>
      <w:tr>
        <w:trPr/>
        <w:tc>
          <w:tcPr>
            <w:tcW w:w="5503" w:type="dxa"/>
            <w:tcBorders/>
            <w:tcMar>
              <w:top w:w="0" w:type="dxa"/>
              <w:left w:w="0" w:type="dxa"/>
              <w:bottom w:w="0" w:type="dxa"/>
              <w:right w:w="0" w:type="dxa"/>
            </w:tcMar>
            <w:vAlign w:val="center"/>
          </w:tcPr>
          <w:p>
            <w:pPr>
              <w:pStyle w:val="TableContents"/>
              <w:bidi w:val="0"/>
              <w:spacing w:before="0" w:after="283"/>
              <w:ind w:left="432" w:right="0" w:firstLine="432"/>
              <w:jc w:val="left"/>
              <w:rPr>
                <w:rFonts w:ascii="Times New Roman" w:hAnsi="Times New Roman"/>
                <w:color w:val="000000"/>
                <w:sz w:val="18"/>
              </w:rPr>
            </w:pPr>
            <w:r>
              <w:rPr>
                <w:rFonts w:ascii="Times New Roman" w:hAnsi="Times New Roman"/>
                <w:color w:val="000000"/>
                <w:sz w:val="18"/>
              </w:rPr>
              <w:t>Other current liabilities</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(433</w:t>
            </w:r>
          </w:p>
        </w:tc>
        <w:tc>
          <w:tcPr>
            <w:tcW w:w="1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160</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(546</w:t>
            </w:r>
          </w:p>
        </w:tc>
        <w:tc>
          <w:tcPr>
            <w:tcW w:w="643" w:type="dxa"/>
            <w:tcBorders/>
            <w:tcMar>
              <w:top w:w="0" w:type="dxa"/>
              <w:left w:w="0" w:type="dxa"/>
              <w:bottom w:w="0" w:type="dxa"/>
              <w:right w:w="0" w:type="dxa"/>
            </w:tcMar>
            <w:vAlign w:val="center"/>
          </w:tcPr>
          <w:p>
            <w:pPr>
              <w:pStyle w:val="TableContents"/>
              <w:bidi w:val="0"/>
              <w:spacing w:before="0" w:after="283"/>
              <w:ind w:left="0" w:right="0" w:firstLine="432"/>
              <w:jc w:val="left"/>
              <w:rPr>
                <w:rFonts w:ascii="Times New Roman" w:hAnsi="Times New Roman"/>
                <w:color w:val="000000"/>
                <w:sz w:val="18"/>
              </w:rPr>
            </w:pPr>
            <w:r>
              <w:rPr>
                <w:rFonts w:ascii="Times New Roman" w:hAnsi="Times New Roman"/>
                <w:color w:val="000000"/>
                <w:sz w:val="18"/>
              </w:rPr>
              <w:t>)</w:t>
            </w:r>
          </w:p>
        </w:tc>
      </w:tr>
      <w:tr>
        <w:trPr/>
        <w:tc>
          <w:tcPr>
            <w:tcW w:w="5503" w:type="dxa"/>
            <w:tcBorders/>
            <w:shd w:fill="CCEEFF" w:val="clear"/>
            <w:tcMar>
              <w:top w:w="0" w:type="dxa"/>
              <w:left w:w="0" w:type="dxa"/>
              <w:bottom w:w="0" w:type="dxa"/>
              <w:right w:w="0" w:type="dxa"/>
            </w:tcMar>
            <w:vAlign w:val="center"/>
          </w:tcPr>
          <w:p>
            <w:pPr>
              <w:pStyle w:val="TableContents"/>
              <w:bidi w:val="0"/>
              <w:spacing w:before="0" w:after="283"/>
              <w:ind w:left="432" w:right="0" w:firstLine="432"/>
              <w:jc w:val="left"/>
              <w:rPr>
                <w:rFonts w:ascii="Times New Roman" w:hAnsi="Times New Roman"/>
                <w:color w:val="000000"/>
                <w:sz w:val="18"/>
              </w:rPr>
            </w:pPr>
            <w:r>
              <w:rPr>
                <w:rFonts w:ascii="Times New Roman" w:hAnsi="Times New Roman"/>
                <w:color w:val="000000"/>
                <w:sz w:val="18"/>
              </w:rPr>
              <w:t>Other non-current liabilities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347</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400</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w:t>
            </w:r>
          </w:p>
        </w:tc>
        <w:tc>
          <w:tcPr>
            <w:tcW w:w="643" w:type="dxa"/>
            <w:tcBorders/>
            <w:shd w:fill="CCEEFF" w:val="clear"/>
            <w:tcMar>
              <w:top w:w="0" w:type="dxa"/>
              <w:left w:w="0" w:type="dxa"/>
              <w:bottom w:w="0" w:type="dxa"/>
              <w:right w:w="0" w:type="dxa"/>
            </w:tcMar>
            <w:vAlign w:val="center"/>
          </w:tcPr>
          <w:p>
            <w:pPr>
              <w:pStyle w:val="TableContents"/>
              <w:bidi w:val="0"/>
              <w:spacing w:before="0" w:after="283"/>
              <w:ind w:left="0" w:right="0" w:firstLine="432"/>
              <w:jc w:val="left"/>
              <w:rPr/>
            </w:pPr>
            <w:r>
              <w:rPr/>
              <w:t> </w:t>
            </w:r>
          </w:p>
        </w:tc>
      </w:tr>
      <w:tr>
        <w:trPr/>
        <w:tc>
          <w:tcPr>
            <w:tcW w:w="5503" w:type="dxa"/>
            <w:tcBorders/>
            <w:tcMar>
              <w:top w:w="0" w:type="dxa"/>
              <w:left w:w="0" w:type="dxa"/>
              <w:bottom w:w="0" w:type="dxa"/>
              <w:right w:w="0" w:type="dxa"/>
            </w:tcMar>
            <w:vAlign w:val="center"/>
          </w:tcPr>
          <w:p>
            <w:pPr>
              <w:pStyle w:val="TableContents"/>
              <w:bidi w:val="0"/>
              <w:spacing w:before="0" w:after="283"/>
              <w:ind w:left="432" w:right="0" w:firstLine="432"/>
              <w:jc w:val="left"/>
              <w:rPr>
                <w:rFonts w:ascii="Times New Roman" w:hAnsi="Times New Roman"/>
                <w:color w:val="000000"/>
                <w:sz w:val="18"/>
              </w:rPr>
            </w:pPr>
            <w:r>
              <w:rPr>
                <w:rFonts w:ascii="Times New Roman" w:hAnsi="Times New Roman"/>
                <w:color w:val="000000"/>
                <w:sz w:val="18"/>
              </w:rPr>
              <w:t>Payment of severance benefits</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(461</w:t>
            </w:r>
          </w:p>
        </w:tc>
        <w:tc>
          <w:tcPr>
            <w:tcW w:w="1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(689</w:t>
            </w:r>
          </w:p>
        </w:tc>
        <w:tc>
          <w:tcPr>
            <w:tcW w:w="1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(9,843</w:t>
            </w:r>
          </w:p>
        </w:tc>
        <w:tc>
          <w:tcPr>
            <w:tcW w:w="643" w:type="dxa"/>
            <w:tcBorders/>
            <w:tcMar>
              <w:top w:w="0" w:type="dxa"/>
              <w:left w:w="0" w:type="dxa"/>
              <w:bottom w:w="0" w:type="dxa"/>
              <w:right w:w="0" w:type="dxa"/>
            </w:tcMar>
            <w:vAlign w:val="center"/>
          </w:tcPr>
          <w:p>
            <w:pPr>
              <w:pStyle w:val="TableContents"/>
              <w:bidi w:val="0"/>
              <w:spacing w:before="0" w:after="283"/>
              <w:ind w:left="0" w:right="0" w:firstLine="432"/>
              <w:jc w:val="left"/>
              <w:rPr>
                <w:rFonts w:ascii="Times New Roman" w:hAnsi="Times New Roman"/>
                <w:color w:val="000000"/>
                <w:sz w:val="18"/>
              </w:rPr>
            </w:pPr>
            <w:r>
              <w:rPr>
                <w:rFonts w:ascii="Times New Roman" w:hAnsi="Times New Roman"/>
                <w:color w:val="000000"/>
                <w:sz w:val="18"/>
              </w:rPr>
              <w:t>)</w:t>
            </w:r>
          </w:p>
        </w:tc>
      </w:tr>
      <w:tr>
        <w:trPr/>
        <w:tc>
          <w:tcPr>
            <w:tcW w:w="5503" w:type="dxa"/>
            <w:tcBorders/>
            <w:shd w:fill="CCEEFF" w:val="clear"/>
            <w:tcMar>
              <w:top w:w="0" w:type="dxa"/>
              <w:left w:w="0" w:type="dxa"/>
              <w:bottom w:w="0" w:type="dxa"/>
              <w:right w:w="0" w:type="dxa"/>
            </w:tcMar>
            <w:vAlign w:val="center"/>
          </w:tcPr>
          <w:p>
            <w:pPr>
              <w:pStyle w:val="TableContents"/>
              <w:bidi w:val="0"/>
              <w:spacing w:before="0" w:after="283"/>
              <w:ind w:left="432" w:right="0" w:firstLine="432"/>
              <w:jc w:val="left"/>
              <w:rPr>
                <w:rFonts w:ascii="Times New Roman" w:hAnsi="Times New Roman"/>
                <w:color w:val="000000"/>
                <w:sz w:val="18"/>
              </w:rPr>
            </w:pPr>
            <w:r>
              <w:rPr>
                <w:rFonts w:ascii="Times New Roman" w:hAnsi="Times New Roman"/>
                <w:color w:val="000000"/>
                <w:sz w:val="18"/>
              </w:rPr>
              <w:t>Others, net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1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(782</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(969</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3,389</w:t>
            </w:r>
          </w:p>
        </w:tc>
        <w:tc>
          <w:tcPr>
            <w:tcW w:w="643"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r>
        <w:trPr/>
        <w:tc>
          <w:tcPr>
            <w:tcW w:w="550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cash used in operating activities</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(4,502</w:t>
            </w:r>
          </w:p>
        </w:tc>
        <w:tc>
          <w:tcPr>
            <w:tcW w:w="1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(2,946</w:t>
            </w:r>
          </w:p>
        </w:tc>
        <w:tc>
          <w:tcPr>
            <w:tcW w:w="1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(29,801</w:t>
            </w:r>
          </w:p>
        </w:tc>
        <w:tc>
          <w:tcPr>
            <w:tcW w:w="64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503"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flows from investing activities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tcBorders/>
            <w:shd w:fill="CCEEFF" w:val="clear"/>
            <w:tcMar>
              <w:top w:w="0" w:type="dxa"/>
              <w:left w:w="0" w:type="dxa"/>
              <w:bottom w:w="0" w:type="dxa"/>
              <w:right w:w="0" w:type="dxa"/>
            </w:tcMar>
            <w:vAlign w:val="center"/>
          </w:tcPr>
          <w:p>
            <w:pPr>
              <w:pStyle w:val="TableContents"/>
              <w:bidi w:val="0"/>
              <w:spacing w:before="0" w:after="283"/>
              <w:ind w:left="0" w:right="0" w:firstLine="432"/>
              <w:jc w:val="left"/>
              <w:rPr/>
            </w:pPr>
            <w:r>
              <w:rPr/>
              <w:t> </w:t>
            </w:r>
          </w:p>
        </w:tc>
      </w:tr>
      <w:tr>
        <w:trPr/>
        <w:tc>
          <w:tcPr>
            <w:tcW w:w="5503" w:type="dxa"/>
            <w:tcBorders/>
            <w:tcMar>
              <w:top w:w="0" w:type="dxa"/>
              <w:left w:w="0" w:type="dxa"/>
              <w:bottom w:w="0" w:type="dxa"/>
              <w:right w:w="0" w:type="dxa"/>
            </w:tcMar>
            <w:vAlign w:val="center"/>
          </w:tcPr>
          <w:p>
            <w:pPr>
              <w:pStyle w:val="TableContents"/>
              <w:bidi w:val="0"/>
              <w:spacing w:before="0" w:after="283"/>
              <w:ind w:left="432" w:right="0" w:firstLine="432"/>
              <w:jc w:val="left"/>
              <w:rPr>
                <w:rFonts w:ascii="Times New Roman" w:hAnsi="Times New Roman"/>
                <w:color w:val="000000"/>
                <w:sz w:val="18"/>
              </w:rPr>
            </w:pPr>
            <w:r>
              <w:rPr>
                <w:rFonts w:ascii="Times New Roman" w:hAnsi="Times New Roman"/>
                <w:color w:val="000000"/>
                <w:sz w:val="18"/>
              </w:rPr>
              <w:t>Proceeds from settlement of hedge collateral</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4,334</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4,334</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2,237</w:t>
            </w:r>
          </w:p>
        </w:tc>
        <w:tc>
          <w:tcPr>
            <w:tcW w:w="643" w:type="dxa"/>
            <w:tcBorders/>
            <w:tcMar>
              <w:top w:w="0" w:type="dxa"/>
              <w:left w:w="0" w:type="dxa"/>
              <w:bottom w:w="0" w:type="dxa"/>
              <w:right w:w="0" w:type="dxa"/>
            </w:tcMar>
            <w:vAlign w:val="center"/>
          </w:tcPr>
          <w:p>
            <w:pPr>
              <w:pStyle w:val="TableContents"/>
              <w:bidi w:val="0"/>
              <w:spacing w:before="0" w:after="283"/>
              <w:ind w:left="0" w:right="0" w:firstLine="432"/>
              <w:jc w:val="left"/>
              <w:rPr/>
            </w:pPr>
            <w:r>
              <w:rPr/>
              <w:t> </w:t>
            </w:r>
          </w:p>
        </w:tc>
      </w:tr>
      <w:tr>
        <w:trPr/>
        <w:tc>
          <w:tcPr>
            <w:tcW w:w="5503" w:type="dxa"/>
            <w:tcBorders/>
            <w:shd w:fill="CCEEFF" w:val="clear"/>
            <w:tcMar>
              <w:top w:w="0" w:type="dxa"/>
              <w:left w:w="0" w:type="dxa"/>
              <w:bottom w:w="0" w:type="dxa"/>
              <w:right w:w="0" w:type="dxa"/>
            </w:tcMar>
            <w:vAlign w:val="center"/>
          </w:tcPr>
          <w:p>
            <w:pPr>
              <w:pStyle w:val="TableContents"/>
              <w:bidi w:val="0"/>
              <w:spacing w:before="0" w:after="283"/>
              <w:ind w:left="432" w:right="0" w:firstLine="432"/>
              <w:jc w:val="left"/>
              <w:rPr>
                <w:rFonts w:ascii="Times New Roman" w:hAnsi="Times New Roman"/>
                <w:color w:val="000000"/>
                <w:sz w:val="18"/>
              </w:rPr>
            </w:pPr>
            <w:r>
              <w:rPr>
                <w:rFonts w:ascii="Times New Roman" w:hAnsi="Times New Roman"/>
                <w:color w:val="000000"/>
                <w:sz w:val="18"/>
              </w:rPr>
              <w:t>Payment of hedge collateral</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(4,043</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(7,828</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43" w:type="dxa"/>
            <w:tcBorders/>
            <w:shd w:fill="CCEEFF" w:val="clear"/>
            <w:tcMar>
              <w:top w:w="0" w:type="dxa"/>
              <w:left w:w="0" w:type="dxa"/>
              <w:bottom w:w="0" w:type="dxa"/>
              <w:right w:w="0" w:type="dxa"/>
            </w:tcMar>
            <w:vAlign w:val="center"/>
          </w:tcPr>
          <w:p>
            <w:pPr>
              <w:pStyle w:val="TableContents"/>
              <w:bidi w:val="0"/>
              <w:spacing w:before="0" w:after="283"/>
              <w:ind w:left="0" w:right="0" w:firstLine="432"/>
              <w:jc w:val="left"/>
              <w:rPr/>
            </w:pPr>
            <w:r>
              <w:rPr/>
              <w:t> </w:t>
            </w:r>
          </w:p>
        </w:tc>
      </w:tr>
      <w:tr>
        <w:trPr/>
        <w:tc>
          <w:tcPr>
            <w:tcW w:w="5503" w:type="dxa"/>
            <w:tcBorders/>
            <w:tcMar>
              <w:top w:w="0" w:type="dxa"/>
              <w:left w:w="0" w:type="dxa"/>
              <w:bottom w:w="0" w:type="dxa"/>
              <w:right w:w="0" w:type="dxa"/>
            </w:tcMar>
            <w:vAlign w:val="center"/>
          </w:tcPr>
          <w:p>
            <w:pPr>
              <w:pStyle w:val="TableContents"/>
              <w:bidi w:val="0"/>
              <w:spacing w:before="0" w:after="283"/>
              <w:ind w:left="432" w:right="0" w:firstLine="432"/>
              <w:jc w:val="left"/>
              <w:rPr>
                <w:rFonts w:ascii="Times New Roman" w:hAnsi="Times New Roman"/>
                <w:color w:val="000000"/>
                <w:sz w:val="18"/>
              </w:rPr>
            </w:pPr>
            <w:r>
              <w:rPr>
                <w:rFonts w:ascii="Times New Roman" w:hAnsi="Times New Roman"/>
                <w:color w:val="000000"/>
                <w:sz w:val="18"/>
              </w:rPr>
              <w:t>Purchase of property, plant and equipment</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(1,329</w:t>
            </w:r>
          </w:p>
        </w:tc>
        <w:tc>
          <w:tcPr>
            <w:tcW w:w="1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(5,244</w:t>
            </w:r>
          </w:p>
        </w:tc>
        <w:tc>
          <w:tcPr>
            <w:tcW w:w="1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(12,083</w:t>
            </w:r>
          </w:p>
        </w:tc>
        <w:tc>
          <w:tcPr>
            <w:tcW w:w="643" w:type="dxa"/>
            <w:tcBorders/>
            <w:tcMar>
              <w:top w:w="0" w:type="dxa"/>
              <w:left w:w="0" w:type="dxa"/>
              <w:bottom w:w="0" w:type="dxa"/>
              <w:right w:w="0" w:type="dxa"/>
            </w:tcMar>
            <w:vAlign w:val="center"/>
          </w:tcPr>
          <w:p>
            <w:pPr>
              <w:pStyle w:val="TableContents"/>
              <w:bidi w:val="0"/>
              <w:spacing w:before="0" w:after="283"/>
              <w:ind w:left="0" w:right="0" w:firstLine="432"/>
              <w:jc w:val="left"/>
              <w:rPr>
                <w:rFonts w:ascii="Times New Roman" w:hAnsi="Times New Roman"/>
                <w:color w:val="000000"/>
                <w:sz w:val="18"/>
              </w:rPr>
            </w:pPr>
            <w:r>
              <w:rPr>
                <w:rFonts w:ascii="Times New Roman" w:hAnsi="Times New Roman"/>
                <w:color w:val="000000"/>
                <w:sz w:val="18"/>
              </w:rPr>
              <w:t>)</w:t>
            </w:r>
          </w:p>
        </w:tc>
      </w:tr>
      <w:tr>
        <w:trPr/>
        <w:tc>
          <w:tcPr>
            <w:tcW w:w="5503" w:type="dxa"/>
            <w:tcBorders/>
            <w:shd w:fill="CCEEFF" w:val="clear"/>
            <w:tcMar>
              <w:top w:w="0" w:type="dxa"/>
              <w:left w:w="0" w:type="dxa"/>
              <w:bottom w:w="0" w:type="dxa"/>
              <w:right w:w="0" w:type="dxa"/>
            </w:tcMar>
            <w:vAlign w:val="center"/>
          </w:tcPr>
          <w:p>
            <w:pPr>
              <w:pStyle w:val="TableContents"/>
              <w:bidi w:val="0"/>
              <w:spacing w:before="0" w:after="283"/>
              <w:ind w:left="432" w:right="0" w:firstLine="432"/>
              <w:jc w:val="left"/>
              <w:rPr>
                <w:rFonts w:ascii="Times New Roman" w:hAnsi="Times New Roman"/>
                <w:color w:val="000000"/>
                <w:sz w:val="18"/>
              </w:rPr>
            </w:pPr>
            <w:r>
              <w:rPr>
                <w:rFonts w:ascii="Times New Roman" w:hAnsi="Times New Roman"/>
                <w:color w:val="000000"/>
                <w:sz w:val="18"/>
              </w:rPr>
              <w:t>Payment for intellectual property registration</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(85</w:t>
            </w:r>
          </w:p>
        </w:tc>
        <w:tc>
          <w:tcPr>
            <w:tcW w:w="643" w:type="dxa"/>
            <w:tcBorders/>
            <w:shd w:fill="CCEEFF" w:val="clear"/>
            <w:tcMar>
              <w:top w:w="0" w:type="dxa"/>
              <w:left w:w="0" w:type="dxa"/>
              <w:bottom w:w="0" w:type="dxa"/>
              <w:right w:w="0" w:type="dxa"/>
            </w:tcMar>
            <w:vAlign w:val="center"/>
          </w:tcPr>
          <w:p>
            <w:pPr>
              <w:pStyle w:val="TableContents"/>
              <w:bidi w:val="0"/>
              <w:spacing w:before="0" w:after="283"/>
              <w:ind w:left="0" w:right="0" w:firstLine="432"/>
              <w:jc w:val="left"/>
              <w:rPr>
                <w:rFonts w:ascii="Times New Roman" w:hAnsi="Times New Roman"/>
                <w:color w:val="000000"/>
                <w:sz w:val="18"/>
              </w:rPr>
            </w:pPr>
            <w:r>
              <w:rPr>
                <w:rFonts w:ascii="Times New Roman" w:hAnsi="Times New Roman"/>
                <w:color w:val="000000"/>
                <w:sz w:val="18"/>
              </w:rPr>
              <w:t>)</w:t>
            </w:r>
          </w:p>
        </w:tc>
      </w:tr>
      <w:tr>
        <w:trPr/>
        <w:tc>
          <w:tcPr>
            <w:tcW w:w="5503" w:type="dxa"/>
            <w:tcBorders/>
            <w:tcMar>
              <w:top w:w="0" w:type="dxa"/>
              <w:left w:w="0" w:type="dxa"/>
              <w:bottom w:w="0" w:type="dxa"/>
              <w:right w:w="0" w:type="dxa"/>
            </w:tcMar>
            <w:vAlign w:val="center"/>
          </w:tcPr>
          <w:p>
            <w:pPr>
              <w:pStyle w:val="TableContents"/>
              <w:bidi w:val="0"/>
              <w:spacing w:before="0" w:after="283"/>
              <w:ind w:left="432" w:right="0" w:firstLine="432"/>
              <w:jc w:val="left"/>
              <w:rPr>
                <w:rFonts w:ascii="Times New Roman" w:hAnsi="Times New Roman"/>
                <w:color w:val="000000"/>
                <w:sz w:val="18"/>
              </w:rPr>
            </w:pPr>
            <w:r>
              <w:rPr>
                <w:rFonts w:ascii="Times New Roman" w:hAnsi="Times New Roman"/>
                <w:color w:val="000000"/>
                <w:sz w:val="18"/>
              </w:rPr>
              <w:t>Collection of guarantee deposits</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135</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2,026</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2,336</w:t>
            </w:r>
          </w:p>
        </w:tc>
        <w:tc>
          <w:tcPr>
            <w:tcW w:w="643" w:type="dxa"/>
            <w:tcBorders/>
            <w:tcMar>
              <w:top w:w="0" w:type="dxa"/>
              <w:left w:w="0" w:type="dxa"/>
              <w:bottom w:w="0" w:type="dxa"/>
              <w:right w:w="0" w:type="dxa"/>
            </w:tcMar>
            <w:vAlign w:val="center"/>
          </w:tcPr>
          <w:p>
            <w:pPr>
              <w:pStyle w:val="TableContents"/>
              <w:bidi w:val="0"/>
              <w:spacing w:before="0" w:after="283"/>
              <w:ind w:left="0" w:right="0" w:firstLine="432"/>
              <w:jc w:val="left"/>
              <w:rPr/>
            </w:pPr>
            <w:r>
              <w:rPr/>
              <w:t> </w:t>
            </w:r>
          </w:p>
        </w:tc>
      </w:tr>
      <w:tr>
        <w:trPr/>
        <w:tc>
          <w:tcPr>
            <w:tcW w:w="5503" w:type="dxa"/>
            <w:tcBorders/>
            <w:shd w:fill="CCEEFF" w:val="clear"/>
            <w:tcMar>
              <w:top w:w="0" w:type="dxa"/>
              <w:left w:w="0" w:type="dxa"/>
              <w:bottom w:w="0" w:type="dxa"/>
              <w:right w:w="0" w:type="dxa"/>
            </w:tcMar>
            <w:vAlign w:val="center"/>
          </w:tcPr>
          <w:p>
            <w:pPr>
              <w:pStyle w:val="TableContents"/>
              <w:bidi w:val="0"/>
              <w:spacing w:before="0" w:after="283"/>
              <w:ind w:left="432" w:right="0" w:firstLine="432"/>
              <w:jc w:val="left"/>
              <w:rPr>
                <w:rFonts w:ascii="Times New Roman" w:hAnsi="Times New Roman"/>
                <w:color w:val="000000"/>
                <w:sz w:val="18"/>
              </w:rPr>
            </w:pPr>
            <w:r>
              <w:rPr>
                <w:rFonts w:ascii="Times New Roman" w:hAnsi="Times New Roman"/>
                <w:color w:val="000000"/>
                <w:sz w:val="18"/>
              </w:rPr>
              <w:t>Payment of guarantee deposits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(158)</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(297</w:t>
            </w:r>
          </w:p>
        </w:tc>
        <w:tc>
          <w:tcPr>
            <w:tcW w:w="643" w:type="dxa"/>
            <w:tcBorders/>
            <w:shd w:fill="CCEEFF" w:val="clear"/>
            <w:tcMar>
              <w:top w:w="0" w:type="dxa"/>
              <w:left w:w="0" w:type="dxa"/>
              <w:bottom w:w="0" w:type="dxa"/>
              <w:right w:w="0" w:type="dxa"/>
            </w:tcMar>
            <w:vAlign w:val="center"/>
          </w:tcPr>
          <w:p>
            <w:pPr>
              <w:pStyle w:val="TableContents"/>
              <w:bidi w:val="0"/>
              <w:spacing w:before="0" w:after="283"/>
              <w:ind w:left="0" w:right="0" w:firstLine="432"/>
              <w:jc w:val="left"/>
              <w:rPr>
                <w:rFonts w:ascii="Times New Roman" w:hAnsi="Times New Roman"/>
                <w:color w:val="000000"/>
                <w:sz w:val="18"/>
              </w:rPr>
            </w:pPr>
            <w:r>
              <w:rPr>
                <w:rFonts w:ascii="Times New Roman" w:hAnsi="Times New Roman"/>
                <w:color w:val="000000"/>
                <w:sz w:val="18"/>
              </w:rPr>
              <w:t>)</w:t>
            </w:r>
          </w:p>
        </w:tc>
      </w:tr>
      <w:tr>
        <w:trPr/>
        <w:tc>
          <w:tcPr>
            <w:tcW w:w="5503" w:type="dxa"/>
            <w:tcBorders/>
            <w:tcMar>
              <w:top w:w="0" w:type="dxa"/>
              <w:left w:w="0" w:type="dxa"/>
              <w:bottom w:w="0" w:type="dxa"/>
              <w:right w:w="0" w:type="dxa"/>
            </w:tcMar>
            <w:vAlign w:val="center"/>
          </w:tcPr>
          <w:p>
            <w:pPr>
              <w:pStyle w:val="TableContents"/>
              <w:bidi w:val="0"/>
              <w:spacing w:before="0" w:after="283"/>
              <w:ind w:left="432" w:right="0" w:firstLine="432"/>
              <w:jc w:val="left"/>
              <w:rPr>
                <w:rFonts w:ascii="Times New Roman" w:hAnsi="Times New Roman"/>
                <w:color w:val="000000"/>
                <w:sz w:val="18"/>
              </w:rPr>
            </w:pPr>
            <w:r>
              <w:rPr>
                <w:rFonts w:ascii="Times New Roman" w:hAnsi="Times New Roman"/>
                <w:color w:val="000000"/>
                <w:sz w:val="18"/>
              </w:rPr>
              <w:t>Others, net</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111" w:type="dxa"/>
            <w:tcBorders>
              <w:bottom w:val="single" w:sz="4" w:space="0" w:color="000000"/>
            </w:tcBorders>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180</w:t>
            </w:r>
          </w:p>
        </w:tc>
        <w:tc>
          <w:tcPr>
            <w:tcW w:w="643"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5503"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cash used in investing activities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(946)</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(6,888</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(7,712</w:t>
            </w:r>
          </w:p>
        </w:tc>
        <w:tc>
          <w:tcPr>
            <w:tcW w:w="643"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50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flows from financing activities</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tcMar>
              <w:top w:w="0" w:type="dxa"/>
              <w:left w:w="0" w:type="dxa"/>
              <w:bottom w:w="0" w:type="dxa"/>
              <w:right w:w="0" w:type="dxa"/>
            </w:tcMar>
            <w:vAlign w:val="center"/>
          </w:tcPr>
          <w:p>
            <w:pPr>
              <w:pStyle w:val="TableContents"/>
              <w:bidi w:val="0"/>
              <w:spacing w:before="0" w:after="283"/>
              <w:jc w:val="right"/>
              <w:rPr/>
            </w:pPr>
            <w:r>
              <w:rPr/>
              <w:t> </w:t>
            </w:r>
          </w:p>
        </w:tc>
        <w:tc>
          <w:tcPr>
            <w:tcW w:w="64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03"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Proceeds from long-term borrowings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6,964</w:t>
            </w:r>
          </w:p>
        </w:tc>
        <w:tc>
          <w:tcPr>
            <w:tcW w:w="643" w:type="dxa"/>
            <w:tcBorders/>
            <w:shd w:fill="CCEEFF" w:val="clear"/>
            <w:tcMar>
              <w:top w:w="0" w:type="dxa"/>
              <w:left w:w="0" w:type="dxa"/>
              <w:bottom w:w="0" w:type="dxa"/>
              <w:right w:w="0" w:type="dxa"/>
            </w:tcMar>
            <w:vAlign w:val="center"/>
          </w:tcPr>
          <w:p>
            <w:pPr>
              <w:pStyle w:val="TableContents"/>
              <w:bidi w:val="0"/>
              <w:spacing w:before="0" w:after="283"/>
              <w:ind w:left="0" w:right="0" w:firstLine="432"/>
              <w:jc w:val="left"/>
              <w:rPr/>
            </w:pPr>
            <w:r>
              <w:rPr/>
              <w:t> </w:t>
            </w:r>
          </w:p>
        </w:tc>
      </w:tr>
      <w:tr>
        <w:trPr/>
        <w:tc>
          <w:tcPr>
            <w:tcW w:w="5503" w:type="dxa"/>
            <w:tcBorders/>
            <w:tcMar>
              <w:top w:w="0" w:type="dxa"/>
              <w:left w:w="0" w:type="dxa"/>
              <w:bottom w:w="0" w:type="dxa"/>
              <w:right w:w="0" w:type="dxa"/>
            </w:tcMar>
            <w:vAlign w:val="center"/>
          </w:tcPr>
          <w:p>
            <w:pPr>
              <w:pStyle w:val="TableContents"/>
              <w:bidi w:val="0"/>
              <w:spacing w:before="0" w:after="283"/>
              <w:ind w:left="432" w:right="0" w:firstLine="432"/>
              <w:jc w:val="left"/>
              <w:rPr>
                <w:rFonts w:ascii="Times New Roman" w:hAnsi="Times New Roman"/>
                <w:color w:val="000000"/>
                <w:sz w:val="18"/>
              </w:rPr>
            </w:pPr>
            <w:r>
              <w:rPr>
                <w:rFonts w:ascii="Times New Roman" w:hAnsi="Times New Roman"/>
                <w:color w:val="000000"/>
                <w:sz w:val="18"/>
              </w:rPr>
              <w:t>Proceeds from issuance of common stock</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43" w:type="dxa"/>
            <w:tcBorders/>
            <w:tcMar>
              <w:top w:w="0" w:type="dxa"/>
              <w:left w:w="0" w:type="dxa"/>
              <w:bottom w:w="0" w:type="dxa"/>
              <w:right w:w="0" w:type="dxa"/>
            </w:tcMar>
            <w:vAlign w:val="center"/>
          </w:tcPr>
          <w:p>
            <w:pPr>
              <w:pStyle w:val="TableContents"/>
              <w:bidi w:val="0"/>
              <w:spacing w:before="0" w:after="283"/>
              <w:ind w:left="0" w:right="0" w:firstLine="432"/>
              <w:jc w:val="left"/>
              <w:rPr/>
            </w:pPr>
            <w:r>
              <w:rPr/>
              <w:t> </w:t>
            </w:r>
          </w:p>
        </w:tc>
      </w:tr>
      <w:tr>
        <w:trPr/>
        <w:tc>
          <w:tcPr>
            <w:tcW w:w="5503" w:type="dxa"/>
            <w:tcBorders/>
            <w:shd w:fill="CCEEFF" w:val="clear"/>
            <w:tcMar>
              <w:top w:w="0" w:type="dxa"/>
              <w:left w:w="0" w:type="dxa"/>
              <w:bottom w:w="0" w:type="dxa"/>
              <w:right w:w="0" w:type="dxa"/>
            </w:tcMar>
            <w:vAlign w:val="center"/>
          </w:tcPr>
          <w:p>
            <w:pPr>
              <w:pStyle w:val="TableContents"/>
              <w:bidi w:val="0"/>
              <w:spacing w:before="0" w:after="283"/>
              <w:ind w:left="432" w:right="0" w:firstLine="432"/>
              <w:jc w:val="left"/>
              <w:rPr>
                <w:rFonts w:ascii="Times New Roman" w:hAnsi="Times New Roman"/>
                <w:color w:val="000000"/>
                <w:sz w:val="18"/>
              </w:rPr>
            </w:pPr>
            <w:r>
              <w:rPr>
                <w:rFonts w:ascii="Times New Roman" w:hAnsi="Times New Roman"/>
                <w:color w:val="000000"/>
                <w:sz w:val="18"/>
              </w:rPr>
              <w:t>Acquisition of treasury stock</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(201</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(4,020</w:t>
            </w:r>
          </w:p>
        </w:tc>
        <w:tc>
          <w:tcPr>
            <w:tcW w:w="643" w:type="dxa"/>
            <w:tcBorders/>
            <w:shd w:fill="CCEEFF" w:val="clear"/>
            <w:tcMar>
              <w:top w:w="0" w:type="dxa"/>
              <w:left w:w="0" w:type="dxa"/>
              <w:bottom w:w="0" w:type="dxa"/>
              <w:right w:w="0" w:type="dxa"/>
            </w:tcMar>
            <w:vAlign w:val="center"/>
          </w:tcPr>
          <w:p>
            <w:pPr>
              <w:pStyle w:val="TableContents"/>
              <w:bidi w:val="0"/>
              <w:spacing w:before="0" w:after="283"/>
              <w:ind w:left="0" w:right="0" w:firstLine="432"/>
              <w:jc w:val="left"/>
              <w:rPr>
                <w:rFonts w:ascii="Times New Roman" w:hAnsi="Times New Roman"/>
                <w:color w:val="000000"/>
                <w:sz w:val="18"/>
              </w:rPr>
            </w:pPr>
            <w:r>
              <w:rPr>
                <w:rFonts w:ascii="Times New Roman" w:hAnsi="Times New Roman"/>
                <w:color w:val="000000"/>
                <w:sz w:val="18"/>
              </w:rPr>
              <w:t>)</w:t>
            </w:r>
          </w:p>
        </w:tc>
      </w:tr>
      <w:tr>
        <w:trPr/>
        <w:tc>
          <w:tcPr>
            <w:tcW w:w="5503" w:type="dxa"/>
            <w:tcBorders/>
            <w:tcMar>
              <w:top w:w="0" w:type="dxa"/>
              <w:left w:w="0" w:type="dxa"/>
              <w:bottom w:w="0" w:type="dxa"/>
              <w:right w:w="0" w:type="dxa"/>
            </w:tcMar>
            <w:vAlign w:val="center"/>
          </w:tcPr>
          <w:p>
            <w:pPr>
              <w:pStyle w:val="TableContents"/>
              <w:bidi w:val="0"/>
              <w:spacing w:before="0" w:after="283"/>
              <w:ind w:left="432" w:right="0" w:firstLine="432"/>
              <w:jc w:val="left"/>
              <w:rPr>
                <w:rFonts w:ascii="Times New Roman" w:hAnsi="Times New Roman"/>
                <w:color w:val="000000"/>
                <w:sz w:val="18"/>
              </w:rPr>
            </w:pPr>
            <w:r>
              <w:rPr>
                <w:rFonts w:ascii="Times New Roman" w:hAnsi="Times New Roman"/>
                <w:color w:val="000000"/>
                <w:sz w:val="18"/>
              </w:rPr>
              <w:t>Repayment of financing related to water treatment facility arrangement</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(107</w:t>
            </w:r>
          </w:p>
        </w:tc>
        <w:tc>
          <w:tcPr>
            <w:tcW w:w="1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(217</w:t>
            </w:r>
          </w:p>
        </w:tc>
        <w:tc>
          <w:tcPr>
            <w:tcW w:w="1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(225</w:t>
            </w:r>
          </w:p>
        </w:tc>
        <w:tc>
          <w:tcPr>
            <w:tcW w:w="643" w:type="dxa"/>
            <w:tcBorders/>
            <w:tcMar>
              <w:top w:w="0" w:type="dxa"/>
              <w:left w:w="0" w:type="dxa"/>
              <w:bottom w:w="0" w:type="dxa"/>
              <w:right w:w="0" w:type="dxa"/>
            </w:tcMar>
            <w:vAlign w:val="center"/>
          </w:tcPr>
          <w:p>
            <w:pPr>
              <w:pStyle w:val="TableContents"/>
              <w:bidi w:val="0"/>
              <w:spacing w:before="0" w:after="283"/>
              <w:ind w:left="0" w:right="0" w:firstLine="432"/>
              <w:jc w:val="left"/>
              <w:rPr>
                <w:rFonts w:ascii="Times New Roman" w:hAnsi="Times New Roman"/>
                <w:color w:val="000000"/>
                <w:sz w:val="18"/>
              </w:rPr>
            </w:pPr>
            <w:r>
              <w:rPr>
                <w:rFonts w:ascii="Times New Roman" w:hAnsi="Times New Roman"/>
                <w:color w:val="000000"/>
                <w:sz w:val="18"/>
              </w:rPr>
              <w:t>)</w:t>
            </w:r>
          </w:p>
        </w:tc>
      </w:tr>
      <w:tr>
        <w:trPr/>
        <w:tc>
          <w:tcPr>
            <w:tcW w:w="5503" w:type="dxa"/>
            <w:tcBorders/>
            <w:shd w:fill="CCEEFF" w:val="clear"/>
            <w:tcMar>
              <w:top w:w="0" w:type="dxa"/>
              <w:left w:w="0" w:type="dxa"/>
              <w:bottom w:w="0" w:type="dxa"/>
              <w:right w:w="0" w:type="dxa"/>
            </w:tcMar>
            <w:vAlign w:val="center"/>
          </w:tcPr>
          <w:p>
            <w:pPr>
              <w:pStyle w:val="TableContents"/>
              <w:bidi w:val="0"/>
              <w:spacing w:before="0" w:after="283"/>
              <w:ind w:left="432" w:right="0" w:firstLine="432"/>
              <w:jc w:val="left"/>
              <w:rPr>
                <w:rFonts w:ascii="Times New Roman" w:hAnsi="Times New Roman"/>
                <w:color w:val="000000"/>
                <w:sz w:val="18"/>
              </w:rPr>
            </w:pPr>
            <w:r>
              <w:rPr>
                <w:rFonts w:ascii="Times New Roman" w:hAnsi="Times New Roman"/>
                <w:color w:val="000000"/>
                <w:sz w:val="18"/>
              </w:rPr>
              <w:t>Repayment of principal portion of finance lease liabilities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1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w:t>
            </w:r>
          </w:p>
        </w:tc>
        <w:tc>
          <w:tcPr>
            <w:tcW w:w="643"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50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cash provided by (used in) financing activities</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(98</w:t>
            </w:r>
          </w:p>
        </w:tc>
        <w:tc>
          <w:tcPr>
            <w:tcW w:w="1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(418</w:t>
            </w:r>
          </w:p>
        </w:tc>
        <w:tc>
          <w:tcPr>
            <w:tcW w:w="1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2,639</w:t>
            </w:r>
          </w:p>
        </w:tc>
        <w:tc>
          <w:tcPr>
            <w:tcW w:w="64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03"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Effect of exchange rates on cash and cash equivalents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1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(1,072</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(5,568</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9,590</w:t>
            </w:r>
          </w:p>
        </w:tc>
        <w:tc>
          <w:tcPr>
            <w:tcW w:w="643"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r>
        <w:trPr/>
        <w:tc>
          <w:tcPr>
            <w:tcW w:w="550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decrease in cash and cash equivalents</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(6,618</w:t>
            </w:r>
          </w:p>
        </w:tc>
        <w:tc>
          <w:tcPr>
            <w:tcW w:w="1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(15,820</w:t>
            </w:r>
          </w:p>
        </w:tc>
        <w:tc>
          <w:tcPr>
            <w:tcW w:w="1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(25,284</w:t>
            </w:r>
          </w:p>
        </w:tc>
        <w:tc>
          <w:tcPr>
            <w:tcW w:w="64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503"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and cash equivalents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0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Beginning of the period</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111"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94,554</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103,756</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138,610</w:t>
            </w:r>
          </w:p>
        </w:tc>
        <w:tc>
          <w:tcPr>
            <w:tcW w:w="643"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5503"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End of the period</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11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87,936</w:t>
            </w:r>
          </w:p>
        </w:tc>
        <w:tc>
          <w:tcPr>
            <w:tcW w:w="16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2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87,936</w:t>
            </w:r>
          </w:p>
        </w:tc>
        <w:tc>
          <w:tcPr>
            <w:tcW w:w="16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2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113,326</w:t>
            </w:r>
          </w:p>
        </w:tc>
        <w:tc>
          <w:tcPr>
            <w:tcW w:w="643"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ind w:left="0" w:right="20" w:hanging="0"/>
        <w:jc w:val="left"/>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18"/>
        </w:rPr>
      </w:pPr>
      <w:r>
        <w:rPr>
          <w:rFonts w:ascii="Times New Roman" w:hAnsi="Times New Roman"/>
          <w:b/>
          <w:color w:val="000000"/>
          <w:sz w:val="18"/>
        </w:rPr>
        <w:t>MAGNACHIP SEMICONDUCTOR CORPORATION AND SUBSIDIARIES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drawing>
          <wp:inline distT="0" distB="0" distL="0" distR="0">
            <wp:extent cx="1476375" cy="2952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476375" cy="295275"/>
                    </a:xfrm>
                    <a:prstGeom prst="rect">
                      <a:avLst/>
                    </a:prstGeom>
                  </pic:spPr>
                </pic:pic>
              </a:graphicData>
            </a:graphic>
          </wp:inline>
        </w:drawing>
      </w:r>
    </w:p>
    <w:p>
      <w:pPr>
        <w:pStyle w:val="TextBody"/>
        <w:bidi w:val="0"/>
        <w:ind w:left="0" w:right="20" w:hanging="0"/>
        <w:jc w:val="center"/>
        <w:rPr>
          <w:rFonts w:ascii="Times New Roman" w:hAnsi="Times New Roman"/>
          <w:b/>
          <w:color w:val="000000"/>
          <w:sz w:val="18"/>
        </w:rPr>
      </w:pPr>
      <w:r>
        <w:rPr>
          <w:rFonts w:ascii="Times New Roman" w:hAnsi="Times New Roman"/>
          <w:b/>
          <w:color w:val="000000"/>
          <w:sz w:val="18"/>
        </w:rPr>
        <w:t>RECONCILIATION OF OPERATING LOSS FROM CONTINUING OPERATIONS TO ADJUSTED OPERATING LOSS FROM CONTINUING OPERATIONS</w:t>
      </w:r>
    </w:p>
    <w:p>
      <w:pPr>
        <w:pStyle w:val="TextBody"/>
        <w:bidi w:val="0"/>
        <w:ind w:left="0" w:right="20" w:hanging="0"/>
        <w:jc w:val="center"/>
        <w:rPr>
          <w:rFonts w:ascii="Times New Roman" w:hAnsi="Times New Roman"/>
          <w:b/>
          <w:color w:val="000000"/>
          <w:sz w:val="18"/>
        </w:rPr>
      </w:pPr>
      <w:r>
        <w:rPr>
          <w:rFonts w:ascii="Times New Roman" w:hAnsi="Times New Roman"/>
          <w:b/>
          <w:color w:val="000000"/>
          <w:sz w:val="18"/>
        </w:rPr>
        <w:t>(In thousands of U.S. dollars)</w:t>
      </w:r>
    </w:p>
    <w:p>
      <w:pPr>
        <w:pStyle w:val="TextBody"/>
        <w:bidi w:val="0"/>
        <w:ind w:left="0" w:right="20" w:hanging="0"/>
        <w:jc w:val="center"/>
        <w:rPr>
          <w:rFonts w:ascii="Times New Roman" w:hAnsi="Times New Roman"/>
          <w:b/>
          <w:color w:val="000000"/>
          <w:sz w:val="18"/>
        </w:rPr>
      </w:pPr>
      <w:r>
        <w:rPr>
          <w:rFonts w:ascii="Times New Roman" w:hAnsi="Times New Roman"/>
          <w:b/>
          <w:color w:val="000000"/>
          <w:sz w:val="18"/>
        </w:rPr>
        <w:t>(Unaudited)</w:t>
      </w:r>
    </w:p>
    <w:p>
      <w:pPr>
        <w:pStyle w:val="TextBody"/>
        <w:bidi w:val="0"/>
        <w:ind w:left="0" w:right="80" w:hanging="0"/>
        <w:jc w:val="left"/>
        <w:rPr/>
      </w:pPr>
      <w:r>
        <w:rPr/>
        <w:t> </w:t>
      </w:r>
    </w:p>
    <w:tbl>
      <w:tblPr>
        <w:tblW w:w="10205" w:type="dxa"/>
        <w:jc w:val="left"/>
        <w:tblInd w:w="0" w:type="dxa"/>
        <w:tblLayout w:type="fixed"/>
        <w:tblCellMar>
          <w:top w:w="28" w:type="dxa"/>
          <w:left w:w="28" w:type="dxa"/>
          <w:bottom w:w="28" w:type="dxa"/>
          <w:right w:w="28" w:type="dxa"/>
        </w:tblCellMar>
      </w:tblPr>
      <w:tblGrid>
        <w:gridCol w:w="3718"/>
        <w:gridCol w:w="146"/>
        <w:gridCol w:w="211"/>
        <w:gridCol w:w="631"/>
        <w:gridCol w:w="166"/>
        <w:gridCol w:w="146"/>
        <w:gridCol w:w="213"/>
        <w:gridCol w:w="639"/>
        <w:gridCol w:w="166"/>
        <w:gridCol w:w="146"/>
        <w:gridCol w:w="211"/>
        <w:gridCol w:w="631"/>
        <w:gridCol w:w="204"/>
        <w:gridCol w:w="146"/>
        <w:gridCol w:w="211"/>
        <w:gridCol w:w="736"/>
        <w:gridCol w:w="166"/>
        <w:gridCol w:w="146"/>
        <w:gridCol w:w="211"/>
        <w:gridCol w:w="736"/>
        <w:gridCol w:w="625"/>
      </w:tblGrid>
      <w:tr>
        <w:trPr/>
        <w:tc>
          <w:tcPr>
            <w:tcW w:w="371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r>
      <w:tr>
        <w:trPr/>
        <w:tc>
          <w:tcPr>
            <w:tcW w:w="371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0" w:type="dxa"/>
            <w:gridSpan w:val="10"/>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204"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206" w:type="dxa"/>
            <w:gridSpan w:val="6"/>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625"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r>
      <w:tr>
        <w:trPr/>
        <w:tc>
          <w:tcPr>
            <w:tcW w:w="371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br/>
              <w:t>2026</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852"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br/>
              <w:t>2026</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br/>
              <w:t>2025</w:t>
            </w:r>
          </w:p>
        </w:tc>
        <w:tc>
          <w:tcPr>
            <w:tcW w:w="204"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br/>
              <w:t>2026</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br/>
              <w:t>2025</w:t>
            </w:r>
          </w:p>
        </w:tc>
        <w:tc>
          <w:tcPr>
            <w:tcW w:w="625"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3718"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loss– continuing operations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(9,976</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9"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(7,170</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(6,598</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(17,146</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(11,876</w:t>
            </w:r>
          </w:p>
        </w:tc>
        <w:tc>
          <w:tcPr>
            <w:tcW w:w="625"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1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tcMar>
              <w:top w:w="0" w:type="dxa"/>
              <w:left w:w="0" w:type="dxa"/>
              <w:bottom w:w="0" w:type="dxa"/>
              <w:right w:w="0" w:type="dxa"/>
            </w:tcMar>
            <w:vAlign w:val="center"/>
          </w:tcPr>
          <w:p>
            <w:pPr>
              <w:pStyle w:val="TableContents"/>
              <w:bidi w:val="0"/>
              <w:spacing w:before="0" w:after="283"/>
              <w:jc w:val="left"/>
              <w:rPr/>
            </w:pPr>
            <w:r>
              <w:rPr/>
              <w:t> </w:t>
            </w:r>
          </w:p>
        </w:tc>
        <w:tc>
          <w:tcPr>
            <w:tcW w:w="639"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right"/>
              <w:rPr/>
            </w:pPr>
            <w:r>
              <w:rPr/>
              <w:t> </w:t>
            </w:r>
          </w:p>
        </w:tc>
        <w:tc>
          <w:tcPr>
            <w:tcW w:w="20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right"/>
              <w:rPr/>
            </w:pPr>
            <w:r>
              <w:rPr/>
              <w:t> </w:t>
            </w:r>
          </w:p>
        </w:tc>
        <w:tc>
          <w:tcPr>
            <w:tcW w:w="625" w:type="dxa"/>
            <w:tcBorders/>
            <w:tcMar>
              <w:top w:w="0" w:type="dxa"/>
              <w:left w:w="0" w:type="dxa"/>
              <w:bottom w:w="0" w:type="dxa"/>
              <w:right w:w="0" w:type="dxa"/>
            </w:tcMar>
            <w:vAlign w:val="center"/>
          </w:tcPr>
          <w:p>
            <w:pPr>
              <w:pStyle w:val="TableContents"/>
              <w:bidi w:val="0"/>
              <w:spacing w:before="0" w:after="283"/>
              <w:ind w:left="0" w:right="0" w:firstLine="432"/>
              <w:jc w:val="left"/>
              <w:rPr/>
            </w:pPr>
            <w:r>
              <w:rPr/>
              <w:t> </w:t>
            </w:r>
          </w:p>
        </w:tc>
      </w:tr>
      <w:tr>
        <w:trPr/>
        <w:tc>
          <w:tcPr>
            <w:tcW w:w="3718" w:type="dxa"/>
            <w:tcBorders/>
            <w:shd w:fill="CCEEFF" w:val="clear"/>
            <w:tcMar>
              <w:top w:w="0" w:type="dxa"/>
              <w:left w:w="0" w:type="dxa"/>
              <w:bottom w:w="0" w:type="dxa"/>
              <w:right w:w="0" w:type="dxa"/>
            </w:tcMar>
            <w:vAlign w:val="center"/>
          </w:tcPr>
          <w:p>
            <w:pPr>
              <w:pStyle w:val="TableContents"/>
              <w:bidi w:val="0"/>
              <w:spacing w:before="0" w:after="283"/>
              <w:ind w:left="432" w:right="0" w:firstLine="432"/>
              <w:jc w:val="left"/>
              <w:rPr>
                <w:rFonts w:ascii="Times New Roman" w:hAnsi="Times New Roman"/>
                <w:color w:val="000000"/>
                <w:sz w:val="20"/>
              </w:rPr>
            </w:pPr>
            <w:r>
              <w:rPr>
                <w:rFonts w:ascii="Times New Roman" w:hAnsi="Times New Roman"/>
                <w:color w:val="000000"/>
                <w:sz w:val="20"/>
              </w:rPr>
              <w:t>Equity-based compensation expense</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1,019</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643</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976</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1,662</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1,844</w:t>
            </w:r>
          </w:p>
        </w:tc>
        <w:tc>
          <w:tcPr>
            <w:tcW w:w="625" w:type="dxa"/>
            <w:tcBorders/>
            <w:shd w:fill="CCEEFF" w:val="clear"/>
            <w:tcMar>
              <w:top w:w="0" w:type="dxa"/>
              <w:left w:w="0" w:type="dxa"/>
              <w:bottom w:w="0" w:type="dxa"/>
              <w:right w:w="0" w:type="dxa"/>
            </w:tcMar>
            <w:vAlign w:val="center"/>
          </w:tcPr>
          <w:p>
            <w:pPr>
              <w:pStyle w:val="TableContents"/>
              <w:bidi w:val="0"/>
              <w:spacing w:before="0" w:after="283"/>
              <w:ind w:left="0" w:right="0" w:firstLine="432"/>
              <w:jc w:val="left"/>
              <w:rPr/>
            </w:pPr>
            <w:r>
              <w:rPr/>
              <w:t> </w:t>
            </w:r>
          </w:p>
        </w:tc>
      </w:tr>
      <w:tr>
        <w:trPr/>
        <w:tc>
          <w:tcPr>
            <w:tcW w:w="3718" w:type="dxa"/>
            <w:tcBorders/>
            <w:tcMar>
              <w:top w:w="0" w:type="dxa"/>
              <w:left w:w="0" w:type="dxa"/>
              <w:bottom w:w="0" w:type="dxa"/>
              <w:right w:w="0" w:type="dxa"/>
            </w:tcMar>
            <w:vAlign w:val="center"/>
          </w:tcPr>
          <w:p>
            <w:pPr>
              <w:pStyle w:val="TableContents"/>
              <w:bidi w:val="0"/>
              <w:spacing w:before="0" w:after="283"/>
              <w:ind w:left="432" w:right="0" w:firstLine="432"/>
              <w:jc w:val="left"/>
              <w:rPr>
                <w:rFonts w:ascii="Times New Roman" w:hAnsi="Times New Roman"/>
                <w:color w:val="000000"/>
                <w:sz w:val="20"/>
              </w:rPr>
            </w:pPr>
            <w:r>
              <w:rPr>
                <w:rFonts w:ascii="Times New Roman" w:hAnsi="Times New Roman"/>
                <w:color w:val="000000"/>
                <w:sz w:val="20"/>
              </w:rPr>
              <w:t>Other charges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1,981</w:t>
            </w:r>
          </w:p>
        </w:tc>
        <w:tc>
          <w:tcPr>
            <w:tcW w:w="166"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39" w:type="dxa"/>
            <w:tcBorders>
              <w:bottom w:val="single" w:sz="4" w:space="0" w:color="000000"/>
            </w:tcBorders>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846</w:t>
            </w:r>
          </w:p>
        </w:tc>
        <w:tc>
          <w:tcPr>
            <w:tcW w:w="204" w:type="dxa"/>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1,981</w:t>
            </w:r>
          </w:p>
        </w:tc>
        <w:tc>
          <w:tcPr>
            <w:tcW w:w="166"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846</w:t>
            </w:r>
          </w:p>
        </w:tc>
        <w:tc>
          <w:tcPr>
            <w:tcW w:w="625"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3718"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Operating Loss– continuing operations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(6,976</w:t>
            </w:r>
          </w:p>
        </w:tc>
        <w:tc>
          <w:tcPr>
            <w:tcW w:w="16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9"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(6,527</w:t>
            </w:r>
          </w:p>
        </w:tc>
        <w:tc>
          <w:tcPr>
            <w:tcW w:w="16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(4,776</w:t>
            </w:r>
          </w:p>
        </w:tc>
        <w:tc>
          <w:tcPr>
            <w:tcW w:w="204"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(13,503</w:t>
            </w:r>
          </w:p>
        </w:tc>
        <w:tc>
          <w:tcPr>
            <w:tcW w:w="16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(9,186</w:t>
            </w:r>
          </w:p>
        </w:tc>
        <w:tc>
          <w:tcPr>
            <w:tcW w:w="625"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ind w:left="0" w:right="80" w:firstLine="720"/>
        <w:jc w:val="both"/>
        <w:rPr/>
      </w:pPr>
      <w:r>
        <w:rPr/>
        <w:t> </w:t>
      </w:r>
    </w:p>
    <w:p>
      <w:pPr>
        <w:pStyle w:val="TextBody"/>
        <w:bidi w:val="0"/>
        <w:ind w:left="0" w:right="80" w:firstLine="720"/>
        <w:jc w:val="both"/>
        <w:rPr>
          <w:rFonts w:ascii="Times New Roman" w:hAnsi="Times New Roman"/>
          <w:color w:val="000000"/>
          <w:sz w:val="18"/>
        </w:rPr>
      </w:pPr>
      <w:r>
        <w:rPr>
          <w:rFonts w:ascii="Times New Roman" w:hAnsi="Times New Roman"/>
          <w:color w:val="000000"/>
          <w:sz w:val="18"/>
        </w:rPr>
        <w:t>We present Adjusted Operating Loss from continuing operations as a supplemental measure of our performance. We define Adjusted Operating Loss from continuing operations for the periods indicated as operating loss from continuing operations adjusted to exclude (i) Equity-based compensation expense and (ii) Other charges.</w:t>
      </w:r>
    </w:p>
    <w:p>
      <w:pPr>
        <w:pStyle w:val="TextBody"/>
        <w:bidi w:val="0"/>
        <w:ind w:left="0" w:right="80" w:firstLine="720"/>
        <w:jc w:val="both"/>
        <w:rPr/>
      </w:pPr>
      <w:r>
        <w:rPr/>
        <w:t> </w:t>
      </w:r>
    </w:p>
    <w:p>
      <w:pPr>
        <w:pStyle w:val="TextBody"/>
        <w:bidi w:val="0"/>
        <w:ind w:left="0" w:right="80" w:firstLine="720"/>
        <w:jc w:val="both"/>
        <w:rPr>
          <w:rFonts w:ascii="Times New Roman" w:hAnsi="Times New Roman"/>
          <w:color w:val="000000"/>
          <w:sz w:val="18"/>
        </w:rPr>
      </w:pPr>
      <w:r>
        <w:rPr>
          <w:rFonts w:ascii="Times New Roman" w:hAnsi="Times New Roman"/>
          <w:color w:val="000000"/>
          <w:sz w:val="18"/>
        </w:rPr>
        <w:t>For the three and six months ended June 30, 2026, we recorded $1,981 thousand of other charges, consisting of a $1,095 thousand customer goodwill payment related to a certain product, and $886 thousand of one-time employee incentives. For the same period in 2025, we recorded $496 thousand of one-time employee incentives and $350 thousand of certain executive separation benefit related accruals.</w:t>
      </w:r>
    </w:p>
    <w:p>
      <w:pPr>
        <w:pStyle w:val="TextBody"/>
        <w:bidi w:val="0"/>
        <w:ind w:left="0" w:right="80" w:firstLine="720"/>
        <w:jc w:val="both"/>
        <w:rPr/>
      </w:pPr>
      <w:r>
        <w:rPr/>
        <w:t> </w:t>
      </w:r>
    </w:p>
    <w:p>
      <w:pPr>
        <w:pStyle w:val="TextBody"/>
        <w:bidi w:val="0"/>
        <w:ind w:left="0" w:right="80" w:firstLine="720"/>
        <w:jc w:val="both"/>
        <w:rPr/>
      </w:pPr>
      <w:r>
        <w:rPr/>
        <w:t> </w:t>
      </w:r>
    </w:p>
    <w:p>
      <w:pPr>
        <w:pStyle w:val="TextBody"/>
        <w:bidi w:val="0"/>
        <w:ind w:left="0" w:right="80" w:firstLine="72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drawing>
          <wp:inline distT="0" distB="0" distL="0" distR="0">
            <wp:extent cx="1476375" cy="2952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1476375" cy="295275"/>
                    </a:xfrm>
                    <a:prstGeom prst="rect">
                      <a:avLst/>
                    </a:prstGeom>
                  </pic:spPr>
                </pic:pic>
              </a:graphicData>
            </a:graphic>
          </wp:inline>
        </w:drawing>
      </w:r>
    </w:p>
    <w:p>
      <w:pPr>
        <w:pStyle w:val="TextBody"/>
        <w:bidi w:val="0"/>
        <w:ind w:left="0" w:right="20" w:hanging="0"/>
        <w:jc w:val="center"/>
        <w:rPr>
          <w:rFonts w:ascii="Times New Roman" w:hAnsi="Times New Roman"/>
          <w:b/>
          <w:color w:val="000000"/>
          <w:sz w:val="18"/>
        </w:rPr>
      </w:pPr>
      <w:r>
        <w:rPr>
          <w:rFonts w:ascii="Times New Roman" w:hAnsi="Times New Roman"/>
          <w:b/>
          <w:color w:val="000000"/>
          <w:sz w:val="18"/>
        </w:rPr>
        <w:t>MAGNACHIP SEMICONDUCTOR CORPORATION AND SUBSIDIARIES</w:t>
      </w:r>
    </w:p>
    <w:p>
      <w:pPr>
        <w:pStyle w:val="TextBody"/>
        <w:bidi w:val="0"/>
        <w:ind w:left="0" w:right="20" w:hanging="0"/>
        <w:jc w:val="center"/>
        <w:rPr>
          <w:rFonts w:ascii="Times New Roman" w:hAnsi="Times New Roman"/>
          <w:b/>
          <w:color w:val="000000"/>
          <w:sz w:val="18"/>
        </w:rPr>
      </w:pPr>
      <w:r>
        <w:rPr>
          <w:rFonts w:ascii="Times New Roman" w:hAnsi="Times New Roman"/>
          <w:b/>
          <w:color w:val="000000"/>
          <w:sz w:val="18"/>
        </w:rPr>
        <w:t>RECONCILIATION OF INCOME (LOSS) FROM CONTINUING OPERATIONS TO ADJUSTED EBITDA FROM CONTINUING OPERATIONS AND ADJUSTED LOSS FROM CONTINUING OPERATIONS</w:t>
      </w:r>
    </w:p>
    <w:p>
      <w:pPr>
        <w:pStyle w:val="TextBody"/>
        <w:bidi w:val="0"/>
        <w:ind w:left="0" w:right="20" w:hanging="0"/>
        <w:jc w:val="center"/>
        <w:rPr>
          <w:rFonts w:ascii="Times New Roman" w:hAnsi="Times New Roman"/>
          <w:b/>
          <w:color w:val="000000"/>
          <w:sz w:val="18"/>
        </w:rPr>
      </w:pPr>
      <w:r>
        <w:rPr>
          <w:rFonts w:ascii="Times New Roman" w:hAnsi="Times New Roman"/>
          <w:b/>
          <w:color w:val="000000"/>
          <w:sz w:val="18"/>
        </w:rPr>
        <w:t>(In thousands of U.S. dollars, except share data)</w:t>
      </w:r>
    </w:p>
    <w:p>
      <w:pPr>
        <w:pStyle w:val="TextBody"/>
        <w:bidi w:val="0"/>
        <w:ind w:left="0" w:right="20" w:hanging="0"/>
        <w:jc w:val="center"/>
        <w:rPr>
          <w:rFonts w:ascii="Times New Roman" w:hAnsi="Times New Roman"/>
          <w:b/>
          <w:color w:val="000000"/>
          <w:sz w:val="18"/>
        </w:rPr>
      </w:pPr>
      <w:r>
        <w:rPr>
          <w:rFonts w:ascii="Times New Roman" w:hAnsi="Times New Roman"/>
          <w:b/>
          <w:color w:val="000000"/>
          <w:sz w:val="18"/>
        </w:rPr>
        <w:t>(Unaudited)</w:t>
      </w:r>
    </w:p>
    <w:p>
      <w:pPr>
        <w:pStyle w:val="TextBody"/>
        <w:bidi w:val="0"/>
        <w:ind w:left="0" w:right="20" w:hanging="0"/>
        <w:jc w:val="left"/>
        <w:rPr/>
      </w:pPr>
      <w:r>
        <w:rPr/>
        <w:t> </w:t>
      </w:r>
    </w:p>
    <w:tbl>
      <w:tblPr>
        <w:tblW w:w="10205" w:type="dxa"/>
        <w:jc w:val="left"/>
        <w:tblInd w:w="0" w:type="dxa"/>
        <w:tblLayout w:type="fixed"/>
        <w:tblCellMar>
          <w:top w:w="28" w:type="dxa"/>
          <w:left w:w="28" w:type="dxa"/>
          <w:bottom w:w="28" w:type="dxa"/>
          <w:right w:w="28" w:type="dxa"/>
        </w:tblCellMar>
      </w:tblPr>
      <w:tblGrid>
        <w:gridCol w:w="2608"/>
        <w:gridCol w:w="146"/>
        <w:gridCol w:w="196"/>
        <w:gridCol w:w="916"/>
        <w:gridCol w:w="166"/>
        <w:gridCol w:w="146"/>
        <w:gridCol w:w="196"/>
        <w:gridCol w:w="916"/>
        <w:gridCol w:w="166"/>
        <w:gridCol w:w="146"/>
        <w:gridCol w:w="196"/>
        <w:gridCol w:w="916"/>
        <w:gridCol w:w="166"/>
        <w:gridCol w:w="146"/>
        <w:gridCol w:w="196"/>
        <w:gridCol w:w="916"/>
        <w:gridCol w:w="166"/>
        <w:gridCol w:w="146"/>
        <w:gridCol w:w="196"/>
        <w:gridCol w:w="916"/>
        <w:gridCol w:w="643"/>
      </w:tblGrid>
      <w:tr>
        <w:trPr/>
        <w:tc>
          <w:tcPr>
            <w:tcW w:w="260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r>
      <w:tr>
        <w:trPr/>
        <w:tc>
          <w:tcPr>
            <w:tcW w:w="260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3960" w:type="dxa"/>
            <w:gridSpan w:val="10"/>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3179" w:type="dxa"/>
            <w:gridSpan w:val="7"/>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r>
      <w:tr>
        <w:trPr/>
        <w:tc>
          <w:tcPr>
            <w:tcW w:w="260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278" w:type="dxa"/>
            <w:gridSpan w:val="3"/>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June 30,</w:t>
            </w:r>
            <w:r>
              <w:rPr>
                <w:rFonts w:ascii="Times New Roman" w:hAnsi="Times New Roman"/>
                <w:color w:val="000000"/>
                <w:sz w:val="16"/>
              </w:rPr>
              <w:br/>
            </w:r>
            <w:r>
              <w:rPr>
                <w:rFonts w:ascii="Times New Roman" w:hAnsi="Times New Roman"/>
                <w:b/>
                <w:color w:val="000000"/>
                <w:sz w:val="16"/>
              </w:rPr>
              <w:t>2026</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278" w:type="dxa"/>
            <w:gridSpan w:val="3"/>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March 31,</w:t>
            </w:r>
            <w:r>
              <w:rPr>
                <w:rFonts w:ascii="Times New Roman" w:hAnsi="Times New Roman"/>
                <w:color w:val="000000"/>
                <w:sz w:val="16"/>
              </w:rPr>
              <w:br/>
            </w:r>
            <w:r>
              <w:rPr>
                <w:rFonts w:ascii="Times New Roman" w:hAnsi="Times New Roman"/>
                <w:b/>
                <w:color w:val="000000"/>
                <w:sz w:val="16"/>
              </w:rPr>
              <w:t>2026</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278" w:type="dxa"/>
            <w:gridSpan w:val="3"/>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June 30,</w:t>
            </w:r>
            <w:r>
              <w:rPr>
                <w:rFonts w:ascii="Times New Roman" w:hAnsi="Times New Roman"/>
                <w:color w:val="000000"/>
                <w:sz w:val="16"/>
              </w:rPr>
              <w:br/>
            </w:r>
            <w:r>
              <w:rPr>
                <w:rFonts w:ascii="Times New Roman" w:hAnsi="Times New Roman"/>
                <w:b/>
                <w:color w:val="000000"/>
                <w:sz w:val="16"/>
              </w:rPr>
              <w:t>2025</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278" w:type="dxa"/>
            <w:gridSpan w:val="3"/>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June 30,</w:t>
            </w:r>
            <w:r>
              <w:rPr>
                <w:rFonts w:ascii="Times New Roman" w:hAnsi="Times New Roman"/>
                <w:color w:val="000000"/>
                <w:sz w:val="16"/>
              </w:rPr>
              <w:br/>
            </w:r>
            <w:r>
              <w:rPr>
                <w:rFonts w:ascii="Times New Roman" w:hAnsi="Times New Roman"/>
                <w:b/>
                <w:color w:val="000000"/>
                <w:sz w:val="16"/>
              </w:rPr>
              <w:t>2026</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755" w:type="dxa"/>
            <w:gridSpan w:val="3"/>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June 30,</w:t>
            </w:r>
            <w:r>
              <w:rPr>
                <w:rFonts w:ascii="Times New Roman" w:hAnsi="Times New Roman"/>
                <w:color w:val="000000"/>
                <w:sz w:val="16"/>
              </w:rPr>
              <w:br/>
            </w:r>
            <w:r>
              <w:rPr>
                <w:rFonts w:ascii="Times New Roman" w:hAnsi="Times New Roman"/>
                <w:b/>
                <w:color w:val="000000"/>
                <w:sz w:val="16"/>
              </w:rPr>
              <w:t>2025</w:t>
            </w:r>
            <w:r>
              <w:rPr>
                <w:rFonts w:ascii="Times New Roman" w:hAnsi="Times New Roman"/>
                <w:color w:val="000000"/>
                <w:sz w:val="16"/>
              </w:rPr>
              <w:t xml:space="preserve"> </w:t>
            </w:r>
          </w:p>
        </w:tc>
      </w:tr>
      <w:tr>
        <w:trPr/>
        <w:tc>
          <w:tcPr>
            <w:tcW w:w="2608"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Income (Loss) from continuing operations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(7,601</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(4,697</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9,203</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(12,298</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5,152</w:t>
            </w:r>
          </w:p>
        </w:tc>
        <w:tc>
          <w:tcPr>
            <w:tcW w:w="64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0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Adjustments:</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tcMar>
              <w:top w:w="0" w:type="dxa"/>
              <w:left w:w="0" w:type="dxa"/>
              <w:bottom w:w="0" w:type="dxa"/>
              <w:right w:w="0" w:type="dxa"/>
            </w:tcMar>
            <w:vAlign w:val="center"/>
          </w:tcPr>
          <w:p>
            <w:pPr>
              <w:pStyle w:val="TableContents"/>
              <w:bidi w:val="0"/>
              <w:spacing w:before="0" w:after="283"/>
              <w:jc w:val="right"/>
              <w:rPr/>
            </w:pPr>
            <w:r>
              <w:rPr/>
              <w:t> </w:t>
            </w:r>
          </w:p>
        </w:tc>
        <w:tc>
          <w:tcPr>
            <w:tcW w:w="643" w:type="dxa"/>
            <w:tcBorders/>
            <w:tcMar>
              <w:top w:w="0" w:type="dxa"/>
              <w:left w:w="0" w:type="dxa"/>
              <w:bottom w:w="0" w:type="dxa"/>
              <w:right w:w="0" w:type="dxa"/>
            </w:tcMar>
            <w:vAlign w:val="center"/>
          </w:tcPr>
          <w:p>
            <w:pPr>
              <w:pStyle w:val="TableContents"/>
              <w:bidi w:val="0"/>
              <w:spacing w:before="0" w:after="283"/>
              <w:ind w:left="0" w:right="0" w:firstLine="432"/>
              <w:jc w:val="left"/>
              <w:rPr/>
            </w:pPr>
            <w:r>
              <w:rPr/>
              <w:t> </w:t>
            </w:r>
          </w:p>
        </w:tc>
      </w:tr>
      <w:tr>
        <w:trPr/>
        <w:tc>
          <w:tcPr>
            <w:tcW w:w="2608" w:type="dxa"/>
            <w:tcBorders/>
            <w:shd w:fill="CCEEFF" w:val="clear"/>
            <w:tcMar>
              <w:top w:w="0" w:type="dxa"/>
              <w:left w:w="0" w:type="dxa"/>
              <w:bottom w:w="0" w:type="dxa"/>
              <w:right w:w="0" w:type="dxa"/>
            </w:tcMar>
            <w:vAlign w:val="center"/>
          </w:tcPr>
          <w:p>
            <w:pPr>
              <w:pStyle w:val="TableContents"/>
              <w:bidi w:val="0"/>
              <w:spacing w:before="0" w:after="283"/>
              <w:ind w:left="432" w:right="0" w:firstLine="432"/>
              <w:jc w:val="left"/>
              <w:rPr>
                <w:rFonts w:ascii="Times New Roman" w:hAnsi="Times New Roman"/>
                <w:color w:val="000000"/>
                <w:sz w:val="18"/>
              </w:rPr>
            </w:pPr>
            <w:r>
              <w:rPr>
                <w:rFonts w:ascii="Times New Roman" w:hAnsi="Times New Roman"/>
                <w:color w:val="000000"/>
                <w:sz w:val="18"/>
              </w:rPr>
              <w:t>Interest income</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(949)</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(1,063</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(1,322</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(2,012</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(2,862</w:t>
            </w:r>
          </w:p>
        </w:tc>
        <w:tc>
          <w:tcPr>
            <w:tcW w:w="643" w:type="dxa"/>
            <w:tcBorders/>
            <w:shd w:fill="CCEEFF" w:val="clear"/>
            <w:tcMar>
              <w:top w:w="0" w:type="dxa"/>
              <w:left w:w="0" w:type="dxa"/>
              <w:bottom w:w="0" w:type="dxa"/>
              <w:right w:w="0" w:type="dxa"/>
            </w:tcMar>
            <w:vAlign w:val="center"/>
          </w:tcPr>
          <w:p>
            <w:pPr>
              <w:pStyle w:val="TableContents"/>
              <w:bidi w:val="0"/>
              <w:spacing w:before="0" w:after="283"/>
              <w:ind w:left="0" w:right="0" w:firstLine="432"/>
              <w:jc w:val="left"/>
              <w:rPr>
                <w:rFonts w:ascii="Times New Roman" w:hAnsi="Times New Roman"/>
                <w:color w:val="000000"/>
                <w:sz w:val="18"/>
              </w:rPr>
            </w:pPr>
            <w:r>
              <w:rPr>
                <w:rFonts w:ascii="Times New Roman" w:hAnsi="Times New Roman"/>
                <w:color w:val="000000"/>
                <w:sz w:val="18"/>
              </w:rPr>
              <w:t>)</w:t>
            </w:r>
          </w:p>
        </w:tc>
      </w:tr>
      <w:tr>
        <w:trPr/>
        <w:tc>
          <w:tcPr>
            <w:tcW w:w="2608" w:type="dxa"/>
            <w:tcBorders/>
            <w:tcMar>
              <w:top w:w="0" w:type="dxa"/>
              <w:left w:w="0" w:type="dxa"/>
              <w:bottom w:w="0" w:type="dxa"/>
              <w:right w:w="0" w:type="dxa"/>
            </w:tcMar>
            <w:vAlign w:val="center"/>
          </w:tcPr>
          <w:p>
            <w:pPr>
              <w:pStyle w:val="TableContents"/>
              <w:bidi w:val="0"/>
              <w:spacing w:before="0" w:after="283"/>
              <w:ind w:left="432" w:right="0" w:firstLine="432"/>
              <w:jc w:val="left"/>
              <w:rPr>
                <w:rFonts w:ascii="Times New Roman" w:hAnsi="Times New Roman"/>
                <w:color w:val="000000"/>
                <w:sz w:val="18"/>
              </w:rPr>
            </w:pPr>
            <w:r>
              <w:rPr>
                <w:rFonts w:ascii="Times New Roman" w:hAnsi="Times New Roman"/>
                <w:color w:val="000000"/>
                <w:sz w:val="18"/>
              </w:rPr>
              <w:t>Interest expense</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320</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373</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373</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 xml:space="preserve">693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796</w:t>
            </w:r>
          </w:p>
        </w:tc>
        <w:tc>
          <w:tcPr>
            <w:tcW w:w="643" w:type="dxa"/>
            <w:tcBorders/>
            <w:tcMar>
              <w:top w:w="0" w:type="dxa"/>
              <w:left w:w="0" w:type="dxa"/>
              <w:bottom w:w="0" w:type="dxa"/>
              <w:right w:w="0" w:type="dxa"/>
            </w:tcMar>
            <w:vAlign w:val="center"/>
          </w:tcPr>
          <w:p>
            <w:pPr>
              <w:pStyle w:val="TableContents"/>
              <w:bidi w:val="0"/>
              <w:spacing w:before="0" w:after="283"/>
              <w:ind w:left="0" w:right="0" w:firstLine="432"/>
              <w:jc w:val="left"/>
              <w:rPr/>
            </w:pPr>
            <w:r>
              <w:rPr/>
              <w:t> </w:t>
            </w:r>
          </w:p>
        </w:tc>
      </w:tr>
      <w:tr>
        <w:trPr/>
        <w:tc>
          <w:tcPr>
            <w:tcW w:w="2608" w:type="dxa"/>
            <w:tcBorders/>
            <w:shd w:fill="CCEEFF" w:val="clear"/>
            <w:tcMar>
              <w:top w:w="0" w:type="dxa"/>
              <w:left w:w="0" w:type="dxa"/>
              <w:bottom w:w="0" w:type="dxa"/>
              <w:right w:w="0" w:type="dxa"/>
            </w:tcMar>
            <w:vAlign w:val="center"/>
          </w:tcPr>
          <w:p>
            <w:pPr>
              <w:pStyle w:val="TableContents"/>
              <w:bidi w:val="0"/>
              <w:spacing w:before="0" w:after="283"/>
              <w:ind w:left="432" w:right="0" w:firstLine="432"/>
              <w:jc w:val="left"/>
              <w:rPr>
                <w:rFonts w:ascii="Times New Roman" w:hAnsi="Times New Roman"/>
                <w:color w:val="000000"/>
                <w:sz w:val="18"/>
              </w:rPr>
            </w:pPr>
            <w:r>
              <w:rPr>
                <w:rFonts w:ascii="Times New Roman" w:hAnsi="Times New Roman"/>
                <w:color w:val="000000"/>
                <w:sz w:val="18"/>
              </w:rPr>
              <w:t>Income tax benefit, net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(1,986</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(1,908</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(4,138</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(3,894</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(4,539</w:t>
            </w:r>
          </w:p>
        </w:tc>
        <w:tc>
          <w:tcPr>
            <w:tcW w:w="643" w:type="dxa"/>
            <w:tcBorders/>
            <w:shd w:fill="CCEEFF" w:val="clear"/>
            <w:tcMar>
              <w:top w:w="0" w:type="dxa"/>
              <w:left w:w="0" w:type="dxa"/>
              <w:bottom w:w="0" w:type="dxa"/>
              <w:right w:w="0" w:type="dxa"/>
            </w:tcMar>
            <w:vAlign w:val="center"/>
          </w:tcPr>
          <w:p>
            <w:pPr>
              <w:pStyle w:val="TableContents"/>
              <w:bidi w:val="0"/>
              <w:spacing w:before="0" w:after="283"/>
              <w:ind w:left="0" w:right="0" w:firstLine="432"/>
              <w:jc w:val="left"/>
              <w:rPr>
                <w:rFonts w:ascii="Times New Roman" w:hAnsi="Times New Roman"/>
                <w:color w:val="000000"/>
                <w:sz w:val="18"/>
              </w:rPr>
            </w:pPr>
            <w:r>
              <w:rPr>
                <w:rFonts w:ascii="Times New Roman" w:hAnsi="Times New Roman"/>
                <w:color w:val="000000"/>
                <w:sz w:val="18"/>
              </w:rPr>
              <w:t>)</w:t>
            </w:r>
          </w:p>
        </w:tc>
      </w:tr>
      <w:tr>
        <w:trPr/>
        <w:tc>
          <w:tcPr>
            <w:tcW w:w="2608" w:type="dxa"/>
            <w:tcBorders/>
            <w:tcMar>
              <w:top w:w="0" w:type="dxa"/>
              <w:left w:w="0" w:type="dxa"/>
              <w:bottom w:w="0" w:type="dxa"/>
              <w:right w:w="0" w:type="dxa"/>
            </w:tcMar>
            <w:vAlign w:val="center"/>
          </w:tcPr>
          <w:p>
            <w:pPr>
              <w:pStyle w:val="TableContents"/>
              <w:bidi w:val="0"/>
              <w:spacing w:before="0" w:after="283"/>
              <w:ind w:left="432" w:right="0" w:firstLine="432"/>
              <w:jc w:val="left"/>
              <w:rPr>
                <w:rFonts w:ascii="Times New Roman" w:hAnsi="Times New Roman"/>
                <w:color w:val="000000"/>
                <w:sz w:val="18"/>
              </w:rPr>
            </w:pPr>
            <w:r>
              <w:rPr>
                <w:rFonts w:ascii="Times New Roman" w:hAnsi="Times New Roman"/>
                <w:color w:val="000000"/>
                <w:sz w:val="18"/>
              </w:rPr>
              <w:t>Depreciation and amortization</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2,750</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2,877</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3,237</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5,627</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6,357</w:t>
            </w:r>
          </w:p>
        </w:tc>
        <w:tc>
          <w:tcPr>
            <w:tcW w:w="643"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2608"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EBITDA – continuing operations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(7,466</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(4,418</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7,353</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(11,884</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4,904</w:t>
            </w:r>
          </w:p>
        </w:tc>
        <w:tc>
          <w:tcPr>
            <w:tcW w:w="643" w:type="dxa"/>
            <w:tcBorders/>
            <w:shd w:fill="CCEEFF" w:val="clear"/>
            <w:tcMar>
              <w:top w:w="0" w:type="dxa"/>
              <w:left w:w="0" w:type="dxa"/>
              <w:bottom w:w="0" w:type="dxa"/>
              <w:right w:w="0" w:type="dxa"/>
            </w:tcMar>
            <w:vAlign w:val="center"/>
          </w:tcPr>
          <w:p>
            <w:pPr>
              <w:pStyle w:val="TableContents"/>
              <w:bidi w:val="0"/>
              <w:spacing w:before="0" w:after="283"/>
              <w:ind w:left="0" w:right="0" w:firstLine="432"/>
              <w:jc w:val="left"/>
              <w:rPr/>
            </w:pPr>
            <w:r>
              <w:rPr/>
              <w:t> </w:t>
            </w:r>
          </w:p>
        </w:tc>
      </w:tr>
      <w:tr>
        <w:trPr/>
        <w:tc>
          <w:tcPr>
            <w:tcW w:w="2608" w:type="dxa"/>
            <w:tcBorders/>
            <w:tcMar>
              <w:top w:w="0" w:type="dxa"/>
              <w:left w:w="0" w:type="dxa"/>
              <w:bottom w:w="0" w:type="dxa"/>
              <w:right w:w="0" w:type="dxa"/>
            </w:tcMar>
            <w:vAlign w:val="center"/>
          </w:tcPr>
          <w:p>
            <w:pPr>
              <w:pStyle w:val="TableContents"/>
              <w:bidi w:val="0"/>
              <w:spacing w:before="0" w:after="283"/>
              <w:ind w:left="432" w:right="0" w:firstLine="432"/>
              <w:jc w:val="left"/>
              <w:rPr>
                <w:rFonts w:ascii="Times New Roman" w:hAnsi="Times New Roman"/>
                <w:color w:val="000000"/>
                <w:sz w:val="18"/>
              </w:rPr>
            </w:pPr>
            <w:r>
              <w:rPr>
                <w:rFonts w:ascii="Times New Roman" w:hAnsi="Times New Roman"/>
                <w:color w:val="000000"/>
                <w:sz w:val="18"/>
              </w:rPr>
              <w:t>Equity-based compensation expense</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1,019</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643</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976</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1,662</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1,844</w:t>
            </w:r>
          </w:p>
        </w:tc>
        <w:tc>
          <w:tcPr>
            <w:tcW w:w="643" w:type="dxa"/>
            <w:tcBorders/>
            <w:tcMar>
              <w:top w:w="0" w:type="dxa"/>
              <w:left w:w="0" w:type="dxa"/>
              <w:bottom w:w="0" w:type="dxa"/>
              <w:right w:w="0" w:type="dxa"/>
            </w:tcMar>
            <w:vAlign w:val="center"/>
          </w:tcPr>
          <w:p>
            <w:pPr>
              <w:pStyle w:val="TableContents"/>
              <w:bidi w:val="0"/>
              <w:spacing w:before="0" w:after="283"/>
              <w:ind w:left="0" w:right="0" w:firstLine="432"/>
              <w:jc w:val="left"/>
              <w:rPr/>
            </w:pPr>
            <w:r>
              <w:rPr/>
              <w:t> </w:t>
            </w:r>
          </w:p>
        </w:tc>
      </w:tr>
      <w:tr>
        <w:trPr/>
        <w:tc>
          <w:tcPr>
            <w:tcW w:w="2608" w:type="dxa"/>
            <w:tcBorders/>
            <w:shd w:fill="CCEEFF" w:val="clear"/>
            <w:tcMar>
              <w:top w:w="0" w:type="dxa"/>
              <w:left w:w="0" w:type="dxa"/>
              <w:bottom w:w="0" w:type="dxa"/>
              <w:right w:w="0" w:type="dxa"/>
            </w:tcMar>
            <w:vAlign w:val="center"/>
          </w:tcPr>
          <w:p>
            <w:pPr>
              <w:pStyle w:val="TableContents"/>
              <w:bidi w:val="0"/>
              <w:spacing w:before="0" w:after="283"/>
              <w:ind w:left="432" w:right="0" w:firstLine="432"/>
              <w:jc w:val="left"/>
              <w:rPr>
                <w:rFonts w:ascii="Times New Roman" w:hAnsi="Times New Roman"/>
                <w:color w:val="000000"/>
                <w:sz w:val="18"/>
              </w:rPr>
            </w:pPr>
            <w:r>
              <w:rPr>
                <w:rFonts w:ascii="Times New Roman" w:hAnsi="Times New Roman"/>
                <w:color w:val="000000"/>
                <w:sz w:val="18"/>
              </w:rPr>
              <w:t>Foreign currency loss (gain), net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526</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115</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(10,797</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641</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(10,392</w:t>
            </w:r>
          </w:p>
        </w:tc>
        <w:tc>
          <w:tcPr>
            <w:tcW w:w="643" w:type="dxa"/>
            <w:tcBorders/>
            <w:shd w:fill="CCEEFF" w:val="clear"/>
            <w:tcMar>
              <w:top w:w="0" w:type="dxa"/>
              <w:left w:w="0" w:type="dxa"/>
              <w:bottom w:w="0" w:type="dxa"/>
              <w:right w:w="0" w:type="dxa"/>
            </w:tcMar>
            <w:vAlign w:val="center"/>
          </w:tcPr>
          <w:p>
            <w:pPr>
              <w:pStyle w:val="TableContents"/>
              <w:bidi w:val="0"/>
              <w:spacing w:before="0" w:after="283"/>
              <w:ind w:left="0" w:right="0" w:firstLine="432"/>
              <w:jc w:val="left"/>
              <w:rPr>
                <w:rFonts w:ascii="Times New Roman" w:hAnsi="Times New Roman"/>
                <w:color w:val="000000"/>
                <w:sz w:val="18"/>
              </w:rPr>
            </w:pPr>
            <w:r>
              <w:rPr>
                <w:rFonts w:ascii="Times New Roman" w:hAnsi="Times New Roman"/>
                <w:color w:val="000000"/>
                <w:sz w:val="18"/>
              </w:rPr>
              <w:t>)</w:t>
            </w:r>
          </w:p>
        </w:tc>
      </w:tr>
      <w:tr>
        <w:trPr/>
        <w:tc>
          <w:tcPr>
            <w:tcW w:w="2608" w:type="dxa"/>
            <w:tcBorders/>
            <w:tcMar>
              <w:top w:w="0" w:type="dxa"/>
              <w:left w:w="0" w:type="dxa"/>
              <w:bottom w:w="0" w:type="dxa"/>
              <w:right w:w="0" w:type="dxa"/>
            </w:tcMar>
            <w:vAlign w:val="center"/>
          </w:tcPr>
          <w:p>
            <w:pPr>
              <w:pStyle w:val="TableContents"/>
              <w:bidi w:val="0"/>
              <w:spacing w:before="0" w:after="283"/>
              <w:ind w:left="432" w:right="0" w:firstLine="432"/>
              <w:jc w:val="left"/>
              <w:rPr>
                <w:rFonts w:ascii="Times New Roman" w:hAnsi="Times New Roman"/>
                <w:color w:val="000000"/>
                <w:sz w:val="18"/>
              </w:rPr>
            </w:pPr>
            <w:r>
              <w:rPr>
                <w:rFonts w:ascii="Times New Roman" w:hAnsi="Times New Roman"/>
                <w:color w:val="000000"/>
                <w:sz w:val="18"/>
              </w:rPr>
              <w:t>Derivative valuation loss (gain), net</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(279</w:t>
            </w:r>
          </w:p>
        </w:tc>
        <w:tc>
          <w:tcPr>
            <w:tcW w:w="1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(259</w:t>
            </w:r>
          </w:p>
        </w:tc>
        <w:tc>
          <w:tcPr>
            <w:tcW w:w="1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w:t>
            </w:r>
          </w:p>
        </w:tc>
        <w:tc>
          <w:tcPr>
            <w:tcW w:w="643" w:type="dxa"/>
            <w:tcBorders/>
            <w:tcMar>
              <w:top w:w="0" w:type="dxa"/>
              <w:left w:w="0" w:type="dxa"/>
              <w:bottom w:w="0" w:type="dxa"/>
              <w:right w:w="0" w:type="dxa"/>
            </w:tcMar>
            <w:vAlign w:val="center"/>
          </w:tcPr>
          <w:p>
            <w:pPr>
              <w:pStyle w:val="TableContents"/>
              <w:bidi w:val="0"/>
              <w:spacing w:before="0" w:after="283"/>
              <w:ind w:left="0" w:right="0" w:firstLine="432"/>
              <w:jc w:val="left"/>
              <w:rPr/>
            </w:pPr>
            <w:r>
              <w:rPr/>
              <w:t> </w:t>
            </w:r>
          </w:p>
        </w:tc>
      </w:tr>
      <w:tr>
        <w:trPr/>
        <w:tc>
          <w:tcPr>
            <w:tcW w:w="2608" w:type="dxa"/>
            <w:tcBorders/>
            <w:shd w:fill="CCEEFF" w:val="clear"/>
            <w:tcMar>
              <w:top w:w="0" w:type="dxa"/>
              <w:left w:w="0" w:type="dxa"/>
              <w:bottom w:w="0" w:type="dxa"/>
              <w:right w:w="0" w:type="dxa"/>
            </w:tcMar>
            <w:vAlign w:val="center"/>
          </w:tcPr>
          <w:p>
            <w:pPr>
              <w:pStyle w:val="TableContents"/>
              <w:bidi w:val="0"/>
              <w:spacing w:before="0" w:after="283"/>
              <w:ind w:left="432" w:right="0" w:firstLine="432"/>
              <w:jc w:val="left"/>
              <w:rPr>
                <w:rFonts w:ascii="Times New Roman" w:hAnsi="Times New Roman"/>
                <w:color w:val="000000"/>
                <w:sz w:val="18"/>
              </w:rPr>
            </w:pPr>
            <w:r>
              <w:rPr>
                <w:rFonts w:ascii="Times New Roman" w:hAnsi="Times New Roman"/>
                <w:color w:val="000000"/>
                <w:sz w:val="18"/>
              </w:rPr>
              <w:t>Other charges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1,981</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846</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1,981</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846</w:t>
            </w:r>
          </w:p>
        </w:tc>
        <w:tc>
          <w:tcPr>
            <w:tcW w:w="643"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r>
        <w:trPr/>
        <w:tc>
          <w:tcPr>
            <w:tcW w:w="260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Adjusted EBITDA – continuing operations</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bottom w:val="double" w:sz="6"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(4,219</w:t>
            </w:r>
          </w:p>
        </w:tc>
        <w:tc>
          <w:tcPr>
            <w:tcW w:w="166" w:type="dxa"/>
            <w:tcBorders>
              <w:bottom w:val="doub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bottom w:val="double" w:sz="6"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(3,640</w:t>
            </w:r>
          </w:p>
        </w:tc>
        <w:tc>
          <w:tcPr>
            <w:tcW w:w="166" w:type="dxa"/>
            <w:tcBorders>
              <w:bottom w:val="doub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bottom w:val="double" w:sz="6"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(1,542</w:t>
            </w:r>
          </w:p>
        </w:tc>
        <w:tc>
          <w:tcPr>
            <w:tcW w:w="166" w:type="dxa"/>
            <w:tcBorders>
              <w:bottom w:val="doub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bottom w:val="double" w:sz="6"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(7,859</w:t>
            </w:r>
          </w:p>
        </w:tc>
        <w:tc>
          <w:tcPr>
            <w:tcW w:w="166" w:type="dxa"/>
            <w:tcBorders>
              <w:bottom w:val="doub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bottom w:val="double" w:sz="6"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(2,747</w:t>
            </w:r>
          </w:p>
        </w:tc>
        <w:tc>
          <w:tcPr>
            <w:tcW w:w="643" w:type="dxa"/>
            <w:tcBorders>
              <w:bottom w:val="doub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608"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Income (Loss) from continuing operations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(7,601</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(4,697</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9,203</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(12,298</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5,152</w:t>
            </w:r>
          </w:p>
        </w:tc>
        <w:tc>
          <w:tcPr>
            <w:tcW w:w="64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0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Adjustments:</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tcMar>
              <w:top w:w="0" w:type="dxa"/>
              <w:left w:w="0" w:type="dxa"/>
              <w:bottom w:w="0" w:type="dxa"/>
              <w:right w:w="0" w:type="dxa"/>
            </w:tcMar>
            <w:vAlign w:val="center"/>
          </w:tcPr>
          <w:p>
            <w:pPr>
              <w:pStyle w:val="TableContents"/>
              <w:bidi w:val="0"/>
              <w:spacing w:before="0" w:after="283"/>
              <w:jc w:val="right"/>
              <w:rPr/>
            </w:pPr>
            <w:r>
              <w:rPr/>
              <w:t> </w:t>
            </w:r>
          </w:p>
        </w:tc>
        <w:tc>
          <w:tcPr>
            <w:tcW w:w="643" w:type="dxa"/>
            <w:tcBorders/>
            <w:tcMar>
              <w:top w:w="0" w:type="dxa"/>
              <w:left w:w="0" w:type="dxa"/>
              <w:bottom w:w="0" w:type="dxa"/>
              <w:right w:w="0" w:type="dxa"/>
            </w:tcMar>
            <w:vAlign w:val="center"/>
          </w:tcPr>
          <w:p>
            <w:pPr>
              <w:pStyle w:val="TableContents"/>
              <w:bidi w:val="0"/>
              <w:spacing w:before="0" w:after="283"/>
              <w:ind w:left="0" w:right="0" w:firstLine="432"/>
              <w:jc w:val="left"/>
              <w:rPr/>
            </w:pPr>
            <w:r>
              <w:rPr/>
              <w:t> </w:t>
            </w:r>
          </w:p>
        </w:tc>
      </w:tr>
      <w:tr>
        <w:trPr/>
        <w:tc>
          <w:tcPr>
            <w:tcW w:w="2608" w:type="dxa"/>
            <w:tcBorders/>
            <w:shd w:fill="CCEEFF" w:val="clear"/>
            <w:tcMar>
              <w:top w:w="0" w:type="dxa"/>
              <w:left w:w="0" w:type="dxa"/>
              <w:bottom w:w="0" w:type="dxa"/>
              <w:right w:w="0" w:type="dxa"/>
            </w:tcMar>
            <w:vAlign w:val="center"/>
          </w:tcPr>
          <w:p>
            <w:pPr>
              <w:pStyle w:val="TableContents"/>
              <w:bidi w:val="0"/>
              <w:spacing w:before="0" w:after="283"/>
              <w:ind w:left="432" w:right="0" w:firstLine="432"/>
              <w:jc w:val="left"/>
              <w:rPr>
                <w:rFonts w:ascii="Times New Roman" w:hAnsi="Times New Roman"/>
                <w:color w:val="000000"/>
                <w:sz w:val="18"/>
              </w:rPr>
            </w:pPr>
            <w:r>
              <w:rPr>
                <w:rFonts w:ascii="Times New Roman" w:hAnsi="Times New Roman"/>
                <w:color w:val="000000"/>
                <w:sz w:val="18"/>
              </w:rPr>
              <w:t>Equity-based compensation expense</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1,019</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643</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976</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1,662</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1,844</w:t>
            </w:r>
          </w:p>
        </w:tc>
        <w:tc>
          <w:tcPr>
            <w:tcW w:w="643" w:type="dxa"/>
            <w:tcBorders/>
            <w:shd w:fill="CCEEFF" w:val="clear"/>
            <w:tcMar>
              <w:top w:w="0" w:type="dxa"/>
              <w:left w:w="0" w:type="dxa"/>
              <w:bottom w:w="0" w:type="dxa"/>
              <w:right w:w="0" w:type="dxa"/>
            </w:tcMar>
            <w:vAlign w:val="center"/>
          </w:tcPr>
          <w:p>
            <w:pPr>
              <w:pStyle w:val="TableContents"/>
              <w:bidi w:val="0"/>
              <w:spacing w:before="0" w:after="283"/>
              <w:ind w:left="0" w:right="0" w:firstLine="432"/>
              <w:jc w:val="left"/>
              <w:rPr/>
            </w:pPr>
            <w:r>
              <w:rPr/>
              <w:t> </w:t>
            </w:r>
          </w:p>
        </w:tc>
      </w:tr>
      <w:tr>
        <w:trPr/>
        <w:tc>
          <w:tcPr>
            <w:tcW w:w="2608" w:type="dxa"/>
            <w:tcBorders/>
            <w:tcMar>
              <w:top w:w="0" w:type="dxa"/>
              <w:left w:w="0" w:type="dxa"/>
              <w:bottom w:w="0" w:type="dxa"/>
              <w:right w:w="0" w:type="dxa"/>
            </w:tcMar>
            <w:vAlign w:val="center"/>
          </w:tcPr>
          <w:p>
            <w:pPr>
              <w:pStyle w:val="TableContents"/>
              <w:bidi w:val="0"/>
              <w:spacing w:before="0" w:after="283"/>
              <w:ind w:left="432" w:right="0" w:firstLine="432"/>
              <w:jc w:val="left"/>
              <w:rPr>
                <w:rFonts w:ascii="Times New Roman" w:hAnsi="Times New Roman"/>
                <w:color w:val="000000"/>
                <w:sz w:val="18"/>
              </w:rPr>
            </w:pPr>
            <w:r>
              <w:rPr>
                <w:rFonts w:ascii="Times New Roman" w:hAnsi="Times New Roman"/>
                <w:color w:val="000000"/>
                <w:sz w:val="18"/>
              </w:rPr>
              <w:t>Foreign currency loss (gain), net</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526</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115</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(10,797</w:t>
            </w:r>
          </w:p>
        </w:tc>
        <w:tc>
          <w:tcPr>
            <w:tcW w:w="1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641</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(10,392</w:t>
            </w:r>
          </w:p>
        </w:tc>
        <w:tc>
          <w:tcPr>
            <w:tcW w:w="643" w:type="dxa"/>
            <w:tcBorders/>
            <w:tcMar>
              <w:top w:w="0" w:type="dxa"/>
              <w:left w:w="0" w:type="dxa"/>
              <w:bottom w:w="0" w:type="dxa"/>
              <w:right w:w="0" w:type="dxa"/>
            </w:tcMar>
            <w:vAlign w:val="center"/>
          </w:tcPr>
          <w:p>
            <w:pPr>
              <w:pStyle w:val="TableContents"/>
              <w:bidi w:val="0"/>
              <w:spacing w:before="0" w:after="283"/>
              <w:ind w:left="0" w:right="0" w:firstLine="432"/>
              <w:jc w:val="left"/>
              <w:rPr>
                <w:rFonts w:ascii="Times New Roman" w:hAnsi="Times New Roman"/>
                <w:color w:val="000000"/>
                <w:sz w:val="18"/>
              </w:rPr>
            </w:pPr>
            <w:r>
              <w:rPr>
                <w:rFonts w:ascii="Times New Roman" w:hAnsi="Times New Roman"/>
                <w:color w:val="000000"/>
                <w:sz w:val="18"/>
              </w:rPr>
              <w:t>)</w:t>
            </w:r>
          </w:p>
        </w:tc>
      </w:tr>
      <w:tr>
        <w:trPr/>
        <w:tc>
          <w:tcPr>
            <w:tcW w:w="2608" w:type="dxa"/>
            <w:tcBorders/>
            <w:shd w:fill="CCEEFF" w:val="clear"/>
            <w:tcMar>
              <w:top w:w="0" w:type="dxa"/>
              <w:left w:w="0" w:type="dxa"/>
              <w:bottom w:w="0" w:type="dxa"/>
              <w:right w:w="0" w:type="dxa"/>
            </w:tcMar>
            <w:vAlign w:val="center"/>
          </w:tcPr>
          <w:p>
            <w:pPr>
              <w:pStyle w:val="TableContents"/>
              <w:bidi w:val="0"/>
              <w:spacing w:before="0" w:after="283"/>
              <w:ind w:left="432" w:right="0" w:firstLine="432"/>
              <w:jc w:val="left"/>
              <w:rPr>
                <w:rFonts w:ascii="Times New Roman" w:hAnsi="Times New Roman"/>
                <w:color w:val="000000"/>
                <w:sz w:val="18"/>
              </w:rPr>
            </w:pPr>
            <w:r>
              <w:rPr>
                <w:rFonts w:ascii="Times New Roman" w:hAnsi="Times New Roman"/>
                <w:color w:val="000000"/>
                <w:sz w:val="18"/>
              </w:rPr>
              <w:t>Derivative valuation loss (gain), net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(279</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(259</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w:t>
            </w:r>
          </w:p>
        </w:tc>
        <w:tc>
          <w:tcPr>
            <w:tcW w:w="643" w:type="dxa"/>
            <w:tcBorders/>
            <w:shd w:fill="CCEEFF" w:val="clear"/>
            <w:tcMar>
              <w:top w:w="0" w:type="dxa"/>
              <w:left w:w="0" w:type="dxa"/>
              <w:bottom w:w="0" w:type="dxa"/>
              <w:right w:w="0" w:type="dxa"/>
            </w:tcMar>
            <w:vAlign w:val="center"/>
          </w:tcPr>
          <w:p>
            <w:pPr>
              <w:pStyle w:val="TableContents"/>
              <w:bidi w:val="0"/>
              <w:spacing w:before="0" w:after="283"/>
              <w:ind w:left="0" w:right="0" w:firstLine="432"/>
              <w:jc w:val="left"/>
              <w:rPr/>
            </w:pPr>
            <w:r>
              <w:rPr/>
              <w:t> </w:t>
            </w:r>
          </w:p>
        </w:tc>
      </w:tr>
      <w:tr>
        <w:trPr/>
        <w:tc>
          <w:tcPr>
            <w:tcW w:w="2608" w:type="dxa"/>
            <w:tcBorders/>
            <w:tcMar>
              <w:top w:w="0" w:type="dxa"/>
              <w:left w:w="0" w:type="dxa"/>
              <w:bottom w:w="0" w:type="dxa"/>
              <w:right w:w="0" w:type="dxa"/>
            </w:tcMar>
            <w:vAlign w:val="center"/>
          </w:tcPr>
          <w:p>
            <w:pPr>
              <w:pStyle w:val="TableContents"/>
              <w:bidi w:val="0"/>
              <w:spacing w:before="0" w:after="283"/>
              <w:ind w:left="432" w:right="0" w:firstLine="432"/>
              <w:jc w:val="left"/>
              <w:rPr>
                <w:rFonts w:ascii="Times New Roman" w:hAnsi="Times New Roman"/>
                <w:color w:val="000000"/>
                <w:sz w:val="18"/>
              </w:rPr>
            </w:pPr>
            <w:r>
              <w:rPr>
                <w:rFonts w:ascii="Times New Roman" w:hAnsi="Times New Roman"/>
                <w:color w:val="000000"/>
                <w:sz w:val="18"/>
              </w:rPr>
              <w:t>Other charges</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1,981</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846</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1,981</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846</w:t>
            </w:r>
          </w:p>
        </w:tc>
        <w:tc>
          <w:tcPr>
            <w:tcW w:w="643" w:type="dxa"/>
            <w:tcBorders/>
            <w:tcMar>
              <w:top w:w="0" w:type="dxa"/>
              <w:left w:w="0" w:type="dxa"/>
              <w:bottom w:w="0" w:type="dxa"/>
              <w:right w:w="0" w:type="dxa"/>
            </w:tcMar>
            <w:vAlign w:val="center"/>
          </w:tcPr>
          <w:p>
            <w:pPr>
              <w:pStyle w:val="TableContents"/>
              <w:bidi w:val="0"/>
              <w:spacing w:before="0" w:after="283"/>
              <w:ind w:left="0" w:right="0" w:firstLine="432"/>
              <w:jc w:val="left"/>
              <w:rPr/>
            </w:pPr>
            <w:r>
              <w:rPr/>
              <w:t> </w:t>
            </w:r>
          </w:p>
        </w:tc>
      </w:tr>
      <w:tr>
        <w:trPr/>
        <w:tc>
          <w:tcPr>
            <w:tcW w:w="2608" w:type="dxa"/>
            <w:tcBorders/>
            <w:shd w:fill="CCEEFF" w:val="clear"/>
            <w:tcMar>
              <w:top w:w="0" w:type="dxa"/>
              <w:left w:w="0" w:type="dxa"/>
              <w:bottom w:w="0" w:type="dxa"/>
              <w:right w:w="0" w:type="dxa"/>
            </w:tcMar>
            <w:vAlign w:val="center"/>
          </w:tcPr>
          <w:p>
            <w:pPr>
              <w:pStyle w:val="TableContents"/>
              <w:bidi w:val="0"/>
              <w:spacing w:before="0" w:after="283"/>
              <w:ind w:left="432" w:right="0" w:firstLine="432"/>
              <w:jc w:val="left"/>
              <w:rPr>
                <w:rFonts w:ascii="Times New Roman" w:hAnsi="Times New Roman"/>
                <w:color w:val="000000"/>
                <w:sz w:val="18"/>
              </w:rPr>
            </w:pPr>
            <w:r>
              <w:rPr>
                <w:rFonts w:ascii="Times New Roman" w:hAnsi="Times New Roman"/>
                <w:color w:val="000000"/>
                <w:sz w:val="18"/>
              </w:rPr>
              <w:t>Income tax effect on non-GAAP adjustments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(547</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(154</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(2,286</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(701</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(2,263</w:t>
            </w:r>
          </w:p>
        </w:tc>
        <w:tc>
          <w:tcPr>
            <w:tcW w:w="643"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60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Adjusted Loss – continuing operations</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bottom w:val="double" w:sz="6"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(4,901</w:t>
            </w:r>
          </w:p>
        </w:tc>
        <w:tc>
          <w:tcPr>
            <w:tcW w:w="166" w:type="dxa"/>
            <w:tcBorders>
              <w:bottom w:val="doub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bottom w:val="double" w:sz="6"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(4,073</w:t>
            </w:r>
          </w:p>
        </w:tc>
        <w:tc>
          <w:tcPr>
            <w:tcW w:w="166" w:type="dxa"/>
            <w:tcBorders>
              <w:bottom w:val="doub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bottom w:val="double" w:sz="6"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(1,978</w:t>
            </w:r>
          </w:p>
        </w:tc>
        <w:tc>
          <w:tcPr>
            <w:tcW w:w="166" w:type="dxa"/>
            <w:tcBorders>
              <w:bottom w:val="doub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bottom w:val="double" w:sz="6"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(8,974</w:t>
            </w:r>
          </w:p>
        </w:tc>
        <w:tc>
          <w:tcPr>
            <w:tcW w:w="166" w:type="dxa"/>
            <w:tcBorders>
              <w:bottom w:val="doub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bottom w:val="double" w:sz="6"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(4,762</w:t>
            </w:r>
          </w:p>
        </w:tc>
        <w:tc>
          <w:tcPr>
            <w:tcW w:w="643" w:type="dxa"/>
            <w:tcBorders>
              <w:bottom w:val="doub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608"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Adjusted Loss – continuing operations per common share—</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643" w:type="dxa"/>
            <w:tcBorders/>
            <w:shd w:fill="CCEEFF" w:val="clear"/>
            <w:tcMar>
              <w:top w:w="0" w:type="dxa"/>
              <w:left w:w="0" w:type="dxa"/>
              <w:bottom w:w="0" w:type="dxa"/>
              <w:right w:w="0" w:type="dxa"/>
            </w:tcMar>
            <w:vAlign w:val="center"/>
          </w:tcPr>
          <w:p>
            <w:pPr>
              <w:pStyle w:val="TableContents"/>
              <w:bidi w:val="0"/>
              <w:spacing w:before="0" w:after="283"/>
              <w:ind w:left="0" w:right="0" w:firstLine="432"/>
              <w:jc w:val="left"/>
              <w:rPr/>
            </w:pPr>
            <w:r>
              <w:rPr/>
              <w:t> </w:t>
            </w:r>
          </w:p>
        </w:tc>
      </w:tr>
      <w:tr>
        <w:trPr/>
        <w:tc>
          <w:tcPr>
            <w:tcW w:w="2608" w:type="dxa"/>
            <w:tcBorders/>
            <w:tcMar>
              <w:top w:w="0" w:type="dxa"/>
              <w:left w:w="0" w:type="dxa"/>
              <w:bottom w:w="0" w:type="dxa"/>
              <w:right w:w="0" w:type="dxa"/>
            </w:tcMar>
            <w:vAlign w:val="center"/>
          </w:tcPr>
          <w:p>
            <w:pPr>
              <w:pStyle w:val="TableContents"/>
              <w:bidi w:val="0"/>
              <w:spacing w:before="0" w:after="283"/>
              <w:ind w:left="432" w:right="0" w:firstLine="432"/>
              <w:jc w:val="left"/>
              <w:rPr>
                <w:rFonts w:ascii="Times New Roman" w:hAnsi="Times New Roman"/>
                <w:color w:val="000000"/>
                <w:sz w:val="18"/>
              </w:rPr>
            </w:pPr>
            <w:r>
              <w:rPr>
                <w:rFonts w:ascii="Times New Roman" w:hAnsi="Times New Roman"/>
                <w:color w:val="000000"/>
                <w:sz w:val="18"/>
              </w:rPr>
              <w:t>- Basic</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(0.13</w:t>
            </w:r>
          </w:p>
        </w:tc>
        <w:tc>
          <w:tcPr>
            <w:tcW w:w="1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(0.11</w:t>
            </w:r>
          </w:p>
        </w:tc>
        <w:tc>
          <w:tcPr>
            <w:tcW w:w="1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(0.05</w:t>
            </w:r>
          </w:p>
        </w:tc>
        <w:tc>
          <w:tcPr>
            <w:tcW w:w="1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(0.25</w:t>
            </w:r>
          </w:p>
        </w:tc>
        <w:tc>
          <w:tcPr>
            <w:tcW w:w="1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(0.13</w:t>
            </w:r>
          </w:p>
        </w:tc>
        <w:tc>
          <w:tcPr>
            <w:tcW w:w="643" w:type="dxa"/>
            <w:tcBorders/>
            <w:tcMar>
              <w:top w:w="0" w:type="dxa"/>
              <w:left w:w="0" w:type="dxa"/>
              <w:bottom w:w="0" w:type="dxa"/>
              <w:right w:w="0" w:type="dxa"/>
            </w:tcMar>
            <w:vAlign w:val="center"/>
          </w:tcPr>
          <w:p>
            <w:pPr>
              <w:pStyle w:val="TableContents"/>
              <w:bidi w:val="0"/>
              <w:spacing w:before="0" w:after="283"/>
              <w:ind w:left="0" w:right="0" w:firstLine="432"/>
              <w:jc w:val="left"/>
              <w:rPr>
                <w:rFonts w:ascii="Times New Roman" w:hAnsi="Times New Roman"/>
                <w:color w:val="000000"/>
                <w:sz w:val="18"/>
              </w:rPr>
            </w:pPr>
            <w:r>
              <w:rPr>
                <w:rFonts w:ascii="Times New Roman" w:hAnsi="Times New Roman"/>
                <w:color w:val="000000"/>
                <w:sz w:val="18"/>
              </w:rPr>
              <w:t>)</w:t>
            </w:r>
          </w:p>
        </w:tc>
      </w:tr>
      <w:tr>
        <w:trPr/>
        <w:tc>
          <w:tcPr>
            <w:tcW w:w="2608" w:type="dxa"/>
            <w:tcBorders/>
            <w:shd w:fill="CCEEFF" w:val="clear"/>
            <w:tcMar>
              <w:top w:w="0" w:type="dxa"/>
              <w:left w:w="0" w:type="dxa"/>
              <w:bottom w:w="0" w:type="dxa"/>
              <w:right w:w="0" w:type="dxa"/>
            </w:tcMar>
            <w:vAlign w:val="center"/>
          </w:tcPr>
          <w:p>
            <w:pPr>
              <w:pStyle w:val="TableContents"/>
              <w:bidi w:val="0"/>
              <w:spacing w:before="0" w:after="283"/>
              <w:ind w:left="432" w:right="0" w:firstLine="432"/>
              <w:jc w:val="left"/>
              <w:rPr>
                <w:rFonts w:ascii="Times New Roman" w:hAnsi="Times New Roman"/>
                <w:color w:val="000000"/>
                <w:sz w:val="18"/>
              </w:rPr>
            </w:pPr>
            <w:r>
              <w:rPr>
                <w:rFonts w:ascii="Times New Roman" w:hAnsi="Times New Roman"/>
                <w:color w:val="000000"/>
                <w:sz w:val="18"/>
              </w:rPr>
              <w:t>- Diluted</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(0.13</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(0.11</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(0.05</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(0.25</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(0.13</w:t>
            </w:r>
          </w:p>
        </w:tc>
        <w:tc>
          <w:tcPr>
            <w:tcW w:w="643"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60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Weighted average number of shares – basic</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36,454,812</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36,407,581</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36,083,703</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36,431,327</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36,483,551</w:t>
            </w:r>
          </w:p>
        </w:tc>
        <w:tc>
          <w:tcPr>
            <w:tcW w:w="64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608"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Weighted average number of shares – diluted</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36,454,812</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36,407,581</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36,083,703</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36,431,327</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36,483,551</w:t>
            </w:r>
          </w:p>
        </w:tc>
        <w:tc>
          <w:tcPr>
            <w:tcW w:w="64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ind w:left="0" w:right="80" w:firstLine="720"/>
        <w:jc w:val="both"/>
        <w:rPr>
          <w:rFonts w:ascii="Times New Roman" w:hAnsi="Times New Roman"/>
          <w:color w:val="000000"/>
          <w:sz w:val="18"/>
        </w:rPr>
      </w:pPr>
      <w:r>
        <w:rPr>
          <w:rFonts w:ascii="Times New Roman" w:hAnsi="Times New Roman"/>
          <w:color w:val="000000"/>
          <w:sz w:val="18"/>
        </w:rPr>
        <w:t>We present Adjusted EBITDA from continuing operations and Adjusted Loss from continuing operations as supplemental measures of our performance. We define Adjusted EBITDA from continuing operations for the periods indicated as EBITDA – continuing operations (as defined below), adjusted to exclude (i) Equity-based compensation expense, (ii) Foreign currency loss (gain), net, (iii) Derivative valuation loss (gain), net and (iv) Other charges. EBITDA – continuing operations for the periods indicated is defined as income (loss) from continuing operations before interest income, interest expense, income tax benefit, net and depreciation and amortization.</w:t>
      </w:r>
    </w:p>
    <w:p>
      <w:pPr>
        <w:pStyle w:val="TextBody"/>
        <w:bidi w:val="0"/>
        <w:ind w:left="0" w:right="80" w:firstLine="720"/>
        <w:jc w:val="both"/>
        <w:rPr/>
      </w:pPr>
      <w:r>
        <w:rPr/>
        <w:t> </w:t>
      </w:r>
    </w:p>
    <w:p>
      <w:pPr>
        <w:pStyle w:val="TextBody"/>
        <w:bidi w:val="0"/>
        <w:ind w:left="0" w:right="80" w:firstLine="720"/>
        <w:jc w:val="both"/>
        <w:rPr>
          <w:rFonts w:ascii="Times New Roman" w:hAnsi="Times New Roman"/>
          <w:sz w:val="20"/>
        </w:rPr>
      </w:pPr>
      <w:r>
        <w:rPr>
          <w:rFonts w:ascii="Times New Roman" w:hAnsi="Times New Roman"/>
          <w:color w:val="000000"/>
          <w:sz w:val="18"/>
        </w:rPr>
        <w:t>We prepare Adjusted Loss from continuing operations by adjusting income (loss) from continuing operations to eliminate the impact of a number of non-cash expenses and other items that may be either one time or recurring that we do not consider to be indicative of our core ongoing operating performance. We believe that Adjusted Loss from continuing operations is particularly useful because it reflects the impact of our asset base and capital structure on our operating performance. We define Adjusted Loss from continuing operations for the periods as net loss, adjusted to exclude (i) Equity-based compensation expense, (ii) Foreign currency loss (gain), net, (iii) Derivative valuation loss (gain), net, (iv) Other charges and (v) Income tax effect on non-GAAP adjustments.</w:t>
      </w:r>
      <w:r>
        <w:rPr>
          <w:rFonts w:ascii="Times New Roman" w:hAnsi="Times New Roman"/>
          <w:color w:val="000000"/>
          <w:sz w:val="20"/>
        </w:rPr>
        <w:t xml:space="preserve"> </w:t>
      </w:r>
    </w:p>
    <w:p>
      <w:pPr>
        <w:pStyle w:val="TextBody"/>
        <w:bidi w:val="0"/>
        <w:ind w:left="0" w:right="80" w:firstLine="720"/>
        <w:jc w:val="both"/>
        <w:rPr/>
      </w:pPr>
      <w:r>
        <w:rPr/>
        <w:t> </w:t>
      </w:r>
    </w:p>
    <w:p>
      <w:pPr>
        <w:pStyle w:val="TextBody"/>
        <w:bidi w:val="0"/>
        <w:ind w:left="0" w:right="80" w:firstLine="720"/>
        <w:jc w:val="both"/>
        <w:rPr>
          <w:rFonts w:ascii="Times New Roman" w:hAnsi="Times New Roman"/>
          <w:color w:val="000000"/>
          <w:sz w:val="18"/>
        </w:rPr>
      </w:pPr>
      <w:r>
        <w:rPr>
          <w:rFonts w:ascii="Times New Roman" w:hAnsi="Times New Roman"/>
          <w:color w:val="000000"/>
          <w:sz w:val="18"/>
        </w:rPr>
        <w:t>For the three and six months ended June 30, 2026, we recorded $1,981 thousand of other charges, consisting of a $1,095 thousand customer goodwill payment related to a certain product, and $886 thousand of one-time employee incentives. For the same period in 2025, we recorded $496 thousand of one-time employee incentives and $350 thousand of certain executive separation benefit related accruals.</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image" Target="media/image2.gif"/><Relationship Id="rId4" Type="http://schemas.openxmlformats.org/officeDocument/2006/relationships/image" Target="media/image2.gif"/><Relationship Id="rId5" Type="http://schemas.openxmlformats.org/officeDocument/2006/relationships/image" Target="media/image2.gif"/><Relationship Id="rId6" Type="http://schemas.openxmlformats.org/officeDocument/2006/relationships/image" Target="media/image2.gif"/><Relationship Id="rId7" Type="http://schemas.openxmlformats.org/officeDocument/2006/relationships/image" Target="media/image2.gif"/><Relationship Id="rId8" Type="http://schemas.openxmlformats.org/officeDocument/2006/relationships/image" Target="media/image2.gif"/><Relationship Id="rId9" Type="http://schemas.openxmlformats.org/officeDocument/2006/relationships/image" Target="media/image2.gif"/><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3590</Words>
  <Characters>19670</Characters>
  <CharactersWithSpaces>23871</CharactersWithSpaces>
  <Paragraphs>2906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