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39"/>
          <w:szCs w:val="39"/>
          <w:b w:val="1"/>
          <w:bCs w:val="1"/>
          <w:color w:val="auto"/>
        </w:rPr>
        <w:t>Magnachip Semiconductor Corporation</w:t>
      </w:r>
    </w:p>
    <w:p>
      <w:pPr>
        <w:spacing w:after="0" w:line="9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left="444" w:right="1920"/>
        <w:spacing w:after="0" w:line="262" w:lineRule="auto"/>
        <w:rPr>
          <w:sz w:val="20"/>
          <w:szCs w:val="20"/>
          <w:color w:val="auto"/>
        </w:rPr>
      </w:pPr>
      <w:r>
        <w:rPr>
          <w:rFonts w:ascii="Arial" w:cs="Arial" w:eastAsia="Arial" w:hAnsi="Arial"/>
          <w:sz w:val="18"/>
          <w:szCs w:val="18"/>
          <w:b w:val="1"/>
          <w:bCs w:val="1"/>
          <w:color w:val="auto"/>
        </w:rPr>
        <w:t>c/o Magnachip Semiconductor, Ltd. 15F, 76 Jikji-daero 436beon-gil, Heungdeok-gu Cheongju-si, Chungcheongbuk-do, 28581, Republic of Korea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Not Applicable</w:t>
      </w:r>
    </w:p>
    <w:p>
      <w:pPr>
        <w:spacing w:after="0" w:line="50" w:lineRule="exact"/>
        <w:rPr>
          <w:sz w:val="24"/>
          <w:szCs w:val="24"/>
          <w:color w:val="auto"/>
        </w:rPr>
      </w:pPr>
    </w:p>
    <w:p>
      <w:pPr>
        <w:sectPr>
          <w:pgSz w:w="11900" w:h="16838" w:orient="portrait"/>
          <w:cols w:equalWidth="0" w:num="2">
            <w:col w:w="7044" w:space="720"/>
            <w:col w:w="326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0"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Symbol</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MX</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4"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40" w:hanging="4"/>
        <w:spacing w:after="0" w:line="275" w:lineRule="auto"/>
        <w:tabs>
          <w:tab w:leader="none" w:pos="249"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May 18, 2023, at the 2023 Annual Meeting of Stockholders (the “Annual Meeting”) of Magnachip Semiconductor Corporation (the “Company”), the stockholders of the Company approved the Company’s Amended and Restated 2020 Equity and Incentive Compensation Plan (the “Plan”) that provides for an increase of 1,990,000 shares of the Company’s common stock authorized for issuance thereunder. The Company’s executive officers are eligible to participate in the Plan. On April 14, 2023, upon the recommendation of the Compensation Committee, the Company’s Board of Directors amended and restated the Plan, subject to the approval of the Company’s stockholders at the Annual Meeting.</w:t>
      </w:r>
    </w:p>
    <w:p>
      <w:pPr>
        <w:spacing w:after="0" w:line="176"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A summary of the material terms of the Plan is set forth under the caption “Proposal Four: Approval of our Amended and Restated 2020 Equity and Incentive Compensation Plan” in the Company’s Definitive Proxy Statement on Schedule 14A filed with the Securities and Exchange Commission on April 17, 2023. That summary and the above description of the Plan do not purport to be complete and are qualified in their entirety by reference to the Plan, which is filed as Exhibit 10.1 to this Current Report on Form 8-K and is incorporated herein by reference.</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Exhibit</w:t>
            </w:r>
          </w:p>
        </w:tc>
        <w:tc>
          <w:tcPr>
            <w:tcW w:w="5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No.</w:t>
            </w:r>
          </w:p>
        </w:tc>
        <w:tc>
          <w:tcPr>
            <w:tcW w:w="10140" w:type="dxa"/>
            <w:vAlign w:val="bottom"/>
            <w:gridSpan w:val="3"/>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51"/>
        </w:trPr>
        <w:tc>
          <w:tcPr>
            <w:tcW w:w="340" w:type="dxa"/>
            <w:vAlign w:val="bottom"/>
            <w:gridSpan w:val="2"/>
          </w:tcPr>
          <w:p>
            <w:pPr>
              <w:spacing w:after="0"/>
              <w:rPr>
                <w:sz w:val="20"/>
                <w:szCs w:val="20"/>
                <w:color w:val="auto"/>
              </w:rPr>
            </w:pPr>
            <w:r>
              <w:rPr>
                <w:rFonts w:ascii="Arial" w:cs="Arial" w:eastAsia="Arial" w:hAnsi="Arial"/>
                <w:sz w:val="18"/>
                <w:szCs w:val="18"/>
                <w:color w:val="auto"/>
                <w:w w:val="91"/>
              </w:rPr>
              <w:t>10.1</w:t>
            </w:r>
          </w:p>
        </w:tc>
        <w:tc>
          <w:tcPr>
            <w:tcW w:w="540" w:type="dxa"/>
            <w:vAlign w:val="bottom"/>
          </w:tcPr>
          <w:p>
            <w:pPr>
              <w:spacing w:after="0"/>
              <w:rPr>
                <w:sz w:val="21"/>
                <w:szCs w:val="21"/>
                <w:color w:val="auto"/>
              </w:rPr>
            </w:pPr>
          </w:p>
        </w:tc>
        <w:tc>
          <w:tcPr>
            <w:tcW w:w="9860" w:type="dxa"/>
            <w:vAlign w:val="bottom"/>
            <w:tcBorders>
              <w:bottom w:val="single" w:sz="8" w:color="0000EE"/>
            </w:tcBorders>
            <w:gridSpan w:val="2"/>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Amended and Restated 2020 Equity and Incentive Compensation Plan (Incorporated by reference to Appendix A to our Definitive Proxy</w:t>
              </w:r>
            </w:hyperlink>
          </w:p>
        </w:tc>
        <w:tc>
          <w:tcPr>
            <w:tcW w:w="28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34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Statement on Schedule 14A filed with the Commission on April 17, 2023)</w:t>
              </w:r>
            </w:hyperlink>
          </w:p>
        </w:tc>
        <w:tc>
          <w:tcPr>
            <w:tcW w:w="4800" w:type="dxa"/>
            <w:vAlign w:val="bottom"/>
            <w:gridSpan w:val="2"/>
          </w:tcPr>
          <w:p>
            <w:pPr>
              <w:spacing w:after="0"/>
              <w:rPr>
                <w:sz w:val="17"/>
                <w:szCs w:val="17"/>
                <w:color w:val="auto"/>
              </w:rPr>
            </w:pPr>
          </w:p>
        </w:tc>
      </w:tr>
      <w:tr>
        <w:trPr>
          <w:trHeight w:val="345"/>
        </w:trPr>
        <w:tc>
          <w:tcPr>
            <w:tcW w:w="340" w:type="dxa"/>
            <w:vAlign w:val="bottom"/>
            <w:gridSpan w:val="2"/>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4"/>
          </w:cols>
          <w:pgMar w:left="436" w:top="513"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June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Compliance Officer, General Counsel and Secretary</w:t>
      </w:r>
    </w:p>
    <w:sectPr>
      <w:pgSz w:w="11900" w:h="16838" w:orient="portrait"/>
      <w:cols w:equalWidth="0" w:num="1">
        <w:col w:w="10700"/>
      </w:cols>
      <w:pgMar w:left="440" w:top="51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8" Type="http://schemas.openxmlformats.org/officeDocument/2006/relationships/hyperlink" Target="http://www.sec.gov/ix?doc=/Archives/edgar/data/0001325702/000114036123018669/ny20007211x2_def14a.htm#tAPP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2023-06-23T16:03:49Z</dcterms:created>
  <dcterms:modified xsi:type="dcterms:W3CDTF">2023-06-23T16:03:49Z</dcterms:modified>
</cp:coreProperties>
</file>