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80" w:after="283"/>
        <w:jc w:val="center"/>
        <w:rPr>
          <w:rFonts w:ascii="Times New Roman" w:hAnsi="Times New Roman"/>
          <w:sz w:val="20"/>
        </w:rPr>
      </w:pPr>
      <w:bookmarkStart w:id="0" w:name="mx-20260304.htm"/>
      <w:bookmarkStart w:id="1" w:name="ksmx20260304"/>
      <w:bookmarkEnd w:id="0"/>
      <w:bookmarkEnd w:id="1"/>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Date of report (Date of earliest event reported): March 4, 2026</w:t>
      </w:r>
    </w:p>
    <w:p>
      <w:pPr>
        <w:pStyle w:val="TextBody"/>
        <w:bidi w:val="0"/>
        <w:spacing w:before="240" w:after="283"/>
        <w:ind w:left="4320" w:right="4320" w:hanging="0"/>
        <w:jc w:val="center"/>
        <w:rPr>
          <w:rFonts w:ascii="Times New Roman" w:hAnsi="Times New Roman"/>
          <w:sz w:val="20"/>
        </w:rPr>
      </w:pPr>
      <w:r>
        <w:rPr>
          <w:rFonts w:ascii="Times New Roman" w:hAnsi="Times New Roman"/>
          <w:b/>
          <w:color w:val="000000"/>
          <w:sz w:val="48"/>
        </w:rPr>
        <w:t>Magnachip Semiconductor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6031" w:type="dxa"/>
        <w:jc w:val="left"/>
        <w:tblInd w:w="0" w:type="dxa"/>
        <w:tblLayout w:type="fixed"/>
        <w:tblCellMar>
          <w:top w:w="28" w:type="dxa"/>
          <w:left w:w="28" w:type="dxa"/>
          <w:bottom w:w="28" w:type="dxa"/>
          <w:right w:w="28" w:type="dxa"/>
        </w:tblCellMar>
      </w:tblPr>
      <w:tblGrid>
        <w:gridCol w:w="3037"/>
        <w:gridCol w:w="1508"/>
        <w:gridCol w:w="1486"/>
      </w:tblGrid>
      <w:tr>
        <w:trPr/>
        <w:tc>
          <w:tcPr>
            <w:tcW w:w="3037"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5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001-34791</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83-0406195</w:t>
            </w:r>
          </w:p>
        </w:tc>
      </w:tr>
      <w:tr>
        <w:trPr/>
        <w:tc>
          <w:tcPr>
            <w:tcW w:w="3037"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508"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454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45" w:type="dxa"/>
            <w:gridSpan w:val="2"/>
            <w:tcBorders/>
            <w:tcMar>
              <w:top w:w="0" w:type="dxa"/>
              <w:left w:w="0" w:type="dxa"/>
              <w:bottom w:w="0" w:type="dxa"/>
              <w:right w:w="0" w:type="dxa"/>
            </w:tcMar>
            <w:vAlign w:val="center"/>
          </w:tcPr>
          <w:p>
            <w:pPr>
              <w:pStyle w:val="TableContents"/>
              <w:bidi w:val="0"/>
              <w:spacing w:before="40" w:after="283"/>
              <w:jc w:val="center"/>
              <w:rPr>
                <w:rFonts w:ascii="Times New Roman" w:hAnsi="Times New Roman"/>
                <w:sz w:val="20"/>
              </w:rPr>
            </w:pPr>
            <w:r>
              <w:rPr>
                <w:rFonts w:ascii="Times New Roman" w:hAnsi="Times New Roman"/>
                <w:b/>
                <w:color w:val="000000"/>
                <w:sz w:val="16"/>
              </w:rPr>
              <w:t>c/o Magnachip Semiconductor, Ltd.</w:t>
            </w:r>
            <w:r>
              <w:rPr>
                <w:rFonts w:ascii="Times New Roman" w:hAnsi="Times New Roman"/>
                <w:color w:val="000000"/>
                <w:sz w:val="20"/>
              </w:rPr>
              <w:t xml:space="preserve"> </w:t>
            </w:r>
          </w:p>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15F, 76 Jikji-daero 436beon-gil, Heungdeok-gu</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Cheongju-si, Chungcheongbuk-do, 28581, Republic of Korea</w:t>
            </w:r>
          </w:p>
        </w:tc>
        <w:tc>
          <w:tcPr>
            <w:tcW w:w="148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454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Registrant’s telephone number, including area code: +82</w:t>
      </w:r>
      <w:r>
        <w:rPr>
          <w:rFonts w:ascii="Times New Roman" w:hAnsi="Times New Roman"/>
          <w:color w:val="000000"/>
          <w:sz w:val="20"/>
        </w:rPr>
        <w:t xml:space="preserve"> </w:t>
      </w:r>
      <w:r>
        <w:rPr>
          <w:rFonts w:ascii="Times New Roman" w:hAnsi="Times New Roman"/>
          <w:b/>
          <w:color w:val="000000"/>
          <w:sz w:val="20"/>
        </w:rPr>
        <w:t>(2) 6903-3000</w:t>
      </w:r>
      <w:r>
        <w:rPr>
          <w:rFonts w:ascii="Times New Roman" w:hAnsi="Times New Roman"/>
          <w:color w:val="000000"/>
          <w:sz w:val="20"/>
        </w:rPr>
        <w:t xml:space="preserve"> </w:t>
      </w:r>
    </w:p>
    <w:p>
      <w:pPr>
        <w:pStyle w:val="TextBody"/>
        <w:bidi w:val="0"/>
        <w:spacing w:before="240" w:after="283"/>
        <w:ind w:left="4320" w:right="4320" w:hanging="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pBdr/>
        <w:bidi w:val="0"/>
        <w:spacing w:before="120" w:after="283"/>
        <w:ind w:left="0" w:right="0" w:hanging="490"/>
        <w:jc w:val="left"/>
        <w:rPr/>
      </w:pPr>
      <w:r>
        <w:rPr>
          <w:color w:val="000000"/>
        </w:rPr>
        <w:t xml:space="preserve">☐ </w:t>
      </w:r>
      <w:r>
        <w:rPr>
          <w:rFonts w:ascii="Times New Roman" w:hAnsi="Times New Roman"/>
          <w:color w:val="000000"/>
          <w:sz w:val="20"/>
        </w:rPr>
        <w:t xml:space="preserve">Written communications pursuant to Rule 425 under the Securities Act (17 CFR 230.425) </w:t>
      </w:r>
    </w:p>
    <w:p>
      <w:pPr>
        <w:pStyle w:val="TextBody"/>
        <w:pBdr/>
        <w:bidi w:val="0"/>
        <w:spacing w:before="120" w:after="283"/>
        <w:ind w:left="0" w:right="0" w:hanging="490"/>
        <w:jc w:val="left"/>
        <w:rPr/>
      </w:pPr>
      <w:r>
        <w:rPr>
          <w:color w:val="000000"/>
        </w:rPr>
        <w:t xml:space="preserve">☐ </w:t>
      </w:r>
      <w:r>
        <w:rPr>
          <w:rFonts w:ascii="Times New Roman" w:hAnsi="Times New Roman"/>
          <w:color w:val="000000"/>
          <w:sz w:val="20"/>
        </w:rPr>
        <w:t xml:space="preserve">Soliciting material pursuant to Rule 14a-12 under the Exchange Act (17 CFR 240.14a-12) </w:t>
      </w:r>
    </w:p>
    <w:p>
      <w:pPr>
        <w:pStyle w:val="TextBody"/>
        <w:pBdr/>
        <w:bidi w:val="0"/>
        <w:spacing w:before="120" w:after="283"/>
        <w:ind w:left="0" w:right="0" w:hanging="490"/>
        <w:jc w:val="left"/>
        <w:rPr/>
      </w:pPr>
      <w:r>
        <w:rPr>
          <w:color w:val="000000"/>
        </w:rPr>
        <w:t xml:space="preserve">☐ </w:t>
      </w:r>
      <w:r>
        <w:rPr>
          <w:rFonts w:ascii="Times New Roman" w:hAnsi="Times New Roman"/>
          <w:color w:val="000000"/>
          <w:sz w:val="20"/>
        </w:rPr>
        <w:t xml:space="preserve">Pre-commencement communications pursuant to Rule 14d-2(b) under the Exchange Act (17 CFR 240.14d-2(b)) </w:t>
      </w:r>
    </w:p>
    <w:p>
      <w:pPr>
        <w:pStyle w:val="TextBody"/>
        <w:pBdr/>
        <w:bidi w:val="0"/>
        <w:spacing w:before="120" w:after="283"/>
        <w:ind w:left="0" w:right="0" w:hanging="490"/>
        <w:jc w:val="left"/>
        <w:rPr/>
      </w:pPr>
      <w:r>
        <w:rPr>
          <w:color w:val="000000"/>
        </w:rPr>
        <w:t xml:space="preserve">☐ </w:t>
      </w:r>
      <w:r>
        <w:rPr>
          <w:rFonts w:ascii="Times New Roman" w:hAnsi="Times New Roman"/>
          <w:color w:val="000000"/>
          <w:sz w:val="20"/>
        </w:rPr>
        <w:t xml:space="preserve">Pre-commencement communications pursuant to Rule 13e-4(c) under the Exchange Act (17 CFR 240.13e-4(c))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788" w:type="dxa"/>
        <w:jc w:val="left"/>
        <w:tblInd w:w="0" w:type="dxa"/>
        <w:tblLayout w:type="fixed"/>
        <w:tblCellMar>
          <w:top w:w="28" w:type="dxa"/>
          <w:left w:w="28" w:type="dxa"/>
          <w:bottom w:w="28" w:type="dxa"/>
          <w:right w:w="28" w:type="dxa"/>
        </w:tblCellMar>
      </w:tblPr>
      <w:tblGrid>
        <w:gridCol w:w="3661"/>
        <w:gridCol w:w="1186"/>
        <w:gridCol w:w="2941"/>
      </w:tblGrid>
      <w:tr>
        <w:trPr/>
        <w:tc>
          <w:tcPr>
            <w:tcW w:w="3661"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2941"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 Symbol</w:t>
            </w:r>
          </w:p>
        </w:tc>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$0.01 per share</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MX</w:t>
            </w:r>
          </w:p>
        </w:tc>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Stock Exchange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idi w:val="0"/>
        <w:spacing w:before="120" w:after="283"/>
        <w:ind w:left="0" w:right="0" w:hanging="490"/>
        <w:jc w:val="left"/>
        <w:rPr/>
      </w:pPr>
      <w:r>
        <w:rPr/>
        <w:t> </w:t>
      </w:r>
    </w:p>
    <w:p>
      <w:pPr>
        <w:pStyle w:val="HorizontalLine"/>
        <w:pBdr>
          <w:bottom w:val="double" w:sz="2" w:space="0" w:color="808080"/>
        </w:pBdr>
        <w:bidi w:val="0"/>
        <w:spacing w:before="0" w:after="283"/>
        <w:jc w:val="left"/>
        <w:rPr/>
      </w:pPr>
      <w:r>
        <w:rPr/>
      </w:r>
    </w:p>
    <w:p>
      <w:pPr>
        <w:pStyle w:val="TextBody"/>
        <w:pBdr/>
        <w:bidi w:val="0"/>
        <w:ind w:left="0" w:right="0" w:hanging="1224"/>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Attached hereto as Exhibit 99.1 and incorporated by reference herein is financial information for Magnachip Semiconductor Corporation and its consolidated subsidiaries for the fourth quarter and full year ended December 31, 2025, as presented in a press release dated March 4,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pBdr/>
        <w:bidi w:val="0"/>
        <w:spacing w:before="120" w:after="283"/>
        <w:ind w:left="0" w:right="0" w:hanging="490"/>
        <w:jc w:val="left"/>
        <w:rPr>
          <w:rFonts w:ascii="Times New Roman" w:hAnsi="Times New Roman"/>
          <w:sz w:val="20"/>
        </w:rPr>
      </w:pPr>
      <w:r>
        <w:rPr>
          <w:rFonts w:ascii="Times New Roman" w:hAnsi="Times New Roman"/>
          <w:b/>
          <w:color w:val="000000"/>
          <w:sz w:val="20"/>
        </w:rPr>
        <w:t>(d) Exhibits.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exhibit is furnished as part of this report: </w:t>
      </w:r>
    </w:p>
    <w:tbl>
      <w:tblPr>
        <w:tblW w:w="10205" w:type="dxa"/>
        <w:jc w:val="left"/>
        <w:tblInd w:w="0" w:type="dxa"/>
        <w:tblLayout w:type="fixed"/>
        <w:tblCellMar>
          <w:top w:w="28" w:type="dxa"/>
          <w:left w:w="28" w:type="dxa"/>
          <w:bottom w:w="28" w:type="dxa"/>
          <w:right w:w="28" w:type="dxa"/>
        </w:tblCellMar>
      </w:tblPr>
      <w:tblGrid>
        <w:gridCol w:w="646"/>
        <w:gridCol w:w="9559"/>
      </w:tblGrid>
      <w:tr>
        <w:trPr/>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9559" w:type="dxa"/>
            <w:tcBorders/>
            <w:shd w:fill="FFFFFF" w:val="cle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95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99.1</w:t>
            </w:r>
          </w:p>
        </w:tc>
        <w:tc>
          <w:tcPr>
            <w:tcW w:w="9559" w:type="dxa"/>
            <w:tcBorders/>
            <w:tcMar>
              <w:top w:w="0" w:type="dxa"/>
              <w:left w:w="0" w:type="dxa"/>
              <w:bottom w:w="0" w:type="dxa"/>
              <w:right w:w="0" w:type="dxa"/>
            </w:tcMar>
            <w:vAlign w:val="center"/>
          </w:tcPr>
          <w:p>
            <w:pPr>
              <w:pStyle w:val="TableContents"/>
              <w:bidi w:val="0"/>
              <w:spacing w:before="0" w:after="283"/>
              <w:ind w:left="108" w:right="0" w:firstLine="108"/>
              <w:jc w:val="left"/>
              <w:rPr/>
            </w:pPr>
            <w:hyperlink w:anchor="mx-ex99_1.htm">
              <w:r>
                <w:rPr>
                  <w:rStyle w:val="InternetLink"/>
                  <w:rFonts w:ascii="Times New Roman" w:hAnsi="Times New Roman"/>
                  <w:color w:val="0000FF"/>
                  <w:sz w:val="20"/>
                  <w:u w:val="single"/>
                </w:rPr>
                <w:t>Press release for Magnachip Semiconductor Corporation dated March 4, 2026, announcing the results for the fourth quarter and full year ended December 31, 2025.</w:t>
              </w:r>
            </w:hyperlink>
          </w:p>
        </w:tc>
      </w:tr>
      <w:tr>
        <w:trPr/>
        <w:tc>
          <w:tcPr>
            <w:tcW w:w="646"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104</w:t>
            </w:r>
          </w:p>
        </w:tc>
        <w:tc>
          <w:tcPr>
            <w:tcW w:w="9559" w:type="dxa"/>
            <w:tcBorders/>
            <w:tcMar>
              <w:top w:w="0" w:type="dxa"/>
              <w:left w:w="0" w:type="dxa"/>
              <w:bottom w:w="0" w:type="dxa"/>
              <w:right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360" w:after="283"/>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7315" w:type="dxa"/>
        <w:jc w:val="left"/>
        <w:tblInd w:w="0" w:type="dxa"/>
        <w:tblLayout w:type="fixed"/>
        <w:tblCellMar>
          <w:top w:w="28" w:type="dxa"/>
          <w:left w:w="28" w:type="dxa"/>
          <w:bottom w:w="28" w:type="dxa"/>
          <w:right w:w="28" w:type="dxa"/>
        </w:tblCellMar>
      </w:tblPr>
      <w:tblGrid>
        <w:gridCol w:w="1891"/>
        <w:gridCol w:w="146"/>
        <w:gridCol w:w="2299"/>
        <w:gridCol w:w="969"/>
        <w:gridCol w:w="728"/>
        <w:gridCol w:w="1282"/>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4"/>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MAGNACHIP SEMICONDUCTOR CORPORATION</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March 4,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By: </w:t>
            </w:r>
          </w:p>
        </w:tc>
        <w:tc>
          <w:tcPr>
            <w:tcW w:w="969" w:type="dxa"/>
            <w:tcBorders/>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Shin Young Park</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tcBorders/>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Shin Young Park</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tcBorders/>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360" w:after="283"/>
        <w:jc w:val="left"/>
        <w:rPr/>
      </w:pPr>
      <w:r>
        <w:rPr/>
        <w:t> </w:t>
      </w:r>
    </w:p>
    <w:p>
      <w:pPr>
        <w:pStyle w:val="TextBody"/>
        <w:bidi w:val="0"/>
        <w:ind w:left="0" w:right="482"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right"/>
        <w:rPr>
          <w:rFonts w:ascii="Times New Roman" w:hAnsi="Times New Roman"/>
          <w:b/>
          <w:color w:val="000000"/>
          <w:sz w:val="20"/>
        </w:rPr>
      </w:pPr>
      <w:bookmarkStart w:id="2" w:name="mx-ex99_1.htm"/>
      <w:bookmarkStart w:id="3" w:name="ksmxex99_1"/>
      <w:bookmarkEnd w:id="2"/>
      <w:bookmarkEnd w:id="3"/>
      <w:r>
        <w:rPr>
          <w:rFonts w:ascii="Times New Roman" w:hAnsi="Times New Roman"/>
          <w:b/>
          <w:color w:val="000000"/>
          <w:sz w:val="20"/>
        </w:rPr>
        <w:t>Exhibit 99.1</w:t>
      </w:r>
      <w:r>
        <w:br w:type="page"/>
      </w:r>
    </w:p>
    <w:p>
      <w:pPr>
        <w:pStyle w:val="TextBody"/>
        <w:bidi w:val="0"/>
        <w:jc w:val="left"/>
        <w:rPr/>
      </w:pPr>
      <w:r>
        <w:rPr/>
        <w:drawing>
          <wp:inline distT="0" distB="0" distL="0" distR="0">
            <wp:extent cx="19812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81200" cy="400050"/>
                    </a:xfrm>
                    <a:prstGeom prst="rect">
                      <a:avLst/>
                    </a:prstGeom>
                  </pic:spPr>
                </pic:pic>
              </a:graphicData>
            </a:graphic>
          </wp:inline>
        </w:drawing>
      </w:r>
    </w:p>
    <w:p>
      <w:pPr>
        <w:pStyle w:val="TextBody"/>
        <w:bidi w:val="0"/>
        <w:jc w:val="right"/>
        <w:rPr/>
      </w:pPr>
      <w:r>
        <w:rPr/>
        <w:t> </w:t>
      </w:r>
    </w:p>
    <w:p>
      <w:pPr>
        <w:pStyle w:val="TextBody"/>
        <w:bidi w:val="0"/>
        <w:jc w:val="center"/>
        <w:rPr>
          <w:rFonts w:ascii="Times New Roman" w:hAnsi="Times New Roman"/>
          <w:b/>
          <w:color w:val="000000"/>
          <w:sz w:val="24"/>
        </w:rPr>
      </w:pPr>
      <w:bookmarkStart w:id="4" w:name="ole_link1"/>
      <w:bookmarkStart w:id="5" w:name="ole_link46"/>
      <w:bookmarkEnd w:id="4"/>
      <w:bookmarkEnd w:id="5"/>
      <w:r>
        <w:rPr>
          <w:rFonts w:ascii="Times New Roman" w:hAnsi="Times New Roman"/>
          <w:b/>
          <w:color w:val="000000"/>
          <w:sz w:val="24"/>
        </w:rPr>
        <w:t>Magnachip Reports Results for Fourth Quarter and Full-Year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Q4 Results Summary</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revenue from continuing operations (which includes Power Analog Solutions (“PAS”) and Power IC (“PIC”) businesses) was $40.6 million, approximately at the mid-point of our guidance range of $38.5 to $42.5 million.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gross profit margin from continuing operations was 9.3%, slightly above the mid-point of our guidance range of 8.0% to 10.0%.</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revenue from our Communications business grew 24% sequentially and 68% year-over-year.</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Q4 Highlights</w:t>
      </w:r>
    </w:p>
    <w:p>
      <w:pPr>
        <w:pStyle w:val="TextBody"/>
        <w:bidi w:val="0"/>
        <w:spacing w:before="120" w:after="283"/>
        <w:ind w:left="360" w:right="0" w:hanging="0"/>
        <w:jc w:val="left"/>
        <w:rPr>
          <w:color w:val="000000"/>
        </w:rPr>
      </w:pPr>
      <w:r>
        <w:rPr>
          <w:color w:val="000000"/>
        </w:rPr>
        <w:t>•</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Launched 24 new-generation products in the fourth quarter.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2025 Highlights</w:t>
      </w:r>
    </w:p>
    <w:p>
      <w:pPr>
        <w:pStyle w:val="TextBody"/>
        <w:bidi w:val="0"/>
        <w:spacing w:before="200" w:after="283"/>
        <w:ind w:left="360" w:right="0" w:hanging="0"/>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Launched 55 new-generation products in 2025, compared with four for the full year 2024.</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Signed a strategic agreement to expand our industrial business based on a jointly developed IGBT technology with Hyundai Mobis.</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Executed multiple operating expense cost reduction programs, including a headcount reduction program, expected to generate more than $2 million in annualized savings beginning in Q4 2025.</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$21.4 million was spent in 2025 for the Gumi fab upgrade, of which $17.0 million was funded through equipment financing loans.</w:t>
      </w:r>
    </w:p>
    <w:p>
      <w:pPr>
        <w:pStyle w:val="TextBody"/>
        <w:bidi w:val="0"/>
        <w:spacing w:before="200" w:after="283"/>
        <w:jc w:val="left"/>
        <w:rPr>
          <w:rFonts w:ascii="Times New Roman" w:hAnsi="Times New Roman"/>
          <w:sz w:val="20"/>
        </w:rPr>
      </w:pPr>
      <w:r>
        <w:rPr>
          <w:rFonts w:ascii="Times New Roman" w:hAnsi="Times New Roman"/>
          <w:b/>
          <w:color w:val="000000"/>
          <w:sz w:val="20"/>
        </w:rPr>
        <w:t>SEOUL, South Korea, Mar. 4, 2026</w:t>
      </w:r>
      <w:r>
        <w:rPr>
          <w:rFonts w:ascii="Times New Roman" w:hAnsi="Times New Roman"/>
          <w:color w:val="000000"/>
          <w:sz w:val="20"/>
        </w:rPr>
        <w:t xml:space="preserve"> – Magnachip Semiconductor Corporation (NYSE: MX) (“Magnachip” or the “Company”) today announced financial results for the fourth quarter and full year 2025.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Camillo Martino, Magnachip’s CEO said, “Magnachip has a strong foundation in power semiconductors, built on decades of engineering expertise, trusted customer relationships, and a reputation for quality and reliability. Over the past year, we have taken deliberate actions to simplify the business, significantly reduce our cost structure, and sharpen our focus on power, while increasing investment in new-generation products where we can compete and win.”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Mr. Martino added, “While near-term market conditions remain challenging, the changes we have made are deliberate and structural. With a more focused strategy, a stronger product pipeline, and disciplined execution, we believe Magnachip is better positioned to improve competitiveness, strengthen margins over time, and drive a more consistent recovery.”</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504950" cy="304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04950" cy="304800"/>
                    </a:xfrm>
                    <a:prstGeom prst="rect">
                      <a:avLst/>
                    </a:prstGeom>
                  </pic:spPr>
                </pic:pic>
              </a:graphicData>
            </a:graphic>
          </wp:inline>
        </w:drawing>
      </w:r>
    </w:p>
    <w:p>
      <w:pPr>
        <w:pStyle w:val="TextBody"/>
        <w:bidi w:val="0"/>
        <w:spacing w:before="200" w:after="283"/>
        <w:jc w:val="left"/>
        <w:rPr>
          <w:rFonts w:ascii="Times New Roman" w:hAnsi="Times New Roman"/>
          <w:b/>
          <w:color w:val="000000"/>
          <w:sz w:val="20"/>
        </w:rPr>
      </w:pPr>
      <w:bookmarkStart w:id="6" w:name="page6"/>
      <w:bookmarkStart w:id="7" w:name="page8"/>
      <w:bookmarkEnd w:id="6"/>
      <w:bookmarkEnd w:id="7"/>
      <w:r>
        <w:rPr>
          <w:rFonts w:ascii="Times New Roman" w:hAnsi="Times New Roman"/>
          <w:b/>
          <w:color w:val="000000"/>
          <w:sz w:val="20"/>
        </w:rPr>
        <w:t>Q4 and 2025 Financial Highlights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25"/>
        <w:gridCol w:w="146"/>
        <w:gridCol w:w="661"/>
        <w:gridCol w:w="256"/>
        <w:gridCol w:w="146"/>
        <w:gridCol w:w="146"/>
        <w:gridCol w:w="661"/>
        <w:gridCol w:w="275"/>
        <w:gridCol w:w="146"/>
        <w:gridCol w:w="146"/>
        <w:gridCol w:w="511"/>
        <w:gridCol w:w="146"/>
        <w:gridCol w:w="421"/>
        <w:gridCol w:w="485"/>
        <w:gridCol w:w="146"/>
        <w:gridCol w:w="147"/>
        <w:gridCol w:w="607"/>
        <w:gridCol w:w="281"/>
        <w:gridCol w:w="146"/>
        <w:gridCol w:w="146"/>
        <w:gridCol w:w="530"/>
        <w:gridCol w:w="146"/>
        <w:gridCol w:w="421"/>
        <w:gridCol w:w="964"/>
      </w:tblGrid>
      <w:tr>
        <w:trPr/>
        <w:tc>
          <w:tcPr>
            <w:tcW w:w="2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2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0" w:type="dxa"/>
            <w:gridSpan w:val="21"/>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 thousands of U.S. dollars, except share data</w:t>
            </w:r>
          </w:p>
        </w:tc>
        <w:tc>
          <w:tcPr>
            <w:tcW w:w="96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0" w:type="dxa"/>
            <w:gridSpan w:val="21"/>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GAAP</w:t>
            </w:r>
            <w:r>
              <w:rPr>
                <w:rFonts w:ascii="Times New Roman" w:hAnsi="Times New Roman"/>
                <w:b/>
                <w:color w:val="000000"/>
                <w:sz w:val="10"/>
              </w:rPr>
              <w:t>(1)</w:t>
            </w:r>
          </w:p>
        </w:tc>
        <w:tc>
          <w:tcPr>
            <w:tcW w:w="96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Q4 2025</w:t>
            </w:r>
          </w:p>
        </w:tc>
        <w:tc>
          <w:tcPr>
            <w:tcW w:w="2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Q3 2025</w:t>
            </w:r>
          </w:p>
        </w:tc>
        <w:tc>
          <w:tcPr>
            <w:tcW w:w="27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4"/>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Q/Q change</w:t>
            </w:r>
          </w:p>
        </w:tc>
        <w:tc>
          <w:tcPr>
            <w:tcW w:w="48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Q4 2024</w:t>
            </w:r>
            <w:r>
              <w:rPr>
                <w:rFonts w:ascii="Times New Roman" w:hAnsi="Times New Roman"/>
                <w:b/>
                <w:color w:val="000000"/>
                <w:sz w:val="10"/>
              </w:rPr>
              <w:t>(1)</w:t>
            </w:r>
          </w:p>
        </w:tc>
        <w:tc>
          <w:tcPr>
            <w:tcW w:w="2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4"/>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Y/Y change</w:t>
            </w:r>
          </w:p>
        </w:tc>
        <w:tc>
          <w:tcPr>
            <w:tcW w:w="96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Consolidated 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40,570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45,946</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51,153</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down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964" w:type="dxa"/>
            <w:tcBorders/>
            <w:shd w:fill="CCEEFF" w:val="clear"/>
            <w:tcMar>
              <w:top w:w="0" w:type="dxa"/>
              <w:left w:w="0" w:type="dxa"/>
              <w:bottom w:w="0" w:type="dxa"/>
              <w:right w:w="0" w:type="dxa"/>
            </w:tcMar>
            <w:vAlign w:val="center"/>
          </w:tcPr>
          <w:p>
            <w:pPr>
              <w:pStyle w:val="TableContents"/>
              <w:bidi w:val="0"/>
              <w:spacing w:before="0" w:after="283"/>
              <w:ind w:left="0" w:right="0" w:firstLine="220"/>
              <w:jc w:val="left"/>
              <w:rPr>
                <w:rFonts w:ascii="Times New Roman" w:hAnsi="Times New Roman"/>
                <w:color w:val="000000"/>
                <w:sz w:val="18"/>
              </w:rPr>
            </w:pPr>
            <w:r>
              <w:rPr>
                <w:rFonts w:ascii="Times New Roman" w:hAnsi="Times New Roman"/>
                <w:color w:val="000000"/>
                <w:sz w:val="18"/>
              </w:rPr>
              <w:t>%</w:t>
            </w:r>
          </w:p>
        </w:tc>
      </w:tr>
      <w:tr>
        <w:trPr/>
        <w:tc>
          <w:tcPr>
            <w:tcW w:w="2525" w:type="dxa"/>
            <w:tcBorders/>
            <w:shd w:fill="FFFFFF" w:val="clear"/>
            <w:tcMar>
              <w:top w:w="0" w:type="dxa"/>
              <w:left w:w="0" w:type="dxa"/>
              <w:bottom w:w="0" w:type="dxa"/>
              <w:right w:w="0" w:type="dxa"/>
            </w:tcMar>
            <w:vAlign w:val="center"/>
          </w:tcPr>
          <w:p>
            <w:pPr>
              <w:pStyle w:val="TableContents"/>
              <w:bidi w:val="0"/>
              <w:spacing w:before="0" w:after="283"/>
              <w:ind w:left="220" w:right="0" w:firstLine="220"/>
              <w:jc w:val="left"/>
              <w:rPr>
                <w:rFonts w:ascii="Times New Roman" w:hAnsi="Times New Roman"/>
                <w:color w:val="000000"/>
                <w:sz w:val="18"/>
              </w:rPr>
            </w:pPr>
            <w:r>
              <w:rPr>
                <w:rFonts w:ascii="Times New Roman" w:hAnsi="Times New Roman"/>
                <w:color w:val="000000"/>
                <w:sz w:val="18"/>
              </w:rPr>
              <w:t>Power Solutions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45,946</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48,858</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964" w:type="dxa"/>
            <w:tcBorders/>
            <w:shd w:fill="FFFFFF" w:val="clear"/>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 xml:space="preserve">% </w:t>
            </w:r>
          </w:p>
        </w:tc>
      </w:tr>
      <w:tr>
        <w:trPr/>
        <w:tc>
          <w:tcPr>
            <w:tcW w:w="2525"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Power Analog Solutions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41,548</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43,455</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964"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 xml:space="preserve">% </w:t>
            </w:r>
          </w:p>
        </w:tc>
      </w:tr>
      <w:tr>
        <w:trPr/>
        <w:tc>
          <w:tcPr>
            <w:tcW w:w="2525" w:type="dxa"/>
            <w:tcBorders/>
            <w:shd w:fill="FFFF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Power 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4,398</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5,403</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964" w:type="dxa"/>
            <w:tcBorders/>
            <w:shd w:fill="FFFFFF" w:val="clear"/>
            <w:tcMar>
              <w:top w:w="0" w:type="dxa"/>
              <w:left w:w="0" w:type="dxa"/>
              <w:bottom w:w="0" w:type="dxa"/>
              <w:right w:w="0" w:type="dxa"/>
            </w:tcMar>
            <w:vAlign w:val="center"/>
          </w:tcPr>
          <w:p>
            <w:pPr>
              <w:pStyle w:val="TableContents"/>
              <w:bidi w:val="0"/>
              <w:spacing w:before="0" w:after="283"/>
              <w:ind w:left="0" w:right="0" w:firstLine="220"/>
              <w:jc w:val="left"/>
              <w:rPr>
                <w:rFonts w:ascii="Times New Roman" w:hAnsi="Times New Roman"/>
                <w:color w:val="000000"/>
                <w:sz w:val="18"/>
              </w:rPr>
            </w:pPr>
            <w:r>
              <w:rPr>
                <w:rFonts w:ascii="Times New Roman" w:hAnsi="Times New Roman"/>
                <w:color w:val="000000"/>
                <w:sz w:val="18"/>
              </w:rPr>
              <w:t xml:space="preserve">% </w:t>
            </w:r>
          </w:p>
        </w:tc>
      </w:tr>
      <w:tr>
        <w:trPr/>
        <w:tc>
          <w:tcPr>
            <w:tcW w:w="2525" w:type="dxa"/>
            <w:tcBorders/>
            <w:shd w:fill="CCEEFF" w:val="clear"/>
            <w:tcMar>
              <w:top w:w="0" w:type="dxa"/>
              <w:left w:w="0" w:type="dxa"/>
              <w:bottom w:w="0" w:type="dxa"/>
              <w:right w:w="0" w:type="dxa"/>
            </w:tcMar>
            <w:vAlign w:val="center"/>
          </w:tcPr>
          <w:p>
            <w:pPr>
              <w:pStyle w:val="TableContents"/>
              <w:bidi w:val="0"/>
              <w:spacing w:before="0" w:after="283"/>
              <w:ind w:left="220" w:right="0" w:firstLine="220"/>
              <w:jc w:val="left"/>
              <w:rPr>
                <w:rFonts w:ascii="Times New Roman" w:hAnsi="Times New Roman"/>
                <w:sz w:val="18"/>
              </w:rPr>
            </w:pPr>
            <w:r>
              <w:rPr>
                <w:rFonts w:ascii="Times New Roman" w:hAnsi="Times New Roman"/>
                <w:color w:val="000000"/>
                <w:sz w:val="18"/>
              </w:rPr>
              <w:t>Transitional Fab 3 foundry services</w:t>
            </w:r>
            <w:r>
              <w:rPr>
                <w:rFonts w:ascii="Times New Roman" w:hAnsi="Times New Roman"/>
                <w:color w:val="000000"/>
                <w:sz w:val="12"/>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2,295</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Consolidated Gross Profit Margin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2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964" w:type="dxa"/>
            <w:tcBorders/>
            <w:tcMar>
              <w:top w:w="0" w:type="dxa"/>
              <w:left w:w="0" w:type="dxa"/>
              <w:bottom w:w="0" w:type="dxa"/>
              <w:right w:w="0" w:type="dxa"/>
            </w:tcMar>
            <w:vAlign w:val="center"/>
          </w:tcPr>
          <w:p>
            <w:pPr>
              <w:pStyle w:val="TableContents"/>
              <w:bidi w:val="0"/>
              <w:spacing w:before="0" w:after="283"/>
              <w:ind w:left="0" w:right="0" w:firstLine="220"/>
              <w:jc w:val="left"/>
              <w:rPr>
                <w:rFonts w:ascii="Times New Roman" w:hAnsi="Times New Roman"/>
                <w:color w:val="000000"/>
                <w:sz w:val="18"/>
              </w:rPr>
            </w:pPr>
            <w:r>
              <w:rPr>
                <w:rFonts w:ascii="Times New Roman" w:hAnsi="Times New Roman"/>
                <w:color w:val="000000"/>
                <w:sz w:val="18"/>
              </w:rPr>
              <w:t>%pts</w:t>
            </w:r>
          </w:p>
        </w:tc>
      </w:tr>
      <w:tr>
        <w:trPr/>
        <w:tc>
          <w:tcPr>
            <w:tcW w:w="2525" w:type="dxa"/>
            <w:tcBorders/>
            <w:shd w:fill="CCEEFF" w:val="clear"/>
            <w:tcMar>
              <w:top w:w="0" w:type="dxa"/>
              <w:left w:w="0" w:type="dxa"/>
              <w:bottom w:w="0" w:type="dxa"/>
              <w:right w:w="0" w:type="dxa"/>
            </w:tcMar>
            <w:vAlign w:val="center"/>
          </w:tcPr>
          <w:p>
            <w:pPr>
              <w:pStyle w:val="TableContents"/>
              <w:bidi w:val="0"/>
              <w:spacing w:before="0" w:after="283"/>
              <w:ind w:left="220" w:right="0" w:firstLine="220"/>
              <w:jc w:val="left"/>
              <w:rPr>
                <w:rFonts w:ascii="Times New Roman" w:hAnsi="Times New Roman"/>
                <w:color w:val="000000"/>
                <w:sz w:val="18"/>
              </w:rPr>
            </w:pPr>
            <w:r>
              <w:rPr>
                <w:rFonts w:ascii="Times New Roman" w:hAnsi="Times New Roman"/>
                <w:color w:val="000000"/>
                <w:sz w:val="18"/>
              </w:rPr>
              <w:t>Power Solutions business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%pts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964"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 xml:space="preserve">%pts </w:t>
            </w:r>
          </w:p>
        </w:tc>
      </w:tr>
      <w:tr>
        <w:trPr/>
        <w:tc>
          <w:tcPr>
            <w:tcW w:w="2525"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Power Analog Solutions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2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%pts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w:t>
            </w:r>
          </w:p>
        </w:tc>
        <w:tc>
          <w:tcPr>
            <w:tcW w:w="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964"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 xml:space="preserve">%pts </w:t>
            </w:r>
          </w:p>
        </w:tc>
      </w:tr>
      <w:tr>
        <w:trPr/>
        <w:tc>
          <w:tcPr>
            <w:tcW w:w="2525"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Power IC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%pts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9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%pts </w:t>
            </w:r>
          </w:p>
        </w:tc>
      </w:tr>
      <w:tr>
        <w:trPr/>
        <w:tc>
          <w:tcPr>
            <w:tcW w:w="2525"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sz w:val="18"/>
              </w:rPr>
            </w:pPr>
            <w:r>
              <w:rPr>
                <w:rFonts w:ascii="Times New Roman" w:hAnsi="Times New Roman"/>
                <w:color w:val="000000"/>
                <w:sz w:val="18"/>
              </w:rPr>
              <w:t>Transitional Fab 3 foundry services</w:t>
            </w:r>
            <w:r>
              <w:rPr>
                <w:rFonts w:ascii="Times New Roman" w:hAnsi="Times New Roman"/>
                <w:color w:val="000000"/>
                <w:sz w:val="12"/>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(12,446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(11,538</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(6,828</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9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from continuing operations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(8,792</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(10,609</w:t>
            </w:r>
          </w:p>
        </w:tc>
        <w:tc>
          <w:tcPr>
            <w:tcW w:w="2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up</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4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(7,702</w:t>
            </w:r>
          </w:p>
        </w:tc>
        <w:tc>
          <w:tcPr>
            <w:tcW w:w="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9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Basic Loss per Common Share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(0.29</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(0.21</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9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Diluted Loss per Common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(0.24</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(0.29</w:t>
            </w:r>
          </w:p>
        </w:tc>
        <w:tc>
          <w:tcPr>
            <w:tcW w:w="2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up</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4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(0.21</w:t>
            </w:r>
          </w:p>
        </w:tc>
        <w:tc>
          <w:tcPr>
            <w:tcW w:w="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9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0" w:type="dxa"/>
            <w:gridSpan w:val="2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0" w:type="dxa"/>
            <w:gridSpan w:val="21"/>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 thousands of U.S. dollars, except share data</w:t>
            </w:r>
          </w:p>
        </w:tc>
        <w:tc>
          <w:tcPr>
            <w:tcW w:w="96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0" w:type="dxa"/>
            <w:gridSpan w:val="21"/>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Non-GAAP</w:t>
            </w:r>
            <w:r>
              <w:rPr>
                <w:rFonts w:ascii="Times New Roman" w:hAnsi="Times New Roman"/>
                <w:b/>
                <w:color w:val="000000"/>
                <w:sz w:val="10"/>
              </w:rPr>
              <w:t>(1)(3)</w:t>
            </w:r>
          </w:p>
        </w:tc>
        <w:tc>
          <w:tcPr>
            <w:tcW w:w="96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Q4 2025</w:t>
            </w:r>
          </w:p>
        </w:tc>
        <w:tc>
          <w:tcPr>
            <w:tcW w:w="2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Q3 2025</w:t>
            </w:r>
          </w:p>
        </w:tc>
        <w:tc>
          <w:tcPr>
            <w:tcW w:w="27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4"/>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Q/Q change</w:t>
            </w:r>
          </w:p>
        </w:tc>
        <w:tc>
          <w:tcPr>
            <w:tcW w:w="48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Q4 2024</w:t>
            </w:r>
            <w:r>
              <w:rPr>
                <w:rFonts w:ascii="Times New Roman" w:hAnsi="Times New Roman"/>
                <w:b/>
                <w:color w:val="000000"/>
                <w:sz w:val="10"/>
              </w:rPr>
              <w:t>(1)</w:t>
            </w:r>
          </w:p>
        </w:tc>
        <w:tc>
          <w:tcPr>
            <w:tcW w:w="2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4"/>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Y/Y change</w:t>
            </w:r>
          </w:p>
        </w:tc>
        <w:tc>
          <w:tcPr>
            <w:tcW w:w="96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Operating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(11,881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(7,421</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(3,459</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9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337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Income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5,751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9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Income (Loss) per Common Share—Diluted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0.15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436" w:type="dxa"/>
        <w:jc w:val="left"/>
        <w:tblInd w:w="0" w:type="dxa"/>
        <w:tblLayout w:type="fixed"/>
        <w:tblCellMar>
          <w:top w:w="28" w:type="dxa"/>
          <w:left w:w="28" w:type="dxa"/>
          <w:bottom w:w="28" w:type="dxa"/>
          <w:right w:w="28" w:type="dxa"/>
        </w:tblCellMar>
      </w:tblPr>
      <w:tblGrid>
        <w:gridCol w:w="3007"/>
        <w:gridCol w:w="546"/>
        <w:gridCol w:w="546"/>
        <w:gridCol w:w="691"/>
        <w:gridCol w:w="546"/>
        <w:gridCol w:w="546"/>
        <w:gridCol w:w="691"/>
        <w:gridCol w:w="256"/>
        <w:gridCol w:w="146"/>
        <w:gridCol w:w="556"/>
        <w:gridCol w:w="616"/>
        <w:gridCol w:w="346"/>
        <w:gridCol w:w="943"/>
      </w:tblGrid>
      <w:tr>
        <w:trPr/>
        <w:tc>
          <w:tcPr>
            <w:tcW w:w="300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3007" w:type="dxa"/>
            <w:tcBorders/>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83" w:type="dxa"/>
            <w:gridSpan w:val="11"/>
            <w:tcBorders/>
            <w:tcMar>
              <w:top w:w="0" w:type="dxa"/>
              <w:left w:w="0" w:type="dxa"/>
              <w:bottom w:w="0" w:type="dxa"/>
              <w:right w:w="0" w:type="dxa"/>
            </w:tcMar>
            <w:vAlign w:val="center"/>
          </w:tcPr>
          <w:p>
            <w:pPr>
              <w:pStyle w:val="TableContents"/>
              <w:bidi w:val="0"/>
              <w:spacing w:before="0" w:after="283"/>
              <w:ind w:left="0" w:right="0" w:firstLine="234"/>
              <w:jc w:val="left"/>
              <w:rPr>
                <w:rFonts w:ascii="Times New Roman" w:hAnsi="Times New Roman"/>
                <w:b/>
                <w:color w:val="000000"/>
                <w:sz w:val="16"/>
              </w:rPr>
            </w:pPr>
            <w:r>
              <w:rPr>
                <w:rFonts w:ascii="Times New Roman" w:hAnsi="Times New Roman"/>
                <w:b/>
                <w:color w:val="000000"/>
                <w:sz w:val="16"/>
              </w:rPr>
              <w:t>In thousands of U.S dollars, except share data</w:t>
            </w:r>
          </w:p>
        </w:tc>
      </w:tr>
      <w:tr>
        <w:trPr/>
        <w:tc>
          <w:tcPr>
            <w:tcW w:w="3007" w:type="dxa"/>
            <w:tcBorders/>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40" w:type="dxa"/>
            <w:gridSpan w:val="10"/>
            <w:tcBorders>
              <w:top w:val="single" w:sz="8"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GAAP</w:t>
            </w:r>
            <w:r>
              <w:rPr>
                <w:rFonts w:ascii="Times New Roman" w:hAnsi="Times New Roman"/>
                <w:b/>
                <w:color w:val="000000"/>
                <w:sz w:val="11"/>
              </w:rPr>
              <w:t>(1)</w:t>
            </w:r>
          </w:p>
        </w:tc>
        <w:tc>
          <w:tcPr>
            <w:tcW w:w="94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3007" w:type="dxa"/>
            <w:tcBorders>
              <w:bottom w:val="single" w:sz="8" w:space="0" w:color="CCEEFF"/>
            </w:tcBorders>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8" w:space="0" w:color="CCEEFF"/>
            </w:tcBorders>
            <w:tcMar>
              <w:top w:w="0" w:type="dxa"/>
              <w:left w:w="0" w:type="dxa"/>
              <w:right w:w="0" w:type="dxa"/>
            </w:tcMar>
            <w:vAlign w:val="center"/>
          </w:tcPr>
          <w:p>
            <w:pPr>
              <w:pStyle w:val="TableContents"/>
              <w:bidi w:val="0"/>
              <w:spacing w:before="0" w:after="283"/>
              <w:jc w:val="left"/>
              <w:rPr/>
            </w:pPr>
            <w:r>
              <w:rPr/>
              <w:t> </w:t>
            </w:r>
          </w:p>
        </w:tc>
        <w:tc>
          <w:tcPr>
            <w:tcW w:w="123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8" w:space="0" w:color="CCEEFF"/>
            </w:tcBorders>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8" w:space="0" w:color="CCEEFF"/>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2024</w:t>
            </w:r>
            <w:r>
              <w:rPr>
                <w:rFonts w:ascii="Times New Roman" w:hAnsi="Times New Roman"/>
                <w:b/>
                <w:color w:val="000000"/>
                <w:sz w:val="11"/>
              </w:rPr>
              <w:t>(1)</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8" w:space="0" w:color="CCEEFF"/>
            </w:tcBorders>
            <w:tcMar>
              <w:top w:w="0" w:type="dxa"/>
              <w:left w:w="0" w:type="dxa"/>
              <w:right w:w="0" w:type="dxa"/>
            </w:tcMar>
            <w:vAlign w:val="center"/>
          </w:tcPr>
          <w:p>
            <w:pPr>
              <w:pStyle w:val="TableContents"/>
              <w:bidi w:val="0"/>
              <w:spacing w:before="0" w:after="283"/>
              <w:jc w:val="left"/>
              <w:rPr/>
            </w:pPr>
            <w:r>
              <w:rPr/>
              <w:t> </w:t>
            </w:r>
          </w:p>
        </w:tc>
        <w:tc>
          <w:tcPr>
            <w:tcW w:w="151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Y/Y Change</w:t>
            </w:r>
          </w:p>
        </w:tc>
        <w:tc>
          <w:tcPr>
            <w:tcW w:w="943" w:type="dxa"/>
            <w:tcBorders>
              <w:bottom w:val="single" w:sz="8" w:space="0" w:color="CCEEFF"/>
            </w:tcBorders>
            <w:tcMar>
              <w:top w:w="0" w:type="dxa"/>
              <w:left w:w="0" w:type="dxa"/>
              <w:right w:w="0" w:type="dxa"/>
            </w:tcMar>
            <w:vAlign w:val="center"/>
          </w:tcPr>
          <w:p>
            <w:pPr>
              <w:pStyle w:val="TableContents"/>
              <w:bidi w:val="0"/>
              <w:spacing w:before="0" w:after="283"/>
              <w:jc w:val="center"/>
              <w:rPr/>
            </w:pPr>
            <w:r>
              <w:rPr/>
              <w:t> </w:t>
            </w:r>
          </w:p>
        </w:tc>
      </w:tr>
      <w:tr>
        <w:trPr/>
        <w:tc>
          <w:tcPr>
            <w:tcW w:w="300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Consolidated Revenues</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right"/>
              <w:rPr/>
            </w:pPr>
            <w:r>
              <w:rPr/>
              <w:t> </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righ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178,860</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196,425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943" w:type="dxa"/>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w:t>
            </w:r>
          </w:p>
        </w:tc>
      </w:tr>
      <w:tr>
        <w:trPr/>
        <w:tc>
          <w:tcPr>
            <w:tcW w:w="3007"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18"/>
              </w:rPr>
            </w:pPr>
            <w:r>
              <w:rPr>
                <w:rFonts w:ascii="Times New Roman" w:hAnsi="Times New Roman"/>
                <w:color w:val="000000"/>
                <w:sz w:val="18"/>
              </w:rPr>
              <w:t>Power Solutions business</w:t>
            </w:r>
          </w:p>
        </w:tc>
        <w:tc>
          <w:tcPr>
            <w:tcW w:w="546"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c>
          <w:tcPr>
            <w:tcW w:w="546"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178,860</w:t>
            </w:r>
          </w:p>
        </w:tc>
        <w:tc>
          <w:tcPr>
            <w:tcW w:w="54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546"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185,828</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943"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3007"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Power Analog Solutions</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160,477</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400" w:hanging="0"/>
              <w:jc w:val="left"/>
              <w:rPr/>
            </w:pPr>
            <w:r>
              <w:rPr/>
              <w:t> </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166,804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616" w:type="dxa"/>
            <w:tcBorders/>
            <w:shd w:fill="CCEEFF" w:val="clear"/>
            <w:tcMar>
              <w:top w:w="0" w:type="dxa"/>
              <w:left w:w="0" w:type="dxa"/>
              <w:bottom w:w="0" w:type="dxa"/>
              <w:right w:w="0" w:type="dxa"/>
            </w:tcMar>
            <w:vAlign w:val="center"/>
          </w:tcPr>
          <w:p>
            <w:pPr>
              <w:pStyle w:val="TableContents"/>
              <w:bidi w:val="0"/>
              <w:spacing w:before="0" w:after="283"/>
              <w:ind w:left="0" w:right="220" w:hanging="0"/>
              <w:jc w:val="righ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943"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w:t>
            </w:r>
          </w:p>
        </w:tc>
      </w:tr>
      <w:tr>
        <w:trPr/>
        <w:tc>
          <w:tcPr>
            <w:tcW w:w="3007"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Power IC</w:t>
            </w:r>
          </w:p>
        </w:tc>
        <w:tc>
          <w:tcPr>
            <w:tcW w:w="546" w:type="dxa"/>
            <w:tcBorders/>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546" w:type="dxa"/>
            <w:tcBorders/>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18,383</w:t>
            </w:r>
          </w:p>
        </w:tc>
        <w:tc>
          <w:tcPr>
            <w:tcW w:w="546" w:type="dxa"/>
            <w:tcBorders/>
            <w:tcMar>
              <w:top w:w="0" w:type="dxa"/>
              <w:left w:w="0" w:type="dxa"/>
              <w:bottom w:w="0" w:type="dxa"/>
              <w:right w:w="0" w:type="dxa"/>
            </w:tcMar>
            <w:vAlign w:val="center"/>
          </w:tcPr>
          <w:p>
            <w:pPr>
              <w:pStyle w:val="TableContents"/>
              <w:bidi w:val="0"/>
              <w:spacing w:before="0" w:after="283"/>
              <w:ind w:left="0" w:right="400" w:hanging="0"/>
              <w:jc w:val="left"/>
              <w:rPr/>
            </w:pPr>
            <w:r>
              <w:rPr/>
              <w:t> </w:t>
            </w:r>
          </w:p>
        </w:tc>
        <w:tc>
          <w:tcPr>
            <w:tcW w:w="546" w:type="dxa"/>
            <w:tcBorders/>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19,024</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616" w:type="dxa"/>
            <w:tcBorders/>
            <w:tcMar>
              <w:top w:w="0" w:type="dxa"/>
              <w:left w:w="0" w:type="dxa"/>
              <w:bottom w:w="0" w:type="dxa"/>
              <w:right w:w="0" w:type="dxa"/>
            </w:tcMar>
            <w:vAlign w:val="center"/>
          </w:tcPr>
          <w:p>
            <w:pPr>
              <w:pStyle w:val="TableContents"/>
              <w:bidi w:val="0"/>
              <w:spacing w:before="0" w:after="283"/>
              <w:ind w:left="0" w:right="220" w:hanging="0"/>
              <w:jc w:val="right"/>
              <w:rPr/>
            </w:pPr>
            <w:r>
              <w:rPr/>
              <w:t> </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943"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8"/>
              </w:rPr>
            </w:pPr>
            <w:r>
              <w:rPr>
                <w:rFonts w:ascii="Times New Roman" w:hAnsi="Times New Roman"/>
                <w:color w:val="000000"/>
                <w:sz w:val="18"/>
              </w:rPr>
              <w:t>%</w:t>
            </w:r>
          </w:p>
        </w:tc>
      </w:tr>
      <w:tr>
        <w:trPr/>
        <w:tc>
          <w:tcPr>
            <w:tcW w:w="3007" w:type="dxa"/>
            <w:tcBorders/>
            <w:shd w:fill="CCEEFF" w:val="clear"/>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sz w:val="18"/>
              </w:rPr>
            </w:pPr>
            <w:r>
              <w:rPr>
                <w:rFonts w:ascii="Times New Roman" w:hAnsi="Times New Roman"/>
                <w:color w:val="000000"/>
                <w:sz w:val="18"/>
              </w:rPr>
              <w:t>Transitional Fab 3 foundry services</w:t>
            </w:r>
            <w:r>
              <w:rPr>
                <w:rFonts w:ascii="Times New Roman" w:hAnsi="Times New Roman"/>
                <w:color w:val="000000"/>
                <w:sz w:val="12"/>
              </w:rPr>
              <w:t>(2)</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400" w:hanging="0"/>
              <w:jc w:val="left"/>
              <w:rPr/>
            </w:pPr>
            <w:r>
              <w:rPr/>
              <w:t> </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w:t>
            </w:r>
          </w:p>
        </w:tc>
        <w:tc>
          <w:tcPr>
            <w:tcW w:w="616" w:type="dxa"/>
            <w:tcBorders/>
            <w:shd w:fill="CCEEFF" w:val="clear"/>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43" w:type="dxa"/>
            <w:tcBorders/>
            <w:shd w:fill="CCEEFF" w:val="clear"/>
            <w:tcMar>
              <w:top w:w="0" w:type="dxa"/>
              <w:left w:w="0" w:type="dxa"/>
              <w:bottom w:w="0" w:type="dxa"/>
              <w:right w:w="0" w:type="dxa"/>
            </w:tcMar>
            <w:vAlign w:val="center"/>
          </w:tcPr>
          <w:p>
            <w:pPr>
              <w:pStyle w:val="TableContents"/>
              <w:bidi w:val="0"/>
              <w:spacing w:before="0" w:after="283"/>
              <w:ind w:left="0" w:right="400" w:hanging="0"/>
              <w:jc w:val="right"/>
              <w:rPr/>
            </w:pPr>
            <w:r>
              <w:rPr/>
              <w:t> </w:t>
            </w:r>
          </w:p>
        </w:tc>
      </w:tr>
      <w:tr>
        <w:trPr/>
        <w:tc>
          <w:tcPr>
            <w:tcW w:w="30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Consolidated Gross Profit Margin</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tcMar>
              <w:top w:w="0" w:type="dxa"/>
              <w:left w:w="0" w:type="dxa"/>
              <w:bottom w:w="0" w:type="dxa"/>
              <w:right w:w="0" w:type="dxa"/>
            </w:tcMar>
            <w:vAlign w:val="center"/>
          </w:tcPr>
          <w:p>
            <w:pPr>
              <w:pStyle w:val="TableContents"/>
              <w:bidi w:val="0"/>
              <w:spacing w:before="0" w:after="283"/>
              <w:ind w:left="0" w:right="240" w:hanging="0"/>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616" w:type="dxa"/>
            <w:tcBorders/>
            <w:tcMar>
              <w:top w:w="0" w:type="dxa"/>
              <w:left w:w="0" w:type="dxa"/>
              <w:bottom w:w="0" w:type="dxa"/>
              <w:right w:w="0" w:type="dxa"/>
            </w:tcMar>
            <w:vAlign w:val="center"/>
          </w:tcPr>
          <w:p>
            <w:pPr>
              <w:pStyle w:val="TableContents"/>
              <w:bidi w:val="0"/>
              <w:spacing w:before="0" w:after="283"/>
              <w:ind w:left="0" w:right="110" w:hanging="0"/>
              <w:jc w:val="right"/>
              <w:rPr/>
            </w:pPr>
            <w:r>
              <w:rPr/>
              <w:t> </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9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%pts</w:t>
            </w:r>
          </w:p>
        </w:tc>
      </w:tr>
      <w:tr>
        <w:trPr/>
        <w:tc>
          <w:tcPr>
            <w:tcW w:w="300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Power Solutions business</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240" w:hanging="0"/>
              <w:jc w:val="righ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616" w:type="dxa"/>
            <w:tcBorders/>
            <w:shd w:fill="CCEEFF" w:val="clear"/>
            <w:tcMar>
              <w:top w:w="0" w:type="dxa"/>
              <w:left w:w="0" w:type="dxa"/>
              <w:bottom w:w="0" w:type="dxa"/>
              <w:right w:w="0" w:type="dxa"/>
            </w:tcMar>
            <w:vAlign w:val="center"/>
          </w:tcPr>
          <w:p>
            <w:pPr>
              <w:pStyle w:val="TableContents"/>
              <w:bidi w:val="0"/>
              <w:spacing w:before="0" w:after="283"/>
              <w:ind w:left="0" w:right="110" w:hanging="0"/>
              <w:jc w:val="righ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943"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%pts</w:t>
            </w:r>
          </w:p>
        </w:tc>
      </w:tr>
      <w:tr>
        <w:trPr/>
        <w:tc>
          <w:tcPr>
            <w:tcW w:w="3007"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Power Analog Solutions</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w:t>
            </w:r>
          </w:p>
        </w:tc>
        <w:tc>
          <w:tcPr>
            <w:tcW w:w="616" w:type="dxa"/>
            <w:tcBorders/>
            <w:tcMar>
              <w:top w:w="0" w:type="dxa"/>
              <w:left w:w="0" w:type="dxa"/>
              <w:bottom w:w="0" w:type="dxa"/>
              <w:right w:w="0" w:type="dxa"/>
            </w:tcMar>
            <w:vAlign w:val="center"/>
          </w:tcPr>
          <w:p>
            <w:pPr>
              <w:pStyle w:val="TableContents"/>
              <w:bidi w:val="0"/>
              <w:spacing w:before="0" w:after="283"/>
              <w:ind w:left="0" w:right="110" w:hanging="0"/>
              <w:jc w:val="right"/>
              <w:rPr/>
            </w:pPr>
            <w:r>
              <w:rPr/>
              <w:t> </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943" w:type="dxa"/>
            <w:tcBorders/>
            <w:tcMar>
              <w:top w:w="0" w:type="dxa"/>
              <w:left w:w="0" w:type="dxa"/>
              <w:bottom w:w="0" w:type="dxa"/>
              <w:right w:w="0" w:type="dxa"/>
            </w:tcMar>
            <w:vAlign w:val="center"/>
          </w:tcPr>
          <w:p>
            <w:pPr>
              <w:pStyle w:val="TableContents"/>
              <w:bidi w:val="0"/>
              <w:spacing w:before="0" w:after="283"/>
              <w:ind w:left="0" w:right="0" w:firstLine="432"/>
              <w:jc w:val="left"/>
              <w:rPr>
                <w:rFonts w:ascii="Times New Roman" w:hAnsi="Times New Roman"/>
                <w:color w:val="000000"/>
                <w:sz w:val="18"/>
              </w:rPr>
            </w:pPr>
            <w:r>
              <w:rPr>
                <w:rFonts w:ascii="Times New Roman" w:hAnsi="Times New Roman"/>
                <w:color w:val="000000"/>
                <w:sz w:val="18"/>
              </w:rPr>
              <w:t>%pts</w:t>
            </w:r>
          </w:p>
        </w:tc>
      </w:tr>
      <w:tr>
        <w:trPr/>
        <w:tc>
          <w:tcPr>
            <w:tcW w:w="3007"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Power IC</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240" w:hanging="0"/>
              <w:jc w:val="righ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616" w:type="dxa"/>
            <w:tcBorders/>
            <w:shd w:fill="CCEEFF" w:val="clear"/>
            <w:tcMar>
              <w:top w:w="0" w:type="dxa"/>
              <w:left w:w="0" w:type="dxa"/>
              <w:bottom w:w="0" w:type="dxa"/>
              <w:right w:w="0" w:type="dxa"/>
            </w:tcMar>
            <w:vAlign w:val="center"/>
          </w:tcPr>
          <w:p>
            <w:pPr>
              <w:pStyle w:val="TableContents"/>
              <w:bidi w:val="0"/>
              <w:spacing w:before="0" w:after="283"/>
              <w:ind w:left="0" w:right="110" w:hanging="0"/>
              <w:jc w:val="righ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943" w:type="dxa"/>
            <w:tcBorders/>
            <w:shd w:fill="CCEE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18"/>
              </w:rPr>
            </w:pPr>
            <w:r>
              <w:rPr>
                <w:rFonts w:ascii="Times New Roman" w:hAnsi="Times New Roman"/>
                <w:color w:val="000000"/>
                <w:sz w:val="18"/>
              </w:rPr>
              <w:t>%pts</w:t>
            </w:r>
          </w:p>
        </w:tc>
      </w:tr>
      <w:tr>
        <w:trPr/>
        <w:tc>
          <w:tcPr>
            <w:tcW w:w="3007" w:type="dxa"/>
            <w:tcBorders/>
            <w:tcMar>
              <w:top w:w="0" w:type="dxa"/>
              <w:left w:w="0" w:type="dxa"/>
              <w:bottom w:w="0" w:type="dxa"/>
              <w:right w:w="0" w:type="dxa"/>
            </w:tcMar>
            <w:vAlign w:val="center"/>
          </w:tcPr>
          <w:p>
            <w:pPr>
              <w:pStyle w:val="TableContents"/>
              <w:bidi w:val="0"/>
              <w:spacing w:before="0" w:after="283"/>
              <w:ind w:left="187" w:right="0" w:firstLine="187"/>
              <w:jc w:val="left"/>
              <w:rPr>
                <w:rFonts w:ascii="Times New Roman" w:hAnsi="Times New Roman"/>
                <w:sz w:val="18"/>
              </w:rPr>
            </w:pPr>
            <w:r>
              <w:rPr>
                <w:rFonts w:ascii="Times New Roman" w:hAnsi="Times New Roman"/>
                <w:color w:val="000000"/>
                <w:sz w:val="18"/>
              </w:rPr>
              <w:t>Transitional Fab 3 foundry services</w:t>
            </w:r>
            <w:r>
              <w:rPr>
                <w:rFonts w:ascii="Times New Roman" w:hAnsi="Times New Roman"/>
                <w:color w:val="000000"/>
                <w:sz w:val="12"/>
              </w:rPr>
              <w:t>(2)</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tcMar>
              <w:top w:w="0" w:type="dxa"/>
              <w:left w:w="0" w:type="dxa"/>
              <w:bottom w:w="0" w:type="dxa"/>
              <w:right w:w="0" w:type="dxa"/>
            </w:tcMar>
            <w:vAlign w:val="center"/>
          </w:tcPr>
          <w:p>
            <w:pPr>
              <w:pStyle w:val="TableContents"/>
              <w:bidi w:val="0"/>
              <w:spacing w:before="0" w:after="283"/>
              <w:ind w:left="0" w:right="240" w:hanging="0"/>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w:t>
            </w:r>
          </w:p>
        </w:tc>
        <w:tc>
          <w:tcPr>
            <w:tcW w:w="616" w:type="dxa"/>
            <w:tcBorders/>
            <w:tcMar>
              <w:top w:w="0" w:type="dxa"/>
              <w:left w:w="0" w:type="dxa"/>
              <w:bottom w:w="0" w:type="dxa"/>
              <w:right w:w="0" w:type="dxa"/>
            </w:tcMar>
            <w:vAlign w:val="center"/>
          </w:tcPr>
          <w:p>
            <w:pPr>
              <w:pStyle w:val="TableContents"/>
              <w:bidi w:val="0"/>
              <w:spacing w:before="0" w:after="283"/>
              <w:ind w:left="0" w:right="470" w:hanging="0"/>
              <w:jc w:val="right"/>
              <w:rPr/>
            </w:pPr>
            <w:r>
              <w:rPr/>
              <w:t> </w:t>
            </w:r>
          </w:p>
        </w:tc>
        <w:tc>
          <w:tcPr>
            <w:tcW w:w="34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43" w:type="dxa"/>
            <w:tcBorders/>
            <w:tcMar>
              <w:top w:w="0" w:type="dxa"/>
              <w:left w:w="0" w:type="dxa"/>
              <w:bottom w:w="0" w:type="dxa"/>
              <w:right w:w="0" w:type="dxa"/>
            </w:tcMar>
            <w:vAlign w:val="center"/>
          </w:tcPr>
          <w:p>
            <w:pPr>
              <w:pStyle w:val="TableContents"/>
              <w:bidi w:val="0"/>
              <w:spacing w:before="0" w:after="283"/>
              <w:ind w:left="0" w:right="470" w:hanging="0"/>
              <w:jc w:val="right"/>
              <w:rPr/>
            </w:pPr>
            <w:r>
              <w:rPr/>
              <w:t> </w:t>
            </w:r>
          </w:p>
        </w:tc>
      </w:tr>
      <w:tr>
        <w:trPr/>
        <w:tc>
          <w:tcPr>
            <w:tcW w:w="300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Loss</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(35,860</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(25,973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616" w:type="dxa"/>
            <w:tcBorders/>
            <w:shd w:fill="CCEEFF" w:val="clear"/>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943" w:type="dxa"/>
            <w:tcBorders/>
            <w:shd w:fill="CCEEFF" w:val="clear"/>
            <w:tcMar>
              <w:top w:w="0" w:type="dxa"/>
              <w:left w:w="0" w:type="dxa"/>
              <w:bottom w:w="0" w:type="dxa"/>
              <w:right w:w="0" w:type="dxa"/>
            </w:tcMar>
            <w:vAlign w:val="center"/>
          </w:tcPr>
          <w:p>
            <w:pPr>
              <w:pStyle w:val="TableContents"/>
              <w:bidi w:val="0"/>
              <w:spacing w:before="0" w:after="283"/>
              <w:ind w:left="0" w:right="400" w:hanging="0"/>
              <w:jc w:val="right"/>
              <w:rPr/>
            </w:pPr>
            <w:r>
              <w:rPr/>
              <w:t> </w:t>
            </w:r>
          </w:p>
        </w:tc>
      </w:tr>
      <w:tr>
        <w:trPr/>
        <w:tc>
          <w:tcPr>
            <w:tcW w:w="30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from continuing operations</w:t>
            </w:r>
          </w:p>
        </w:tc>
        <w:tc>
          <w:tcPr>
            <w:tcW w:w="546" w:type="dxa"/>
            <w:tcBorders/>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546" w:type="dxa"/>
            <w:tcBorders/>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(14,249</w:t>
            </w:r>
          </w:p>
        </w:tc>
        <w:tc>
          <w:tcPr>
            <w:tcW w:w="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(27,310</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up</w:t>
            </w:r>
          </w:p>
        </w:tc>
        <w:tc>
          <w:tcPr>
            <w:tcW w:w="616" w:type="dxa"/>
            <w:tcBorders/>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943" w:type="dxa"/>
            <w:tcBorders/>
            <w:tcMar>
              <w:top w:w="0" w:type="dxa"/>
              <w:left w:w="0" w:type="dxa"/>
              <w:bottom w:w="0" w:type="dxa"/>
              <w:right w:w="0" w:type="dxa"/>
            </w:tcMar>
            <w:vAlign w:val="center"/>
          </w:tcPr>
          <w:p>
            <w:pPr>
              <w:pStyle w:val="TableContents"/>
              <w:bidi w:val="0"/>
              <w:spacing w:before="0" w:after="283"/>
              <w:ind w:left="0" w:right="400" w:hanging="0"/>
              <w:jc w:val="right"/>
              <w:rPr/>
            </w:pPr>
            <w:r>
              <w:rPr/>
              <w:t> </w:t>
            </w:r>
          </w:p>
        </w:tc>
      </w:tr>
      <w:tr>
        <w:trPr/>
        <w:tc>
          <w:tcPr>
            <w:tcW w:w="300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Basic Loss per Common Share</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(0.39</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up</w:t>
            </w:r>
          </w:p>
        </w:tc>
        <w:tc>
          <w:tcPr>
            <w:tcW w:w="616" w:type="dxa"/>
            <w:tcBorders/>
            <w:shd w:fill="CCEEFF" w:val="clear"/>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943" w:type="dxa"/>
            <w:tcBorders/>
            <w:shd w:fill="CCEEFF" w:val="clear"/>
            <w:tcMar>
              <w:top w:w="0" w:type="dxa"/>
              <w:left w:w="0" w:type="dxa"/>
              <w:bottom w:w="0" w:type="dxa"/>
              <w:right w:w="0" w:type="dxa"/>
            </w:tcMar>
            <w:vAlign w:val="center"/>
          </w:tcPr>
          <w:p>
            <w:pPr>
              <w:pStyle w:val="TableContents"/>
              <w:bidi w:val="0"/>
              <w:spacing w:before="0" w:after="283"/>
              <w:ind w:left="0" w:right="400" w:hanging="0"/>
              <w:jc w:val="right"/>
              <w:rPr/>
            </w:pPr>
            <w:r>
              <w:rPr/>
              <w:t> </w:t>
            </w:r>
          </w:p>
        </w:tc>
      </w:tr>
      <w:tr>
        <w:trPr/>
        <w:tc>
          <w:tcPr>
            <w:tcW w:w="30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Diluted Loss per Common Share</w:t>
            </w:r>
          </w:p>
        </w:tc>
        <w:tc>
          <w:tcPr>
            <w:tcW w:w="546" w:type="dxa"/>
            <w:tcBorders/>
            <w:tcMar>
              <w:top w:w="0" w:type="dxa"/>
              <w:left w:w="0" w:type="dxa"/>
              <w:bottom w:w="0" w:type="dxa"/>
              <w:right w:w="0" w:type="dxa"/>
            </w:tcMar>
            <w:vAlign w:val="center"/>
          </w:tcPr>
          <w:p>
            <w:pPr>
              <w:pStyle w:val="TableContents"/>
              <w:bidi w:val="0"/>
              <w:spacing w:before="0" w:after="283"/>
              <w:ind w:left="0" w:right="400" w:hanging="0"/>
              <w:jc w:val="left"/>
              <w:rPr>
                <w:sz w:val="4"/>
                <w:szCs w:val="4"/>
              </w:rPr>
            </w:pPr>
            <w:r>
              <w:rPr>
                <w:sz w:val="4"/>
                <w:szCs w:val="4"/>
              </w:rPr>
            </w:r>
          </w:p>
        </w:tc>
        <w:tc>
          <w:tcPr>
            <w:tcW w:w="546" w:type="dxa"/>
            <w:tcBorders/>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(0.39</w:t>
            </w:r>
          </w:p>
        </w:tc>
        <w:tc>
          <w:tcPr>
            <w:tcW w:w="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(0.72</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up</w:t>
            </w:r>
          </w:p>
        </w:tc>
        <w:tc>
          <w:tcPr>
            <w:tcW w:w="616" w:type="dxa"/>
            <w:tcBorders/>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943" w:type="dxa"/>
            <w:tcBorders/>
            <w:tcMar>
              <w:top w:w="0" w:type="dxa"/>
              <w:left w:w="0" w:type="dxa"/>
              <w:bottom w:w="0" w:type="dxa"/>
              <w:right w:w="0" w:type="dxa"/>
            </w:tcMar>
            <w:vAlign w:val="center"/>
          </w:tcPr>
          <w:p>
            <w:pPr>
              <w:pStyle w:val="TableContents"/>
              <w:bidi w:val="0"/>
              <w:spacing w:before="0" w:after="283"/>
              <w:ind w:left="0" w:right="400" w:hanging="0"/>
              <w:jc w:val="right"/>
              <w:rPr/>
            </w:pPr>
            <w:r>
              <w:rPr/>
              <w:t> </w:t>
            </w:r>
          </w:p>
        </w:tc>
      </w:tr>
    </w:tbl>
    <w:p>
      <w:pPr>
        <w:pStyle w:val="TextBody"/>
        <w:bidi w:val="0"/>
        <w:jc w:val="left"/>
        <w:rPr/>
      </w:pPr>
      <w:r>
        <w:rPr/>
        <w:t> </w:t>
      </w:r>
    </w:p>
    <w:tbl>
      <w:tblPr>
        <w:tblW w:w="8778" w:type="dxa"/>
        <w:jc w:val="left"/>
        <w:tblInd w:w="0" w:type="dxa"/>
        <w:tblLayout w:type="fixed"/>
        <w:tblCellMar>
          <w:top w:w="28" w:type="dxa"/>
          <w:left w:w="28" w:type="dxa"/>
          <w:bottom w:w="28" w:type="dxa"/>
          <w:right w:w="28" w:type="dxa"/>
        </w:tblCellMar>
      </w:tblPr>
      <w:tblGrid>
        <w:gridCol w:w="3556"/>
        <w:gridCol w:w="546"/>
        <w:gridCol w:w="546"/>
        <w:gridCol w:w="661"/>
        <w:gridCol w:w="566"/>
        <w:gridCol w:w="546"/>
        <w:gridCol w:w="661"/>
        <w:gridCol w:w="166"/>
        <w:gridCol w:w="146"/>
        <w:gridCol w:w="511"/>
        <w:gridCol w:w="366"/>
        <w:gridCol w:w="316"/>
        <w:gridCol w:w="191"/>
      </w:tblGrid>
      <w:tr>
        <w:trPr/>
        <w:tc>
          <w:tcPr>
            <w:tcW w:w="355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5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76" w:type="dxa"/>
            <w:gridSpan w:val="11"/>
            <w:tcBorders/>
            <w:tcMar>
              <w:top w:w="0" w:type="dxa"/>
              <w:left w:w="0" w:type="dxa"/>
              <w:bottom w:w="0" w:type="dxa"/>
              <w:right w:w="0" w:type="dxa"/>
            </w:tcMar>
            <w:vAlign w:val="center"/>
          </w:tcPr>
          <w:p>
            <w:pPr>
              <w:pStyle w:val="TableContents"/>
              <w:bidi w:val="0"/>
              <w:spacing w:before="0" w:after="283"/>
              <w:ind w:left="0" w:right="0" w:firstLine="234"/>
              <w:jc w:val="left"/>
              <w:rPr>
                <w:rFonts w:ascii="Times New Roman" w:hAnsi="Times New Roman"/>
                <w:b/>
                <w:color w:val="000000"/>
                <w:sz w:val="16"/>
              </w:rPr>
            </w:pPr>
            <w:r>
              <w:rPr>
                <w:rFonts w:ascii="Times New Roman" w:hAnsi="Times New Roman"/>
                <w:b/>
                <w:color w:val="000000"/>
                <w:sz w:val="16"/>
              </w:rPr>
              <w:t>In thousands of U.S dollars, except share data</w:t>
            </w:r>
          </w:p>
        </w:tc>
      </w:tr>
      <w:tr>
        <w:trPr/>
        <w:tc>
          <w:tcPr>
            <w:tcW w:w="355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5" w:type="dxa"/>
            <w:gridSpan w:val="10"/>
            <w:tcBorders>
              <w:top w:val="single" w:sz="8"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Non-GAAP</w:t>
            </w:r>
            <w:r>
              <w:rPr>
                <w:rFonts w:ascii="Times New Roman" w:hAnsi="Times New Roman"/>
                <w:b/>
                <w:color w:val="000000"/>
                <w:sz w:val="11"/>
              </w:rPr>
              <w:t>(1)(3)</w:t>
            </w:r>
          </w:p>
        </w:tc>
        <w:tc>
          <w:tcPr>
            <w:tcW w:w="19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3556" w:type="dxa"/>
            <w:tcBorders>
              <w:bottom w:val="single" w:sz="8" w:space="0" w:color="CCEEFF"/>
            </w:tcBorders>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8" w:space="0" w:color="CCEEFF"/>
            </w:tcBorders>
            <w:tcMar>
              <w:top w:w="0" w:type="dxa"/>
              <w:left w:w="0" w:type="dxa"/>
              <w:right w:w="0" w:type="dxa"/>
            </w:tcMar>
            <w:vAlign w:val="center"/>
          </w:tcPr>
          <w:p>
            <w:pPr>
              <w:pStyle w:val="TableContents"/>
              <w:bidi w:val="0"/>
              <w:spacing w:before="0" w:after="283"/>
              <w:jc w:val="left"/>
              <w:rPr/>
            </w:pPr>
            <w:r>
              <w:rPr/>
              <w:t> </w:t>
            </w:r>
          </w:p>
        </w:tc>
        <w:tc>
          <w:tcPr>
            <w:tcW w:w="120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66" w:type="dxa"/>
            <w:tcBorders>
              <w:bottom w:val="single" w:sz="8" w:space="0" w:color="CCEEFF"/>
            </w:tcBorders>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8" w:space="0" w:color="CCEEFF"/>
            </w:tcBorders>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2024</w:t>
            </w:r>
            <w:r>
              <w:rPr>
                <w:rFonts w:ascii="Times New Roman" w:hAnsi="Times New Roman"/>
                <w:b/>
                <w:color w:val="000000"/>
                <w:sz w:val="11"/>
              </w:rPr>
              <w:t>(1)</w:t>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8" w:space="0" w:color="CCEEFF"/>
            </w:tcBorders>
            <w:tcMar>
              <w:top w:w="0" w:type="dxa"/>
              <w:left w:w="0" w:type="dxa"/>
              <w:right w:w="0" w:type="dxa"/>
            </w:tcMar>
            <w:vAlign w:val="center"/>
          </w:tcPr>
          <w:p>
            <w:pPr>
              <w:pStyle w:val="TableContents"/>
              <w:bidi w:val="0"/>
              <w:spacing w:before="0" w:after="283"/>
              <w:jc w:val="left"/>
              <w:rPr/>
            </w:pPr>
            <w:r>
              <w:rPr/>
              <w:t> </w:t>
            </w:r>
          </w:p>
        </w:tc>
        <w:tc>
          <w:tcPr>
            <w:tcW w:w="11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Y/Y Change</w:t>
            </w:r>
          </w:p>
        </w:tc>
        <w:tc>
          <w:tcPr>
            <w:tcW w:w="191" w:type="dxa"/>
            <w:tcBorders>
              <w:bottom w:val="single" w:sz="8" w:space="0" w:color="CCEEFF"/>
            </w:tcBorders>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Operating Loss</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right"/>
              <w:rPr/>
            </w:pPr>
            <w:r>
              <w:rPr/>
              <w:t> </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righ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(28,488</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(19,087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EBITDA</w:t>
            </w:r>
          </w:p>
        </w:tc>
        <w:tc>
          <w:tcPr>
            <w:tcW w:w="546"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c>
          <w:tcPr>
            <w:tcW w:w="546"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(15,567</w:t>
            </w:r>
          </w:p>
        </w:tc>
        <w:tc>
          <w:tcPr>
            <w:tcW w:w="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(4,241</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down</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Loss</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(7,866</w:t>
            </w:r>
          </w:p>
        </w:tc>
        <w:tc>
          <w:tcPr>
            <w:tcW w:w="566" w:type="dxa"/>
            <w:tcBorders/>
            <w:shd w:fill="CCEEFF" w:val="clear"/>
            <w:tcMar>
              <w:top w:w="0" w:type="dxa"/>
              <w:left w:w="0" w:type="dxa"/>
              <w:bottom w:w="0" w:type="dxa"/>
              <w:right w:w="0" w:type="dxa"/>
            </w:tcMar>
            <w:vAlign w:val="center"/>
          </w:tcPr>
          <w:p>
            <w:pPr>
              <w:pStyle w:val="TableContents"/>
              <w:bidi w:val="0"/>
              <w:spacing w:before="0" w:after="283"/>
              <w:ind w:left="0" w:right="400" w:hanging="0"/>
              <w:jc w:val="left"/>
              <w:rPr>
                <w:rFonts w:ascii="Times New Roman" w:hAnsi="Times New Roman"/>
                <w:color w:val="000000"/>
                <w:sz w:val="18"/>
              </w:rPr>
            </w:pPr>
            <w:r>
              <w:rPr>
                <w:rFonts w:ascii="Times New Roman" w:hAnsi="Times New Roman"/>
                <w:color w:val="000000"/>
                <w:sz w:val="18"/>
              </w:rPr>
              <w:t>)</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up</w:t>
            </w:r>
          </w:p>
        </w:tc>
        <w:tc>
          <w:tcPr>
            <w:tcW w:w="366" w:type="dxa"/>
            <w:tcBorders/>
            <w:shd w:fill="CCEEFF" w:val="clear"/>
            <w:tcMar>
              <w:top w:w="0" w:type="dxa"/>
              <w:left w:w="0" w:type="dxa"/>
              <w:bottom w:w="0" w:type="dxa"/>
              <w:right w:w="0" w:type="dxa"/>
            </w:tcMar>
            <w:vAlign w:val="center"/>
          </w:tcPr>
          <w:p>
            <w:pPr>
              <w:pStyle w:val="TableContents"/>
              <w:bidi w:val="0"/>
              <w:spacing w:before="0" w:after="283"/>
              <w:ind w:left="0" w:right="220" w:hanging="0"/>
              <w:jc w:val="righ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Loss per Common Share—Diluted</w:t>
            </w:r>
          </w:p>
        </w:tc>
        <w:tc>
          <w:tcPr>
            <w:tcW w:w="546" w:type="dxa"/>
            <w:tcBorders/>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546" w:type="dxa"/>
            <w:tcBorders/>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(0.22</w:t>
            </w:r>
          </w:p>
        </w:tc>
        <w:tc>
          <w:tcPr>
            <w:tcW w:w="566" w:type="dxa"/>
            <w:tcBorders/>
            <w:tcMar>
              <w:top w:w="0" w:type="dxa"/>
              <w:left w:w="0" w:type="dxa"/>
              <w:bottom w:w="0" w:type="dxa"/>
              <w:right w:w="0" w:type="dxa"/>
            </w:tcMar>
            <w:vAlign w:val="center"/>
          </w:tcPr>
          <w:p>
            <w:pPr>
              <w:pStyle w:val="TableContents"/>
              <w:bidi w:val="0"/>
              <w:spacing w:before="0" w:after="283"/>
              <w:ind w:left="0" w:right="400" w:hanging="0"/>
              <w:jc w:val="left"/>
              <w:rPr>
                <w:rFonts w:ascii="Times New Roman" w:hAnsi="Times New Roman"/>
                <w:color w:val="000000"/>
                <w:sz w:val="18"/>
              </w:rPr>
            </w:pPr>
            <w:r>
              <w:rPr>
                <w:rFonts w:ascii="Times New Roman" w:hAnsi="Times New Roman"/>
                <w:color w:val="000000"/>
                <w:sz w:val="18"/>
              </w:rPr>
              <w:t>)</w:t>
            </w:r>
          </w:p>
        </w:tc>
        <w:tc>
          <w:tcPr>
            <w:tcW w:w="546" w:type="dxa"/>
            <w:tcBorders/>
            <w:tcMar>
              <w:top w:w="0" w:type="dxa"/>
              <w:left w:w="0" w:type="dxa"/>
              <w:bottom w:w="0" w:type="dxa"/>
              <w:right w:w="0" w:type="dxa"/>
            </w:tcMar>
            <w:vAlign w:val="center"/>
          </w:tcPr>
          <w:p>
            <w:pPr>
              <w:pStyle w:val="TableContents"/>
              <w:bidi w:val="0"/>
              <w:spacing w:before="0" w:after="283"/>
              <w:ind w:left="0" w:right="400" w:hanging="0"/>
              <w:jc w:val="righ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(0.22</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up</w:t>
            </w:r>
          </w:p>
        </w:tc>
        <w:tc>
          <w:tcPr>
            <w:tcW w:w="366" w:type="dxa"/>
            <w:tcBorders/>
            <w:tcMar>
              <w:top w:w="0" w:type="dxa"/>
              <w:left w:w="0" w:type="dxa"/>
              <w:bottom w:w="0" w:type="dxa"/>
              <w:right w:w="0" w:type="dxa"/>
            </w:tcMar>
            <w:vAlign w:val="center"/>
          </w:tcPr>
          <w:p>
            <w:pPr>
              <w:pStyle w:val="TableContents"/>
              <w:bidi w:val="0"/>
              <w:spacing w:before="0" w:after="283"/>
              <w:ind w:left="0" w:right="220" w:hanging="0"/>
              <w:jc w:val="righ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GAAP and non-GAAP metrics summarized herein do not include any amounts relating to the Display business, which has been classified as discontinued operations from Q1 2025, and we have reclassified certain prior year amounts to conform to the current year’s presentation.</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504950" cy="304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04950" cy="304800"/>
                    </a:xfrm>
                    <a:prstGeom prst="rect">
                      <a:avLst/>
                    </a:prstGeom>
                  </pic:spPr>
                </pic:pic>
              </a:graphicData>
            </a:graphic>
          </wp:inline>
        </w:drawing>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Following the consummation of the sale of the Foundry Services Group business and Fab 4 in Q3 2020, we provided transitional foundry services to the buyer for foundry products manufactured in our fabrication facility located in Gumi, Korea, known as “Fab 3” (“Transitional Fab 3 Foundry Services”). The contractual obligation to provide the Transitional Fab 3 Foundry Services ended August 31, 2023, and we had wound down these foundry services by the end of 2024. Because these foundry services during the wind-down period had still been provided to the same buyer by us using our Fab 3 based on mutually agreed terms and conditions, we continued to report our revenue from providing these foundry services and related cost of sales within the Transitional Fab 3 Foundry Services line in our consolidated statement of operations until such wind down was completed. Management believes that disclosing revenue of Transitional Fab 3 Foundry Services separately from the Power Solutions business allows investors to better understand the results of our core PAS and Power IC businesses.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jc w:val="left"/>
        <w:rPr>
          <w:rFonts w:ascii="Times New Roman" w:hAnsi="Times New Roman"/>
          <w:color w:val="000000"/>
          <w:sz w:val="18"/>
        </w:rPr>
      </w:pPr>
      <w:r>
        <w:rPr>
          <w:rFonts w:ascii="Times New Roman" w:hAnsi="Times New Roman"/>
          <w:color w:val="000000"/>
          <w:sz w:val="18"/>
        </w:rPr>
        <w:t>Management believes that non-GAAP financial measures, when viewed in conjunction with GAAP results, can provide a meaningful understanding of the factors and trends affecting our business and operations and assist in evaluating our core operating performance. However, such non-GAAP financial measures have limitations and should not be considered as a substitute for net loss or as a better indicator of our operating performance than measures that are presented in accordance with GAAP. A reconciliation of historical GAAP results to non-GAAP results is included in this press release.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Q1 2026 Financial Guidance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actual results may vary, Magnachip currently expects the following:</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revenue from continuing operations (which includes Power Analog Solutions and Power IC businesses) to be in the range of $44.0 to $48.0 million, up 13.4% sequentially and up 2.9% year-over-year at the mid-point. This compares with $40.6 million in Q4 2025 and $44.7 million in Q1 2025.</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gross profit margin from continuing operations to be in the range of 14% to 16%, up from 9.3% in Q4 2025 but down from 20.9% in Q1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Q4 and Full Year 2025 Earnings Conference Call</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Magnachip will host a corresponding conference call at 2:00 p.m. PT / 5:00 p.m. ET today, Wednesday, March 4, 2026, to discuss its financial results. In advance of the conference call, all participants must use the following link to complete the online registration process. Upon registering, each participant will receive access details for this event including the dial-in numbers, a PIN number, and an e-mail with detailed instructions to join the conference call. A live and archived webcast of the conference call and a copy of earnings release will be accessible from the ‘Investors’ section of the Company’s website at </w:t>
      </w:r>
      <w:r>
        <w:rPr>
          <w:rFonts w:ascii="Times New Roman" w:hAnsi="Times New Roman"/>
          <w:sz w:val="20"/>
        </w:rPr>
        <w:t>www.magnachip.com</w:t>
      </w:r>
      <w:r>
        <w:rPr>
          <w:rFonts w:ascii="Times New Roman" w:hAnsi="Times New Roman"/>
          <w:color w:val="000000"/>
          <w:sz w:val="20"/>
        </w:rPr>
        <w:t>.</w:t>
      </w:r>
    </w:p>
    <w:p>
      <w:pPr>
        <w:pStyle w:val="TextBody"/>
        <w:bidi w:val="0"/>
        <w:spacing w:before="200" w:after="283"/>
        <w:jc w:val="left"/>
        <w:rPr>
          <w:rFonts w:ascii="Times New Roman" w:hAnsi="Times New Roman"/>
          <w:sz w:val="20"/>
        </w:rPr>
      </w:pPr>
      <w:r>
        <w:rPr>
          <w:rFonts w:ascii="Times New Roman" w:hAnsi="Times New Roman"/>
          <w:b/>
          <w:color w:val="000000"/>
          <w:sz w:val="20"/>
        </w:rPr>
        <w:t>Online registration:</w:t>
      </w:r>
      <w:r>
        <w:rPr>
          <w:rFonts w:ascii="Times New Roman" w:hAnsi="Times New Roman"/>
          <w:color w:val="000000"/>
          <w:sz w:val="20"/>
        </w:rPr>
        <w:t xml:space="preserve"> </w:t>
      </w:r>
      <w:r>
        <w:rPr>
          <w:rFonts w:ascii="Times New Roman" w:hAnsi="Times New Roman"/>
          <w:sz w:val="20"/>
        </w:rPr>
        <w:t>https://register-conf.media-server.com/register/BI9d3aea74bb7c44d78d19c946518cef3c</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Safe Harbor for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Information in this press release regarding Magnachip’s forecasts, business outlook, expectations and beliefs are forward-looking statements within the meaning of the Private Securities Litigation Reform Act of 1995 that involve risks and uncertainties. These statements include expectations about estimated historical or future operating results and financial performance, outlook and business plans, including first quarter 2026 revenue and gross profit margin expectations, future growth and revenue opportunities from new and existing products and customers, the timing and extent of future revenue contributions by our products and businesses, and the impact of market conditions associated with inflation and higher interest rates, geopolitical conflicts including between Russia-Ukraine and between Israel, the United States and Iran, sustained military action and conflict in the Red Sea, global macroeconomic conditions resulting from trade and tariff actions instituted between the U.S. and other countries on Magnachip’s future operating results and financial performance, and the potential impacts of emerging technologies such as artificial intelligence on industry dynamics, customer demand, supply chain operations, and regulatory environments.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among others: the impact of changes in macroeconomic conditions, including those caused by or related to recent trade and tariff actions announced by the U.S. globally and the related retaliatory tariffs and disruptions in supply chains and global trade as a result thereof, inflation, potential recessions or other deteriorations, economic instability or civil unrest; geopolitical conflicts, including between Russia-Ukraine and between Israel, the United States and Iran and sustained military action and conflict in the Red Sea; disruptions or economic impact resulting from the United States government shutdown, including disruptions at U.S. government agencies caused by reduction in staffing, operations, funding shortages or other concerns that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504950" cy="304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04950" cy="304800"/>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prevent new products and services from being developed or commercialized in a timely manner or otherwise prevent those agencies from performing normal business functions on which the operation of our customer’s businesses may rely; manufacturing capacity constraints or supply chain disruptions that may impact our ability to deliver our products or affect the price of components, which may lead to an increase in our costs and impact demand for our products from customers who are similarly affected by such capacity constraints or disruptions; the impact of competitive products and pricing; timely acceptance of our designs by customers; timely introduction of new products and technologies; the potential impact of emerging technologies such as artificial intelligence on industry dynamics, customer demand, supply chain operations, and regulatory environments; our ability to ramp new products into volume production; industry-wide shifts in supply and demand for semiconductor products; overcapacity within the industry or at Magnachip; effective and cost-efficient utilization of manufacturing capacity; financial stability in foreign markets and the impact of foreign exchange rates; unanticipated costs and expenses or the inability to identify expenses that can be eliminated; compliance with U.S. and international trade and export laws and regulations by us, our customers and our distributors; change to or ratification of local or international laws and regulations, including those related to environment, health and safety; public health issues; other business interruptions that could disrupt supply or delivery of, or demand for, Magnachip’s products; and other risks detailed from time to time in Magnachip’s filings with the SEC, including our Form 10-K filed on March 14, 2025,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About Magnachip Semiconductor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Magnachip is a designer and manufacturer of analog and mixed-signal power semiconductor platform solutions for various applications, including industrial, automotive, communication, consumer and computing. The Company provides a broad range of standard products to customers worldwide. Magnachip, with about 45 years of operating history, owns a substantial number of registered patents and pending applications, and has extensive engineering, design and manufacturing process expertise. For more information, please visit www.magnachip.com.</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CONTACT: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Mike Bishop</w:t>
      </w:r>
    </w:p>
    <w:p>
      <w:pPr>
        <w:pStyle w:val="TextBody"/>
        <w:bidi w:val="0"/>
        <w:jc w:val="left"/>
        <w:rPr>
          <w:rFonts w:ascii="Times New Roman" w:hAnsi="Times New Roman"/>
          <w:color w:val="000000"/>
          <w:sz w:val="20"/>
        </w:rPr>
      </w:pPr>
      <w:r>
        <w:rPr>
          <w:rFonts w:ascii="Times New Roman" w:hAnsi="Times New Roman"/>
          <w:color w:val="000000"/>
          <w:sz w:val="20"/>
        </w:rPr>
        <w:t>Bishop IR, LLC</w:t>
      </w:r>
    </w:p>
    <w:p>
      <w:pPr>
        <w:pStyle w:val="TextBody"/>
        <w:bidi w:val="0"/>
        <w:jc w:val="left"/>
        <w:rPr>
          <w:rFonts w:ascii="Times New Roman" w:hAnsi="Times New Roman"/>
          <w:color w:val="000000"/>
          <w:sz w:val="20"/>
        </w:rPr>
      </w:pPr>
      <w:r>
        <w:rPr>
          <w:rFonts w:ascii="Times New Roman" w:hAnsi="Times New Roman"/>
          <w:color w:val="000000"/>
          <w:sz w:val="20"/>
        </w:rPr>
        <w:t>Tel. +1 (415) 891-9633</w:t>
      </w:r>
    </w:p>
    <w:p>
      <w:pPr>
        <w:pStyle w:val="TextBody"/>
        <w:bidi w:val="0"/>
        <w:jc w:val="left"/>
        <w:rPr>
          <w:rFonts w:ascii="Times New Roman" w:hAnsi="Times New Roman"/>
          <w:color w:val="000000"/>
          <w:sz w:val="20"/>
        </w:rPr>
      </w:pPr>
      <w:r>
        <w:rPr>
          <w:rFonts w:ascii="Times New Roman" w:hAnsi="Times New Roman"/>
          <w:color w:val="000000"/>
          <w:sz w:val="20"/>
        </w:rPr>
        <w:t>mike@bishopir.com</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504950" cy="304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04950" cy="304800"/>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MAGNACHIP SEMICONDUCTOR CORPORATION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of U.S. dollars,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40"/>
        <w:gridCol w:w="146"/>
        <w:gridCol w:w="198"/>
        <w:gridCol w:w="926"/>
        <w:gridCol w:w="241"/>
        <w:gridCol w:w="146"/>
        <w:gridCol w:w="202"/>
        <w:gridCol w:w="947"/>
        <w:gridCol w:w="241"/>
        <w:gridCol w:w="146"/>
        <w:gridCol w:w="198"/>
        <w:gridCol w:w="926"/>
        <w:gridCol w:w="241"/>
        <w:gridCol w:w="146"/>
        <w:gridCol w:w="198"/>
        <w:gridCol w:w="926"/>
        <w:gridCol w:w="241"/>
        <w:gridCol w:w="146"/>
        <w:gridCol w:w="198"/>
        <w:gridCol w:w="926"/>
        <w:gridCol w:w="626"/>
      </w:tblGrid>
      <w:tr>
        <w:trPr/>
        <w:tc>
          <w:tcPr>
            <w:tcW w:w="22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22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Three Months Ended</w:t>
            </w:r>
            <w:r>
              <w:rPr>
                <w:rFonts w:ascii="Times New Roman" w:hAnsi="Times New Roman"/>
                <w:color w:val="000000"/>
                <w:sz w:val="18"/>
              </w:rPr>
              <w:t xml:space="preserve"> </w:t>
            </w:r>
          </w:p>
        </w:tc>
        <w:tc>
          <w:tcPr>
            <w:tcW w:w="2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5"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Year Ended</w:t>
            </w:r>
            <w:r>
              <w:rPr>
                <w:rFonts w:ascii="Times New Roman" w:hAnsi="Times New Roman"/>
                <w:color w:val="000000"/>
                <w:sz w:val="18"/>
              </w:rPr>
              <w:t xml:space="preserve"> </w:t>
            </w:r>
          </w:p>
        </w:tc>
        <w:tc>
          <w:tcPr>
            <w:tcW w:w="6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2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December 31,</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September 30,</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December 31,</w:t>
            </w:r>
          </w:p>
          <w:p>
            <w:pPr>
              <w:pStyle w:val="TableContents"/>
              <w:bidi w:val="0"/>
              <w:spacing w:before="0" w:after="283"/>
              <w:jc w:val="center"/>
              <w:rPr>
                <w:rFonts w:ascii="Times New Roman" w:hAnsi="Times New Roman"/>
                <w:sz w:val="18"/>
              </w:rPr>
            </w:pPr>
            <w:r>
              <w:rPr>
                <w:rFonts w:ascii="Times New Roman" w:hAnsi="Times New Roman"/>
                <w:b/>
                <w:color w:val="000000"/>
                <w:sz w:val="18"/>
              </w:rPr>
              <w:t>2024</w:t>
            </w:r>
            <w:r>
              <w:rPr>
                <w:rFonts w:ascii="Times New Roman" w:hAnsi="Times New Roman"/>
                <w:b/>
                <w:color w:val="000000"/>
                <w:sz w:val="12"/>
              </w:rPr>
              <w:t>(1)</w:t>
            </w:r>
            <w:r>
              <w:rPr>
                <w:rFonts w:ascii="Times New Roman" w:hAnsi="Times New Roman"/>
                <w:color w:val="000000"/>
                <w:sz w:val="18"/>
              </w:rPr>
              <w:t xml:space="preserve"> </w:t>
            </w:r>
          </w:p>
        </w:tc>
        <w:tc>
          <w:tcPr>
            <w:tcW w:w="2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December 31,</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December 31,</w:t>
            </w:r>
          </w:p>
          <w:p>
            <w:pPr>
              <w:pStyle w:val="TableContents"/>
              <w:bidi w:val="0"/>
              <w:spacing w:before="0" w:after="283"/>
              <w:jc w:val="center"/>
              <w:rPr>
                <w:rFonts w:ascii="Times New Roman" w:hAnsi="Times New Roman"/>
                <w:sz w:val="18"/>
              </w:rPr>
            </w:pPr>
            <w:r>
              <w:rPr>
                <w:rFonts w:ascii="Times New Roman" w:hAnsi="Times New Roman"/>
                <w:b/>
                <w:color w:val="000000"/>
                <w:sz w:val="18"/>
              </w:rPr>
              <w:t>2024</w:t>
            </w:r>
            <w:r>
              <w:rPr>
                <w:rFonts w:ascii="Times New Roman" w:hAnsi="Times New Roman"/>
                <w:b/>
                <w:color w:val="000000"/>
                <w:sz w:val="12"/>
              </w:rPr>
              <w:t>(1)</w:t>
            </w:r>
            <w:r>
              <w:rPr>
                <w:rFonts w:ascii="Times New Roman" w:hAnsi="Times New Roman"/>
                <w:color w:val="000000"/>
                <w:sz w:val="18"/>
              </w:rPr>
              <w:t xml:space="preserve"> </w:t>
            </w:r>
          </w:p>
        </w:tc>
        <w:tc>
          <w:tcPr>
            <w:tcW w:w="6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24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pPr>
            <w:r>
              <w:rPr/>
              <w:t> </w:t>
            </w:r>
          </w:p>
        </w:tc>
      </w:tr>
      <w:tr>
        <w:trPr/>
        <w:tc>
          <w:tcPr>
            <w:tcW w:w="2240"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16"/>
              </w:rPr>
            </w:pPr>
            <w:r>
              <w:rPr>
                <w:rFonts w:ascii="Times New Roman" w:hAnsi="Times New Roman"/>
                <w:color w:val="000000"/>
                <w:sz w:val="16"/>
              </w:rPr>
              <w:t>Net sales – Power Solutions business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40,570</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45,946</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48,858</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178,860</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185,828</w:t>
            </w:r>
          </w:p>
        </w:tc>
        <w:tc>
          <w:tcPr>
            <w:tcW w:w="626"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r>
      <w:tr>
        <w:trPr/>
        <w:tc>
          <w:tcPr>
            <w:tcW w:w="2240" w:type="dxa"/>
            <w:tcBorders/>
            <w:shd w:fill="CCEEFF" w:val="clear"/>
            <w:tcMar>
              <w:top w:w="0" w:type="dxa"/>
              <w:left w:w="0" w:type="dxa"/>
              <w:bottom w:w="0" w:type="dxa"/>
              <w:right w:w="0" w:type="dxa"/>
            </w:tcMar>
            <w:vAlign w:val="center"/>
          </w:tcPr>
          <w:p>
            <w:pPr>
              <w:pStyle w:val="TableContents"/>
              <w:bidi w:val="0"/>
              <w:ind w:left="216" w:right="0" w:firstLine="216"/>
              <w:jc w:val="left"/>
              <w:rPr>
                <w:rFonts w:ascii="Times New Roman" w:hAnsi="Times New Roman"/>
                <w:color w:val="000000"/>
                <w:sz w:val="16"/>
              </w:rPr>
            </w:pPr>
            <w:r>
              <w:rPr>
                <w:rFonts w:ascii="Times New Roman" w:hAnsi="Times New Roman"/>
                <w:color w:val="000000"/>
                <w:sz w:val="16"/>
              </w:rPr>
              <w:t>Net sales – Transitional Fab 3 foundry</w:t>
            </w:r>
          </w:p>
          <w:p>
            <w:pPr>
              <w:pStyle w:val="TableContents"/>
              <w:bidi w:val="0"/>
              <w:spacing w:before="0" w:after="283"/>
              <w:ind w:left="216" w:right="0" w:firstLine="216"/>
              <w:jc w:val="left"/>
              <w:rPr>
                <w:color w:val="000000"/>
              </w:rPr>
            </w:pPr>
            <w:r>
              <w:rPr>
                <w:color w:val="000000"/>
              </w:rPr>
              <w:t>   </w:t>
            </w:r>
            <w:r>
              <w:rPr>
                <w:rFonts w:ascii="Times New Roman" w:hAnsi="Times New Roman"/>
                <w:color w:val="000000"/>
                <w:sz w:val="16"/>
              </w:rPr>
              <w:t>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2,295</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10,597</w:t>
            </w:r>
          </w:p>
        </w:tc>
        <w:tc>
          <w:tcPr>
            <w:tcW w:w="6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2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40,570</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45,946</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51,153</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178,860</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196,425</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4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sales: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pPr>
            <w:r>
              <w:rPr/>
              <w:t> </w:t>
            </w:r>
          </w:p>
        </w:tc>
      </w:tr>
      <w:tr>
        <w:trPr/>
        <w:tc>
          <w:tcPr>
            <w:tcW w:w="2240"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16"/>
              </w:rPr>
            </w:pPr>
            <w:r>
              <w:rPr>
                <w:rFonts w:ascii="Times New Roman" w:hAnsi="Times New Roman"/>
                <w:color w:val="000000"/>
                <w:sz w:val="16"/>
              </w:rPr>
              <w:t>Cost of sales – Power Solutions business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36,792</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37,405</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37,530</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147,467</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145,884</w:t>
            </w:r>
          </w:p>
        </w:tc>
        <w:tc>
          <w:tcPr>
            <w:tcW w:w="626"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r>
      <w:tr>
        <w:trPr/>
        <w:tc>
          <w:tcPr>
            <w:tcW w:w="2240" w:type="dxa"/>
            <w:tcBorders/>
            <w:shd w:fill="CCEEFF" w:val="clear"/>
            <w:tcMar>
              <w:top w:w="0" w:type="dxa"/>
              <w:left w:w="0" w:type="dxa"/>
              <w:bottom w:w="0" w:type="dxa"/>
              <w:right w:w="0" w:type="dxa"/>
            </w:tcMar>
            <w:vAlign w:val="center"/>
          </w:tcPr>
          <w:p>
            <w:pPr>
              <w:pStyle w:val="TableContents"/>
              <w:bidi w:val="0"/>
              <w:ind w:left="216" w:right="0" w:firstLine="216"/>
              <w:jc w:val="left"/>
              <w:rPr>
                <w:rFonts w:ascii="Times New Roman" w:hAnsi="Times New Roman"/>
                <w:color w:val="000000"/>
                <w:sz w:val="16"/>
              </w:rPr>
            </w:pPr>
            <w:r>
              <w:rPr>
                <w:rFonts w:ascii="Times New Roman" w:hAnsi="Times New Roman"/>
                <w:color w:val="000000"/>
                <w:sz w:val="16"/>
              </w:rPr>
              <w:t>Cost of sales – Transitional Fab 3 foundry</w:t>
            </w:r>
          </w:p>
          <w:p>
            <w:pPr>
              <w:pStyle w:val="TableContents"/>
              <w:bidi w:val="0"/>
              <w:spacing w:before="0" w:after="283"/>
              <w:ind w:left="216" w:right="0" w:firstLine="216"/>
              <w:jc w:val="left"/>
              <w:rPr>
                <w:color w:val="000000"/>
              </w:rPr>
            </w:pPr>
            <w:r>
              <w:rPr>
                <w:color w:val="000000"/>
              </w:rPr>
              <w:t>   </w:t>
            </w:r>
            <w:r>
              <w:rPr>
                <w:rFonts w:ascii="Times New Roman" w:hAnsi="Times New Roman"/>
                <w:color w:val="000000"/>
                <w:sz w:val="16"/>
              </w:rPr>
              <w:t>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2,547</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11,814</w:t>
            </w:r>
          </w:p>
        </w:tc>
        <w:tc>
          <w:tcPr>
            <w:tcW w:w="62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32"/>
              <w:jc w:val="left"/>
              <w:rPr/>
            </w:pPr>
            <w:r>
              <w:rPr/>
              <w:t> </w:t>
            </w:r>
          </w:p>
        </w:tc>
      </w:tr>
      <w:tr>
        <w:trPr/>
        <w:tc>
          <w:tcPr>
            <w:tcW w:w="2240"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6"/>
              </w:rPr>
            </w:pPr>
            <w:r>
              <w:rPr>
                <w:rFonts w:ascii="Times New Roman" w:hAnsi="Times New Roman"/>
                <w:color w:val="000000"/>
                <w:sz w:val="16"/>
              </w:rPr>
              <w:t>Total cost of sales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36,792</w:t>
            </w:r>
          </w:p>
        </w:tc>
        <w:tc>
          <w:tcPr>
            <w:tcW w:w="2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37,405</w:t>
            </w:r>
          </w:p>
        </w:tc>
        <w:tc>
          <w:tcPr>
            <w:tcW w:w="2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40,077</w:t>
            </w:r>
          </w:p>
        </w:tc>
        <w:tc>
          <w:tcPr>
            <w:tcW w:w="2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147,467</w:t>
            </w:r>
          </w:p>
        </w:tc>
        <w:tc>
          <w:tcPr>
            <w:tcW w:w="2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157,698</w:t>
            </w:r>
          </w:p>
        </w:tc>
        <w:tc>
          <w:tcPr>
            <w:tcW w:w="6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24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11,076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31,393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38,727</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0"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Gross profit as a percentage of Power Solutions</w:t>
            </w:r>
          </w:p>
          <w:p>
            <w:pPr>
              <w:pStyle w:val="TableContents"/>
              <w:bidi w:val="0"/>
              <w:spacing w:before="0" w:after="283"/>
              <w:jc w:val="left"/>
              <w:rPr>
                <w:color w:val="000000"/>
              </w:rPr>
            </w:pPr>
            <w:r>
              <w:rPr>
                <w:color w:val="000000"/>
              </w:rPr>
              <w:t>   </w:t>
            </w:r>
            <w:r>
              <w:rPr>
                <w:rFonts w:ascii="Times New Roman" w:hAnsi="Times New Roman"/>
                <w:color w:val="000000"/>
                <w:sz w:val="16"/>
              </w:rPr>
              <w:t>business net sales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4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 as a percentage of total 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r>
      <w:tr>
        <w:trPr/>
        <w:tc>
          <w:tcPr>
            <w:tcW w:w="2240" w:type="dxa"/>
            <w:tcBorders/>
            <w:shd w:fill="CCEEFF" w:val="clear"/>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16"/>
              </w:rPr>
            </w:pPr>
            <w:r>
              <w:rPr>
                <w:rFonts w:ascii="Times New Roman" w:hAnsi="Times New Roman"/>
                <w:color w:val="000000"/>
                <w:sz w:val="16"/>
              </w:rPr>
              <w:t>Selling, general and administrative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9,758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35,116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38,099</w:t>
            </w:r>
          </w:p>
        </w:tc>
        <w:tc>
          <w:tcPr>
            <w:tcW w:w="626" w:type="dxa"/>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pPr>
            <w:r>
              <w:rPr/>
              <w:t> </w:t>
            </w:r>
          </w:p>
        </w:tc>
      </w:tr>
      <w:tr>
        <w:trPr/>
        <w:tc>
          <w:tcPr>
            <w:tcW w:w="2240"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16"/>
              </w:rPr>
            </w:pPr>
            <w:r>
              <w:rPr>
                <w:rFonts w:ascii="Times New Roman" w:hAnsi="Times New Roman"/>
                <w:color w:val="000000"/>
                <w:sz w:val="16"/>
              </w:rPr>
              <w:t>Research and development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7,599</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7,773</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6,557</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27,297</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25,012</w:t>
            </w:r>
          </w:p>
        </w:tc>
        <w:tc>
          <w:tcPr>
            <w:tcW w:w="626"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r>
      <w:tr>
        <w:trPr/>
        <w:tc>
          <w:tcPr>
            <w:tcW w:w="2240" w:type="dxa"/>
            <w:tcBorders/>
            <w:shd w:fill="CCEEFF" w:val="clear"/>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16"/>
              </w:rPr>
            </w:pPr>
            <w:r>
              <w:rPr>
                <w:rFonts w:ascii="Times New Roman" w:hAnsi="Times New Roman"/>
                <w:color w:val="000000"/>
                <w:sz w:val="16"/>
              </w:rPr>
              <w:t>Early termination and other charges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3,994</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1,589</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4,840</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1,589</w:t>
            </w:r>
          </w:p>
        </w:tc>
        <w:tc>
          <w:tcPr>
            <w:tcW w:w="62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32"/>
              <w:jc w:val="left"/>
              <w:rPr/>
            </w:pPr>
            <w:r>
              <w:rPr/>
              <w:t> </w:t>
            </w:r>
          </w:p>
        </w:tc>
      </w:tr>
      <w:tr>
        <w:trPr/>
        <w:tc>
          <w:tcPr>
            <w:tcW w:w="2240"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16,224</w:t>
            </w:r>
          </w:p>
        </w:tc>
        <w:tc>
          <w:tcPr>
            <w:tcW w:w="2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20,079</w:t>
            </w:r>
          </w:p>
        </w:tc>
        <w:tc>
          <w:tcPr>
            <w:tcW w:w="2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17,904</w:t>
            </w:r>
          </w:p>
        </w:tc>
        <w:tc>
          <w:tcPr>
            <w:tcW w:w="2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67,253</w:t>
            </w:r>
          </w:p>
        </w:tc>
        <w:tc>
          <w:tcPr>
            <w:tcW w:w="2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64,700</w:t>
            </w:r>
          </w:p>
        </w:tc>
        <w:tc>
          <w:tcPr>
            <w:tcW w:w="6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24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(12,446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(11,538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(35,860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(25,973</w:t>
            </w:r>
          </w:p>
        </w:tc>
        <w:tc>
          <w:tcPr>
            <w:tcW w:w="626" w:type="dxa"/>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6"/>
              </w:rPr>
            </w:pPr>
            <w:r>
              <w:rPr>
                <w:rFonts w:ascii="Times New Roman" w:hAnsi="Times New Roman"/>
                <w:color w:val="000000"/>
                <w:sz w:val="16"/>
              </w:rPr>
              <w:t>)</w:t>
            </w:r>
          </w:p>
        </w:tc>
      </w:tr>
      <w:tr>
        <w:trPr/>
        <w:tc>
          <w:tcPr>
            <w:tcW w:w="2240"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16"/>
              </w:rPr>
            </w:pPr>
            <w:r>
              <w:rPr>
                <w:rFonts w:ascii="Times New Roman" w:hAnsi="Times New Roman"/>
                <w:color w:val="000000"/>
                <w:sz w:val="16"/>
              </w:rPr>
              <w:t>Interest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1,246</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1,255</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2,106</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5,363</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8,320</w:t>
            </w:r>
          </w:p>
        </w:tc>
        <w:tc>
          <w:tcPr>
            <w:tcW w:w="626"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r>
      <w:tr>
        <w:trPr/>
        <w:tc>
          <w:tcPr>
            <w:tcW w:w="2240" w:type="dxa"/>
            <w:tcBorders/>
            <w:shd w:fill="CCEEFF" w:val="clear"/>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w:t>
            </w:r>
          </w:p>
        </w:tc>
        <w:tc>
          <w:tcPr>
            <w:tcW w:w="626" w:type="dxa"/>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6"/>
              </w:rPr>
            </w:pPr>
            <w:r>
              <w:rPr>
                <w:rFonts w:ascii="Times New Roman" w:hAnsi="Times New Roman"/>
                <w:color w:val="000000"/>
                <w:sz w:val="16"/>
              </w:rPr>
              <w:t>)</w:t>
            </w:r>
          </w:p>
        </w:tc>
      </w:tr>
      <w:tr>
        <w:trPr/>
        <w:tc>
          <w:tcPr>
            <w:tcW w:w="2240"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16"/>
              </w:rPr>
            </w:pPr>
            <w:r>
              <w:rPr>
                <w:rFonts w:ascii="Times New Roman" w:hAnsi="Times New Roman"/>
                <w:color w:val="000000"/>
                <w:sz w:val="16"/>
              </w:rPr>
              <w:t>Foreign currency loss,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(6,393</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(4,280</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(13,352</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(16,740</w:t>
            </w:r>
          </w:p>
        </w:tc>
        <w:tc>
          <w:tcPr>
            <w:tcW w:w="62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6"/>
              </w:rPr>
            </w:pPr>
            <w:r>
              <w:rPr>
                <w:rFonts w:ascii="Times New Roman" w:hAnsi="Times New Roman"/>
                <w:color w:val="000000"/>
                <w:sz w:val="16"/>
              </w:rPr>
              <w:t>)</w:t>
            </w:r>
          </w:p>
        </w:tc>
      </w:tr>
      <w:tr>
        <w:trPr/>
        <w:tc>
          <w:tcPr>
            <w:tcW w:w="2240" w:type="dxa"/>
            <w:tcBorders/>
            <w:shd w:fill="CCEEFF" w:val="clear"/>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298 </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w:t>
            </w:r>
          </w:p>
        </w:tc>
        <w:tc>
          <w:tcPr>
            <w:tcW w:w="6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240"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Loss from continuing operations before income</w:t>
            </w:r>
          </w:p>
          <w:p>
            <w:pPr>
              <w:pStyle w:val="TableContents"/>
              <w:bidi w:val="0"/>
              <w:spacing w:before="0" w:after="283"/>
              <w:jc w:val="left"/>
              <w:rPr>
                <w:color w:val="000000"/>
              </w:rPr>
            </w:pPr>
            <w:r>
              <w:rPr>
                <w:color w:val="000000"/>
              </w:rPr>
              <w:t>   </w:t>
            </w:r>
            <w:r>
              <w:rPr>
                <w:rFonts w:ascii="Times New Roman" w:hAnsi="Times New Roman"/>
                <w:color w:val="000000"/>
                <w:sz w:val="16"/>
              </w:rPr>
              <w:t>tax benefit,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(17,972</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(14,779</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(18,168</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(32,138</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(35,509</w:t>
            </w:r>
          </w:p>
        </w:tc>
        <w:tc>
          <w:tcPr>
            <w:tcW w:w="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4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benefit,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(9,180</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(4,170</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(10,466</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(17,889</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(8,199</w:t>
            </w:r>
          </w:p>
        </w:tc>
        <w:tc>
          <w:tcPr>
            <w:tcW w:w="6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continuing operations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(8,792</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(10,609</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(7,702</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(14,249</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(27,310</w:t>
            </w:r>
          </w:p>
        </w:tc>
        <w:tc>
          <w:tcPr>
            <w:tcW w:w="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40" w:type="dxa"/>
            <w:tcBorders/>
            <w:shd w:fill="CCEEFF" w:val="clear"/>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Income (Loss) from discontinued operations,</w:t>
            </w:r>
          </w:p>
          <w:p>
            <w:pPr>
              <w:pStyle w:val="TableContents"/>
              <w:bidi w:val="0"/>
              <w:spacing w:before="0" w:after="283"/>
              <w:jc w:val="left"/>
              <w:rPr>
                <w:color w:val="000000"/>
              </w:rPr>
            </w:pPr>
            <w:r>
              <w:rPr>
                <w:color w:val="000000"/>
              </w:rPr>
              <w:t>   </w:t>
            </w:r>
            <w:r>
              <w:rPr>
                <w:rFonts w:ascii="Times New Roman" w:hAnsi="Times New Roman"/>
                <w:color w:val="000000"/>
                <w:sz w:val="16"/>
              </w:rPr>
              <w:t>net of tax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(2,481</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(8,575</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(15,475</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(26,998</w:t>
            </w:r>
          </w:p>
        </w:tc>
        <w:tc>
          <w:tcPr>
            <w:tcW w:w="6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(8,079</w:t>
            </w:r>
          </w:p>
        </w:tc>
        <w:tc>
          <w:tcPr>
            <w:tcW w:w="24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7"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(13,090</w:t>
            </w:r>
          </w:p>
        </w:tc>
        <w:tc>
          <w:tcPr>
            <w:tcW w:w="24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(16,277</w:t>
            </w:r>
          </w:p>
        </w:tc>
        <w:tc>
          <w:tcPr>
            <w:tcW w:w="24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(29,724</w:t>
            </w:r>
          </w:p>
        </w:tc>
        <w:tc>
          <w:tcPr>
            <w:tcW w:w="24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(54,308</w:t>
            </w:r>
          </w:p>
        </w:tc>
        <w:tc>
          <w:tcPr>
            <w:tcW w:w="62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4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Basic earnings (loss) per common share—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pPr>
            <w:r>
              <w:rPr/>
              <w:t> </w:t>
            </w:r>
          </w:p>
        </w:tc>
      </w:tr>
      <w:tr>
        <w:trPr/>
        <w:tc>
          <w:tcPr>
            <w:tcW w:w="2240"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16"/>
              </w:rPr>
            </w:pPr>
            <w:r>
              <w:rPr>
                <w:rFonts w:ascii="Times New Roman" w:hAnsi="Times New Roman"/>
                <w:color w:val="000000"/>
                <w:sz w:val="16"/>
              </w:rPr>
              <w:t>Continuing operations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(0.24</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(0.29</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(0.21</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(0.39</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(0.72</w:t>
            </w:r>
          </w:p>
        </w:tc>
        <w:tc>
          <w:tcPr>
            <w:tcW w:w="62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6"/>
              </w:rPr>
            </w:pPr>
            <w:r>
              <w:rPr>
                <w:rFonts w:ascii="Times New Roman" w:hAnsi="Times New Roman"/>
                <w:color w:val="000000"/>
                <w:sz w:val="16"/>
              </w:rPr>
              <w:t>)</w:t>
            </w:r>
          </w:p>
        </w:tc>
      </w:tr>
      <w:tr>
        <w:trPr/>
        <w:tc>
          <w:tcPr>
            <w:tcW w:w="2240" w:type="dxa"/>
            <w:tcBorders/>
            <w:shd w:fill="CCEEFF" w:val="clear"/>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16"/>
              </w:rPr>
            </w:pPr>
            <w:r>
              <w:rPr>
                <w:rFonts w:ascii="Times New Roman" w:hAnsi="Times New Roman"/>
                <w:color w:val="000000"/>
                <w:sz w:val="16"/>
              </w:rPr>
              <w:t>Discontinuing operations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(0.72</w:t>
            </w:r>
          </w:p>
        </w:tc>
        <w:tc>
          <w:tcPr>
            <w:tcW w:w="626" w:type="dxa"/>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6"/>
              </w:rPr>
            </w:pPr>
            <w:r>
              <w:rPr>
                <w:rFonts w:ascii="Times New Roman" w:hAnsi="Times New Roman"/>
                <w:color w:val="000000"/>
                <w:sz w:val="16"/>
              </w:rPr>
              <w:t>)</w:t>
            </w:r>
          </w:p>
        </w:tc>
      </w:tr>
      <w:tr>
        <w:trPr/>
        <w:tc>
          <w:tcPr>
            <w:tcW w:w="2240"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16"/>
              </w:rPr>
            </w:pPr>
            <w:r>
              <w:rPr>
                <w:rFonts w:ascii="Times New Roman" w:hAnsi="Times New Roman"/>
                <w:color w:val="000000"/>
                <w:sz w:val="16"/>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(0.36</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(0.44</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(0.82</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4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Diluted earnings (loss) per common share—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pPr>
            <w:r>
              <w:rPr/>
              <w:t> </w:t>
            </w:r>
          </w:p>
        </w:tc>
      </w:tr>
      <w:tr>
        <w:trPr/>
        <w:tc>
          <w:tcPr>
            <w:tcW w:w="2240"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16"/>
              </w:rPr>
            </w:pPr>
            <w:r>
              <w:rPr>
                <w:rFonts w:ascii="Times New Roman" w:hAnsi="Times New Roman"/>
                <w:color w:val="000000"/>
                <w:sz w:val="16"/>
              </w:rPr>
              <w:t>Continuing operations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(0.24</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(0.29</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(0.21</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(0.39</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(0.72</w:t>
            </w:r>
          </w:p>
        </w:tc>
        <w:tc>
          <w:tcPr>
            <w:tcW w:w="62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6"/>
              </w:rPr>
            </w:pPr>
            <w:r>
              <w:rPr>
                <w:rFonts w:ascii="Times New Roman" w:hAnsi="Times New Roman"/>
                <w:color w:val="000000"/>
                <w:sz w:val="16"/>
              </w:rPr>
              <w:t>)</w:t>
            </w:r>
          </w:p>
        </w:tc>
      </w:tr>
      <w:tr>
        <w:trPr/>
        <w:tc>
          <w:tcPr>
            <w:tcW w:w="2240" w:type="dxa"/>
            <w:tcBorders/>
            <w:shd w:fill="CCEEFF" w:val="clear"/>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16"/>
              </w:rPr>
            </w:pPr>
            <w:r>
              <w:rPr>
                <w:rFonts w:ascii="Times New Roman" w:hAnsi="Times New Roman"/>
                <w:color w:val="000000"/>
                <w:sz w:val="16"/>
              </w:rPr>
              <w:t>Discontinuing operations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(0.72</w:t>
            </w:r>
          </w:p>
        </w:tc>
        <w:tc>
          <w:tcPr>
            <w:tcW w:w="626" w:type="dxa"/>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16"/>
              </w:rPr>
            </w:pPr>
            <w:r>
              <w:rPr>
                <w:rFonts w:ascii="Times New Roman" w:hAnsi="Times New Roman"/>
                <w:color w:val="000000"/>
                <w:sz w:val="16"/>
              </w:rPr>
              <w:t>)</w:t>
            </w:r>
          </w:p>
        </w:tc>
      </w:tr>
      <w:tr>
        <w:trPr/>
        <w:tc>
          <w:tcPr>
            <w:tcW w:w="2240"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16"/>
              </w:rPr>
            </w:pPr>
            <w:r>
              <w:rPr>
                <w:rFonts w:ascii="Times New Roman" w:hAnsi="Times New Roman"/>
                <w:color w:val="000000"/>
                <w:sz w:val="16"/>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(0.36</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(0.44</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(0.82</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4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shares—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pPr>
            <w:r>
              <w:rPr/>
              <w:t> </w:t>
            </w:r>
          </w:p>
        </w:tc>
      </w:tr>
      <w:tr>
        <w:trPr/>
        <w:tc>
          <w:tcPr>
            <w:tcW w:w="2240"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16"/>
              </w:rPr>
            </w:pPr>
            <w:r>
              <w:rPr>
                <w:rFonts w:ascii="Times New Roman" w:hAnsi="Times New Roman"/>
                <w:color w:val="000000"/>
                <w:sz w:val="16"/>
              </w:rPr>
              <w:t>Basic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35,979,697</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35,934,406</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36,921,300</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36,218,138</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37,774,280</w:t>
            </w:r>
          </w:p>
        </w:tc>
        <w:tc>
          <w:tcPr>
            <w:tcW w:w="626"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r>
      <w:tr>
        <w:trPr/>
        <w:tc>
          <w:tcPr>
            <w:tcW w:w="2240" w:type="dxa"/>
            <w:tcBorders/>
            <w:shd w:fill="CCEEFF" w:val="clear"/>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16"/>
              </w:rPr>
            </w:pPr>
            <w:r>
              <w:rPr>
                <w:rFonts w:ascii="Times New Roman" w:hAnsi="Times New Roman"/>
                <w:color w:val="000000"/>
                <w:sz w:val="16"/>
              </w:rPr>
              <w:t>Diluted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35,979,697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35,934,406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36,921,300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36,218,138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37,774,280</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ind w:left="0" w:right="9360" w:hanging="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xml:space="preserve">We have reclassified prior period financial information to conform to the current year presentation that reflects the classification of the Display business as discontinued operations from Q1 2025.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504950" cy="304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04950" cy="304800"/>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MAGNACHIP SEMICONDUCTOR CORPORATION AND SUBSIDIARIES</w:t>
      </w:r>
    </w:p>
    <w:p>
      <w:pPr>
        <w:pStyle w:val="TextBody"/>
        <w:bidi w:val="0"/>
        <w:jc w:val="center"/>
        <w:rPr>
          <w:rFonts w:ascii="Times New Roman" w:hAnsi="Times New Roman"/>
          <w:sz w:val="20"/>
        </w:rPr>
      </w:pPr>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of U.S. dollars, except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53"/>
        <w:gridCol w:w="405"/>
        <w:gridCol w:w="543"/>
        <w:gridCol w:w="868"/>
        <w:gridCol w:w="323"/>
        <w:gridCol w:w="326"/>
        <w:gridCol w:w="543"/>
        <w:gridCol w:w="868"/>
        <w:gridCol w:w="1176"/>
      </w:tblGrid>
      <w:tr>
        <w:trPr/>
        <w:tc>
          <w:tcPr>
            <w:tcW w:w="5153" w:type="dxa"/>
            <w:tcBorders/>
            <w:shd w:fill="FFFFFF" w:val="clear"/>
            <w:vAlign w:val="center"/>
          </w:tcPr>
          <w:p>
            <w:pPr>
              <w:pStyle w:val="TableContents"/>
              <w:bidi w:val="0"/>
              <w:spacing w:before="0" w:after="283"/>
              <w:jc w:val="left"/>
              <w:rPr>
                <w:sz w:val="4"/>
                <w:szCs w:val="4"/>
              </w:rPr>
            </w:pPr>
            <w:r>
              <w:rPr>
                <w:sz w:val="4"/>
                <w:szCs w:val="4"/>
              </w:rPr>
            </w:r>
          </w:p>
        </w:tc>
        <w:tc>
          <w:tcPr>
            <w:tcW w:w="405" w:type="dxa"/>
            <w:tcBorders/>
            <w:shd w:fill="FFFFFF" w:val="clear"/>
            <w:vAlign w:val="center"/>
          </w:tcPr>
          <w:p>
            <w:pPr>
              <w:pStyle w:val="TableContents"/>
              <w:bidi w:val="0"/>
              <w:spacing w:before="0" w:after="283"/>
              <w:jc w:val="left"/>
              <w:rPr>
                <w:sz w:val="4"/>
                <w:szCs w:val="4"/>
              </w:rPr>
            </w:pPr>
            <w:r>
              <w:rPr>
                <w:sz w:val="4"/>
                <w:szCs w:val="4"/>
              </w:rPr>
            </w:r>
          </w:p>
        </w:tc>
        <w:tc>
          <w:tcPr>
            <w:tcW w:w="543" w:type="dxa"/>
            <w:tcBorders/>
            <w:shd w:fill="FFFFFF" w:val="clear"/>
            <w:vAlign w:val="center"/>
          </w:tcPr>
          <w:p>
            <w:pPr>
              <w:pStyle w:val="TableContents"/>
              <w:bidi w:val="0"/>
              <w:spacing w:before="0" w:after="283"/>
              <w:jc w:val="left"/>
              <w:rPr>
                <w:sz w:val="4"/>
                <w:szCs w:val="4"/>
              </w:rPr>
            </w:pPr>
            <w:r>
              <w:rPr>
                <w:sz w:val="4"/>
                <w:szCs w:val="4"/>
              </w:rPr>
            </w:r>
          </w:p>
        </w:tc>
        <w:tc>
          <w:tcPr>
            <w:tcW w:w="868" w:type="dxa"/>
            <w:tcBorders/>
            <w:shd w:fill="FFFFFF" w:val="clear"/>
            <w:vAlign w:val="center"/>
          </w:tcPr>
          <w:p>
            <w:pPr>
              <w:pStyle w:val="TableContents"/>
              <w:bidi w:val="0"/>
              <w:spacing w:before="0" w:after="283"/>
              <w:jc w:val="left"/>
              <w:rPr>
                <w:sz w:val="4"/>
                <w:szCs w:val="4"/>
              </w:rPr>
            </w:pPr>
            <w:r>
              <w:rPr>
                <w:sz w:val="4"/>
                <w:szCs w:val="4"/>
              </w:rPr>
            </w:r>
          </w:p>
        </w:tc>
        <w:tc>
          <w:tcPr>
            <w:tcW w:w="323" w:type="dxa"/>
            <w:tcBorders/>
            <w:shd w:fill="FFFFFF" w:val="clear"/>
            <w:vAlign w:val="center"/>
          </w:tcPr>
          <w:p>
            <w:pPr>
              <w:pStyle w:val="TableContents"/>
              <w:bidi w:val="0"/>
              <w:spacing w:before="0" w:after="283"/>
              <w:jc w:val="left"/>
              <w:rPr>
                <w:sz w:val="4"/>
                <w:szCs w:val="4"/>
              </w:rPr>
            </w:pPr>
            <w:r>
              <w:rPr>
                <w:sz w:val="4"/>
                <w:szCs w:val="4"/>
              </w:rPr>
            </w:r>
          </w:p>
        </w:tc>
        <w:tc>
          <w:tcPr>
            <w:tcW w:w="326" w:type="dxa"/>
            <w:tcBorders/>
            <w:shd w:fill="FFFFFF" w:val="clear"/>
            <w:vAlign w:val="center"/>
          </w:tcPr>
          <w:p>
            <w:pPr>
              <w:pStyle w:val="TableContents"/>
              <w:bidi w:val="0"/>
              <w:spacing w:before="0" w:after="283"/>
              <w:jc w:val="left"/>
              <w:rPr>
                <w:sz w:val="4"/>
                <w:szCs w:val="4"/>
              </w:rPr>
            </w:pPr>
            <w:r>
              <w:rPr>
                <w:sz w:val="4"/>
                <w:szCs w:val="4"/>
              </w:rPr>
            </w:r>
          </w:p>
        </w:tc>
        <w:tc>
          <w:tcPr>
            <w:tcW w:w="543" w:type="dxa"/>
            <w:tcBorders/>
            <w:shd w:fill="FFFFFF" w:val="clear"/>
            <w:vAlign w:val="center"/>
          </w:tcPr>
          <w:p>
            <w:pPr>
              <w:pStyle w:val="TableContents"/>
              <w:bidi w:val="0"/>
              <w:spacing w:before="0" w:after="283"/>
              <w:jc w:val="left"/>
              <w:rPr>
                <w:sz w:val="4"/>
                <w:szCs w:val="4"/>
              </w:rPr>
            </w:pPr>
            <w:r>
              <w:rPr>
                <w:sz w:val="4"/>
                <w:szCs w:val="4"/>
              </w:rPr>
            </w:r>
          </w:p>
        </w:tc>
        <w:tc>
          <w:tcPr>
            <w:tcW w:w="868" w:type="dxa"/>
            <w:tcBorders/>
            <w:shd w:fill="FFFFFF" w:val="clear"/>
            <w:vAlign w:val="center"/>
          </w:tcPr>
          <w:p>
            <w:pPr>
              <w:pStyle w:val="TableContents"/>
              <w:bidi w:val="0"/>
              <w:spacing w:before="0" w:after="283"/>
              <w:jc w:val="left"/>
              <w:rPr>
                <w:sz w:val="4"/>
                <w:szCs w:val="4"/>
              </w:rPr>
            </w:pPr>
            <w:r>
              <w:rPr>
                <w:sz w:val="4"/>
                <w:szCs w:val="4"/>
              </w:rPr>
            </w:r>
          </w:p>
        </w:tc>
        <w:tc>
          <w:tcPr>
            <w:tcW w:w="1176" w:type="dxa"/>
            <w:tcBorders/>
            <w:shd w:fill="FFFFFF" w:val="clear"/>
            <w:vAlign w:val="center"/>
          </w:tcPr>
          <w:p>
            <w:pPr>
              <w:pStyle w:val="TableContents"/>
              <w:bidi w:val="0"/>
              <w:spacing w:before="0" w:after="283"/>
              <w:jc w:val="left"/>
              <w:rPr>
                <w:sz w:val="4"/>
                <w:szCs w:val="4"/>
              </w:rPr>
            </w:pPr>
            <w:r>
              <w:rPr>
                <w:sz w:val="4"/>
                <w:szCs w:val="4"/>
              </w:rPr>
            </w:r>
          </w:p>
        </w:tc>
      </w:tr>
      <w:tr>
        <w:trPr/>
        <w:tc>
          <w:tcPr>
            <w:tcW w:w="5153" w:type="dxa"/>
            <w:tcBorders/>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tcMar>
              <w:top w:w="0" w:type="dxa"/>
              <w:left w:w="0" w:type="dxa"/>
              <w:bottom w:w="0" w:type="dxa"/>
              <w:right w:w="0" w:type="dxa"/>
            </w:tcMar>
            <w:vAlign w:val="center"/>
          </w:tcPr>
          <w:p>
            <w:pPr>
              <w:pStyle w:val="TableContents"/>
              <w:bidi w:val="0"/>
              <w:spacing w:before="0" w:after="283"/>
              <w:ind w:left="0" w:right="259" w:hanging="0"/>
              <w:jc w:val="center"/>
              <w:rPr/>
            </w:pPr>
            <w:r>
              <w:rPr/>
              <w:t> </w:t>
            </w:r>
          </w:p>
        </w:tc>
        <w:tc>
          <w:tcPr>
            <w:tcW w:w="1411"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December 31,</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2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1"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December 31,</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w:t>
            </w:r>
          </w:p>
        </w:tc>
        <w:tc>
          <w:tcPr>
            <w:tcW w:w="11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15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Assets</w:t>
            </w:r>
          </w:p>
        </w:tc>
        <w:tc>
          <w:tcPr>
            <w:tcW w:w="405"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100" w:right="220" w:firstLine="100"/>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176" w:type="dxa"/>
            <w:tcBorders/>
            <w:shd w:fill="CCEEFF" w:val="clear"/>
            <w:tcMar>
              <w:top w:w="0" w:type="dxa"/>
              <w:left w:w="0" w:type="dxa"/>
              <w:bottom w:w="0" w:type="dxa"/>
              <w:right w:w="0" w:type="dxa"/>
            </w:tcMar>
            <w:vAlign w:val="center"/>
          </w:tcPr>
          <w:p>
            <w:pPr>
              <w:pStyle w:val="TableContents"/>
              <w:bidi w:val="0"/>
              <w:spacing w:before="0" w:after="283"/>
              <w:ind w:left="100" w:right="220" w:firstLine="100"/>
              <w:jc w:val="left"/>
              <w:rPr/>
            </w:pPr>
            <w:r>
              <w:rPr/>
              <w:t> </w:t>
            </w:r>
          </w:p>
        </w:tc>
      </w:tr>
      <w:tr>
        <w:trPr/>
        <w:tc>
          <w:tcPr>
            <w:tcW w:w="5153"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Current assets</w:t>
            </w:r>
          </w:p>
        </w:tc>
        <w:tc>
          <w:tcPr>
            <w:tcW w:w="405"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23"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ind w:left="100" w:right="220" w:firstLine="100"/>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176"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r>
      <w:tr>
        <w:trPr/>
        <w:tc>
          <w:tcPr>
            <w:tcW w:w="5153" w:type="dxa"/>
            <w:tcBorders/>
            <w:shd w:fill="CCEEFF" w:val="clear"/>
            <w:tcMar>
              <w:top w:w="0" w:type="dxa"/>
              <w:left w:w="0" w:type="dxa"/>
              <w:bottom w:w="0" w:type="dxa"/>
              <w:right w:w="0" w:type="dxa"/>
            </w:tcMar>
            <w:vAlign w:val="center"/>
          </w:tcPr>
          <w:p>
            <w:pPr>
              <w:pStyle w:val="TableContents"/>
              <w:pBdr/>
              <w:bidi w:val="0"/>
              <w:spacing w:before="0" w:after="283"/>
              <w:ind w:left="235" w:right="0" w:hanging="240"/>
              <w:jc w:val="left"/>
              <w:rPr>
                <w:rFonts w:ascii="Times New Roman" w:hAnsi="Times New Roman"/>
                <w:color w:val="000000"/>
                <w:sz w:val="18"/>
              </w:rPr>
            </w:pPr>
            <w:r>
              <w:rPr>
                <w:rFonts w:ascii="Times New Roman" w:hAnsi="Times New Roman"/>
                <w:color w:val="000000"/>
                <w:sz w:val="18"/>
              </w:rPr>
              <w:t>Cash and cash equivalents</w:t>
            </w:r>
          </w:p>
        </w:tc>
        <w:tc>
          <w:tcPr>
            <w:tcW w:w="405" w:type="dxa"/>
            <w:tcBorders/>
            <w:shd w:fill="CCEEFF" w:val="clear"/>
            <w:tcMar>
              <w:top w:w="0" w:type="dxa"/>
              <w:left w:w="0" w:type="dxa"/>
              <w:bottom w:w="0" w:type="dxa"/>
              <w:right w:w="0" w:type="dxa"/>
            </w:tcMar>
            <w:vAlign w:val="center"/>
          </w:tcPr>
          <w:p>
            <w:pPr>
              <w:pStyle w:val="TableContents"/>
              <w:bidi w:val="0"/>
              <w:spacing w:before="0" w:after="20"/>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18"/>
              </w:rPr>
            </w:pPr>
            <w:r>
              <w:rPr>
                <w:rFonts w:ascii="Times New Roman" w:hAnsi="Times New Roman"/>
                <w:color w:val="000000"/>
                <w:sz w:val="18"/>
              </w:rPr>
              <w:t>$</w:t>
            </w:r>
          </w:p>
        </w:tc>
        <w:tc>
          <w:tcPr>
            <w:tcW w:w="86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103,756</w:t>
            </w:r>
          </w:p>
        </w:tc>
        <w:tc>
          <w:tcPr>
            <w:tcW w:w="323" w:type="dxa"/>
            <w:tcBorders/>
            <w:shd w:fill="CCEEFF" w:val="clear"/>
            <w:tcMar>
              <w:top w:w="0" w:type="dxa"/>
              <w:left w:w="0" w:type="dxa"/>
              <w:bottom w:w="0" w:type="dxa"/>
              <w:right w:w="0" w:type="dxa"/>
            </w:tcMar>
            <w:vAlign w:val="center"/>
          </w:tcPr>
          <w:p>
            <w:pPr>
              <w:pStyle w:val="TableContents"/>
              <w:bidi w:val="0"/>
              <w:spacing w:before="0" w:after="20"/>
              <w:jc w:val="left"/>
              <w:rPr/>
            </w:pPr>
            <w:r>
              <w:rPr/>
              <w:t> </w:t>
            </w:r>
          </w:p>
        </w:tc>
        <w:tc>
          <w:tcPr>
            <w:tcW w:w="326" w:type="dxa"/>
            <w:tcBorders/>
            <w:shd w:fill="CCEEFF" w:val="clear"/>
            <w:tcMar>
              <w:top w:w="0" w:type="dxa"/>
              <w:left w:w="0" w:type="dxa"/>
              <w:bottom w:w="0" w:type="dxa"/>
              <w:right w:w="0" w:type="dxa"/>
            </w:tcMar>
            <w:vAlign w:val="center"/>
          </w:tcPr>
          <w:p>
            <w:pPr>
              <w:pStyle w:val="TableContents"/>
              <w:bidi w:val="0"/>
              <w:spacing w:before="0" w:after="20"/>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18"/>
              </w:rPr>
            </w:pPr>
            <w:r>
              <w:rPr>
                <w:rFonts w:ascii="Times New Roman" w:hAnsi="Times New Roman"/>
                <w:color w:val="000000"/>
                <w:sz w:val="18"/>
              </w:rPr>
              <w:t>$</w:t>
            </w:r>
          </w:p>
        </w:tc>
        <w:tc>
          <w:tcPr>
            <w:tcW w:w="86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138,610</w:t>
            </w:r>
          </w:p>
        </w:tc>
        <w:tc>
          <w:tcPr>
            <w:tcW w:w="1176" w:type="dxa"/>
            <w:tcBorders/>
            <w:shd w:fill="CCEEFF" w:val="clear"/>
            <w:tcMar>
              <w:top w:w="0" w:type="dxa"/>
              <w:left w:w="0" w:type="dxa"/>
              <w:bottom w:w="0" w:type="dxa"/>
              <w:right w:w="0" w:type="dxa"/>
            </w:tcMar>
            <w:vAlign w:val="center"/>
          </w:tcPr>
          <w:p>
            <w:pPr>
              <w:pStyle w:val="TableContents"/>
              <w:bidi w:val="0"/>
              <w:spacing w:before="0" w:after="20"/>
              <w:ind w:left="0" w:right="0" w:firstLine="475"/>
              <w:jc w:val="left"/>
              <w:rPr/>
            </w:pPr>
            <w:r>
              <w:rPr/>
              <w:t> </w:t>
            </w:r>
          </w:p>
        </w:tc>
      </w:tr>
      <w:tr>
        <w:trPr/>
        <w:tc>
          <w:tcPr>
            <w:tcW w:w="5153" w:type="dxa"/>
            <w:tcBorders/>
            <w:tcMar>
              <w:top w:w="0" w:type="dxa"/>
              <w:left w:w="0" w:type="dxa"/>
              <w:bottom w:w="0" w:type="dxa"/>
              <w:right w:w="0" w:type="dxa"/>
            </w:tcMar>
            <w:vAlign w:val="center"/>
          </w:tcPr>
          <w:p>
            <w:pPr>
              <w:pStyle w:val="TableContents"/>
              <w:pBdr/>
              <w:bidi w:val="0"/>
              <w:spacing w:before="0" w:after="283"/>
              <w:ind w:left="235" w:right="0" w:hanging="240"/>
              <w:jc w:val="left"/>
              <w:rPr>
                <w:rFonts w:ascii="Times New Roman" w:hAnsi="Times New Roman"/>
                <w:color w:val="000000"/>
                <w:sz w:val="18"/>
              </w:rPr>
            </w:pPr>
            <w:r>
              <w:rPr>
                <w:rFonts w:ascii="Times New Roman" w:hAnsi="Times New Roman"/>
                <w:color w:val="000000"/>
                <w:sz w:val="18"/>
              </w:rPr>
              <w:t>Accounts receivable, net</w:t>
            </w:r>
          </w:p>
        </w:tc>
        <w:tc>
          <w:tcPr>
            <w:tcW w:w="405" w:type="dxa"/>
            <w:tcBorders/>
            <w:tcMar>
              <w:top w:w="0" w:type="dxa"/>
              <w:left w:w="0" w:type="dxa"/>
              <w:bottom w:w="0" w:type="dxa"/>
              <w:right w:w="0" w:type="dxa"/>
            </w:tcMar>
            <w:vAlign w:val="center"/>
          </w:tcPr>
          <w:p>
            <w:pPr>
              <w:pStyle w:val="TableContents"/>
              <w:bidi w:val="0"/>
              <w:spacing w:before="0" w:after="20"/>
              <w:jc w:val="left"/>
              <w:rPr/>
            </w:pPr>
            <w:r>
              <w:rPr/>
              <w:t> </w:t>
            </w:r>
          </w:p>
        </w:tc>
        <w:tc>
          <w:tcPr>
            <w:tcW w:w="543" w:type="dxa"/>
            <w:tcBorders/>
            <w:tcMar>
              <w:top w:w="0" w:type="dxa"/>
              <w:left w:w="0" w:type="dxa"/>
              <w:bottom w:w="0" w:type="dxa"/>
              <w:right w:w="0" w:type="dxa"/>
            </w:tcMar>
            <w:vAlign w:val="center"/>
          </w:tcPr>
          <w:p>
            <w:pPr>
              <w:pStyle w:val="TableContents"/>
              <w:bidi w:val="0"/>
              <w:spacing w:before="0" w:after="20"/>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26,022</w:t>
            </w:r>
          </w:p>
        </w:tc>
        <w:tc>
          <w:tcPr>
            <w:tcW w:w="323" w:type="dxa"/>
            <w:tcBorders/>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326" w:type="dxa"/>
            <w:tcBorders/>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tcMar>
              <w:top w:w="0" w:type="dxa"/>
              <w:left w:w="0" w:type="dxa"/>
              <w:bottom w:w="0" w:type="dxa"/>
              <w:right w:w="0" w:type="dxa"/>
            </w:tcMar>
            <w:vAlign w:val="center"/>
          </w:tcPr>
          <w:p>
            <w:pPr>
              <w:pStyle w:val="TableContents"/>
              <w:bidi w:val="0"/>
              <w:spacing w:before="0" w:after="20"/>
              <w:ind w:left="177" w:right="0" w:firstLine="177"/>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28,402</w:t>
            </w:r>
          </w:p>
        </w:tc>
        <w:tc>
          <w:tcPr>
            <w:tcW w:w="1176" w:type="dxa"/>
            <w:tcBorders/>
            <w:tcMar>
              <w:top w:w="0" w:type="dxa"/>
              <w:left w:w="0" w:type="dxa"/>
              <w:bottom w:w="0" w:type="dxa"/>
              <w:right w:w="0" w:type="dxa"/>
            </w:tcMar>
            <w:vAlign w:val="center"/>
          </w:tcPr>
          <w:p>
            <w:pPr>
              <w:pStyle w:val="TableContents"/>
              <w:bidi w:val="0"/>
              <w:spacing w:before="0" w:after="20"/>
              <w:ind w:left="0" w:right="0" w:firstLine="475"/>
              <w:jc w:val="left"/>
              <w:rPr/>
            </w:pPr>
            <w:r>
              <w:rPr/>
              <w:t> </w:t>
            </w:r>
          </w:p>
        </w:tc>
      </w:tr>
      <w:tr>
        <w:trPr/>
        <w:tc>
          <w:tcPr>
            <w:tcW w:w="5153" w:type="dxa"/>
            <w:tcBorders/>
            <w:shd w:fill="CCEEFF" w:val="clear"/>
            <w:tcMar>
              <w:top w:w="0" w:type="dxa"/>
              <w:left w:w="0" w:type="dxa"/>
              <w:bottom w:w="0" w:type="dxa"/>
              <w:right w:w="0" w:type="dxa"/>
            </w:tcMar>
            <w:vAlign w:val="center"/>
          </w:tcPr>
          <w:p>
            <w:pPr>
              <w:pStyle w:val="TableContents"/>
              <w:pBdr/>
              <w:bidi w:val="0"/>
              <w:spacing w:before="0" w:after="283"/>
              <w:ind w:left="235" w:right="0" w:hanging="240"/>
              <w:jc w:val="left"/>
              <w:rPr>
                <w:rFonts w:ascii="Times New Roman" w:hAnsi="Times New Roman"/>
                <w:color w:val="000000"/>
                <w:sz w:val="18"/>
              </w:rPr>
            </w:pPr>
            <w:r>
              <w:rPr>
                <w:rFonts w:ascii="Times New Roman" w:hAnsi="Times New Roman"/>
                <w:color w:val="000000"/>
                <w:sz w:val="18"/>
              </w:rPr>
              <w:t>Inventories, net</w:t>
            </w:r>
          </w:p>
        </w:tc>
        <w:tc>
          <w:tcPr>
            <w:tcW w:w="405" w:type="dxa"/>
            <w:tcBorders/>
            <w:shd w:fill="CCEEFF" w:val="clear"/>
            <w:tcMar>
              <w:top w:w="0" w:type="dxa"/>
              <w:left w:w="0" w:type="dxa"/>
              <w:bottom w:w="0" w:type="dxa"/>
              <w:right w:w="0" w:type="dxa"/>
            </w:tcMar>
            <w:vAlign w:val="center"/>
          </w:tcPr>
          <w:p>
            <w:pPr>
              <w:pStyle w:val="TableContents"/>
              <w:bidi w:val="0"/>
              <w:spacing w:before="0" w:after="20"/>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0"/>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34,151</w:t>
            </w:r>
          </w:p>
        </w:tc>
        <w:tc>
          <w:tcPr>
            <w:tcW w:w="323" w:type="dxa"/>
            <w:tcBorders/>
            <w:shd w:fill="CCEEFF" w:val="clear"/>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326" w:type="dxa"/>
            <w:tcBorders/>
            <w:shd w:fill="CCEEFF" w:val="clear"/>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0"/>
              <w:ind w:left="177" w:right="0" w:firstLine="177"/>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30,535</w:t>
            </w:r>
          </w:p>
        </w:tc>
        <w:tc>
          <w:tcPr>
            <w:tcW w:w="1176" w:type="dxa"/>
            <w:tcBorders/>
            <w:shd w:fill="CCEEFF" w:val="clear"/>
            <w:tcMar>
              <w:top w:w="0" w:type="dxa"/>
              <w:left w:w="0" w:type="dxa"/>
              <w:bottom w:w="0" w:type="dxa"/>
              <w:right w:w="0" w:type="dxa"/>
            </w:tcMar>
            <w:vAlign w:val="center"/>
          </w:tcPr>
          <w:p>
            <w:pPr>
              <w:pStyle w:val="TableContents"/>
              <w:bidi w:val="0"/>
              <w:spacing w:before="0" w:after="20"/>
              <w:ind w:left="0" w:right="0" w:firstLine="475"/>
              <w:jc w:val="left"/>
              <w:rPr/>
            </w:pPr>
            <w:r>
              <w:rPr/>
              <w:t> </w:t>
            </w:r>
          </w:p>
        </w:tc>
      </w:tr>
      <w:tr>
        <w:trPr/>
        <w:tc>
          <w:tcPr>
            <w:tcW w:w="5153" w:type="dxa"/>
            <w:tcBorders/>
            <w:tcMar>
              <w:top w:w="0" w:type="dxa"/>
              <w:left w:w="0" w:type="dxa"/>
              <w:bottom w:w="0" w:type="dxa"/>
              <w:right w:w="0" w:type="dxa"/>
            </w:tcMar>
            <w:vAlign w:val="center"/>
          </w:tcPr>
          <w:p>
            <w:pPr>
              <w:pStyle w:val="TableContents"/>
              <w:pBdr/>
              <w:bidi w:val="0"/>
              <w:spacing w:before="0" w:after="283"/>
              <w:ind w:left="0" w:right="0" w:firstLine="177"/>
              <w:jc w:val="left"/>
              <w:rPr>
                <w:rFonts w:ascii="Times New Roman" w:hAnsi="Times New Roman"/>
                <w:color w:val="000000"/>
                <w:sz w:val="18"/>
              </w:rPr>
            </w:pPr>
            <w:r>
              <w:rPr>
                <w:rFonts w:ascii="Times New Roman" w:hAnsi="Times New Roman"/>
                <w:color w:val="000000"/>
                <w:sz w:val="18"/>
              </w:rPr>
              <w:t>Other receivables</w:t>
            </w:r>
          </w:p>
        </w:tc>
        <w:tc>
          <w:tcPr>
            <w:tcW w:w="405" w:type="dxa"/>
            <w:tcBorders/>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tcMar>
              <w:top w:w="0" w:type="dxa"/>
              <w:left w:w="0" w:type="dxa"/>
              <w:bottom w:w="0" w:type="dxa"/>
              <w:right w:w="0" w:type="dxa"/>
            </w:tcMar>
            <w:vAlign w:val="center"/>
          </w:tcPr>
          <w:p>
            <w:pPr>
              <w:pStyle w:val="TableContents"/>
              <w:bidi w:val="0"/>
              <w:spacing w:before="0" w:after="20"/>
              <w:ind w:left="177" w:right="0" w:firstLine="177"/>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2,882</w:t>
            </w:r>
          </w:p>
        </w:tc>
        <w:tc>
          <w:tcPr>
            <w:tcW w:w="323" w:type="dxa"/>
            <w:tcBorders/>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326" w:type="dxa"/>
            <w:tcBorders/>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tcMar>
              <w:top w:w="0" w:type="dxa"/>
              <w:left w:w="0" w:type="dxa"/>
              <w:bottom w:w="0" w:type="dxa"/>
              <w:right w:w="0" w:type="dxa"/>
            </w:tcMar>
            <w:vAlign w:val="center"/>
          </w:tcPr>
          <w:p>
            <w:pPr>
              <w:pStyle w:val="TableContents"/>
              <w:bidi w:val="0"/>
              <w:spacing w:before="0" w:after="20"/>
              <w:ind w:left="177" w:right="0" w:firstLine="177"/>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4,444</w:t>
            </w:r>
          </w:p>
        </w:tc>
        <w:tc>
          <w:tcPr>
            <w:tcW w:w="1176" w:type="dxa"/>
            <w:tcBorders/>
            <w:tcMar>
              <w:top w:w="0" w:type="dxa"/>
              <w:left w:w="0" w:type="dxa"/>
              <w:bottom w:w="0" w:type="dxa"/>
              <w:right w:w="0" w:type="dxa"/>
            </w:tcMar>
            <w:vAlign w:val="center"/>
          </w:tcPr>
          <w:p>
            <w:pPr>
              <w:pStyle w:val="TableContents"/>
              <w:bidi w:val="0"/>
              <w:spacing w:before="0" w:after="20"/>
              <w:ind w:left="0" w:right="0" w:firstLine="475"/>
              <w:jc w:val="left"/>
              <w:rPr/>
            </w:pPr>
            <w:r>
              <w:rPr/>
              <w:t> </w:t>
            </w:r>
          </w:p>
        </w:tc>
      </w:tr>
      <w:tr>
        <w:trPr/>
        <w:tc>
          <w:tcPr>
            <w:tcW w:w="5153" w:type="dxa"/>
            <w:tcBorders/>
            <w:shd w:fill="CCEEFF" w:val="clear"/>
            <w:tcMar>
              <w:top w:w="0" w:type="dxa"/>
              <w:left w:w="0" w:type="dxa"/>
              <w:bottom w:w="0" w:type="dxa"/>
              <w:right w:w="0" w:type="dxa"/>
            </w:tcMar>
            <w:vAlign w:val="center"/>
          </w:tcPr>
          <w:p>
            <w:pPr>
              <w:pStyle w:val="TableContents"/>
              <w:pBdr/>
              <w:bidi w:val="0"/>
              <w:spacing w:before="0" w:after="283"/>
              <w:ind w:left="0" w:right="0" w:firstLine="177"/>
              <w:jc w:val="left"/>
              <w:rPr>
                <w:rFonts w:ascii="Times New Roman" w:hAnsi="Times New Roman"/>
                <w:color w:val="000000"/>
                <w:sz w:val="18"/>
              </w:rPr>
            </w:pPr>
            <w:r>
              <w:rPr>
                <w:rFonts w:ascii="Times New Roman" w:hAnsi="Times New Roman"/>
                <w:color w:val="000000"/>
                <w:sz w:val="18"/>
              </w:rPr>
              <w:t>Prepaid expenses</w:t>
            </w:r>
          </w:p>
        </w:tc>
        <w:tc>
          <w:tcPr>
            <w:tcW w:w="405" w:type="dxa"/>
            <w:tcBorders/>
            <w:shd w:fill="CCEEFF" w:val="clear"/>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0"/>
              <w:ind w:left="177" w:right="0" w:firstLine="177"/>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5,062</w:t>
            </w:r>
          </w:p>
        </w:tc>
        <w:tc>
          <w:tcPr>
            <w:tcW w:w="323" w:type="dxa"/>
            <w:tcBorders/>
            <w:shd w:fill="CCEEFF" w:val="clear"/>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326" w:type="dxa"/>
            <w:tcBorders/>
            <w:shd w:fill="CCEEFF" w:val="clear"/>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0"/>
              <w:ind w:left="177" w:right="0" w:firstLine="177"/>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10,379</w:t>
            </w:r>
          </w:p>
        </w:tc>
        <w:tc>
          <w:tcPr>
            <w:tcW w:w="1176" w:type="dxa"/>
            <w:tcBorders/>
            <w:shd w:fill="CCEEFF" w:val="clear"/>
            <w:tcMar>
              <w:top w:w="0" w:type="dxa"/>
              <w:left w:w="0" w:type="dxa"/>
              <w:bottom w:w="0" w:type="dxa"/>
              <w:right w:w="0" w:type="dxa"/>
            </w:tcMar>
            <w:vAlign w:val="center"/>
          </w:tcPr>
          <w:p>
            <w:pPr>
              <w:pStyle w:val="TableContents"/>
              <w:bidi w:val="0"/>
              <w:spacing w:before="0" w:after="20"/>
              <w:ind w:left="0" w:right="0" w:firstLine="475"/>
              <w:jc w:val="left"/>
              <w:rPr/>
            </w:pPr>
            <w:r>
              <w:rPr/>
              <w:t> </w:t>
            </w:r>
          </w:p>
        </w:tc>
      </w:tr>
      <w:tr>
        <w:trPr/>
        <w:tc>
          <w:tcPr>
            <w:tcW w:w="5153" w:type="dxa"/>
            <w:tcBorders/>
            <w:tcMar>
              <w:top w:w="0" w:type="dxa"/>
              <w:left w:w="0" w:type="dxa"/>
              <w:bottom w:w="0" w:type="dxa"/>
              <w:right w:w="0" w:type="dxa"/>
            </w:tcMar>
            <w:vAlign w:val="center"/>
          </w:tcPr>
          <w:p>
            <w:pPr>
              <w:pStyle w:val="TableContents"/>
              <w:pBdr/>
              <w:bidi w:val="0"/>
              <w:spacing w:before="0" w:after="283"/>
              <w:ind w:left="0" w:right="0" w:firstLine="177"/>
              <w:jc w:val="left"/>
              <w:rPr>
                <w:rFonts w:ascii="Times New Roman" w:hAnsi="Times New Roman"/>
                <w:color w:val="000000"/>
                <w:sz w:val="18"/>
              </w:rPr>
            </w:pPr>
            <w:r>
              <w:rPr>
                <w:rFonts w:ascii="Times New Roman" w:hAnsi="Times New Roman"/>
                <w:color w:val="000000"/>
                <w:sz w:val="18"/>
              </w:rPr>
              <w:t>Hedge collateral</w:t>
            </w:r>
          </w:p>
        </w:tc>
        <w:tc>
          <w:tcPr>
            <w:tcW w:w="405" w:type="dxa"/>
            <w:tcBorders/>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tcMar>
              <w:top w:w="0" w:type="dxa"/>
              <w:left w:w="0" w:type="dxa"/>
              <w:bottom w:w="0" w:type="dxa"/>
              <w:right w:w="0" w:type="dxa"/>
            </w:tcMar>
            <w:vAlign w:val="center"/>
          </w:tcPr>
          <w:p>
            <w:pPr>
              <w:pStyle w:val="TableContents"/>
              <w:bidi w:val="0"/>
              <w:spacing w:before="0" w:after="20"/>
              <w:ind w:left="177" w:right="0" w:firstLine="177"/>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1,200</w:t>
            </w:r>
          </w:p>
        </w:tc>
        <w:tc>
          <w:tcPr>
            <w:tcW w:w="323" w:type="dxa"/>
            <w:tcBorders/>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326" w:type="dxa"/>
            <w:tcBorders/>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tcMar>
              <w:top w:w="0" w:type="dxa"/>
              <w:left w:w="0" w:type="dxa"/>
              <w:bottom w:w="0" w:type="dxa"/>
              <w:right w:w="0" w:type="dxa"/>
            </w:tcMar>
            <w:vAlign w:val="center"/>
          </w:tcPr>
          <w:p>
            <w:pPr>
              <w:pStyle w:val="TableContents"/>
              <w:bidi w:val="0"/>
              <w:spacing w:before="0" w:after="20"/>
              <w:ind w:left="177" w:right="0" w:firstLine="177"/>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2,080</w:t>
            </w:r>
          </w:p>
        </w:tc>
        <w:tc>
          <w:tcPr>
            <w:tcW w:w="1176" w:type="dxa"/>
            <w:tcBorders/>
            <w:tcMar>
              <w:top w:w="0" w:type="dxa"/>
              <w:left w:w="0" w:type="dxa"/>
              <w:bottom w:w="0" w:type="dxa"/>
              <w:right w:w="0" w:type="dxa"/>
            </w:tcMar>
            <w:vAlign w:val="center"/>
          </w:tcPr>
          <w:p>
            <w:pPr>
              <w:pStyle w:val="TableContents"/>
              <w:bidi w:val="0"/>
              <w:spacing w:before="0" w:after="20"/>
              <w:ind w:left="0" w:right="0" w:firstLine="475"/>
              <w:jc w:val="left"/>
              <w:rPr/>
            </w:pPr>
            <w:r>
              <w:rPr/>
              <w:t> </w:t>
            </w:r>
          </w:p>
        </w:tc>
      </w:tr>
      <w:tr>
        <w:trPr/>
        <w:tc>
          <w:tcPr>
            <w:tcW w:w="5153" w:type="dxa"/>
            <w:tcBorders/>
            <w:shd w:fill="CCEEFF" w:val="clear"/>
            <w:tcMar>
              <w:top w:w="0" w:type="dxa"/>
              <w:left w:w="0" w:type="dxa"/>
              <w:bottom w:w="0" w:type="dxa"/>
              <w:right w:w="0" w:type="dxa"/>
            </w:tcMar>
            <w:vAlign w:val="center"/>
          </w:tcPr>
          <w:p>
            <w:pPr>
              <w:pStyle w:val="TableContents"/>
              <w:pBdr/>
              <w:bidi w:val="0"/>
              <w:spacing w:before="0" w:after="283"/>
              <w:ind w:left="0" w:right="0" w:firstLine="177"/>
              <w:jc w:val="left"/>
              <w:rPr>
                <w:rFonts w:ascii="Times New Roman" w:hAnsi="Times New Roman"/>
                <w:color w:val="000000"/>
                <w:sz w:val="18"/>
              </w:rPr>
            </w:pPr>
            <w:r>
              <w:rPr>
                <w:rFonts w:ascii="Times New Roman" w:hAnsi="Times New Roman"/>
                <w:color w:val="000000"/>
                <w:sz w:val="18"/>
              </w:rPr>
              <w:t>Other current assets</w:t>
            </w:r>
          </w:p>
        </w:tc>
        <w:tc>
          <w:tcPr>
            <w:tcW w:w="405" w:type="dxa"/>
            <w:tcBorders/>
            <w:shd w:fill="CCEEFF" w:val="clear"/>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bottom w:val="single" w:sz="4" w:space="0" w:color="000000"/>
            </w:tcBorders>
            <w:shd w:fill="CCEEFF" w:val="clear"/>
            <w:tcMar>
              <w:top w:w="0" w:type="dxa"/>
              <w:left w:w="0" w:type="dxa"/>
              <w:right w:w="0" w:type="dxa"/>
            </w:tcMar>
            <w:vAlign w:val="center"/>
          </w:tcPr>
          <w:p>
            <w:pPr>
              <w:pStyle w:val="TableContents"/>
              <w:bidi w:val="0"/>
              <w:spacing w:before="0" w:after="20"/>
              <w:ind w:left="177" w:right="0" w:firstLine="177"/>
              <w:jc w:val="left"/>
              <w:rPr/>
            </w:pPr>
            <w:r>
              <w:rPr/>
              <w:t> </w:t>
            </w:r>
          </w:p>
        </w:tc>
        <w:tc>
          <w:tcPr>
            <w:tcW w:w="868"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3,782</w:t>
            </w:r>
          </w:p>
        </w:tc>
        <w:tc>
          <w:tcPr>
            <w:tcW w:w="323" w:type="dxa"/>
            <w:tcBorders>
              <w:bottom w:val="single" w:sz="4" w:space="0" w:color="000000"/>
            </w:tcBorders>
            <w:shd w:fill="CCEEFF" w:val="clear"/>
            <w:tcMar>
              <w:top w:w="0" w:type="dxa"/>
              <w:left w:w="0" w:type="dxa"/>
              <w:right w:w="0" w:type="dxa"/>
            </w:tcMar>
            <w:vAlign w:val="center"/>
          </w:tcPr>
          <w:p>
            <w:pPr>
              <w:pStyle w:val="TableContents"/>
              <w:bidi w:val="0"/>
              <w:spacing w:before="0" w:after="20"/>
              <w:ind w:left="0" w:right="0" w:firstLine="177"/>
              <w:jc w:val="left"/>
              <w:rPr/>
            </w:pPr>
            <w:r>
              <w:rPr/>
              <w:t> </w:t>
            </w:r>
          </w:p>
        </w:tc>
        <w:tc>
          <w:tcPr>
            <w:tcW w:w="326" w:type="dxa"/>
            <w:tcBorders/>
            <w:shd w:fill="CCEEFF" w:val="clear"/>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bottom w:val="single" w:sz="4" w:space="0" w:color="000000"/>
            </w:tcBorders>
            <w:shd w:fill="CCEEFF" w:val="clear"/>
            <w:tcMar>
              <w:top w:w="0" w:type="dxa"/>
              <w:left w:w="0" w:type="dxa"/>
              <w:right w:w="0" w:type="dxa"/>
            </w:tcMar>
            <w:vAlign w:val="center"/>
          </w:tcPr>
          <w:p>
            <w:pPr>
              <w:pStyle w:val="TableContents"/>
              <w:bidi w:val="0"/>
              <w:spacing w:before="0" w:after="20"/>
              <w:ind w:left="177" w:right="0" w:firstLine="177"/>
              <w:jc w:val="left"/>
              <w:rPr/>
            </w:pPr>
            <w:r>
              <w:rPr/>
              <w:t> </w:t>
            </w:r>
          </w:p>
        </w:tc>
        <w:tc>
          <w:tcPr>
            <w:tcW w:w="868"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4,779</w:t>
            </w:r>
          </w:p>
        </w:tc>
        <w:tc>
          <w:tcPr>
            <w:tcW w:w="1176" w:type="dxa"/>
            <w:tcBorders>
              <w:bottom w:val="single" w:sz="4" w:space="0" w:color="000000"/>
            </w:tcBorders>
            <w:shd w:fill="CCEEFF" w:val="clear"/>
            <w:tcMar>
              <w:top w:w="0" w:type="dxa"/>
              <w:left w:w="0" w:type="dxa"/>
              <w:right w:w="0" w:type="dxa"/>
            </w:tcMar>
            <w:vAlign w:val="center"/>
          </w:tcPr>
          <w:p>
            <w:pPr>
              <w:pStyle w:val="TableContents"/>
              <w:bidi w:val="0"/>
              <w:spacing w:before="0" w:after="20"/>
              <w:ind w:left="0" w:right="0" w:firstLine="965"/>
              <w:jc w:val="left"/>
              <w:rPr/>
            </w:pPr>
            <w:r>
              <w:rPr/>
              <w:t> </w:t>
            </w:r>
          </w:p>
        </w:tc>
      </w:tr>
      <w:tr>
        <w:trPr/>
        <w:tc>
          <w:tcPr>
            <w:tcW w:w="5153" w:type="dxa"/>
            <w:tcBorders/>
            <w:tcMar>
              <w:top w:w="0" w:type="dxa"/>
              <w:left w:w="0" w:type="dxa"/>
              <w:bottom w:w="0" w:type="dxa"/>
              <w:right w:w="0" w:type="dxa"/>
            </w:tcMar>
            <w:vAlign w:val="center"/>
          </w:tcPr>
          <w:p>
            <w:pPr>
              <w:pStyle w:val="TableContents"/>
              <w:pBdr/>
              <w:bidi w:val="0"/>
              <w:spacing w:before="0" w:after="283"/>
              <w:ind w:left="725" w:right="0" w:hanging="240"/>
              <w:jc w:val="left"/>
              <w:rPr>
                <w:rFonts w:ascii="Times New Roman" w:hAnsi="Times New Roman"/>
                <w:color w:val="000000"/>
                <w:sz w:val="18"/>
              </w:rPr>
            </w:pPr>
            <w:r>
              <w:rPr>
                <w:rFonts w:ascii="Times New Roman" w:hAnsi="Times New Roman"/>
                <w:color w:val="000000"/>
                <w:sz w:val="18"/>
              </w:rPr>
              <w:t>Total current assets</w:t>
            </w:r>
          </w:p>
        </w:tc>
        <w:tc>
          <w:tcPr>
            <w:tcW w:w="405" w:type="dxa"/>
            <w:tcBorders/>
            <w:tcMar>
              <w:top w:w="0" w:type="dxa"/>
              <w:left w:w="0" w:type="dxa"/>
              <w:bottom w:w="0" w:type="dxa"/>
              <w:right w:w="0" w:type="dxa"/>
            </w:tcMar>
            <w:vAlign w:val="center"/>
          </w:tcPr>
          <w:p>
            <w:pPr>
              <w:pStyle w:val="TableContents"/>
              <w:bidi w:val="0"/>
              <w:spacing w:before="0" w:after="20"/>
              <w:jc w:val="left"/>
              <w:rPr/>
            </w:pPr>
            <w:r>
              <w:rPr/>
              <w:t> </w:t>
            </w:r>
          </w:p>
        </w:tc>
        <w:tc>
          <w:tcPr>
            <w:tcW w:w="543" w:type="dxa"/>
            <w:tcBorders/>
            <w:tcMar>
              <w:top w:w="0" w:type="dxa"/>
              <w:left w:w="0" w:type="dxa"/>
              <w:bottom w:w="0" w:type="dxa"/>
              <w:right w:w="0" w:type="dxa"/>
            </w:tcMar>
            <w:vAlign w:val="center"/>
          </w:tcPr>
          <w:p>
            <w:pPr>
              <w:pStyle w:val="TableContents"/>
              <w:bidi w:val="0"/>
              <w:spacing w:before="0" w:after="20"/>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176,855</w:t>
            </w:r>
          </w:p>
        </w:tc>
        <w:tc>
          <w:tcPr>
            <w:tcW w:w="323" w:type="dxa"/>
            <w:tcBorders/>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326" w:type="dxa"/>
            <w:tcBorders/>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tcMar>
              <w:top w:w="0" w:type="dxa"/>
              <w:left w:w="0" w:type="dxa"/>
              <w:bottom w:w="0" w:type="dxa"/>
              <w:right w:w="0" w:type="dxa"/>
            </w:tcMar>
            <w:vAlign w:val="center"/>
          </w:tcPr>
          <w:p>
            <w:pPr>
              <w:pStyle w:val="TableContents"/>
              <w:bidi w:val="0"/>
              <w:spacing w:before="0" w:after="20"/>
              <w:ind w:left="177" w:right="0" w:firstLine="177"/>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219,229</w:t>
            </w:r>
          </w:p>
        </w:tc>
        <w:tc>
          <w:tcPr>
            <w:tcW w:w="1176" w:type="dxa"/>
            <w:tcBorders/>
            <w:tcMar>
              <w:top w:w="0" w:type="dxa"/>
              <w:left w:w="0" w:type="dxa"/>
              <w:bottom w:w="0" w:type="dxa"/>
              <w:right w:w="0" w:type="dxa"/>
            </w:tcMar>
            <w:vAlign w:val="center"/>
          </w:tcPr>
          <w:p>
            <w:pPr>
              <w:pStyle w:val="TableContents"/>
              <w:bidi w:val="0"/>
              <w:spacing w:before="0" w:after="20"/>
              <w:ind w:left="177" w:right="0" w:firstLine="177"/>
              <w:jc w:val="left"/>
              <w:rPr/>
            </w:pPr>
            <w:r>
              <w:rPr/>
              <w:t> </w:t>
            </w:r>
          </w:p>
        </w:tc>
      </w:tr>
      <w:tr>
        <w:trPr/>
        <w:tc>
          <w:tcPr>
            <w:tcW w:w="515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and equipment, net</w:t>
            </w:r>
          </w:p>
        </w:tc>
        <w:tc>
          <w:tcPr>
            <w:tcW w:w="405" w:type="dxa"/>
            <w:tcBorders/>
            <w:shd w:fill="CCEEFF" w:val="clear"/>
            <w:tcMar>
              <w:top w:w="0" w:type="dxa"/>
              <w:left w:w="0" w:type="dxa"/>
              <w:bottom w:w="0" w:type="dxa"/>
              <w:right w:w="0" w:type="dxa"/>
            </w:tcMar>
            <w:vAlign w:val="center"/>
          </w:tcPr>
          <w:p>
            <w:pPr>
              <w:pStyle w:val="TableContents"/>
              <w:bidi w:val="0"/>
              <w:spacing w:before="0" w:after="20"/>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0"/>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100,204</w:t>
            </w:r>
          </w:p>
        </w:tc>
        <w:tc>
          <w:tcPr>
            <w:tcW w:w="323" w:type="dxa"/>
            <w:tcBorders/>
            <w:shd w:fill="CCEEFF" w:val="clear"/>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326" w:type="dxa"/>
            <w:tcBorders/>
            <w:shd w:fill="CCEEFF" w:val="clear"/>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0"/>
              <w:ind w:left="177" w:right="0" w:firstLine="177"/>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81,463</w:t>
            </w:r>
          </w:p>
        </w:tc>
        <w:tc>
          <w:tcPr>
            <w:tcW w:w="1176" w:type="dxa"/>
            <w:tcBorders/>
            <w:shd w:fill="CCEEFF" w:val="clear"/>
            <w:tcMar>
              <w:top w:w="0" w:type="dxa"/>
              <w:left w:w="0" w:type="dxa"/>
              <w:bottom w:w="0" w:type="dxa"/>
              <w:right w:w="0" w:type="dxa"/>
            </w:tcMar>
            <w:vAlign w:val="center"/>
          </w:tcPr>
          <w:p>
            <w:pPr>
              <w:pStyle w:val="TableContents"/>
              <w:bidi w:val="0"/>
              <w:spacing w:before="0" w:after="20"/>
              <w:ind w:left="177" w:right="0" w:firstLine="177"/>
              <w:jc w:val="left"/>
              <w:rPr/>
            </w:pPr>
            <w:r>
              <w:rPr/>
              <w:t> </w:t>
            </w:r>
          </w:p>
        </w:tc>
      </w:tr>
      <w:tr>
        <w:trPr/>
        <w:tc>
          <w:tcPr>
            <w:tcW w:w="5153" w:type="dxa"/>
            <w:tcBorders/>
            <w:tcMar>
              <w:top w:w="0" w:type="dxa"/>
              <w:left w:w="0" w:type="dxa"/>
              <w:bottom w:w="0" w:type="dxa"/>
              <w:right w:w="0" w:type="dxa"/>
            </w:tcMar>
            <w:vAlign w:val="center"/>
          </w:tcPr>
          <w:p>
            <w:pPr>
              <w:pStyle w:val="TableContents"/>
              <w:bidi w:val="0"/>
              <w:spacing w:before="0" w:after="283"/>
              <w:ind w:left="0" w:right="0" w:firstLine="177"/>
              <w:jc w:val="left"/>
              <w:rPr>
                <w:rFonts w:ascii="Times New Roman" w:hAnsi="Times New Roman"/>
                <w:color w:val="000000"/>
                <w:sz w:val="18"/>
              </w:rPr>
            </w:pPr>
            <w:r>
              <w:rPr>
                <w:rFonts w:ascii="Times New Roman" w:hAnsi="Times New Roman"/>
                <w:color w:val="000000"/>
                <w:sz w:val="18"/>
              </w:rPr>
              <w:t>Operating lease right-of-use assets</w:t>
            </w:r>
          </w:p>
        </w:tc>
        <w:tc>
          <w:tcPr>
            <w:tcW w:w="405" w:type="dxa"/>
            <w:tcBorders/>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tcMar>
              <w:top w:w="0" w:type="dxa"/>
              <w:left w:w="0" w:type="dxa"/>
              <w:bottom w:w="0" w:type="dxa"/>
              <w:right w:w="0" w:type="dxa"/>
            </w:tcMar>
            <w:vAlign w:val="center"/>
          </w:tcPr>
          <w:p>
            <w:pPr>
              <w:pStyle w:val="TableContents"/>
              <w:bidi w:val="0"/>
              <w:spacing w:before="0" w:after="20"/>
              <w:ind w:left="177" w:right="0" w:firstLine="177"/>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2,070</w:t>
            </w:r>
          </w:p>
        </w:tc>
        <w:tc>
          <w:tcPr>
            <w:tcW w:w="323" w:type="dxa"/>
            <w:tcBorders/>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326" w:type="dxa"/>
            <w:tcBorders/>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tcMar>
              <w:top w:w="0" w:type="dxa"/>
              <w:left w:w="0" w:type="dxa"/>
              <w:bottom w:w="0" w:type="dxa"/>
              <w:right w:w="0" w:type="dxa"/>
            </w:tcMar>
            <w:vAlign w:val="center"/>
          </w:tcPr>
          <w:p>
            <w:pPr>
              <w:pStyle w:val="TableContents"/>
              <w:bidi w:val="0"/>
              <w:spacing w:before="0" w:after="20"/>
              <w:ind w:left="177" w:right="0" w:firstLine="177"/>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3,107</w:t>
            </w:r>
          </w:p>
        </w:tc>
        <w:tc>
          <w:tcPr>
            <w:tcW w:w="1176" w:type="dxa"/>
            <w:tcBorders/>
            <w:tcMar>
              <w:top w:w="0" w:type="dxa"/>
              <w:left w:w="0" w:type="dxa"/>
              <w:bottom w:w="0" w:type="dxa"/>
              <w:right w:w="0" w:type="dxa"/>
            </w:tcMar>
            <w:vAlign w:val="center"/>
          </w:tcPr>
          <w:p>
            <w:pPr>
              <w:pStyle w:val="TableContents"/>
              <w:bidi w:val="0"/>
              <w:spacing w:before="0" w:after="20"/>
              <w:ind w:left="177" w:right="0" w:firstLine="177"/>
              <w:jc w:val="left"/>
              <w:rPr/>
            </w:pPr>
            <w:r>
              <w:rPr/>
              <w:t> </w:t>
            </w:r>
          </w:p>
        </w:tc>
      </w:tr>
      <w:tr>
        <w:trPr/>
        <w:tc>
          <w:tcPr>
            <w:tcW w:w="5153"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left"/>
              <w:rPr>
                <w:rFonts w:ascii="Times New Roman" w:hAnsi="Times New Roman"/>
                <w:color w:val="000000"/>
                <w:sz w:val="18"/>
              </w:rPr>
            </w:pPr>
            <w:r>
              <w:rPr>
                <w:rFonts w:ascii="Times New Roman" w:hAnsi="Times New Roman"/>
                <w:color w:val="000000"/>
                <w:sz w:val="18"/>
              </w:rPr>
              <w:t>Intangible assets, net</w:t>
            </w:r>
          </w:p>
        </w:tc>
        <w:tc>
          <w:tcPr>
            <w:tcW w:w="405" w:type="dxa"/>
            <w:tcBorders/>
            <w:shd w:fill="CCEEFF" w:val="clear"/>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0"/>
              <w:ind w:left="177" w:right="0" w:firstLine="177"/>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454</w:t>
            </w:r>
          </w:p>
        </w:tc>
        <w:tc>
          <w:tcPr>
            <w:tcW w:w="323" w:type="dxa"/>
            <w:tcBorders/>
            <w:shd w:fill="CCEEFF" w:val="clear"/>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326" w:type="dxa"/>
            <w:tcBorders/>
            <w:shd w:fill="CCEEFF" w:val="clear"/>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0"/>
              <w:ind w:left="177" w:right="0" w:firstLine="177"/>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507</w:t>
            </w:r>
          </w:p>
        </w:tc>
        <w:tc>
          <w:tcPr>
            <w:tcW w:w="1176" w:type="dxa"/>
            <w:tcBorders/>
            <w:shd w:fill="CCEEFF" w:val="clear"/>
            <w:tcMar>
              <w:top w:w="0" w:type="dxa"/>
              <w:left w:w="0" w:type="dxa"/>
              <w:bottom w:w="0" w:type="dxa"/>
              <w:right w:w="0" w:type="dxa"/>
            </w:tcMar>
            <w:vAlign w:val="center"/>
          </w:tcPr>
          <w:p>
            <w:pPr>
              <w:pStyle w:val="TableContents"/>
              <w:bidi w:val="0"/>
              <w:spacing w:before="0" w:after="20"/>
              <w:ind w:left="177" w:right="0" w:firstLine="177"/>
              <w:jc w:val="left"/>
              <w:rPr/>
            </w:pPr>
            <w:r>
              <w:rPr/>
              <w:t> </w:t>
            </w:r>
          </w:p>
        </w:tc>
      </w:tr>
      <w:tr>
        <w:trPr/>
        <w:tc>
          <w:tcPr>
            <w:tcW w:w="5153" w:type="dxa"/>
            <w:tcBorders/>
            <w:tcMar>
              <w:top w:w="0" w:type="dxa"/>
              <w:left w:w="0" w:type="dxa"/>
              <w:bottom w:w="0" w:type="dxa"/>
              <w:right w:w="0" w:type="dxa"/>
            </w:tcMar>
            <w:vAlign w:val="center"/>
          </w:tcPr>
          <w:p>
            <w:pPr>
              <w:pStyle w:val="TableContents"/>
              <w:bidi w:val="0"/>
              <w:spacing w:before="0" w:after="283"/>
              <w:ind w:left="0" w:right="0" w:firstLine="177"/>
              <w:jc w:val="left"/>
              <w:rPr>
                <w:rFonts w:ascii="Times New Roman" w:hAnsi="Times New Roman"/>
                <w:color w:val="000000"/>
                <w:sz w:val="18"/>
              </w:rPr>
            </w:pPr>
            <w:r>
              <w:rPr>
                <w:rFonts w:ascii="Times New Roman" w:hAnsi="Times New Roman"/>
                <w:color w:val="000000"/>
                <w:sz w:val="18"/>
              </w:rPr>
              <w:t>Long-term prepaid expenses, net</w:t>
            </w:r>
          </w:p>
        </w:tc>
        <w:tc>
          <w:tcPr>
            <w:tcW w:w="405" w:type="dxa"/>
            <w:tcBorders/>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tcMar>
              <w:top w:w="0" w:type="dxa"/>
              <w:left w:w="0" w:type="dxa"/>
              <w:bottom w:w="0" w:type="dxa"/>
              <w:right w:w="0" w:type="dxa"/>
            </w:tcMar>
            <w:vAlign w:val="center"/>
          </w:tcPr>
          <w:p>
            <w:pPr>
              <w:pStyle w:val="TableContents"/>
              <w:bidi w:val="0"/>
              <w:spacing w:before="0" w:after="20"/>
              <w:ind w:left="177" w:right="0" w:firstLine="177"/>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584</w:t>
            </w:r>
          </w:p>
        </w:tc>
        <w:tc>
          <w:tcPr>
            <w:tcW w:w="323" w:type="dxa"/>
            <w:tcBorders/>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326" w:type="dxa"/>
            <w:tcBorders/>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tcMar>
              <w:top w:w="0" w:type="dxa"/>
              <w:left w:w="0" w:type="dxa"/>
              <w:bottom w:w="0" w:type="dxa"/>
              <w:right w:w="0" w:type="dxa"/>
            </w:tcMar>
            <w:vAlign w:val="center"/>
          </w:tcPr>
          <w:p>
            <w:pPr>
              <w:pStyle w:val="TableContents"/>
              <w:bidi w:val="0"/>
              <w:spacing w:before="0" w:after="20"/>
              <w:ind w:left="177" w:right="0" w:firstLine="177"/>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165</w:t>
            </w:r>
          </w:p>
        </w:tc>
        <w:tc>
          <w:tcPr>
            <w:tcW w:w="1176" w:type="dxa"/>
            <w:tcBorders/>
            <w:tcMar>
              <w:top w:w="0" w:type="dxa"/>
              <w:left w:w="0" w:type="dxa"/>
              <w:bottom w:w="0" w:type="dxa"/>
              <w:right w:w="0" w:type="dxa"/>
            </w:tcMar>
            <w:vAlign w:val="center"/>
          </w:tcPr>
          <w:p>
            <w:pPr>
              <w:pStyle w:val="TableContents"/>
              <w:bidi w:val="0"/>
              <w:spacing w:before="0" w:after="20"/>
              <w:ind w:left="177" w:right="0" w:firstLine="177"/>
              <w:jc w:val="left"/>
              <w:rPr/>
            </w:pPr>
            <w:r>
              <w:rPr/>
              <w:t> </w:t>
            </w:r>
          </w:p>
        </w:tc>
      </w:tr>
      <w:tr>
        <w:trPr/>
        <w:tc>
          <w:tcPr>
            <w:tcW w:w="5153"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left"/>
              <w:rPr>
                <w:rFonts w:ascii="Times New Roman" w:hAnsi="Times New Roman"/>
                <w:color w:val="000000"/>
                <w:sz w:val="18"/>
              </w:rPr>
            </w:pPr>
            <w:r>
              <w:rPr>
                <w:rFonts w:ascii="Times New Roman" w:hAnsi="Times New Roman"/>
                <w:color w:val="000000"/>
                <w:sz w:val="18"/>
              </w:rPr>
              <w:t>Deferred income taxes</w:t>
            </w:r>
          </w:p>
        </w:tc>
        <w:tc>
          <w:tcPr>
            <w:tcW w:w="405" w:type="dxa"/>
            <w:tcBorders/>
            <w:shd w:fill="CCEEFF" w:val="clear"/>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0"/>
              <w:ind w:left="177" w:right="0" w:firstLine="90"/>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64,248</w:t>
            </w:r>
          </w:p>
        </w:tc>
        <w:tc>
          <w:tcPr>
            <w:tcW w:w="323" w:type="dxa"/>
            <w:tcBorders/>
            <w:shd w:fill="CCEEFF" w:val="clear"/>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326" w:type="dxa"/>
            <w:tcBorders/>
            <w:shd w:fill="CCEEFF" w:val="clear"/>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0"/>
              <w:ind w:left="177" w:right="0" w:firstLine="177"/>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52,889</w:t>
            </w:r>
          </w:p>
        </w:tc>
        <w:tc>
          <w:tcPr>
            <w:tcW w:w="1176" w:type="dxa"/>
            <w:tcBorders/>
            <w:shd w:fill="CCEEFF" w:val="clear"/>
            <w:tcMar>
              <w:top w:w="0" w:type="dxa"/>
              <w:left w:w="0" w:type="dxa"/>
              <w:bottom w:w="0" w:type="dxa"/>
              <w:right w:w="0" w:type="dxa"/>
            </w:tcMar>
            <w:vAlign w:val="center"/>
          </w:tcPr>
          <w:p>
            <w:pPr>
              <w:pStyle w:val="TableContents"/>
              <w:bidi w:val="0"/>
              <w:spacing w:before="0" w:after="20"/>
              <w:ind w:left="177" w:right="0" w:firstLine="177"/>
              <w:jc w:val="left"/>
              <w:rPr/>
            </w:pPr>
            <w:r>
              <w:rPr/>
              <w:t> </w:t>
            </w:r>
          </w:p>
        </w:tc>
      </w:tr>
      <w:tr>
        <w:trPr/>
        <w:tc>
          <w:tcPr>
            <w:tcW w:w="5153" w:type="dxa"/>
            <w:tcBorders/>
            <w:tcMar>
              <w:top w:w="0" w:type="dxa"/>
              <w:left w:w="0" w:type="dxa"/>
              <w:bottom w:w="0" w:type="dxa"/>
              <w:right w:w="0" w:type="dxa"/>
            </w:tcMar>
            <w:vAlign w:val="center"/>
          </w:tcPr>
          <w:p>
            <w:pPr>
              <w:pStyle w:val="TableContents"/>
              <w:bidi w:val="0"/>
              <w:spacing w:before="0" w:after="283"/>
              <w:ind w:left="0" w:right="0" w:firstLine="177"/>
              <w:jc w:val="left"/>
              <w:rPr>
                <w:rFonts w:ascii="Times New Roman" w:hAnsi="Times New Roman"/>
                <w:color w:val="000000"/>
                <w:sz w:val="18"/>
              </w:rPr>
            </w:pPr>
            <w:r>
              <w:rPr>
                <w:rFonts w:ascii="Times New Roman" w:hAnsi="Times New Roman"/>
                <w:color w:val="000000"/>
                <w:sz w:val="18"/>
              </w:rPr>
              <w:t>Other non-current assets</w:t>
            </w:r>
          </w:p>
        </w:tc>
        <w:tc>
          <w:tcPr>
            <w:tcW w:w="405" w:type="dxa"/>
            <w:tcBorders/>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bottom w:val="single" w:sz="4" w:space="0" w:color="000000"/>
            </w:tcBorders>
            <w:tcMar>
              <w:top w:w="0" w:type="dxa"/>
              <w:left w:w="0" w:type="dxa"/>
              <w:right w:w="0" w:type="dxa"/>
            </w:tcMar>
            <w:vAlign w:val="center"/>
          </w:tcPr>
          <w:p>
            <w:pPr>
              <w:pStyle w:val="TableContents"/>
              <w:bidi w:val="0"/>
              <w:spacing w:before="0" w:after="20"/>
              <w:ind w:left="177" w:right="0" w:firstLine="177"/>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7,114</w:t>
            </w:r>
          </w:p>
        </w:tc>
        <w:tc>
          <w:tcPr>
            <w:tcW w:w="323" w:type="dxa"/>
            <w:tcBorders>
              <w:bottom w:val="single" w:sz="4" w:space="0" w:color="000000"/>
            </w:tcBorders>
            <w:tcMar>
              <w:top w:w="0" w:type="dxa"/>
              <w:left w:w="0" w:type="dxa"/>
              <w:right w:w="0" w:type="dxa"/>
            </w:tcMar>
            <w:vAlign w:val="center"/>
          </w:tcPr>
          <w:p>
            <w:pPr>
              <w:pStyle w:val="TableContents"/>
              <w:bidi w:val="0"/>
              <w:spacing w:before="0" w:after="20"/>
              <w:ind w:left="0" w:right="0" w:firstLine="177"/>
              <w:jc w:val="left"/>
              <w:rPr/>
            </w:pPr>
            <w:r>
              <w:rPr/>
              <w:t> </w:t>
            </w:r>
          </w:p>
        </w:tc>
        <w:tc>
          <w:tcPr>
            <w:tcW w:w="326" w:type="dxa"/>
            <w:tcBorders/>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bottom w:val="single" w:sz="4" w:space="0" w:color="000000"/>
            </w:tcBorders>
            <w:tcMar>
              <w:top w:w="0" w:type="dxa"/>
              <w:left w:w="0" w:type="dxa"/>
              <w:right w:w="0" w:type="dxa"/>
            </w:tcMar>
            <w:vAlign w:val="center"/>
          </w:tcPr>
          <w:p>
            <w:pPr>
              <w:pStyle w:val="TableContents"/>
              <w:bidi w:val="0"/>
              <w:spacing w:before="0" w:after="20"/>
              <w:ind w:left="177" w:right="0" w:firstLine="177"/>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21,956</w:t>
            </w:r>
          </w:p>
        </w:tc>
        <w:tc>
          <w:tcPr>
            <w:tcW w:w="1176" w:type="dxa"/>
            <w:tcBorders>
              <w:bottom w:val="single" w:sz="4" w:space="0" w:color="000000"/>
            </w:tcBorders>
            <w:tcMar>
              <w:top w:w="0" w:type="dxa"/>
              <w:left w:w="0" w:type="dxa"/>
              <w:right w:w="0" w:type="dxa"/>
            </w:tcMar>
            <w:vAlign w:val="center"/>
          </w:tcPr>
          <w:p>
            <w:pPr>
              <w:pStyle w:val="TableContents"/>
              <w:bidi w:val="0"/>
              <w:spacing w:before="0" w:after="20"/>
              <w:ind w:left="0" w:right="0" w:firstLine="965"/>
              <w:jc w:val="left"/>
              <w:rPr/>
            </w:pPr>
            <w:r>
              <w:rPr/>
              <w:t> </w:t>
            </w:r>
          </w:p>
        </w:tc>
      </w:tr>
      <w:tr>
        <w:trPr/>
        <w:tc>
          <w:tcPr>
            <w:tcW w:w="5153" w:type="dxa"/>
            <w:tcBorders/>
            <w:shd w:fill="CCEEFF" w:val="clear"/>
            <w:tcMar>
              <w:top w:w="0" w:type="dxa"/>
              <w:left w:w="0" w:type="dxa"/>
              <w:bottom w:w="0" w:type="dxa"/>
              <w:right w:w="0" w:type="dxa"/>
            </w:tcMar>
            <w:vAlign w:val="center"/>
          </w:tcPr>
          <w:p>
            <w:pPr>
              <w:pStyle w:val="TableContents"/>
              <w:pBdr/>
              <w:bidi w:val="0"/>
              <w:spacing w:before="0" w:after="283"/>
              <w:ind w:left="725" w:right="0" w:hanging="240"/>
              <w:jc w:val="left"/>
              <w:rPr>
                <w:rFonts w:ascii="Times New Roman" w:hAnsi="Times New Roman"/>
                <w:color w:val="000000"/>
                <w:sz w:val="18"/>
              </w:rPr>
            </w:pPr>
            <w:r>
              <w:rPr>
                <w:rFonts w:ascii="Times New Roman" w:hAnsi="Times New Roman"/>
                <w:color w:val="000000"/>
                <w:sz w:val="18"/>
              </w:rPr>
              <w:t>Total assets</w:t>
            </w:r>
          </w:p>
        </w:tc>
        <w:tc>
          <w:tcPr>
            <w:tcW w:w="405" w:type="dxa"/>
            <w:tcBorders/>
            <w:shd w:fill="CCEEFF" w:val="clear"/>
            <w:tcMar>
              <w:top w:w="0" w:type="dxa"/>
              <w:left w:w="0" w:type="dxa"/>
              <w:bottom w:w="0" w:type="dxa"/>
              <w:right w:w="0" w:type="dxa"/>
            </w:tcMar>
            <w:vAlign w:val="center"/>
          </w:tcPr>
          <w:p>
            <w:pPr>
              <w:pStyle w:val="TableContents"/>
              <w:bidi w:val="0"/>
              <w:spacing w:before="0" w:after="20"/>
              <w:jc w:val="left"/>
              <w:rPr/>
            </w:pPr>
            <w:r>
              <w:rPr/>
              <w:t> </w:t>
            </w:r>
          </w:p>
        </w:tc>
        <w:tc>
          <w:tcPr>
            <w:tcW w:w="543" w:type="dxa"/>
            <w:tcBorders>
              <w:bottom w:val="double" w:sz="4" w:space="0" w:color="000000"/>
            </w:tcBorders>
            <w:shd w:fill="CCEEFF" w:val="clear"/>
            <w:tcMar>
              <w:top w:w="0" w:type="dxa"/>
              <w:left w:w="0" w:type="dxa"/>
              <w:right w:w="0" w:type="dxa"/>
            </w:tcMar>
            <w:vAlign w:val="center"/>
          </w:tcPr>
          <w:p>
            <w:pPr>
              <w:pStyle w:val="TableContents"/>
              <w:bidi w:val="0"/>
              <w:spacing w:before="0" w:after="20"/>
              <w:jc w:val="left"/>
              <w:rPr>
                <w:rFonts w:ascii="Times New Roman" w:hAnsi="Times New Roman"/>
                <w:color w:val="000000"/>
                <w:sz w:val="18"/>
              </w:rPr>
            </w:pPr>
            <w:r>
              <w:rPr>
                <w:rFonts w:ascii="Times New Roman" w:hAnsi="Times New Roman"/>
                <w:color w:val="000000"/>
                <w:sz w:val="18"/>
              </w:rPr>
              <w:t>$</w:t>
            </w:r>
          </w:p>
        </w:tc>
        <w:tc>
          <w:tcPr>
            <w:tcW w:w="868"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351,529</w:t>
            </w:r>
          </w:p>
        </w:tc>
        <w:tc>
          <w:tcPr>
            <w:tcW w:w="323" w:type="dxa"/>
            <w:tcBorders>
              <w:bottom w:val="double" w:sz="4" w:space="0" w:color="000000"/>
            </w:tcBorders>
            <w:shd w:fill="CCEEFF" w:val="clear"/>
            <w:tcMar>
              <w:top w:w="0" w:type="dxa"/>
              <w:left w:w="0" w:type="dxa"/>
              <w:right w:w="0" w:type="dxa"/>
            </w:tcMar>
            <w:vAlign w:val="center"/>
          </w:tcPr>
          <w:p>
            <w:pPr>
              <w:pStyle w:val="TableContents"/>
              <w:bidi w:val="0"/>
              <w:spacing w:before="0" w:after="20"/>
              <w:jc w:val="left"/>
              <w:rPr/>
            </w:pPr>
            <w:r>
              <w:rPr/>
              <w:t> </w:t>
            </w:r>
          </w:p>
        </w:tc>
        <w:tc>
          <w:tcPr>
            <w:tcW w:w="326" w:type="dxa"/>
            <w:tcBorders/>
            <w:shd w:fill="CCEEFF" w:val="clear"/>
            <w:tcMar>
              <w:top w:w="0" w:type="dxa"/>
              <w:left w:w="0" w:type="dxa"/>
              <w:bottom w:w="0" w:type="dxa"/>
              <w:right w:w="0" w:type="dxa"/>
            </w:tcMar>
            <w:vAlign w:val="center"/>
          </w:tcPr>
          <w:p>
            <w:pPr>
              <w:pStyle w:val="TableContents"/>
              <w:bidi w:val="0"/>
              <w:spacing w:before="0" w:after="20"/>
              <w:jc w:val="left"/>
              <w:rPr/>
            </w:pPr>
            <w:r>
              <w:rPr/>
              <w:t> </w:t>
            </w:r>
          </w:p>
        </w:tc>
        <w:tc>
          <w:tcPr>
            <w:tcW w:w="543" w:type="dxa"/>
            <w:tcBorders>
              <w:bottom w:val="double" w:sz="4" w:space="0" w:color="000000"/>
            </w:tcBorders>
            <w:shd w:fill="CCEEFF" w:val="clear"/>
            <w:tcMar>
              <w:top w:w="0" w:type="dxa"/>
              <w:left w:w="0" w:type="dxa"/>
              <w:right w:w="0" w:type="dxa"/>
            </w:tcMar>
            <w:vAlign w:val="center"/>
          </w:tcPr>
          <w:p>
            <w:pPr>
              <w:pStyle w:val="TableContents"/>
              <w:bidi w:val="0"/>
              <w:spacing w:before="0" w:after="20"/>
              <w:jc w:val="left"/>
              <w:rPr>
                <w:rFonts w:ascii="Times New Roman" w:hAnsi="Times New Roman"/>
                <w:color w:val="000000"/>
                <w:sz w:val="18"/>
              </w:rPr>
            </w:pPr>
            <w:r>
              <w:rPr>
                <w:rFonts w:ascii="Times New Roman" w:hAnsi="Times New Roman"/>
                <w:color w:val="000000"/>
                <w:sz w:val="18"/>
              </w:rPr>
              <w:t>$</w:t>
            </w:r>
          </w:p>
        </w:tc>
        <w:tc>
          <w:tcPr>
            <w:tcW w:w="868"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379,316</w:t>
            </w:r>
          </w:p>
        </w:tc>
        <w:tc>
          <w:tcPr>
            <w:tcW w:w="1176" w:type="dxa"/>
            <w:tcBorders>
              <w:bottom w:val="double" w:sz="4" w:space="0" w:color="000000"/>
            </w:tcBorders>
            <w:shd w:fill="CCEEFF" w:val="clear"/>
            <w:tcMar>
              <w:top w:w="0" w:type="dxa"/>
              <w:left w:w="0" w:type="dxa"/>
              <w:right w:w="0" w:type="dxa"/>
            </w:tcMar>
            <w:vAlign w:val="center"/>
          </w:tcPr>
          <w:p>
            <w:pPr>
              <w:pStyle w:val="TableContents"/>
              <w:bidi w:val="0"/>
              <w:spacing w:before="0" w:after="20"/>
              <w:jc w:val="left"/>
              <w:rPr/>
            </w:pPr>
            <w:r>
              <w:rPr/>
              <w:t> </w:t>
            </w:r>
          </w:p>
        </w:tc>
      </w:tr>
      <w:tr>
        <w:trPr/>
        <w:tc>
          <w:tcPr>
            <w:tcW w:w="5153" w:type="dxa"/>
            <w:tcBorders/>
            <w:tcMar>
              <w:top w:w="0" w:type="dxa"/>
              <w:left w:w="0" w:type="dxa"/>
              <w:bottom w:w="0" w:type="dxa"/>
              <w:right w:w="0" w:type="dxa"/>
            </w:tcMar>
            <w:vAlign w:val="center"/>
          </w:tcPr>
          <w:p>
            <w:pPr>
              <w:pStyle w:val="TableContents"/>
              <w:bidi w:val="0"/>
              <w:spacing w:before="0" w:after="283"/>
              <w:ind w:left="0" w:right="0" w:firstLine="177"/>
              <w:jc w:val="left"/>
              <w:rPr>
                <w:rFonts w:ascii="Times New Roman" w:hAnsi="Times New Roman"/>
                <w:b/>
                <w:color w:val="000000"/>
                <w:sz w:val="18"/>
              </w:rPr>
            </w:pPr>
            <w:r>
              <w:rPr>
                <w:rFonts w:ascii="Times New Roman" w:hAnsi="Times New Roman"/>
                <w:b/>
                <w:color w:val="000000"/>
                <w:sz w:val="18"/>
              </w:rPr>
              <w:t>Liabilities and Stockholders’ Equity</w:t>
            </w:r>
          </w:p>
        </w:tc>
        <w:tc>
          <w:tcPr>
            <w:tcW w:w="405"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ind w:left="177" w:right="220" w:firstLine="177"/>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ind w:left="0" w:right="0" w:firstLine="177"/>
              <w:jc w:val="right"/>
              <w:rPr/>
            </w:pPr>
            <w:r>
              <w:rPr/>
              <w:t> </w:t>
            </w:r>
          </w:p>
        </w:tc>
        <w:tc>
          <w:tcPr>
            <w:tcW w:w="323"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ind w:left="177" w:right="220" w:firstLine="177"/>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ind w:left="0" w:right="0" w:firstLine="177"/>
              <w:jc w:val="right"/>
              <w:rPr/>
            </w:pPr>
            <w:r>
              <w:rPr/>
              <w:t> </w:t>
            </w:r>
          </w:p>
        </w:tc>
        <w:tc>
          <w:tcPr>
            <w:tcW w:w="1176" w:type="dxa"/>
            <w:tcBorders/>
            <w:tcMar>
              <w:top w:w="0" w:type="dxa"/>
              <w:left w:w="0" w:type="dxa"/>
              <w:bottom w:w="0" w:type="dxa"/>
              <w:right w:w="0" w:type="dxa"/>
            </w:tcMar>
            <w:vAlign w:val="center"/>
          </w:tcPr>
          <w:p>
            <w:pPr>
              <w:pStyle w:val="TableContents"/>
              <w:bidi w:val="0"/>
              <w:spacing w:before="0" w:after="283"/>
              <w:ind w:left="177" w:right="220" w:firstLine="177"/>
              <w:jc w:val="left"/>
              <w:rPr/>
            </w:pPr>
            <w:r>
              <w:rPr/>
              <w:t> </w:t>
            </w:r>
          </w:p>
        </w:tc>
      </w:tr>
      <w:tr>
        <w:trPr/>
        <w:tc>
          <w:tcPr>
            <w:tcW w:w="5153"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left"/>
              <w:rPr>
                <w:rFonts w:ascii="Times New Roman" w:hAnsi="Times New Roman"/>
                <w:color w:val="000000"/>
                <w:sz w:val="18"/>
              </w:rPr>
            </w:pPr>
            <w:r>
              <w:rPr>
                <w:rFonts w:ascii="Times New Roman" w:hAnsi="Times New Roman"/>
                <w:color w:val="000000"/>
                <w:sz w:val="18"/>
              </w:rPr>
              <w:t>Current liabilities</w:t>
            </w:r>
          </w:p>
        </w:tc>
        <w:tc>
          <w:tcPr>
            <w:tcW w:w="405"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177" w:right="220" w:firstLine="177"/>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right"/>
              <w:rPr/>
            </w:pPr>
            <w:r>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177" w:right="220" w:firstLine="177"/>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right"/>
              <w:rPr/>
            </w:pPr>
            <w:r>
              <w:rPr/>
              <w:t> </w:t>
            </w:r>
          </w:p>
        </w:tc>
        <w:tc>
          <w:tcPr>
            <w:tcW w:w="1176" w:type="dxa"/>
            <w:tcBorders/>
            <w:shd w:fill="CCEEFF" w:val="clear"/>
            <w:tcMar>
              <w:top w:w="0" w:type="dxa"/>
              <w:left w:w="0" w:type="dxa"/>
              <w:bottom w:w="0" w:type="dxa"/>
              <w:right w:w="0" w:type="dxa"/>
            </w:tcMar>
            <w:vAlign w:val="center"/>
          </w:tcPr>
          <w:p>
            <w:pPr>
              <w:pStyle w:val="TableContents"/>
              <w:bidi w:val="0"/>
              <w:spacing w:before="0" w:after="283"/>
              <w:ind w:left="0" w:right="0" w:firstLine="475"/>
              <w:jc w:val="left"/>
              <w:rPr/>
            </w:pPr>
            <w:r>
              <w:rPr/>
              <w:t> </w:t>
            </w:r>
          </w:p>
        </w:tc>
      </w:tr>
      <w:tr>
        <w:trPr/>
        <w:tc>
          <w:tcPr>
            <w:tcW w:w="5153" w:type="dxa"/>
            <w:tcBorders/>
            <w:tcMar>
              <w:top w:w="0" w:type="dxa"/>
              <w:left w:w="0" w:type="dxa"/>
              <w:bottom w:w="0" w:type="dxa"/>
              <w:right w:w="0" w:type="dxa"/>
            </w:tcMar>
            <w:vAlign w:val="center"/>
          </w:tcPr>
          <w:p>
            <w:pPr>
              <w:pStyle w:val="TableContents"/>
              <w:pBdr/>
              <w:bidi w:val="0"/>
              <w:spacing w:before="0" w:after="283"/>
              <w:ind w:left="235" w:right="0" w:hanging="240"/>
              <w:jc w:val="left"/>
              <w:rPr>
                <w:rFonts w:ascii="Times New Roman" w:hAnsi="Times New Roman"/>
                <w:color w:val="000000"/>
                <w:sz w:val="18"/>
              </w:rPr>
            </w:pPr>
            <w:r>
              <w:rPr>
                <w:rFonts w:ascii="Times New Roman" w:hAnsi="Times New Roman"/>
                <w:color w:val="000000"/>
                <w:sz w:val="18"/>
              </w:rPr>
              <w:t>Accounts payable</w:t>
            </w:r>
          </w:p>
        </w:tc>
        <w:tc>
          <w:tcPr>
            <w:tcW w:w="405" w:type="dxa"/>
            <w:tcBorders/>
            <w:tcMar>
              <w:top w:w="0" w:type="dxa"/>
              <w:left w:w="0" w:type="dxa"/>
              <w:bottom w:w="0" w:type="dxa"/>
              <w:right w:w="0" w:type="dxa"/>
            </w:tcMar>
            <w:vAlign w:val="center"/>
          </w:tcPr>
          <w:p>
            <w:pPr>
              <w:pStyle w:val="TableContents"/>
              <w:bidi w:val="0"/>
              <w:spacing w:before="0" w:after="20"/>
              <w:jc w:val="left"/>
              <w:rPr/>
            </w:pPr>
            <w:r>
              <w:rPr/>
              <w:t> </w:t>
            </w:r>
          </w:p>
        </w:tc>
        <w:tc>
          <w:tcPr>
            <w:tcW w:w="543"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18"/>
              </w:rPr>
            </w:pPr>
            <w:r>
              <w:rPr>
                <w:rFonts w:ascii="Times New Roman" w:hAnsi="Times New Roman"/>
                <w:color w:val="000000"/>
                <w:sz w:val="18"/>
              </w:rPr>
              <w:t>$</w:t>
            </w:r>
          </w:p>
        </w:tc>
        <w:tc>
          <w:tcPr>
            <w:tcW w:w="86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20,848</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21,642</w:t>
            </w:r>
          </w:p>
        </w:tc>
        <w:tc>
          <w:tcPr>
            <w:tcW w:w="1176"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r>
      <w:tr>
        <w:trPr/>
        <w:tc>
          <w:tcPr>
            <w:tcW w:w="5153" w:type="dxa"/>
            <w:tcBorders/>
            <w:shd w:fill="CCEEFF" w:val="clear"/>
            <w:tcMar>
              <w:top w:w="0" w:type="dxa"/>
              <w:left w:w="0" w:type="dxa"/>
              <w:bottom w:w="0" w:type="dxa"/>
              <w:right w:w="0" w:type="dxa"/>
            </w:tcMar>
            <w:vAlign w:val="center"/>
          </w:tcPr>
          <w:p>
            <w:pPr>
              <w:pStyle w:val="TableContents"/>
              <w:pBdr/>
              <w:bidi w:val="0"/>
              <w:spacing w:before="0" w:after="283"/>
              <w:ind w:left="0" w:right="0" w:firstLine="177"/>
              <w:jc w:val="left"/>
              <w:rPr>
                <w:rFonts w:ascii="Times New Roman" w:hAnsi="Times New Roman"/>
                <w:color w:val="000000"/>
                <w:sz w:val="18"/>
              </w:rPr>
            </w:pPr>
            <w:r>
              <w:rPr>
                <w:rFonts w:ascii="Times New Roman" w:hAnsi="Times New Roman"/>
                <w:color w:val="000000"/>
                <w:sz w:val="18"/>
              </w:rPr>
              <w:t>Other accounts payable</w:t>
            </w:r>
          </w:p>
        </w:tc>
        <w:tc>
          <w:tcPr>
            <w:tcW w:w="405" w:type="dxa"/>
            <w:tcBorders/>
            <w:shd w:fill="CCEEFF" w:val="clear"/>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0"/>
              <w:ind w:left="177" w:right="0" w:firstLine="177"/>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11,444</w:t>
            </w:r>
          </w:p>
        </w:tc>
        <w:tc>
          <w:tcPr>
            <w:tcW w:w="323"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177" w:right="0" w:firstLine="177"/>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10,764</w:t>
            </w:r>
          </w:p>
        </w:tc>
        <w:tc>
          <w:tcPr>
            <w:tcW w:w="1176" w:type="dxa"/>
            <w:tcBorders/>
            <w:shd w:fill="CCEEFF" w:val="clear"/>
            <w:tcMar>
              <w:top w:w="0" w:type="dxa"/>
              <w:left w:w="0" w:type="dxa"/>
              <w:bottom w:w="0" w:type="dxa"/>
              <w:right w:w="0" w:type="dxa"/>
            </w:tcMar>
            <w:vAlign w:val="center"/>
          </w:tcPr>
          <w:p>
            <w:pPr>
              <w:pStyle w:val="TableContents"/>
              <w:bidi w:val="0"/>
              <w:spacing w:before="0" w:after="283"/>
              <w:ind w:left="0" w:right="0" w:firstLine="475"/>
              <w:jc w:val="left"/>
              <w:rPr/>
            </w:pPr>
            <w:r>
              <w:rPr/>
              <w:t> </w:t>
            </w:r>
          </w:p>
        </w:tc>
      </w:tr>
      <w:tr>
        <w:trPr/>
        <w:tc>
          <w:tcPr>
            <w:tcW w:w="5153" w:type="dxa"/>
            <w:tcBorders/>
            <w:tcMar>
              <w:top w:w="0" w:type="dxa"/>
              <w:left w:w="0" w:type="dxa"/>
              <w:bottom w:w="0" w:type="dxa"/>
              <w:right w:w="0" w:type="dxa"/>
            </w:tcMar>
            <w:vAlign w:val="center"/>
          </w:tcPr>
          <w:p>
            <w:pPr>
              <w:pStyle w:val="TableContents"/>
              <w:pBdr/>
              <w:bidi w:val="0"/>
              <w:spacing w:before="0" w:after="283"/>
              <w:ind w:left="235" w:right="0" w:hanging="240"/>
              <w:jc w:val="left"/>
              <w:rPr>
                <w:rFonts w:ascii="Times New Roman" w:hAnsi="Times New Roman"/>
                <w:color w:val="000000"/>
                <w:sz w:val="18"/>
              </w:rPr>
            </w:pPr>
            <w:r>
              <w:rPr>
                <w:rFonts w:ascii="Times New Roman" w:hAnsi="Times New Roman"/>
                <w:color w:val="000000"/>
                <w:sz w:val="18"/>
              </w:rPr>
              <w:t>Accrued expenses</w:t>
            </w:r>
          </w:p>
        </w:tc>
        <w:tc>
          <w:tcPr>
            <w:tcW w:w="405" w:type="dxa"/>
            <w:tcBorders/>
            <w:tcMar>
              <w:top w:w="0" w:type="dxa"/>
              <w:left w:w="0" w:type="dxa"/>
              <w:bottom w:w="0" w:type="dxa"/>
              <w:right w:w="0" w:type="dxa"/>
            </w:tcMar>
            <w:vAlign w:val="center"/>
          </w:tcPr>
          <w:p>
            <w:pPr>
              <w:pStyle w:val="TableContents"/>
              <w:bidi w:val="0"/>
              <w:spacing w:before="0" w:after="20"/>
              <w:jc w:val="left"/>
              <w:rPr/>
            </w:pPr>
            <w:r>
              <w:rPr/>
              <w:t> </w:t>
            </w:r>
          </w:p>
        </w:tc>
        <w:tc>
          <w:tcPr>
            <w:tcW w:w="543" w:type="dxa"/>
            <w:tcBorders/>
            <w:tcMar>
              <w:top w:w="0" w:type="dxa"/>
              <w:left w:w="0" w:type="dxa"/>
              <w:bottom w:w="0" w:type="dxa"/>
              <w:right w:w="0" w:type="dxa"/>
            </w:tcMar>
            <w:vAlign w:val="center"/>
          </w:tcPr>
          <w:p>
            <w:pPr>
              <w:pStyle w:val="TableContents"/>
              <w:bidi w:val="0"/>
              <w:spacing w:before="0" w:after="20"/>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6,929</w:t>
            </w:r>
          </w:p>
        </w:tc>
        <w:tc>
          <w:tcPr>
            <w:tcW w:w="323"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ind w:left="177" w:right="0" w:firstLine="177"/>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8,648</w:t>
            </w:r>
          </w:p>
        </w:tc>
        <w:tc>
          <w:tcPr>
            <w:tcW w:w="1176"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r>
      <w:tr>
        <w:trPr/>
        <w:tc>
          <w:tcPr>
            <w:tcW w:w="5153" w:type="dxa"/>
            <w:tcBorders/>
            <w:shd w:fill="CCEEFF" w:val="clear"/>
            <w:tcMar>
              <w:top w:w="0" w:type="dxa"/>
              <w:left w:w="0" w:type="dxa"/>
              <w:bottom w:w="0" w:type="dxa"/>
              <w:right w:w="0" w:type="dxa"/>
            </w:tcMar>
            <w:vAlign w:val="center"/>
          </w:tcPr>
          <w:p>
            <w:pPr>
              <w:pStyle w:val="TableContents"/>
              <w:pBdr/>
              <w:bidi w:val="0"/>
              <w:spacing w:before="0" w:after="283"/>
              <w:ind w:left="235" w:right="0" w:hanging="240"/>
              <w:jc w:val="left"/>
              <w:rPr>
                <w:rFonts w:ascii="Times New Roman" w:hAnsi="Times New Roman"/>
                <w:color w:val="000000"/>
                <w:sz w:val="18"/>
              </w:rPr>
            </w:pPr>
            <w:r>
              <w:rPr>
                <w:rFonts w:ascii="Times New Roman" w:hAnsi="Times New Roman"/>
                <w:color w:val="000000"/>
                <w:sz w:val="18"/>
              </w:rPr>
              <w:t>Accrued income taxes</w:t>
            </w:r>
          </w:p>
        </w:tc>
        <w:tc>
          <w:tcPr>
            <w:tcW w:w="405" w:type="dxa"/>
            <w:tcBorders/>
            <w:shd w:fill="CCEEFF" w:val="clear"/>
            <w:tcMar>
              <w:top w:w="0" w:type="dxa"/>
              <w:left w:w="0" w:type="dxa"/>
              <w:bottom w:w="0" w:type="dxa"/>
              <w:right w:w="0" w:type="dxa"/>
            </w:tcMar>
            <w:vAlign w:val="center"/>
          </w:tcPr>
          <w:p>
            <w:pPr>
              <w:pStyle w:val="TableContents"/>
              <w:bidi w:val="0"/>
              <w:spacing w:before="0" w:after="20"/>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0"/>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81</w:t>
            </w:r>
          </w:p>
        </w:tc>
        <w:tc>
          <w:tcPr>
            <w:tcW w:w="323"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177" w:right="0" w:firstLine="177"/>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56</w:t>
            </w:r>
          </w:p>
        </w:tc>
        <w:tc>
          <w:tcPr>
            <w:tcW w:w="1176" w:type="dxa"/>
            <w:tcBorders/>
            <w:shd w:fill="CCEEFF" w:val="clear"/>
            <w:tcMar>
              <w:top w:w="0" w:type="dxa"/>
              <w:left w:w="0" w:type="dxa"/>
              <w:bottom w:w="0" w:type="dxa"/>
              <w:right w:w="0" w:type="dxa"/>
            </w:tcMar>
            <w:vAlign w:val="center"/>
          </w:tcPr>
          <w:p>
            <w:pPr>
              <w:pStyle w:val="TableContents"/>
              <w:bidi w:val="0"/>
              <w:spacing w:before="0" w:after="283"/>
              <w:ind w:left="0" w:right="0" w:firstLine="475"/>
              <w:jc w:val="left"/>
              <w:rPr/>
            </w:pPr>
            <w:r>
              <w:rPr/>
              <w:t> </w:t>
            </w:r>
          </w:p>
        </w:tc>
      </w:tr>
      <w:tr>
        <w:trPr/>
        <w:tc>
          <w:tcPr>
            <w:tcW w:w="5153" w:type="dxa"/>
            <w:tcBorders/>
            <w:tcMar>
              <w:top w:w="0" w:type="dxa"/>
              <w:left w:w="0" w:type="dxa"/>
              <w:bottom w:w="0" w:type="dxa"/>
              <w:right w:w="0" w:type="dxa"/>
            </w:tcMar>
            <w:vAlign w:val="center"/>
          </w:tcPr>
          <w:p>
            <w:pPr>
              <w:pStyle w:val="TableContents"/>
              <w:pBdr/>
              <w:bidi w:val="0"/>
              <w:spacing w:before="0" w:after="283"/>
              <w:ind w:left="235" w:right="0" w:hanging="240"/>
              <w:jc w:val="left"/>
              <w:rPr>
                <w:rFonts w:ascii="Times New Roman" w:hAnsi="Times New Roman"/>
                <w:color w:val="000000"/>
                <w:sz w:val="18"/>
              </w:rPr>
            </w:pPr>
            <w:r>
              <w:rPr>
                <w:rFonts w:ascii="Times New Roman" w:hAnsi="Times New Roman"/>
                <w:color w:val="000000"/>
                <w:sz w:val="18"/>
              </w:rPr>
              <w:t>Operating lease liabilities</w:t>
            </w:r>
          </w:p>
        </w:tc>
        <w:tc>
          <w:tcPr>
            <w:tcW w:w="405" w:type="dxa"/>
            <w:tcBorders/>
            <w:tcMar>
              <w:top w:w="0" w:type="dxa"/>
              <w:left w:w="0" w:type="dxa"/>
              <w:bottom w:w="0" w:type="dxa"/>
              <w:right w:w="0" w:type="dxa"/>
            </w:tcMar>
            <w:vAlign w:val="center"/>
          </w:tcPr>
          <w:p>
            <w:pPr>
              <w:pStyle w:val="TableContents"/>
              <w:bidi w:val="0"/>
              <w:spacing w:before="0" w:after="20"/>
              <w:jc w:val="left"/>
              <w:rPr/>
            </w:pPr>
            <w:r>
              <w:rPr/>
              <w:t> </w:t>
            </w:r>
          </w:p>
        </w:tc>
        <w:tc>
          <w:tcPr>
            <w:tcW w:w="543" w:type="dxa"/>
            <w:tcBorders/>
            <w:tcMar>
              <w:top w:w="0" w:type="dxa"/>
              <w:left w:w="0" w:type="dxa"/>
              <w:bottom w:w="0" w:type="dxa"/>
              <w:right w:w="0" w:type="dxa"/>
            </w:tcMar>
            <w:vAlign w:val="center"/>
          </w:tcPr>
          <w:p>
            <w:pPr>
              <w:pStyle w:val="TableContents"/>
              <w:bidi w:val="0"/>
              <w:spacing w:before="0" w:after="20"/>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1,427</w:t>
            </w:r>
          </w:p>
        </w:tc>
        <w:tc>
          <w:tcPr>
            <w:tcW w:w="323"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ind w:left="177" w:right="0" w:firstLine="177"/>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1,393</w:t>
            </w:r>
          </w:p>
        </w:tc>
        <w:tc>
          <w:tcPr>
            <w:tcW w:w="1176"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r>
      <w:tr>
        <w:trPr/>
        <w:tc>
          <w:tcPr>
            <w:tcW w:w="5153" w:type="dxa"/>
            <w:tcBorders/>
            <w:shd w:fill="CCEEFF" w:val="clear"/>
            <w:tcMar>
              <w:top w:w="0" w:type="dxa"/>
              <w:left w:w="0" w:type="dxa"/>
              <w:bottom w:w="0" w:type="dxa"/>
              <w:right w:w="0" w:type="dxa"/>
            </w:tcMar>
            <w:vAlign w:val="center"/>
          </w:tcPr>
          <w:p>
            <w:pPr>
              <w:pStyle w:val="TableContents"/>
              <w:pBdr/>
              <w:bidi w:val="0"/>
              <w:spacing w:before="0" w:after="283"/>
              <w:ind w:left="0" w:right="0" w:firstLine="177"/>
              <w:jc w:val="left"/>
              <w:rPr>
                <w:rFonts w:ascii="Times New Roman" w:hAnsi="Times New Roman"/>
                <w:color w:val="000000"/>
                <w:sz w:val="18"/>
              </w:rPr>
            </w:pPr>
            <w:r>
              <w:rPr>
                <w:rFonts w:ascii="Times New Roman" w:hAnsi="Times New Roman"/>
                <w:color w:val="000000"/>
                <w:sz w:val="18"/>
              </w:rPr>
              <w:t>Other current liabilities</w:t>
            </w:r>
          </w:p>
        </w:tc>
        <w:tc>
          <w:tcPr>
            <w:tcW w:w="405" w:type="dxa"/>
            <w:tcBorders/>
            <w:shd w:fill="CCEEFF" w:val="clear"/>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bottom w:val="single" w:sz="4" w:space="0" w:color="000000"/>
            </w:tcBorders>
            <w:shd w:fill="CCEEFF" w:val="clear"/>
            <w:tcMar>
              <w:top w:w="0" w:type="dxa"/>
              <w:left w:w="0" w:type="dxa"/>
              <w:right w:w="0" w:type="dxa"/>
            </w:tcMar>
            <w:vAlign w:val="center"/>
          </w:tcPr>
          <w:p>
            <w:pPr>
              <w:pStyle w:val="TableContents"/>
              <w:bidi w:val="0"/>
              <w:spacing w:before="0" w:after="20"/>
              <w:ind w:left="177" w:right="0" w:firstLine="177"/>
              <w:jc w:val="left"/>
              <w:rPr/>
            </w:pPr>
            <w:r>
              <w:rPr/>
              <w:t> </w:t>
            </w:r>
          </w:p>
        </w:tc>
        <w:tc>
          <w:tcPr>
            <w:tcW w:w="868"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2,681</w:t>
            </w:r>
          </w:p>
        </w:tc>
        <w:tc>
          <w:tcPr>
            <w:tcW w:w="323"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77"/>
              <w:jc w:val="left"/>
              <w:rPr/>
            </w:pPr>
            <w:r>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543"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177" w:right="0" w:firstLine="177"/>
              <w:jc w:val="left"/>
              <w:rPr/>
            </w:pPr>
            <w:r>
              <w:rPr/>
              <w:t> </w:t>
            </w:r>
          </w:p>
        </w:tc>
        <w:tc>
          <w:tcPr>
            <w:tcW w:w="868"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3,765</w:t>
            </w:r>
          </w:p>
        </w:tc>
        <w:tc>
          <w:tcPr>
            <w:tcW w:w="117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965"/>
              <w:jc w:val="left"/>
              <w:rPr/>
            </w:pPr>
            <w:r>
              <w:rPr/>
              <w:t> </w:t>
            </w:r>
          </w:p>
        </w:tc>
      </w:tr>
      <w:tr>
        <w:trPr/>
        <w:tc>
          <w:tcPr>
            <w:tcW w:w="5153" w:type="dxa"/>
            <w:tcBorders/>
            <w:tcMar>
              <w:top w:w="0" w:type="dxa"/>
              <w:left w:w="0" w:type="dxa"/>
              <w:bottom w:w="0" w:type="dxa"/>
              <w:right w:w="0" w:type="dxa"/>
            </w:tcMar>
            <w:vAlign w:val="center"/>
          </w:tcPr>
          <w:p>
            <w:pPr>
              <w:pStyle w:val="TableContents"/>
              <w:pBdr/>
              <w:bidi w:val="0"/>
              <w:spacing w:before="0" w:after="283"/>
              <w:ind w:left="0" w:right="0" w:firstLine="177"/>
              <w:jc w:val="left"/>
              <w:rPr>
                <w:rFonts w:ascii="Times New Roman" w:hAnsi="Times New Roman"/>
                <w:color w:val="000000"/>
                <w:sz w:val="18"/>
              </w:rPr>
            </w:pPr>
            <w:r>
              <w:rPr>
                <w:rFonts w:ascii="Times New Roman" w:hAnsi="Times New Roman"/>
                <w:color w:val="000000"/>
                <w:sz w:val="18"/>
              </w:rPr>
              <w:t>Total current liabilities</w:t>
            </w:r>
          </w:p>
        </w:tc>
        <w:tc>
          <w:tcPr>
            <w:tcW w:w="405" w:type="dxa"/>
            <w:tcBorders/>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bottom w:val="single" w:sz="4" w:space="0" w:color="000000"/>
            </w:tcBorders>
            <w:tcMar>
              <w:top w:w="0" w:type="dxa"/>
              <w:left w:w="0" w:type="dxa"/>
              <w:right w:w="0" w:type="dxa"/>
            </w:tcMar>
            <w:vAlign w:val="center"/>
          </w:tcPr>
          <w:p>
            <w:pPr>
              <w:pStyle w:val="TableContents"/>
              <w:bidi w:val="0"/>
              <w:spacing w:before="0" w:after="20"/>
              <w:ind w:left="177" w:right="0" w:firstLine="177"/>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43,410</w:t>
            </w:r>
          </w:p>
        </w:tc>
        <w:tc>
          <w:tcPr>
            <w:tcW w:w="323" w:type="dxa"/>
            <w:tcBorders>
              <w:bottom w:val="single" w:sz="4" w:space="0" w:color="000000"/>
            </w:tcBorders>
            <w:tcMar>
              <w:top w:w="0" w:type="dxa"/>
              <w:left w:w="0" w:type="dxa"/>
              <w:right w:w="0" w:type="dxa"/>
            </w:tcMar>
            <w:vAlign w:val="center"/>
          </w:tcPr>
          <w:p>
            <w:pPr>
              <w:pStyle w:val="TableContents"/>
              <w:bidi w:val="0"/>
              <w:spacing w:before="0" w:after="283"/>
              <w:ind w:left="0" w:right="0" w:firstLine="177"/>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543" w:type="dxa"/>
            <w:tcBorders>
              <w:bottom w:val="single" w:sz="4" w:space="0" w:color="000000"/>
            </w:tcBorders>
            <w:tcMar>
              <w:top w:w="0" w:type="dxa"/>
              <w:left w:w="0" w:type="dxa"/>
              <w:right w:w="0" w:type="dxa"/>
            </w:tcMar>
            <w:vAlign w:val="center"/>
          </w:tcPr>
          <w:p>
            <w:pPr>
              <w:pStyle w:val="TableContents"/>
              <w:bidi w:val="0"/>
              <w:spacing w:before="0" w:after="283"/>
              <w:ind w:left="177" w:right="0" w:firstLine="177"/>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46,268</w:t>
            </w:r>
          </w:p>
        </w:tc>
        <w:tc>
          <w:tcPr>
            <w:tcW w:w="1176" w:type="dxa"/>
            <w:tcBorders>
              <w:bottom w:val="single" w:sz="4" w:space="0" w:color="000000"/>
            </w:tcBorders>
            <w:tcMar>
              <w:top w:w="0" w:type="dxa"/>
              <w:left w:w="0" w:type="dxa"/>
              <w:right w:w="0" w:type="dxa"/>
            </w:tcMar>
            <w:vAlign w:val="center"/>
          </w:tcPr>
          <w:p>
            <w:pPr>
              <w:pStyle w:val="TableContents"/>
              <w:bidi w:val="0"/>
              <w:spacing w:before="0" w:after="283"/>
              <w:ind w:left="177" w:right="0" w:firstLine="177"/>
              <w:jc w:val="left"/>
              <w:rPr/>
            </w:pPr>
            <w:r>
              <w:rPr/>
              <w:t> </w:t>
            </w:r>
          </w:p>
        </w:tc>
      </w:tr>
      <w:tr>
        <w:trPr/>
        <w:tc>
          <w:tcPr>
            <w:tcW w:w="5153"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left"/>
              <w:rPr>
                <w:rFonts w:ascii="Times New Roman" w:hAnsi="Times New Roman"/>
                <w:color w:val="000000"/>
                <w:sz w:val="18"/>
              </w:rPr>
            </w:pPr>
            <w:r>
              <w:rPr>
                <w:rFonts w:ascii="Times New Roman" w:hAnsi="Times New Roman"/>
                <w:color w:val="000000"/>
                <w:sz w:val="18"/>
              </w:rPr>
              <w:t>Long-term borrowings</w:t>
            </w:r>
          </w:p>
        </w:tc>
        <w:tc>
          <w:tcPr>
            <w:tcW w:w="405" w:type="dxa"/>
            <w:tcBorders/>
            <w:shd w:fill="CCEEFF" w:val="clear"/>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0"/>
              <w:ind w:left="177" w:right="0" w:firstLine="177"/>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44,599</w:t>
            </w:r>
          </w:p>
        </w:tc>
        <w:tc>
          <w:tcPr>
            <w:tcW w:w="323"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177" w:right="0" w:firstLine="177"/>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27,211</w:t>
            </w:r>
          </w:p>
        </w:tc>
        <w:tc>
          <w:tcPr>
            <w:tcW w:w="1176" w:type="dxa"/>
            <w:tcBorders/>
            <w:shd w:fill="CCEE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53" w:type="dxa"/>
            <w:tcBorders/>
            <w:tcMar>
              <w:top w:w="0" w:type="dxa"/>
              <w:left w:w="0" w:type="dxa"/>
              <w:bottom w:w="0" w:type="dxa"/>
              <w:right w:w="0" w:type="dxa"/>
            </w:tcMar>
            <w:vAlign w:val="center"/>
          </w:tcPr>
          <w:p>
            <w:pPr>
              <w:pStyle w:val="TableContents"/>
              <w:pBdr/>
              <w:bidi w:val="0"/>
              <w:spacing w:before="0" w:after="283"/>
              <w:ind w:left="0" w:right="0" w:hanging="245"/>
              <w:jc w:val="left"/>
              <w:rPr>
                <w:rFonts w:ascii="Times New Roman" w:hAnsi="Times New Roman"/>
                <w:color w:val="000000"/>
                <w:sz w:val="18"/>
              </w:rPr>
            </w:pPr>
            <w:r>
              <w:rPr>
                <w:rFonts w:ascii="Times New Roman" w:hAnsi="Times New Roman"/>
                <w:color w:val="000000"/>
                <w:sz w:val="18"/>
              </w:rPr>
              <w:t>Accrued severance benefits, net</w:t>
            </w:r>
          </w:p>
        </w:tc>
        <w:tc>
          <w:tcPr>
            <w:tcW w:w="405" w:type="dxa"/>
            <w:tcBorders/>
            <w:tcMar>
              <w:top w:w="0" w:type="dxa"/>
              <w:left w:w="0" w:type="dxa"/>
              <w:bottom w:w="0" w:type="dxa"/>
              <w:right w:w="0" w:type="dxa"/>
            </w:tcMar>
            <w:vAlign w:val="center"/>
          </w:tcPr>
          <w:p>
            <w:pPr>
              <w:pStyle w:val="TableContents"/>
              <w:bidi w:val="0"/>
              <w:spacing w:before="0" w:after="20"/>
              <w:jc w:val="left"/>
              <w:rPr/>
            </w:pPr>
            <w:r>
              <w:rPr/>
              <w:t> </w:t>
            </w:r>
          </w:p>
        </w:tc>
        <w:tc>
          <w:tcPr>
            <w:tcW w:w="543" w:type="dxa"/>
            <w:tcBorders/>
            <w:tcMar>
              <w:top w:w="0" w:type="dxa"/>
              <w:left w:w="0" w:type="dxa"/>
              <w:bottom w:w="0" w:type="dxa"/>
              <w:right w:w="0" w:type="dxa"/>
            </w:tcMar>
            <w:vAlign w:val="center"/>
          </w:tcPr>
          <w:p>
            <w:pPr>
              <w:pStyle w:val="TableContents"/>
              <w:bidi w:val="0"/>
              <w:spacing w:before="0" w:after="20"/>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11,502</w:t>
            </w:r>
          </w:p>
        </w:tc>
        <w:tc>
          <w:tcPr>
            <w:tcW w:w="323"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ind w:left="177" w:right="0" w:firstLine="177"/>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17,094</w:t>
            </w:r>
          </w:p>
        </w:tc>
        <w:tc>
          <w:tcPr>
            <w:tcW w:w="117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53" w:type="dxa"/>
            <w:tcBorders/>
            <w:shd w:fill="CCEEFF" w:val="clear"/>
            <w:tcMar>
              <w:top w:w="0" w:type="dxa"/>
              <w:left w:w="0" w:type="dxa"/>
              <w:bottom w:w="0" w:type="dxa"/>
              <w:right w:w="0" w:type="dxa"/>
            </w:tcMar>
            <w:vAlign w:val="center"/>
          </w:tcPr>
          <w:p>
            <w:pPr>
              <w:pStyle w:val="TableContents"/>
              <w:pBdr/>
              <w:bidi w:val="0"/>
              <w:spacing w:before="0" w:after="283"/>
              <w:ind w:left="0" w:right="0" w:firstLine="177"/>
              <w:jc w:val="left"/>
              <w:rPr>
                <w:rFonts w:ascii="Times New Roman" w:hAnsi="Times New Roman"/>
                <w:color w:val="000000"/>
                <w:sz w:val="18"/>
              </w:rPr>
            </w:pPr>
            <w:r>
              <w:rPr>
                <w:rFonts w:ascii="Times New Roman" w:hAnsi="Times New Roman"/>
                <w:color w:val="000000"/>
                <w:sz w:val="18"/>
              </w:rPr>
              <w:t>Non-current operating lease liabilities</w:t>
            </w:r>
          </w:p>
        </w:tc>
        <w:tc>
          <w:tcPr>
            <w:tcW w:w="405" w:type="dxa"/>
            <w:tcBorders/>
            <w:shd w:fill="CCEEFF" w:val="clear"/>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0"/>
              <w:ind w:left="177" w:right="0" w:firstLine="177"/>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690</w:t>
            </w:r>
          </w:p>
        </w:tc>
        <w:tc>
          <w:tcPr>
            <w:tcW w:w="323"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177" w:right="0" w:firstLine="177"/>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1,823</w:t>
            </w:r>
          </w:p>
        </w:tc>
        <w:tc>
          <w:tcPr>
            <w:tcW w:w="1176" w:type="dxa"/>
            <w:tcBorders/>
            <w:shd w:fill="CCEE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53" w:type="dxa"/>
            <w:tcBorders/>
            <w:tcMar>
              <w:top w:w="0" w:type="dxa"/>
              <w:left w:w="0" w:type="dxa"/>
              <w:bottom w:w="0" w:type="dxa"/>
              <w:right w:w="0" w:type="dxa"/>
            </w:tcMar>
            <w:vAlign w:val="center"/>
          </w:tcPr>
          <w:p>
            <w:pPr>
              <w:pStyle w:val="TableContents"/>
              <w:pBdr/>
              <w:bidi w:val="0"/>
              <w:spacing w:before="0" w:after="283"/>
              <w:ind w:left="0" w:right="0" w:firstLine="177"/>
              <w:jc w:val="left"/>
              <w:rPr>
                <w:rFonts w:ascii="Times New Roman" w:hAnsi="Times New Roman"/>
                <w:color w:val="000000"/>
                <w:sz w:val="18"/>
              </w:rPr>
            </w:pPr>
            <w:r>
              <w:rPr>
                <w:rFonts w:ascii="Times New Roman" w:hAnsi="Times New Roman"/>
                <w:color w:val="000000"/>
                <w:sz w:val="18"/>
              </w:rPr>
              <w:t>Other non-current liabilities</w:t>
            </w:r>
          </w:p>
        </w:tc>
        <w:tc>
          <w:tcPr>
            <w:tcW w:w="405" w:type="dxa"/>
            <w:tcBorders/>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bottom w:val="single" w:sz="4" w:space="0" w:color="000000"/>
            </w:tcBorders>
            <w:tcMar>
              <w:top w:w="0" w:type="dxa"/>
              <w:left w:w="0" w:type="dxa"/>
              <w:right w:w="0" w:type="dxa"/>
            </w:tcMar>
            <w:vAlign w:val="center"/>
          </w:tcPr>
          <w:p>
            <w:pPr>
              <w:pStyle w:val="TableContents"/>
              <w:bidi w:val="0"/>
              <w:spacing w:before="0" w:after="20"/>
              <w:ind w:left="177" w:right="0" w:firstLine="90"/>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 xml:space="preserve">3,078 </w:t>
            </w:r>
          </w:p>
        </w:tc>
        <w:tc>
          <w:tcPr>
            <w:tcW w:w="323" w:type="dxa"/>
            <w:tcBorders>
              <w:bottom w:val="single" w:sz="4" w:space="0" w:color="000000"/>
            </w:tcBorders>
            <w:tcMar>
              <w:top w:w="0" w:type="dxa"/>
              <w:left w:w="0" w:type="dxa"/>
              <w:right w:w="0" w:type="dxa"/>
            </w:tcMar>
            <w:vAlign w:val="center"/>
          </w:tcPr>
          <w:p>
            <w:pPr>
              <w:pStyle w:val="TableContents"/>
              <w:bidi w:val="0"/>
              <w:spacing w:before="0" w:after="283"/>
              <w:ind w:left="0" w:right="0" w:firstLine="177"/>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543" w:type="dxa"/>
            <w:tcBorders>
              <w:bottom w:val="single" w:sz="4" w:space="0" w:color="000000"/>
            </w:tcBorders>
            <w:tcMar>
              <w:top w:w="0" w:type="dxa"/>
              <w:left w:w="0" w:type="dxa"/>
              <w:right w:w="0" w:type="dxa"/>
            </w:tcMar>
            <w:vAlign w:val="center"/>
          </w:tcPr>
          <w:p>
            <w:pPr>
              <w:pStyle w:val="TableContents"/>
              <w:bidi w:val="0"/>
              <w:spacing w:before="0" w:after="283"/>
              <w:ind w:left="177" w:right="0" w:firstLine="177"/>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10,123</w:t>
            </w:r>
          </w:p>
        </w:tc>
        <w:tc>
          <w:tcPr>
            <w:tcW w:w="1176" w:type="dxa"/>
            <w:tcBorders>
              <w:bottom w:val="single" w:sz="4" w:space="0" w:color="000000"/>
            </w:tcBorders>
            <w:tcMar>
              <w:top w:w="0" w:type="dxa"/>
              <w:left w:w="0" w:type="dxa"/>
              <w:right w:w="0" w:type="dxa"/>
            </w:tcMar>
            <w:vAlign w:val="center"/>
          </w:tcPr>
          <w:p>
            <w:pPr>
              <w:pStyle w:val="TableContents"/>
              <w:bidi w:val="0"/>
              <w:spacing w:before="0" w:after="283"/>
              <w:ind w:left="0" w:right="0" w:firstLine="965"/>
              <w:jc w:val="left"/>
              <w:rPr/>
            </w:pPr>
            <w:r>
              <w:rPr/>
              <w:t> </w:t>
            </w:r>
          </w:p>
        </w:tc>
      </w:tr>
      <w:tr>
        <w:trPr/>
        <w:tc>
          <w:tcPr>
            <w:tcW w:w="5153" w:type="dxa"/>
            <w:tcBorders/>
            <w:shd w:fill="CCEEFF" w:val="clear"/>
            <w:tcMar>
              <w:top w:w="0" w:type="dxa"/>
              <w:left w:w="0" w:type="dxa"/>
              <w:bottom w:w="0" w:type="dxa"/>
              <w:right w:w="0" w:type="dxa"/>
            </w:tcMar>
            <w:vAlign w:val="center"/>
          </w:tcPr>
          <w:p>
            <w:pPr>
              <w:pStyle w:val="TableContents"/>
              <w:pBdr/>
              <w:bidi w:val="0"/>
              <w:spacing w:before="0" w:after="283"/>
              <w:ind w:left="0" w:right="0" w:firstLine="177"/>
              <w:jc w:val="left"/>
              <w:rPr>
                <w:rFonts w:ascii="Times New Roman" w:hAnsi="Times New Roman"/>
                <w:color w:val="000000"/>
                <w:sz w:val="18"/>
              </w:rPr>
            </w:pPr>
            <w:r>
              <w:rPr>
                <w:rFonts w:ascii="Times New Roman" w:hAnsi="Times New Roman"/>
                <w:color w:val="000000"/>
                <w:sz w:val="18"/>
              </w:rPr>
              <w:t>Total liabilities</w:t>
            </w:r>
          </w:p>
        </w:tc>
        <w:tc>
          <w:tcPr>
            <w:tcW w:w="405" w:type="dxa"/>
            <w:tcBorders/>
            <w:shd w:fill="CCEEFF" w:val="clear"/>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bottom w:val="single" w:sz="4" w:space="0" w:color="000000"/>
            </w:tcBorders>
            <w:shd w:fill="CCEEFF" w:val="clear"/>
            <w:tcMar>
              <w:top w:w="0" w:type="dxa"/>
              <w:left w:w="0" w:type="dxa"/>
              <w:right w:w="0" w:type="dxa"/>
            </w:tcMar>
            <w:vAlign w:val="center"/>
          </w:tcPr>
          <w:p>
            <w:pPr>
              <w:pStyle w:val="TableContents"/>
              <w:bidi w:val="0"/>
              <w:spacing w:before="0" w:after="20"/>
              <w:ind w:left="177" w:right="0" w:firstLine="177"/>
              <w:jc w:val="left"/>
              <w:rPr/>
            </w:pPr>
            <w:r>
              <w:rPr/>
              <w:t> </w:t>
            </w:r>
          </w:p>
        </w:tc>
        <w:tc>
          <w:tcPr>
            <w:tcW w:w="868"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103,279</w:t>
            </w:r>
          </w:p>
        </w:tc>
        <w:tc>
          <w:tcPr>
            <w:tcW w:w="323"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77"/>
              <w:jc w:val="left"/>
              <w:rPr/>
            </w:pPr>
            <w:r>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543"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177" w:right="0" w:firstLine="177"/>
              <w:jc w:val="left"/>
              <w:rPr/>
            </w:pPr>
            <w:r>
              <w:rPr/>
              <w:t> </w:t>
            </w:r>
          </w:p>
        </w:tc>
        <w:tc>
          <w:tcPr>
            <w:tcW w:w="868"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102,519</w:t>
            </w:r>
          </w:p>
        </w:tc>
        <w:tc>
          <w:tcPr>
            <w:tcW w:w="117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5153" w:type="dxa"/>
            <w:tcBorders/>
            <w:tcMar>
              <w:top w:w="0" w:type="dxa"/>
              <w:left w:w="0" w:type="dxa"/>
              <w:bottom w:w="0" w:type="dxa"/>
              <w:right w:w="0" w:type="dxa"/>
            </w:tcMar>
            <w:vAlign w:val="center"/>
          </w:tcPr>
          <w:p>
            <w:pPr>
              <w:pStyle w:val="TableContents"/>
              <w:pBdr/>
              <w:bidi w:val="0"/>
              <w:spacing w:before="0" w:after="283"/>
              <w:ind w:left="0" w:right="0" w:firstLine="177"/>
              <w:jc w:val="left"/>
              <w:rPr>
                <w:rFonts w:ascii="Times New Roman" w:hAnsi="Times New Roman"/>
                <w:color w:val="000000"/>
                <w:sz w:val="18"/>
              </w:rPr>
            </w:pPr>
            <w:r>
              <w:rPr>
                <w:rFonts w:ascii="Times New Roman" w:hAnsi="Times New Roman"/>
                <w:color w:val="000000"/>
                <w:sz w:val="18"/>
              </w:rPr>
              <w:t>Commitments and contingencies</w:t>
            </w:r>
          </w:p>
        </w:tc>
        <w:tc>
          <w:tcPr>
            <w:tcW w:w="405"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ind w:left="177" w:right="220" w:firstLine="177"/>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ind w:left="0" w:right="0" w:firstLine="177"/>
              <w:jc w:val="right"/>
              <w:rPr/>
            </w:pPr>
            <w:r>
              <w:rPr/>
              <w:t> </w:t>
            </w:r>
          </w:p>
        </w:tc>
        <w:tc>
          <w:tcPr>
            <w:tcW w:w="323"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ind w:left="177" w:right="220" w:firstLine="177"/>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ind w:left="0" w:right="0" w:firstLine="177"/>
              <w:jc w:val="right"/>
              <w:rPr/>
            </w:pPr>
            <w:r>
              <w:rPr/>
              <w:t> </w:t>
            </w:r>
          </w:p>
        </w:tc>
        <w:tc>
          <w:tcPr>
            <w:tcW w:w="117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53" w:type="dxa"/>
            <w:tcBorders/>
            <w:shd w:fill="CCEEFF" w:val="clear"/>
            <w:tcMar>
              <w:top w:w="0" w:type="dxa"/>
              <w:left w:w="0" w:type="dxa"/>
              <w:bottom w:w="0" w:type="dxa"/>
              <w:right w:w="0" w:type="dxa"/>
            </w:tcMar>
            <w:vAlign w:val="center"/>
          </w:tcPr>
          <w:p>
            <w:pPr>
              <w:pStyle w:val="TableContents"/>
              <w:pBdr/>
              <w:bidi w:val="0"/>
              <w:spacing w:before="0" w:after="283"/>
              <w:ind w:left="0" w:right="0" w:firstLine="177"/>
              <w:jc w:val="left"/>
              <w:rPr>
                <w:rFonts w:ascii="Times New Roman" w:hAnsi="Times New Roman"/>
                <w:color w:val="000000"/>
                <w:sz w:val="18"/>
              </w:rPr>
            </w:pPr>
            <w:r>
              <w:rPr>
                <w:rFonts w:ascii="Times New Roman" w:hAnsi="Times New Roman"/>
                <w:color w:val="000000"/>
                <w:sz w:val="18"/>
              </w:rPr>
              <w:t>Stockholders’ equity</w:t>
            </w:r>
          </w:p>
        </w:tc>
        <w:tc>
          <w:tcPr>
            <w:tcW w:w="405"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177" w:right="220" w:firstLine="177"/>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right"/>
              <w:rPr/>
            </w:pPr>
            <w:r>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177" w:right="220" w:firstLine="177"/>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right"/>
              <w:rPr/>
            </w:pPr>
            <w:r>
              <w:rPr/>
              <w:t> </w:t>
            </w:r>
          </w:p>
        </w:tc>
        <w:tc>
          <w:tcPr>
            <w:tcW w:w="1176" w:type="dxa"/>
            <w:tcBorders/>
            <w:shd w:fill="CCEEFF" w:val="clear"/>
            <w:tcMar>
              <w:top w:w="0" w:type="dxa"/>
              <w:left w:w="0" w:type="dxa"/>
              <w:bottom w:w="0" w:type="dxa"/>
              <w:right w:w="0" w:type="dxa"/>
            </w:tcMar>
            <w:vAlign w:val="center"/>
          </w:tcPr>
          <w:p>
            <w:pPr>
              <w:pStyle w:val="TableContents"/>
              <w:bidi w:val="0"/>
              <w:spacing w:before="0" w:after="283"/>
              <w:ind w:left="0" w:right="0" w:firstLine="230"/>
              <w:jc w:val="left"/>
              <w:rPr/>
            </w:pPr>
            <w:r>
              <w:rPr/>
              <w:t> </w:t>
            </w:r>
          </w:p>
        </w:tc>
      </w:tr>
      <w:tr>
        <w:trPr/>
        <w:tc>
          <w:tcPr>
            <w:tcW w:w="5153" w:type="dxa"/>
            <w:tcBorders/>
            <w:tcMar>
              <w:top w:w="0" w:type="dxa"/>
              <w:left w:w="0" w:type="dxa"/>
              <w:bottom w:w="0" w:type="dxa"/>
              <w:right w:w="0" w:type="dxa"/>
            </w:tcMar>
            <w:vAlign w:val="center"/>
          </w:tcPr>
          <w:p>
            <w:pPr>
              <w:pStyle w:val="TableContents"/>
              <w:bidi w:val="0"/>
              <w:spacing w:before="0" w:after="283"/>
              <w:ind w:left="0" w:right="0" w:firstLine="177"/>
              <w:jc w:val="left"/>
              <w:rPr>
                <w:rFonts w:ascii="Times New Roman" w:hAnsi="Times New Roman"/>
                <w:color w:val="000000"/>
                <w:sz w:val="18"/>
              </w:rPr>
            </w:pPr>
            <w:r>
              <w:rPr>
                <w:rFonts w:ascii="Times New Roman" w:hAnsi="Times New Roman"/>
                <w:color w:val="000000"/>
                <w:sz w:val="18"/>
              </w:rPr>
              <w:t>Common stock, $0.01 par value, 150,000,000 shares authorized, 58,027,696 shares issued and 36,219,100 outstanding at December 31, 2025 and 57,498,507 shares issued and 36,912,118 outstanding at December 31, 2024</w:t>
            </w:r>
          </w:p>
        </w:tc>
        <w:tc>
          <w:tcPr>
            <w:tcW w:w="405" w:type="dxa"/>
            <w:tcBorders/>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tcMar>
              <w:top w:w="0" w:type="dxa"/>
              <w:left w:w="0" w:type="dxa"/>
              <w:bottom w:w="0" w:type="dxa"/>
              <w:right w:w="0" w:type="dxa"/>
            </w:tcMar>
            <w:vAlign w:val="center"/>
          </w:tcPr>
          <w:p>
            <w:pPr>
              <w:pStyle w:val="TableContents"/>
              <w:bidi w:val="0"/>
              <w:spacing w:before="0" w:after="20"/>
              <w:ind w:left="177" w:right="0" w:firstLine="177"/>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579</w:t>
            </w:r>
          </w:p>
        </w:tc>
        <w:tc>
          <w:tcPr>
            <w:tcW w:w="323"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ind w:left="177" w:right="0" w:firstLine="177"/>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574</w:t>
            </w:r>
          </w:p>
        </w:tc>
        <w:tc>
          <w:tcPr>
            <w:tcW w:w="1176"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r>
      <w:tr>
        <w:trPr/>
        <w:tc>
          <w:tcPr>
            <w:tcW w:w="5153" w:type="dxa"/>
            <w:tcBorders/>
            <w:shd w:fill="CCEEFF" w:val="clear"/>
            <w:tcMar>
              <w:top w:w="0" w:type="dxa"/>
              <w:left w:w="0" w:type="dxa"/>
              <w:bottom w:w="0" w:type="dxa"/>
              <w:right w:w="0" w:type="dxa"/>
            </w:tcMar>
            <w:vAlign w:val="center"/>
          </w:tcPr>
          <w:p>
            <w:pPr>
              <w:pStyle w:val="TableContents"/>
              <w:pBdr/>
              <w:bidi w:val="0"/>
              <w:spacing w:before="0" w:after="283"/>
              <w:ind w:left="235" w:right="0" w:hanging="240"/>
              <w:jc w:val="left"/>
              <w:rPr>
                <w:rFonts w:ascii="Times New Roman" w:hAnsi="Times New Roman"/>
                <w:color w:val="000000"/>
                <w:sz w:val="18"/>
              </w:rPr>
            </w:pPr>
            <w:r>
              <w:rPr>
                <w:rFonts w:ascii="Times New Roman" w:hAnsi="Times New Roman"/>
                <w:color w:val="000000"/>
                <w:sz w:val="18"/>
              </w:rPr>
              <w:t>Additional paid-in capital</w:t>
            </w:r>
          </w:p>
        </w:tc>
        <w:tc>
          <w:tcPr>
            <w:tcW w:w="405" w:type="dxa"/>
            <w:tcBorders/>
            <w:shd w:fill="CCEEFF" w:val="clear"/>
            <w:tcMar>
              <w:top w:w="0" w:type="dxa"/>
              <w:left w:w="0" w:type="dxa"/>
              <w:bottom w:w="0" w:type="dxa"/>
              <w:right w:w="0" w:type="dxa"/>
            </w:tcMar>
            <w:vAlign w:val="center"/>
          </w:tcPr>
          <w:p>
            <w:pPr>
              <w:pStyle w:val="TableContents"/>
              <w:bidi w:val="0"/>
              <w:spacing w:before="0" w:after="20"/>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0"/>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281,537</w:t>
            </w:r>
          </w:p>
        </w:tc>
        <w:tc>
          <w:tcPr>
            <w:tcW w:w="323"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177" w:right="0" w:firstLine="177"/>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right"/>
              <w:rPr>
                <w:rFonts w:ascii="Times New Roman" w:hAnsi="Times New Roman"/>
                <w:color w:val="000000"/>
                <w:sz w:val="18"/>
              </w:rPr>
            </w:pPr>
            <w:r>
              <w:rPr>
                <w:rFonts w:ascii="Times New Roman" w:hAnsi="Times New Roman"/>
                <w:color w:val="000000"/>
                <w:sz w:val="18"/>
              </w:rPr>
              <w:t>279,423</w:t>
            </w:r>
          </w:p>
        </w:tc>
        <w:tc>
          <w:tcPr>
            <w:tcW w:w="1176" w:type="dxa"/>
            <w:tcBorders/>
            <w:shd w:fill="CCEEFF" w:val="clear"/>
            <w:tcMar>
              <w:top w:w="0" w:type="dxa"/>
              <w:left w:w="0" w:type="dxa"/>
              <w:bottom w:w="0" w:type="dxa"/>
              <w:right w:w="0" w:type="dxa"/>
            </w:tcMar>
            <w:vAlign w:val="center"/>
          </w:tcPr>
          <w:p>
            <w:pPr>
              <w:pStyle w:val="TableContents"/>
              <w:bidi w:val="0"/>
              <w:spacing w:before="0" w:after="283"/>
              <w:ind w:left="0" w:right="0" w:firstLine="475"/>
              <w:jc w:val="left"/>
              <w:rPr/>
            </w:pPr>
            <w:r>
              <w:rPr/>
              <w:t> </w:t>
            </w:r>
          </w:p>
        </w:tc>
      </w:tr>
      <w:tr>
        <w:trPr/>
        <w:tc>
          <w:tcPr>
            <w:tcW w:w="5153" w:type="dxa"/>
            <w:tcBorders/>
            <w:tcMar>
              <w:top w:w="0" w:type="dxa"/>
              <w:left w:w="0" w:type="dxa"/>
              <w:bottom w:w="0" w:type="dxa"/>
              <w:right w:w="0" w:type="dxa"/>
            </w:tcMar>
            <w:vAlign w:val="center"/>
          </w:tcPr>
          <w:p>
            <w:pPr>
              <w:pStyle w:val="TableContents"/>
              <w:pBdr/>
              <w:bidi w:val="0"/>
              <w:spacing w:before="0" w:after="283"/>
              <w:ind w:left="235" w:right="0" w:hanging="240"/>
              <w:jc w:val="left"/>
              <w:rPr>
                <w:rFonts w:ascii="Times New Roman" w:hAnsi="Times New Roman"/>
                <w:color w:val="000000"/>
                <w:sz w:val="18"/>
              </w:rPr>
            </w:pPr>
            <w:r>
              <w:rPr>
                <w:rFonts w:ascii="Times New Roman" w:hAnsi="Times New Roman"/>
                <w:color w:val="000000"/>
                <w:sz w:val="18"/>
              </w:rPr>
              <w:t>Retained earnings</w:t>
            </w:r>
          </w:p>
        </w:tc>
        <w:tc>
          <w:tcPr>
            <w:tcW w:w="405" w:type="dxa"/>
            <w:tcBorders/>
            <w:tcMar>
              <w:top w:w="0" w:type="dxa"/>
              <w:left w:w="0" w:type="dxa"/>
              <w:bottom w:w="0" w:type="dxa"/>
              <w:right w:w="0" w:type="dxa"/>
            </w:tcMar>
            <w:vAlign w:val="center"/>
          </w:tcPr>
          <w:p>
            <w:pPr>
              <w:pStyle w:val="TableContents"/>
              <w:bidi w:val="0"/>
              <w:spacing w:before="0" w:after="20"/>
              <w:jc w:val="left"/>
              <w:rPr/>
            </w:pPr>
            <w:r>
              <w:rPr/>
              <w:t> </w:t>
            </w:r>
          </w:p>
        </w:tc>
        <w:tc>
          <w:tcPr>
            <w:tcW w:w="543" w:type="dxa"/>
            <w:tcBorders/>
            <w:tcMar>
              <w:top w:w="0" w:type="dxa"/>
              <w:left w:w="0" w:type="dxa"/>
              <w:bottom w:w="0" w:type="dxa"/>
              <w:right w:w="0" w:type="dxa"/>
            </w:tcMar>
            <w:vAlign w:val="center"/>
          </w:tcPr>
          <w:p>
            <w:pPr>
              <w:pStyle w:val="TableContents"/>
              <w:bidi w:val="0"/>
              <w:spacing w:before="0" w:after="20"/>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214,852</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244,576</w:t>
            </w:r>
          </w:p>
        </w:tc>
        <w:tc>
          <w:tcPr>
            <w:tcW w:w="1176" w:type="dxa"/>
            <w:tcBorders/>
            <w:tcMar>
              <w:top w:w="0" w:type="dxa"/>
              <w:left w:w="0" w:type="dxa"/>
              <w:bottom w:w="0" w:type="dxa"/>
              <w:right w:w="0" w:type="dxa"/>
            </w:tcMar>
            <w:vAlign w:val="center"/>
          </w:tcPr>
          <w:p>
            <w:pPr>
              <w:pStyle w:val="TableContents"/>
              <w:bidi w:val="0"/>
              <w:spacing w:before="0" w:after="283"/>
              <w:ind w:left="0" w:right="0" w:firstLine="230"/>
              <w:jc w:val="left"/>
              <w:rPr/>
            </w:pPr>
            <w:r>
              <w:rPr/>
              <w:t> </w:t>
            </w:r>
          </w:p>
        </w:tc>
      </w:tr>
      <w:tr>
        <w:trPr/>
        <w:tc>
          <w:tcPr>
            <w:tcW w:w="5153" w:type="dxa"/>
            <w:tcBorders/>
            <w:shd w:fill="CCEEFF" w:val="clear"/>
            <w:tcMar>
              <w:top w:w="0" w:type="dxa"/>
              <w:left w:w="0" w:type="dxa"/>
              <w:bottom w:w="0" w:type="dxa"/>
              <w:right w:w="0" w:type="dxa"/>
            </w:tcMar>
            <w:vAlign w:val="center"/>
          </w:tcPr>
          <w:p>
            <w:pPr>
              <w:pStyle w:val="TableContents"/>
              <w:bidi w:val="0"/>
              <w:spacing w:before="0" w:after="283"/>
              <w:ind w:left="0" w:right="0" w:firstLine="177"/>
              <w:jc w:val="left"/>
              <w:rPr>
                <w:rFonts w:ascii="Times New Roman" w:hAnsi="Times New Roman"/>
                <w:color w:val="000000"/>
                <w:sz w:val="18"/>
              </w:rPr>
            </w:pPr>
            <w:r>
              <w:rPr>
                <w:rFonts w:ascii="Times New Roman" w:hAnsi="Times New Roman"/>
                <w:color w:val="000000"/>
                <w:sz w:val="18"/>
              </w:rPr>
              <w:t>Treasury stock, 21,808,596 shares at December 31, 2025 and 20,586,389 shares at December 31, 2024, respectively</w:t>
            </w:r>
          </w:p>
        </w:tc>
        <w:tc>
          <w:tcPr>
            <w:tcW w:w="405" w:type="dxa"/>
            <w:tcBorders/>
            <w:shd w:fill="CCEEFF" w:val="clear"/>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0"/>
              <w:ind w:left="177" w:right="0" w:firstLine="177"/>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(229,910</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2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(225,883</w:t>
            </w:r>
          </w:p>
        </w:tc>
        <w:tc>
          <w:tcPr>
            <w:tcW w:w="1176" w:type="dxa"/>
            <w:tcBorders/>
            <w:shd w:fill="CCEEFF" w:val="clear"/>
            <w:tcMar>
              <w:top w:w="0" w:type="dxa"/>
              <w:left w:w="0" w:type="dxa"/>
              <w:bottom w:w="0" w:type="dxa"/>
              <w:right w:w="0" w:type="dxa"/>
            </w:tcMar>
            <w:vAlign w:val="center"/>
          </w:tcPr>
          <w:p>
            <w:pPr>
              <w:pStyle w:val="TableContents"/>
              <w:bidi w:val="0"/>
              <w:spacing w:before="0" w:after="283"/>
              <w:ind w:left="0" w:right="0" w:firstLine="475"/>
              <w:jc w:val="left"/>
              <w:rPr>
                <w:rFonts w:ascii="Times New Roman" w:hAnsi="Times New Roman"/>
                <w:color w:val="000000"/>
                <w:sz w:val="18"/>
              </w:rPr>
            </w:pPr>
            <w:r>
              <w:rPr>
                <w:rFonts w:ascii="Times New Roman" w:hAnsi="Times New Roman"/>
                <w:color w:val="000000"/>
                <w:sz w:val="18"/>
              </w:rPr>
              <w:t>)</w:t>
            </w:r>
          </w:p>
        </w:tc>
      </w:tr>
      <w:tr>
        <w:trPr/>
        <w:tc>
          <w:tcPr>
            <w:tcW w:w="5153" w:type="dxa"/>
            <w:tcBorders/>
            <w:tcMar>
              <w:top w:w="0" w:type="dxa"/>
              <w:left w:w="0" w:type="dxa"/>
              <w:bottom w:w="0" w:type="dxa"/>
              <w:right w:w="0" w:type="dxa"/>
            </w:tcMar>
            <w:vAlign w:val="center"/>
          </w:tcPr>
          <w:p>
            <w:pPr>
              <w:pStyle w:val="TableContents"/>
              <w:pBdr/>
              <w:bidi w:val="0"/>
              <w:spacing w:before="0" w:after="283"/>
              <w:ind w:left="0" w:right="0" w:firstLine="177"/>
              <w:jc w:val="left"/>
              <w:rPr>
                <w:rFonts w:ascii="Times New Roman" w:hAnsi="Times New Roman"/>
                <w:color w:val="000000"/>
                <w:sz w:val="18"/>
              </w:rPr>
            </w:pPr>
            <w:r>
              <w:rPr>
                <w:rFonts w:ascii="Times New Roman" w:hAnsi="Times New Roman"/>
                <w:color w:val="000000"/>
                <w:sz w:val="18"/>
              </w:rPr>
              <w:t>Accumulated other comprehensive loss</w:t>
            </w:r>
          </w:p>
        </w:tc>
        <w:tc>
          <w:tcPr>
            <w:tcW w:w="405" w:type="dxa"/>
            <w:tcBorders/>
            <w:tcMar>
              <w:top w:w="0" w:type="dxa"/>
              <w:left w:w="0" w:type="dxa"/>
              <w:bottom w:w="0" w:type="dxa"/>
              <w:right w:w="0" w:type="dxa"/>
            </w:tcMar>
            <w:vAlign w:val="center"/>
          </w:tcPr>
          <w:p>
            <w:pPr>
              <w:pStyle w:val="TableContents"/>
              <w:bidi w:val="0"/>
              <w:spacing w:before="0" w:after="20"/>
              <w:ind w:left="0" w:right="0" w:firstLine="177"/>
              <w:jc w:val="left"/>
              <w:rPr/>
            </w:pPr>
            <w:r>
              <w:rPr/>
              <w:t> </w:t>
            </w:r>
          </w:p>
        </w:tc>
        <w:tc>
          <w:tcPr>
            <w:tcW w:w="543" w:type="dxa"/>
            <w:tcBorders>
              <w:bottom w:val="single" w:sz="4" w:space="0" w:color="000000"/>
            </w:tcBorders>
            <w:tcMar>
              <w:top w:w="0" w:type="dxa"/>
              <w:left w:w="0" w:type="dxa"/>
              <w:right w:w="0" w:type="dxa"/>
            </w:tcMar>
            <w:vAlign w:val="center"/>
          </w:tcPr>
          <w:p>
            <w:pPr>
              <w:pStyle w:val="TableContents"/>
              <w:bidi w:val="0"/>
              <w:spacing w:before="0" w:after="20"/>
              <w:ind w:left="177" w:right="0" w:firstLine="177"/>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(18,808</w:t>
            </w:r>
          </w:p>
        </w:tc>
        <w:tc>
          <w:tcPr>
            <w:tcW w:w="32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(21,893</w:t>
            </w:r>
          </w:p>
        </w:tc>
        <w:tc>
          <w:tcPr>
            <w:tcW w:w="1176" w:type="dxa"/>
            <w:tcBorders>
              <w:bottom w:val="single" w:sz="4" w:space="0" w:color="000000"/>
            </w:tcBorders>
            <w:tcMar>
              <w:top w:w="0" w:type="dxa"/>
              <w:left w:w="0" w:type="dxa"/>
              <w:right w:w="0" w:type="dxa"/>
            </w:tcMar>
            <w:vAlign w:val="center"/>
          </w:tcPr>
          <w:p>
            <w:pPr>
              <w:pStyle w:val="TableContents"/>
              <w:bidi w:val="0"/>
              <w:spacing w:before="0" w:after="283"/>
              <w:ind w:left="0" w:right="0" w:firstLine="965"/>
              <w:jc w:val="left"/>
              <w:rPr>
                <w:rFonts w:ascii="Times New Roman" w:hAnsi="Times New Roman"/>
                <w:color w:val="000000"/>
                <w:sz w:val="18"/>
              </w:rPr>
            </w:pPr>
            <w:r>
              <w:rPr>
                <w:rFonts w:ascii="Times New Roman" w:hAnsi="Times New Roman"/>
                <w:color w:val="000000"/>
                <w:sz w:val="18"/>
              </w:rPr>
              <w:t>)</w:t>
            </w:r>
          </w:p>
        </w:tc>
      </w:tr>
      <w:tr>
        <w:trPr/>
        <w:tc>
          <w:tcPr>
            <w:tcW w:w="5153" w:type="dxa"/>
            <w:tcBorders/>
            <w:shd w:fill="CCEEFF" w:val="clear"/>
            <w:tcMar>
              <w:top w:w="0" w:type="dxa"/>
              <w:left w:w="0" w:type="dxa"/>
              <w:bottom w:w="0" w:type="dxa"/>
              <w:right w:w="0" w:type="dxa"/>
            </w:tcMar>
            <w:vAlign w:val="center"/>
          </w:tcPr>
          <w:p>
            <w:pPr>
              <w:pStyle w:val="TableContents"/>
              <w:pBdr/>
              <w:bidi w:val="0"/>
              <w:spacing w:before="0" w:after="283"/>
              <w:ind w:left="725" w:right="0" w:hanging="240"/>
              <w:jc w:val="left"/>
              <w:rPr>
                <w:rFonts w:ascii="Times New Roman" w:hAnsi="Times New Roman"/>
                <w:color w:val="000000"/>
                <w:sz w:val="18"/>
              </w:rPr>
            </w:pPr>
            <w:r>
              <w:rPr>
                <w:rFonts w:ascii="Times New Roman" w:hAnsi="Times New Roman"/>
                <w:color w:val="000000"/>
                <w:sz w:val="18"/>
              </w:rPr>
              <w:t>Total stockholders’ equity</w:t>
            </w:r>
          </w:p>
        </w:tc>
        <w:tc>
          <w:tcPr>
            <w:tcW w:w="405" w:type="dxa"/>
            <w:tcBorders/>
            <w:shd w:fill="CCEEFF" w:val="clear"/>
            <w:tcMar>
              <w:top w:w="0" w:type="dxa"/>
              <w:left w:w="0" w:type="dxa"/>
              <w:bottom w:w="0" w:type="dxa"/>
              <w:right w:w="0" w:type="dxa"/>
            </w:tcMar>
            <w:vAlign w:val="center"/>
          </w:tcPr>
          <w:p>
            <w:pPr>
              <w:pStyle w:val="TableContents"/>
              <w:bidi w:val="0"/>
              <w:spacing w:before="0" w:after="20"/>
              <w:ind w:left="0" w:right="0" w:firstLine="180"/>
              <w:jc w:val="left"/>
              <w:rPr/>
            </w:pPr>
            <w:r>
              <w:rPr/>
              <w:t> </w:t>
            </w:r>
          </w:p>
        </w:tc>
        <w:tc>
          <w:tcPr>
            <w:tcW w:w="543" w:type="dxa"/>
            <w:tcBorders>
              <w:bottom w:val="single" w:sz="4" w:space="0" w:color="000000"/>
            </w:tcBorders>
            <w:shd w:fill="CCEEFF" w:val="clear"/>
            <w:tcMar>
              <w:top w:w="0" w:type="dxa"/>
              <w:left w:w="0" w:type="dxa"/>
              <w:right w:w="0" w:type="dxa"/>
            </w:tcMar>
            <w:vAlign w:val="center"/>
          </w:tcPr>
          <w:p>
            <w:pPr>
              <w:pStyle w:val="TableContents"/>
              <w:bidi w:val="0"/>
              <w:spacing w:before="0" w:after="20"/>
              <w:ind w:left="0" w:right="0" w:firstLine="180"/>
              <w:jc w:val="left"/>
              <w:rPr/>
            </w:pPr>
            <w:r>
              <w:rPr/>
              <w:t> </w:t>
            </w:r>
          </w:p>
        </w:tc>
        <w:tc>
          <w:tcPr>
            <w:tcW w:w="86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248,250</w:t>
            </w:r>
          </w:p>
        </w:tc>
        <w:tc>
          <w:tcPr>
            <w:tcW w:w="3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276,797</w:t>
            </w:r>
          </w:p>
        </w:tc>
        <w:tc>
          <w:tcPr>
            <w:tcW w:w="117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965"/>
              <w:jc w:val="left"/>
              <w:rPr/>
            </w:pPr>
            <w:r>
              <w:rPr/>
              <w:t> </w:t>
            </w:r>
          </w:p>
        </w:tc>
      </w:tr>
      <w:tr>
        <w:trPr/>
        <w:tc>
          <w:tcPr>
            <w:tcW w:w="5153" w:type="dxa"/>
            <w:tcBorders/>
            <w:tcMar>
              <w:top w:w="0" w:type="dxa"/>
              <w:left w:w="0" w:type="dxa"/>
              <w:bottom w:w="0" w:type="dxa"/>
              <w:right w:w="0" w:type="dxa"/>
            </w:tcMar>
            <w:vAlign w:val="center"/>
          </w:tcPr>
          <w:p>
            <w:pPr>
              <w:pStyle w:val="TableContents"/>
              <w:pBdr/>
              <w:bidi w:val="0"/>
              <w:spacing w:before="0" w:after="283"/>
              <w:ind w:left="725" w:right="0" w:hanging="240"/>
              <w:jc w:val="left"/>
              <w:rPr>
                <w:rFonts w:ascii="Times New Roman" w:hAnsi="Times New Roman"/>
                <w:color w:val="000000"/>
                <w:sz w:val="18"/>
              </w:rPr>
            </w:pPr>
            <w:r>
              <w:rPr>
                <w:rFonts w:ascii="Times New Roman" w:hAnsi="Times New Roman"/>
                <w:color w:val="000000"/>
                <w:sz w:val="18"/>
              </w:rPr>
              <w:t>Total liabilities and stockholders’ equity</w:t>
            </w:r>
          </w:p>
        </w:tc>
        <w:tc>
          <w:tcPr>
            <w:tcW w:w="405" w:type="dxa"/>
            <w:tcBorders/>
            <w:tcMar>
              <w:top w:w="0" w:type="dxa"/>
              <w:left w:w="0" w:type="dxa"/>
              <w:bottom w:w="0" w:type="dxa"/>
              <w:right w:w="0" w:type="dxa"/>
            </w:tcMar>
            <w:vAlign w:val="center"/>
          </w:tcPr>
          <w:p>
            <w:pPr>
              <w:pStyle w:val="TableContents"/>
              <w:bidi w:val="0"/>
              <w:spacing w:before="0" w:after="20"/>
              <w:jc w:val="left"/>
              <w:rPr/>
            </w:pPr>
            <w:r>
              <w:rPr/>
              <w:t> </w:t>
            </w:r>
          </w:p>
        </w:tc>
        <w:tc>
          <w:tcPr>
            <w:tcW w:w="543" w:type="dxa"/>
            <w:tcBorders>
              <w:bottom w:val="doub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18"/>
              </w:rPr>
            </w:pPr>
            <w:r>
              <w:rPr>
                <w:rFonts w:ascii="Times New Roman" w:hAnsi="Times New Roman"/>
                <w:color w:val="000000"/>
                <w:sz w:val="18"/>
              </w:rPr>
              <w:t>$</w:t>
            </w:r>
          </w:p>
        </w:tc>
        <w:tc>
          <w:tcPr>
            <w:tcW w:w="868"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351,529</w:t>
            </w:r>
          </w:p>
        </w:tc>
        <w:tc>
          <w:tcPr>
            <w:tcW w:w="323" w:type="dxa"/>
            <w:tcBorders>
              <w:bottom w:val="double" w:sz="4" w:space="0" w:color="000000"/>
            </w:tcBorders>
            <w:tcMar>
              <w:top w:w="0" w:type="dxa"/>
              <w:left w:w="0" w:type="dxa"/>
              <w:right w:w="0" w:type="dxa"/>
            </w:tcMar>
            <w:vAlign w:val="center"/>
          </w:tcPr>
          <w:p>
            <w:pPr>
              <w:pStyle w:val="TableContents"/>
              <w:bidi w:val="0"/>
              <w:spacing w:before="0" w:after="20"/>
              <w:jc w:val="left"/>
              <w:rPr/>
            </w:pPr>
            <w:r>
              <w:rPr/>
              <w:t> </w:t>
            </w:r>
          </w:p>
        </w:tc>
        <w:tc>
          <w:tcPr>
            <w:tcW w:w="326" w:type="dxa"/>
            <w:tcBorders/>
            <w:tcMar>
              <w:top w:w="0" w:type="dxa"/>
              <w:left w:w="0" w:type="dxa"/>
              <w:bottom w:w="0" w:type="dxa"/>
              <w:right w:w="0" w:type="dxa"/>
            </w:tcMar>
            <w:vAlign w:val="center"/>
          </w:tcPr>
          <w:p>
            <w:pPr>
              <w:pStyle w:val="TableContents"/>
              <w:bidi w:val="0"/>
              <w:spacing w:before="0" w:after="20"/>
              <w:jc w:val="left"/>
              <w:rPr/>
            </w:pPr>
            <w:r>
              <w:rPr/>
              <w:t> </w:t>
            </w:r>
          </w:p>
        </w:tc>
        <w:tc>
          <w:tcPr>
            <w:tcW w:w="543" w:type="dxa"/>
            <w:tcBorders>
              <w:bottom w:val="doub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18"/>
              </w:rPr>
            </w:pPr>
            <w:r>
              <w:rPr>
                <w:rFonts w:ascii="Times New Roman" w:hAnsi="Times New Roman"/>
                <w:color w:val="000000"/>
                <w:sz w:val="18"/>
              </w:rPr>
              <w:t>$</w:t>
            </w:r>
          </w:p>
        </w:tc>
        <w:tc>
          <w:tcPr>
            <w:tcW w:w="868"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379,316</w:t>
            </w:r>
          </w:p>
        </w:tc>
        <w:tc>
          <w:tcPr>
            <w:tcW w:w="1176" w:type="dxa"/>
            <w:tcBorders>
              <w:bottom w:val="double" w:sz="4" w:space="0" w:color="000000"/>
            </w:tcBorders>
            <w:tcMar>
              <w:top w:w="0" w:type="dxa"/>
              <w:left w:w="0" w:type="dxa"/>
              <w:right w:w="0" w:type="dxa"/>
            </w:tcMar>
            <w:vAlign w:val="center"/>
          </w:tcPr>
          <w:p>
            <w:pPr>
              <w:pStyle w:val="TableContents"/>
              <w:bidi w:val="0"/>
              <w:spacing w:before="0" w:after="2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504950" cy="3048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504950" cy="304800"/>
                    </a:xfrm>
                    <a:prstGeom prst="rect">
                      <a:avLst/>
                    </a:prstGeom>
                  </pic:spPr>
                </pic:pic>
              </a:graphicData>
            </a:graphic>
          </wp:inline>
        </w:drawing>
      </w:r>
    </w:p>
    <w:p>
      <w:pPr>
        <w:pStyle w:val="TextBody"/>
        <w:bidi w:val="0"/>
        <w:ind w:left="0" w:right="20" w:hanging="0"/>
        <w:jc w:val="center"/>
        <w:rPr>
          <w:rFonts w:ascii="Times New Roman" w:hAnsi="Times New Roman"/>
          <w:b/>
          <w:color w:val="000000"/>
          <w:sz w:val="20"/>
        </w:rPr>
      </w:pPr>
      <w:r>
        <w:rPr>
          <w:rFonts w:ascii="Times New Roman" w:hAnsi="Times New Roman"/>
          <w:b/>
          <w:color w:val="000000"/>
          <w:sz w:val="20"/>
        </w:rPr>
        <w:t>MAGNACHIP SEMICONDUCTOR CORPORATION AND SUBSIDIARIES</w:t>
      </w:r>
    </w:p>
    <w:p>
      <w:pPr>
        <w:pStyle w:val="TextBody"/>
        <w:bidi w:val="0"/>
        <w:ind w:left="0" w:right="20" w:hanging="0"/>
        <w:jc w:val="center"/>
        <w:rPr>
          <w:rFonts w:ascii="Times New Roman" w:hAnsi="Times New Roman"/>
          <w:b/>
          <w:color w:val="000000"/>
          <w:sz w:val="20"/>
        </w:rPr>
      </w:pPr>
      <w:r>
        <w:rPr>
          <w:rFonts w:ascii="Times New Roman" w:hAnsi="Times New Roman"/>
          <w:b/>
          <w:color w:val="000000"/>
          <w:sz w:val="20"/>
        </w:rPr>
        <w:t>CONSOLIDATED STATEMENTS OF CASH FLOWS</w:t>
      </w:r>
    </w:p>
    <w:p>
      <w:pPr>
        <w:pStyle w:val="TextBody"/>
        <w:bidi w:val="0"/>
        <w:ind w:left="0" w:right="20" w:hanging="0"/>
        <w:jc w:val="center"/>
        <w:rPr>
          <w:rFonts w:ascii="Times New Roman" w:hAnsi="Times New Roman"/>
          <w:b/>
          <w:color w:val="000000"/>
          <w:sz w:val="20"/>
        </w:rPr>
      </w:pPr>
      <w:r>
        <w:rPr>
          <w:rFonts w:ascii="Times New Roman" w:hAnsi="Times New Roman"/>
          <w:b/>
          <w:color w:val="000000"/>
          <w:sz w:val="20"/>
        </w:rPr>
        <w:t>(In thousands of U.S. dollars)</w:t>
      </w:r>
    </w:p>
    <w:p>
      <w:pPr>
        <w:pStyle w:val="TextBody"/>
        <w:bidi w:val="0"/>
        <w:ind w:left="0" w:right="20" w:hanging="0"/>
        <w:jc w:val="center"/>
        <w:rPr>
          <w:rFonts w:ascii="Times New Roman" w:hAnsi="Times New Roman"/>
          <w:b/>
          <w:color w:val="000000"/>
          <w:sz w:val="20"/>
        </w:rPr>
      </w:pPr>
      <w:r>
        <w:rPr>
          <w:rFonts w:ascii="Times New Roman" w:hAnsi="Times New Roman"/>
          <w:b/>
          <w:color w:val="000000"/>
          <w:sz w:val="20"/>
        </w:rPr>
        <w:t>(Unaudited)</w:t>
      </w:r>
    </w:p>
    <w:p>
      <w:pPr>
        <w:pStyle w:val="TextBody"/>
        <w:bidi w:val="0"/>
        <w:ind w:left="0" w:right="20" w:hanging="0"/>
        <w:jc w:val="left"/>
        <w:rPr/>
      </w:pPr>
      <w:r>
        <w:rPr/>
        <w:t> </w:t>
      </w:r>
    </w:p>
    <w:tbl>
      <w:tblPr>
        <w:tblW w:w="10090" w:type="dxa"/>
        <w:jc w:val="left"/>
        <w:tblInd w:w="0" w:type="dxa"/>
        <w:tblLayout w:type="fixed"/>
        <w:tblCellMar>
          <w:top w:w="28" w:type="dxa"/>
          <w:left w:w="28" w:type="dxa"/>
          <w:bottom w:w="28" w:type="dxa"/>
          <w:right w:w="28" w:type="dxa"/>
        </w:tblCellMar>
      </w:tblPr>
      <w:tblGrid>
        <w:gridCol w:w="5521"/>
        <w:gridCol w:w="146"/>
        <w:gridCol w:w="245"/>
        <w:gridCol w:w="865"/>
        <w:gridCol w:w="166"/>
        <w:gridCol w:w="146"/>
        <w:gridCol w:w="242"/>
        <w:gridCol w:w="853"/>
        <w:gridCol w:w="166"/>
        <w:gridCol w:w="146"/>
        <w:gridCol w:w="242"/>
        <w:gridCol w:w="853"/>
        <w:gridCol w:w="499"/>
      </w:tblGrid>
      <w:tr>
        <w:trPr/>
        <w:tc>
          <w:tcPr>
            <w:tcW w:w="55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5" w:type="dxa"/>
            <w:tcBorders/>
            <w:shd w:fill="FFFFFF" w:val="clear"/>
            <w:vAlign w:val="center"/>
          </w:tcPr>
          <w:p>
            <w:pPr>
              <w:pStyle w:val="TableContents"/>
              <w:bidi w:val="0"/>
              <w:spacing w:before="0" w:after="283"/>
              <w:jc w:val="left"/>
              <w:rPr>
                <w:sz w:val="4"/>
                <w:szCs w:val="4"/>
              </w:rPr>
            </w:pPr>
            <w:r>
              <w:rPr>
                <w:sz w:val="4"/>
                <w:szCs w:val="4"/>
              </w:rPr>
            </w:r>
          </w:p>
        </w:tc>
        <w:tc>
          <w:tcPr>
            <w:tcW w:w="865"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2"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2"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499" w:type="dxa"/>
            <w:tcBorders/>
            <w:shd w:fill="FFFFFF" w:val="clear"/>
            <w:vAlign w:val="center"/>
          </w:tcPr>
          <w:p>
            <w:pPr>
              <w:pStyle w:val="TableContents"/>
              <w:bidi w:val="0"/>
              <w:spacing w:before="0" w:after="283"/>
              <w:jc w:val="left"/>
              <w:rPr>
                <w:sz w:val="4"/>
                <w:szCs w:val="4"/>
              </w:rPr>
            </w:pPr>
            <w:r>
              <w:rPr>
                <w:sz w:val="4"/>
                <w:szCs w:val="4"/>
              </w:rPr>
            </w:r>
          </w:p>
        </w:tc>
      </w:tr>
      <w:tr>
        <w:trPr/>
        <w:tc>
          <w:tcPr>
            <w:tcW w:w="55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Three Months</w:t>
            </w:r>
          </w:p>
          <w:p>
            <w:pPr>
              <w:pStyle w:val="TableContents"/>
              <w:bidi w:val="0"/>
              <w:spacing w:before="0" w:after="283"/>
              <w:jc w:val="center"/>
              <w:rPr>
                <w:rFonts w:ascii="Times New Roman" w:hAnsi="Times New Roman"/>
                <w:sz w:val="16"/>
              </w:rPr>
            </w:pPr>
            <w:r>
              <w:rPr>
                <w:rFonts w:ascii="Times New Roman" w:hAnsi="Times New Roman"/>
                <w:b/>
                <w:color w:val="000000"/>
                <w:sz w:val="16"/>
              </w:rPr>
              <w:t>Ended</w:t>
            </w:r>
            <w:r>
              <w:rPr>
                <w:rFonts w:ascii="Times New Roman" w:hAnsi="Times New Roman"/>
                <w:color w:val="000000"/>
                <w:sz w:val="16"/>
              </w:rPr>
              <w:t xml:space="preserve">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2"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49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December 31,</w:t>
            </w:r>
            <w:r>
              <w:rPr>
                <w:rFonts w:ascii="Times New Roman" w:hAnsi="Times New Roman"/>
                <w:color w:val="000000"/>
                <w:sz w:val="16"/>
              </w:rPr>
              <w:br/>
            </w:r>
            <w:r>
              <w:rPr>
                <w:rFonts w:ascii="Times New Roman" w:hAnsi="Times New Roman"/>
                <w:b/>
                <w:color w:val="000000"/>
                <w:sz w:val="16"/>
              </w:rPr>
              <w:t>2025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December 31,</w:t>
            </w:r>
            <w:r>
              <w:rPr>
                <w:rFonts w:ascii="Times New Roman" w:hAnsi="Times New Roman"/>
                <w:color w:val="000000"/>
                <w:sz w:val="16"/>
              </w:rPr>
              <w:br/>
            </w:r>
            <w:r>
              <w:rPr>
                <w:rFonts w:ascii="Times New Roman" w:hAnsi="Times New Roman"/>
                <w:b/>
                <w:color w:val="000000"/>
                <w:sz w:val="16"/>
              </w:rPr>
              <w:t>2025</w:t>
            </w:r>
            <w:r>
              <w:rPr>
                <w:rFonts w:ascii="Times New Roman" w:hAnsi="Times New Roman"/>
                <w:color w:val="000000"/>
                <w:sz w:val="16"/>
              </w:rPr>
              <w:t xml:space="preserve">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December 31,</w:t>
            </w:r>
            <w:r>
              <w:rPr>
                <w:rFonts w:ascii="Times New Roman" w:hAnsi="Times New Roman"/>
                <w:color w:val="000000"/>
                <w:sz w:val="16"/>
              </w:rPr>
              <w:br/>
            </w:r>
            <w:r>
              <w:rPr>
                <w:rFonts w:ascii="Times New Roman" w:hAnsi="Times New Roman"/>
                <w:b/>
                <w:color w:val="000000"/>
                <w:sz w:val="16"/>
              </w:rPr>
              <w:t>2024</w:t>
            </w:r>
            <w:r>
              <w:rPr>
                <w:rFonts w:ascii="Times New Roman" w:hAnsi="Times New Roman"/>
                <w:color w:val="000000"/>
                <w:sz w:val="16"/>
              </w:rPr>
              <w:t xml:space="preserve"> </w:t>
            </w:r>
          </w:p>
        </w:tc>
        <w:tc>
          <w:tcPr>
            <w:tcW w:w="49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8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(8,079</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(29,724</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(54,308</w:t>
            </w:r>
          </w:p>
        </w:tc>
        <w:tc>
          <w:tcPr>
            <w:tcW w:w="4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provided by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5521"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16,161</w:t>
            </w:r>
          </w:p>
        </w:tc>
        <w:tc>
          <w:tcPr>
            <w:tcW w:w="49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5521"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Provision for severance benefits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8,020</w:t>
            </w:r>
          </w:p>
        </w:tc>
        <w:tc>
          <w:tcPr>
            <w:tcW w:w="499"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5521"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Loss (gain) on foreign currency, net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32,851</w:t>
            </w:r>
          </w:p>
        </w:tc>
        <w:tc>
          <w:tcPr>
            <w:tcW w:w="49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5521"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Provision (reversal) for inventory reserves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w:t>
            </w:r>
          </w:p>
        </w:tc>
        <w:tc>
          <w:tcPr>
            <w:tcW w:w="499"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18"/>
              </w:rPr>
            </w:pPr>
            <w:r>
              <w:rPr>
                <w:rFonts w:ascii="Times New Roman" w:hAnsi="Times New Roman"/>
                <w:color w:val="000000"/>
                <w:sz w:val="18"/>
              </w:rPr>
              <w:t>)</w:t>
            </w:r>
          </w:p>
        </w:tc>
      </w:tr>
      <w:tr>
        <w:trPr/>
        <w:tc>
          <w:tcPr>
            <w:tcW w:w="5521"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6,214</w:t>
            </w:r>
          </w:p>
        </w:tc>
        <w:tc>
          <w:tcPr>
            <w:tcW w:w="49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5521"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Impairment charges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4,637</w:t>
            </w:r>
          </w:p>
        </w:tc>
        <w:tc>
          <w:tcPr>
            <w:tcW w:w="499"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5521"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Deferred income tax assets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(9,551</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(10,120</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(7,034</w:t>
            </w:r>
          </w:p>
        </w:tc>
        <w:tc>
          <w:tcPr>
            <w:tcW w:w="499"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Others,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5521"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2,719</w:t>
            </w:r>
          </w:p>
        </w:tc>
        <w:tc>
          <w:tcPr>
            <w:tcW w:w="499"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5521"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Inventories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(5,803</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(1,583</w:t>
            </w:r>
          </w:p>
        </w:tc>
        <w:tc>
          <w:tcPr>
            <w:tcW w:w="499"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Other receivables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499"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18"/>
              </w:rPr>
            </w:pPr>
            <w:r>
              <w:rPr>
                <w:rFonts w:ascii="Times New Roman" w:hAnsi="Times New Roman"/>
                <w:color w:val="000000"/>
                <w:sz w:val="18"/>
              </w:rPr>
              <w:t>)</w:t>
            </w:r>
          </w:p>
        </w:tc>
      </w:tr>
      <w:tr>
        <w:trPr/>
        <w:tc>
          <w:tcPr>
            <w:tcW w:w="5521"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Prepaid expenses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8,877</w:t>
            </w:r>
          </w:p>
        </w:tc>
        <w:tc>
          <w:tcPr>
            <w:tcW w:w="49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5521"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1,753</w:t>
            </w:r>
          </w:p>
        </w:tc>
        <w:tc>
          <w:tcPr>
            <w:tcW w:w="499"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5521"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Accounts payable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8"/>
              </w:rPr>
              <w:t>3,607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(1,971</w:t>
            </w:r>
          </w:p>
        </w:tc>
        <w:tc>
          <w:tcPr>
            <w:tcW w:w="499"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Other accounts payable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(14,160</w:t>
            </w:r>
          </w:p>
        </w:tc>
        <w:tc>
          <w:tcPr>
            <w:tcW w:w="499"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18"/>
              </w:rPr>
            </w:pPr>
            <w:r>
              <w:rPr>
                <w:rFonts w:ascii="Times New Roman" w:hAnsi="Times New Roman"/>
                <w:color w:val="000000"/>
                <w:sz w:val="18"/>
              </w:rPr>
              <w:t>)</w:t>
            </w:r>
          </w:p>
        </w:tc>
      </w:tr>
      <w:tr>
        <w:trPr/>
        <w:tc>
          <w:tcPr>
            <w:tcW w:w="5521"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Accrued expenses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(4,587</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(2,662</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w:t>
            </w:r>
          </w:p>
        </w:tc>
        <w:tc>
          <w:tcPr>
            <w:tcW w:w="499"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Accrued income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(1,432</w:t>
            </w:r>
          </w:p>
        </w:tc>
        <w:tc>
          <w:tcPr>
            <w:tcW w:w="499"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18"/>
              </w:rPr>
            </w:pPr>
            <w:r>
              <w:rPr>
                <w:rFonts w:ascii="Times New Roman" w:hAnsi="Times New Roman"/>
                <w:color w:val="000000"/>
                <w:sz w:val="18"/>
              </w:rPr>
              <w:t>)</w:t>
            </w:r>
          </w:p>
        </w:tc>
      </w:tr>
      <w:tr>
        <w:trPr/>
        <w:tc>
          <w:tcPr>
            <w:tcW w:w="5521"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w:t>
            </w:r>
          </w:p>
        </w:tc>
        <w:tc>
          <w:tcPr>
            <w:tcW w:w="499"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499"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18"/>
              </w:rPr>
            </w:pPr>
            <w:r>
              <w:rPr>
                <w:rFonts w:ascii="Times New Roman" w:hAnsi="Times New Roman"/>
                <w:color w:val="000000"/>
                <w:sz w:val="18"/>
              </w:rPr>
              <w:t>)</w:t>
            </w:r>
          </w:p>
        </w:tc>
      </w:tr>
      <w:tr>
        <w:trPr/>
        <w:tc>
          <w:tcPr>
            <w:tcW w:w="5521"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Payment of severance benefits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(2,898</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(13,567</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(2,407</w:t>
            </w:r>
          </w:p>
        </w:tc>
        <w:tc>
          <w:tcPr>
            <w:tcW w:w="499"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Others,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8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(2,522</w:t>
            </w:r>
          </w:p>
        </w:tc>
        <w:tc>
          <w:tcPr>
            <w:tcW w:w="4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operating activities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(24,208</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(6,133</w:t>
            </w:r>
          </w:p>
        </w:tc>
        <w:tc>
          <w:tcPr>
            <w:tcW w:w="4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5521"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Proceeds from settlement of hedge collateral</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w:t>
            </w:r>
          </w:p>
        </w:tc>
        <w:tc>
          <w:tcPr>
            <w:tcW w:w="49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5521"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Payment of hedge collateral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(1,706</w:t>
            </w:r>
          </w:p>
        </w:tc>
        <w:tc>
          <w:tcPr>
            <w:tcW w:w="499"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18"/>
              </w:rPr>
            </w:pPr>
            <w:r>
              <w:rPr>
                <w:rFonts w:ascii="Times New Roman" w:hAnsi="Times New Roman"/>
                <w:color w:val="000000"/>
                <w:sz w:val="18"/>
              </w:rPr>
              <w:t>)</w:t>
            </w:r>
          </w:p>
        </w:tc>
      </w:tr>
      <w:tr>
        <w:trPr/>
        <w:tc>
          <w:tcPr>
            <w:tcW w:w="5521"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Proceeds from disposal of plant, property and equipment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49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5521"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Purchase of property, plant and equipment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(29,992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(11,600</w:t>
            </w:r>
          </w:p>
        </w:tc>
        <w:tc>
          <w:tcPr>
            <w:tcW w:w="499"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18"/>
              </w:rPr>
            </w:pPr>
            <w:r>
              <w:rPr>
                <w:rFonts w:ascii="Times New Roman" w:hAnsi="Times New Roman"/>
                <w:color w:val="000000"/>
                <w:sz w:val="18"/>
              </w:rPr>
              <w:t>)</w:t>
            </w:r>
          </w:p>
        </w:tc>
      </w:tr>
      <w:tr>
        <w:trPr/>
        <w:tc>
          <w:tcPr>
            <w:tcW w:w="5521"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Payment for intellectual property registration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w:t>
            </w:r>
          </w:p>
        </w:tc>
        <w:tc>
          <w:tcPr>
            <w:tcW w:w="499"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Collection of guarantee deposits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3,535</w:t>
            </w:r>
          </w:p>
        </w:tc>
        <w:tc>
          <w:tcPr>
            <w:tcW w:w="499"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5521"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Payment of guarantee deposits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(2,175</w:t>
            </w:r>
          </w:p>
        </w:tc>
        <w:tc>
          <w:tcPr>
            <w:tcW w:w="499"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Collection of short-term financial instruments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w:t>
            </w:r>
          </w:p>
        </w:tc>
        <w:tc>
          <w:tcPr>
            <w:tcW w:w="499"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5521"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Purchase of short-term financial instruments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w:t>
            </w:r>
          </w:p>
        </w:tc>
        <w:tc>
          <w:tcPr>
            <w:tcW w:w="499"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Others,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8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4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(11,398</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(24,429</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(11,672</w:t>
            </w:r>
          </w:p>
        </w:tc>
        <w:tc>
          <w:tcPr>
            <w:tcW w:w="4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5521"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Proceeds from long-term borrowings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30,059</w:t>
            </w:r>
          </w:p>
        </w:tc>
        <w:tc>
          <w:tcPr>
            <w:tcW w:w="49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5521"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Acquisition of treasury stock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(12,891</w:t>
            </w:r>
          </w:p>
        </w:tc>
        <w:tc>
          <w:tcPr>
            <w:tcW w:w="499"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18"/>
              </w:rPr>
            </w:pPr>
            <w:r>
              <w:rPr>
                <w:rFonts w:ascii="Times New Roman" w:hAnsi="Times New Roman"/>
                <w:color w:val="000000"/>
                <w:sz w:val="18"/>
              </w:rPr>
              <w:t>)</w:t>
            </w:r>
          </w:p>
        </w:tc>
      </w:tr>
      <w:tr>
        <w:trPr/>
        <w:tc>
          <w:tcPr>
            <w:tcW w:w="5521"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Repayment of financing related to water treatment facility arrangement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w:t>
            </w:r>
          </w:p>
        </w:tc>
        <w:tc>
          <w:tcPr>
            <w:tcW w:w="499"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Repayment of principal portion of finance lease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8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4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16,557</w:t>
            </w:r>
          </w:p>
        </w:tc>
        <w:tc>
          <w:tcPr>
            <w:tcW w:w="4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rates on cash and cash equivalents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8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(18,234</w:t>
            </w:r>
          </w:p>
        </w:tc>
        <w:tc>
          <w:tcPr>
            <w:tcW w:w="4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and cash equivalents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(4,249</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(34,854</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(19,482</w:t>
            </w:r>
          </w:p>
        </w:tc>
        <w:tc>
          <w:tcPr>
            <w:tcW w:w="4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Beginning of the period</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865"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108,005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138,610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158,092</w:t>
            </w:r>
          </w:p>
        </w:tc>
        <w:tc>
          <w:tcPr>
            <w:tcW w:w="49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 of the period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865"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103,756</w:t>
            </w:r>
          </w:p>
        </w:tc>
        <w:tc>
          <w:tcPr>
            <w:tcW w:w="166"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853"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103,756</w:t>
            </w:r>
          </w:p>
        </w:tc>
        <w:tc>
          <w:tcPr>
            <w:tcW w:w="166"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853"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138,610</w:t>
            </w:r>
          </w:p>
        </w:tc>
        <w:tc>
          <w:tcPr>
            <w:tcW w:w="499"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504950" cy="304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504950" cy="304800"/>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MAGNACHIP SEMICONDUCTOR CORPORATION AND SUBSIDIARIES</w:t>
      </w:r>
    </w:p>
    <w:p>
      <w:pPr>
        <w:pStyle w:val="TextBody"/>
        <w:bidi w:val="0"/>
        <w:ind w:left="0" w:right="20" w:hanging="0"/>
        <w:jc w:val="center"/>
        <w:rPr>
          <w:rFonts w:ascii="Times New Roman" w:hAnsi="Times New Roman"/>
          <w:b/>
          <w:color w:val="000000"/>
          <w:sz w:val="20"/>
        </w:rPr>
      </w:pPr>
      <w:r>
        <w:rPr>
          <w:rFonts w:ascii="Times New Roman" w:hAnsi="Times New Roman"/>
          <w:b/>
          <w:color w:val="000000"/>
          <w:sz w:val="20"/>
        </w:rPr>
        <w:t>RECONCILIATION OF OPERATING LOSS FROM CONTINUING OPERATIONS TO ADJUSTED OPERATING LOSS FROM CONTINUING OPERATIONS</w:t>
      </w:r>
    </w:p>
    <w:p>
      <w:pPr>
        <w:pStyle w:val="TextBody"/>
        <w:bidi w:val="0"/>
        <w:ind w:left="0" w:right="20" w:hanging="0"/>
        <w:jc w:val="center"/>
        <w:rPr>
          <w:rFonts w:ascii="Times New Roman" w:hAnsi="Times New Roman"/>
          <w:b/>
          <w:color w:val="000000"/>
          <w:sz w:val="20"/>
        </w:rPr>
      </w:pPr>
      <w:r>
        <w:rPr>
          <w:rFonts w:ascii="Times New Roman" w:hAnsi="Times New Roman"/>
          <w:b/>
          <w:color w:val="000000"/>
          <w:sz w:val="20"/>
        </w:rPr>
        <w:t>(In thousands of U.S. dollars)</w:t>
      </w:r>
    </w:p>
    <w:p>
      <w:pPr>
        <w:pStyle w:val="TextBody"/>
        <w:bidi w:val="0"/>
        <w:ind w:left="0" w:right="20" w:hanging="0"/>
        <w:jc w:val="center"/>
        <w:rPr>
          <w:rFonts w:ascii="Times New Roman" w:hAnsi="Times New Roman"/>
          <w:b/>
          <w:color w:val="000000"/>
          <w:sz w:val="20"/>
        </w:rPr>
      </w:pPr>
      <w:r>
        <w:rPr>
          <w:rFonts w:ascii="Times New Roman" w:hAnsi="Times New Roman"/>
          <w:b/>
          <w:color w:val="000000"/>
          <w:sz w:val="20"/>
        </w:rPr>
        <w:t>(Unaudited)</w:t>
      </w:r>
    </w:p>
    <w:p>
      <w:pPr>
        <w:pStyle w:val="TextBody"/>
        <w:bidi w:val="0"/>
        <w:ind w:left="0" w:right="80" w:hanging="0"/>
        <w:jc w:val="left"/>
        <w:rPr/>
      </w:pPr>
      <w:r>
        <w:rPr/>
        <w:t> </w:t>
      </w:r>
    </w:p>
    <w:tbl>
      <w:tblPr>
        <w:tblW w:w="10205" w:type="dxa"/>
        <w:jc w:val="left"/>
        <w:tblInd w:w="0" w:type="dxa"/>
        <w:tblLayout w:type="fixed"/>
        <w:tblCellMar>
          <w:top w:w="28" w:type="dxa"/>
          <w:left w:w="28" w:type="dxa"/>
          <w:bottom w:w="28" w:type="dxa"/>
          <w:right w:w="28" w:type="dxa"/>
        </w:tblCellMar>
      </w:tblPr>
      <w:tblGrid>
        <w:gridCol w:w="2617"/>
        <w:gridCol w:w="146"/>
        <w:gridCol w:w="232"/>
        <w:gridCol w:w="787"/>
        <w:gridCol w:w="196"/>
        <w:gridCol w:w="146"/>
        <w:gridCol w:w="240"/>
        <w:gridCol w:w="814"/>
        <w:gridCol w:w="166"/>
        <w:gridCol w:w="146"/>
        <w:gridCol w:w="196"/>
        <w:gridCol w:w="1010"/>
        <w:gridCol w:w="196"/>
        <w:gridCol w:w="146"/>
        <w:gridCol w:w="196"/>
        <w:gridCol w:w="1010"/>
        <w:gridCol w:w="166"/>
        <w:gridCol w:w="146"/>
        <w:gridCol w:w="232"/>
        <w:gridCol w:w="787"/>
        <w:gridCol w:w="630"/>
      </w:tblGrid>
      <w:tr>
        <w:trPr/>
        <w:tc>
          <w:tcPr>
            <w:tcW w:w="2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2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3" w:type="dxa"/>
            <w:gridSpan w:val="10"/>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8"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December 31,</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bottom w:val="single" w:sz="8"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September 30,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0" w:type="dxa"/>
            <w:tcBorders>
              <w:bottom w:val="single" w:sz="8"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December 31,</w:t>
            </w:r>
          </w:p>
          <w:p>
            <w:pPr>
              <w:pStyle w:val="TableContents"/>
              <w:bidi w:val="0"/>
              <w:spacing w:before="0" w:after="283"/>
              <w:jc w:val="center"/>
              <w:rPr>
                <w:rFonts w:ascii="Times New Roman" w:hAnsi="Times New Roman"/>
                <w:sz w:val="16"/>
              </w:rPr>
            </w:pPr>
            <w:r>
              <w:rPr>
                <w:rFonts w:ascii="Times New Roman" w:hAnsi="Times New Roman"/>
                <w:b/>
                <w:color w:val="000000"/>
                <w:sz w:val="16"/>
              </w:rPr>
              <w:t>2024</w:t>
            </w:r>
            <w:r>
              <w:rPr>
                <w:rFonts w:ascii="Times New Roman" w:hAnsi="Times New Roman"/>
                <w:b/>
                <w:color w:val="000000"/>
                <w:sz w:val="11"/>
              </w:rPr>
              <w:t>(1)</w:t>
            </w:r>
          </w:p>
        </w:tc>
        <w:tc>
          <w:tcPr>
            <w:tcW w:w="19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0" w:type="dxa"/>
            <w:tcBorders>
              <w:bottom w:val="single" w:sz="8"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December 31,</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bottom w:val="single" w:sz="8"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December 31,</w:t>
            </w:r>
          </w:p>
          <w:p>
            <w:pPr>
              <w:pStyle w:val="TableContents"/>
              <w:bidi w:val="0"/>
              <w:spacing w:before="0" w:after="283"/>
              <w:jc w:val="center"/>
              <w:rPr>
                <w:rFonts w:ascii="Times New Roman" w:hAnsi="Times New Roman"/>
                <w:sz w:val="16"/>
              </w:rPr>
            </w:pPr>
            <w:r>
              <w:rPr>
                <w:rFonts w:ascii="Times New Roman" w:hAnsi="Times New Roman"/>
                <w:b/>
                <w:color w:val="000000"/>
                <w:sz w:val="16"/>
              </w:rPr>
              <w:t>2024</w:t>
            </w:r>
            <w:r>
              <w:rPr>
                <w:rFonts w:ascii="Times New Roman" w:hAnsi="Times New Roman"/>
                <w:b/>
                <w:color w:val="000000"/>
                <w:sz w:val="11"/>
              </w:rPr>
              <w:t>(1)</w:t>
            </w:r>
          </w:p>
        </w:tc>
        <w:tc>
          <w:tcPr>
            <w:tcW w:w="63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(12,446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(35,860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(25,973</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r>
      <w:tr>
        <w:trPr/>
        <w:tc>
          <w:tcPr>
            <w:tcW w:w="26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2617" w:type="dxa"/>
            <w:tcBorders/>
            <w:shd w:fill="CCEEFF" w:val="clear"/>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Equity-based compensation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5,297</w:t>
            </w:r>
          </w:p>
        </w:tc>
        <w:tc>
          <w:tcPr>
            <w:tcW w:w="630" w:type="dxa"/>
            <w:tcBorders/>
            <w:shd w:fill="CCEE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r>
      <w:tr>
        <w:trPr/>
        <w:tc>
          <w:tcPr>
            <w:tcW w:w="2617" w:type="dxa"/>
            <w:tcBorders/>
            <w:tcMar>
              <w:top w:w="0" w:type="dxa"/>
              <w:left w:w="0" w:type="dxa"/>
              <w:bottom w:w="0" w:type="dxa"/>
              <w:right w:w="0" w:type="dxa"/>
            </w:tcMar>
            <w:vAlign w:val="center"/>
          </w:tcPr>
          <w:p>
            <w:pPr>
              <w:pStyle w:val="TableContents"/>
              <w:bidi w:val="0"/>
              <w:spacing w:before="0" w:after="283"/>
              <w:ind w:left="432" w:right="0" w:firstLine="432"/>
              <w:jc w:val="left"/>
              <w:rPr>
                <w:rFonts w:ascii="Times New Roman" w:hAnsi="Times New Roman"/>
                <w:color w:val="000000"/>
                <w:sz w:val="18"/>
              </w:rPr>
            </w:pPr>
            <w:r>
              <w:rPr>
                <w:rFonts w:ascii="Times New Roman" w:hAnsi="Times New Roman"/>
                <w:color w:val="000000"/>
                <w:sz w:val="18"/>
              </w:rPr>
              <w:t>Early termination and other charges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1,589</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1,589</w:t>
            </w:r>
          </w:p>
        </w:tc>
        <w:tc>
          <w:tcPr>
            <w:tcW w:w="63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61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Operating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7"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(11,881</w:t>
            </w:r>
          </w:p>
        </w:tc>
        <w:tc>
          <w:tcPr>
            <w:tcW w:w="196"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4"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(7,421</w:t>
            </w:r>
          </w:p>
        </w:tc>
        <w:tc>
          <w:tcPr>
            <w:tcW w:w="166"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0"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(3,459</w:t>
            </w:r>
          </w:p>
        </w:tc>
        <w:tc>
          <w:tcPr>
            <w:tcW w:w="196"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0"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(28,488</w:t>
            </w:r>
          </w:p>
        </w:tc>
        <w:tc>
          <w:tcPr>
            <w:tcW w:w="166"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7"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(19,087</w:t>
            </w:r>
          </w:p>
        </w:tc>
        <w:tc>
          <w:tcPr>
            <w:tcW w:w="630" w:type="dxa"/>
            <w:tcBorders>
              <w:bottom w:val="doub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r>
    </w:tbl>
    <w:p>
      <w:pPr>
        <w:pStyle w:val="TextBody"/>
        <w:pBdr>
          <w:bottom w:val="single" w:sz="6" w:space="1" w:color="000000"/>
        </w:pBdr>
        <w:bidi w:val="0"/>
        <w:ind w:left="0" w:right="9360" w:hanging="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 xml:space="preserve">We have reclassified prior period financial information to conform to the current year presentation that reflects the classification of the Display business as discontinued operations from Q1 2025. </w:t>
      </w:r>
    </w:p>
    <w:p>
      <w:pPr>
        <w:pStyle w:val="TextBody"/>
        <w:bidi w:val="0"/>
        <w:spacing w:before="200" w:after="283"/>
        <w:ind w:left="0" w:right="0" w:firstLine="360"/>
        <w:jc w:val="left"/>
        <w:rPr>
          <w:rFonts w:ascii="Times New Roman" w:hAnsi="Times New Roman"/>
          <w:sz w:val="20"/>
        </w:rPr>
      </w:pPr>
      <w:r>
        <w:rPr>
          <w:rFonts w:ascii="Times New Roman" w:hAnsi="Times New Roman"/>
          <w:color w:val="000000"/>
          <w:sz w:val="18"/>
        </w:rPr>
        <w:t>We present Adjusted Operating Loss from continuing operations as a supplemental measure of our performance. We define Adjusted Operating Loss from continuing operations for the periods indicated as operating loss from continuing operations adjusted to exclude (i) Equity-based compensation expense and (ii) Early termination and other charges.</w:t>
      </w:r>
      <w:r>
        <w:rPr>
          <w:rFonts w:ascii="Times New Roman" w:hAnsi="Times New Roman"/>
          <w:color w:val="000000"/>
          <w:sz w:val="20"/>
        </w:rPr>
        <w:t xml:space="preserve"> </w:t>
      </w:r>
    </w:p>
    <w:p>
      <w:pPr>
        <w:pStyle w:val="TextBody"/>
        <w:bidi w:val="0"/>
        <w:spacing w:before="200" w:after="283"/>
        <w:ind w:left="0" w:right="0" w:firstLine="360"/>
        <w:jc w:val="left"/>
        <w:rPr>
          <w:rFonts w:ascii="Times New Roman" w:hAnsi="Times New Roman"/>
          <w:color w:val="000000"/>
          <w:sz w:val="18"/>
        </w:rPr>
      </w:pPr>
      <w:r>
        <w:rPr>
          <w:rFonts w:ascii="Times New Roman" w:hAnsi="Times New Roman"/>
          <w:color w:val="000000"/>
          <w:sz w:val="18"/>
        </w:rPr>
        <w:t>For the year ended December 31, 2025, we recorded in our consolidated statement of operations $2,599 thousand of termination related charges in connection with the voluntary resignation program that we executed during the third quarter of 2025. For the same period, we also recorded $1,745 thousand of certain executive separation benefits and $496 thousand of one-time employee incentives.</w:t>
      </w:r>
    </w:p>
    <w:p>
      <w:pPr>
        <w:pStyle w:val="TextBody"/>
        <w:bidi w:val="0"/>
        <w:spacing w:before="200" w:after="283"/>
        <w:ind w:left="0" w:right="0" w:firstLine="360"/>
        <w:jc w:val="left"/>
        <w:rPr>
          <w:rFonts w:ascii="Times New Roman" w:hAnsi="Times New Roman"/>
          <w:color w:val="000000"/>
          <w:sz w:val="18"/>
        </w:rPr>
      </w:pPr>
      <w:r>
        <w:rPr>
          <w:rFonts w:ascii="Times New Roman" w:hAnsi="Times New Roman"/>
          <w:color w:val="000000"/>
          <w:sz w:val="18"/>
        </w:rPr>
        <w:t>For the year ended December 31, 2024, we recorded $1,589 thousand of one-time cumulative financial impact in connection with certain employee benefits.</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504950" cy="3048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504950" cy="304800"/>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MAGNACHIP SEMICONDUCTOR CORPORATION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LOSS FROM CONTINUING OPERATIONS TO ADJUSTED EBITDA FROM CONTINUING OPERATIONS AND ADJUSTED INCOME (LOSS) FROM CONTINUING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of U.S. dollars,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492"/>
        <w:gridCol w:w="146"/>
        <w:gridCol w:w="196"/>
        <w:gridCol w:w="916"/>
        <w:gridCol w:w="188"/>
        <w:gridCol w:w="146"/>
        <w:gridCol w:w="198"/>
        <w:gridCol w:w="927"/>
        <w:gridCol w:w="188"/>
        <w:gridCol w:w="146"/>
        <w:gridCol w:w="196"/>
        <w:gridCol w:w="1005"/>
        <w:gridCol w:w="188"/>
        <w:gridCol w:w="146"/>
        <w:gridCol w:w="196"/>
        <w:gridCol w:w="1005"/>
        <w:gridCol w:w="166"/>
        <w:gridCol w:w="146"/>
        <w:gridCol w:w="196"/>
        <w:gridCol w:w="916"/>
        <w:gridCol w:w="502"/>
      </w:tblGrid>
      <w:tr>
        <w:trPr/>
        <w:tc>
          <w:tcPr>
            <w:tcW w:w="24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2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6" w:type="dxa"/>
            <w:gridSpan w:val="10"/>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8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5" w:type="dxa"/>
            <w:gridSpan w:val="6"/>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50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8"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December 31,</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8"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September 30,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tcBorders>
              <w:bottom w:val="single" w:sz="8"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December 31,</w:t>
            </w:r>
          </w:p>
          <w:p>
            <w:pPr>
              <w:pStyle w:val="TableContents"/>
              <w:bidi w:val="0"/>
              <w:spacing w:before="0" w:after="283"/>
              <w:jc w:val="center"/>
              <w:rPr>
                <w:rFonts w:ascii="Times New Roman" w:hAnsi="Times New Roman"/>
                <w:sz w:val="16"/>
              </w:rPr>
            </w:pPr>
            <w:r>
              <w:rPr>
                <w:rFonts w:ascii="Times New Roman" w:hAnsi="Times New Roman"/>
                <w:b/>
                <w:color w:val="000000"/>
                <w:sz w:val="16"/>
              </w:rPr>
              <w:t>2024</w:t>
            </w:r>
            <w:r>
              <w:rPr>
                <w:rFonts w:ascii="Times New Roman" w:hAnsi="Times New Roman"/>
                <w:b/>
                <w:color w:val="000000"/>
                <w:sz w:val="11"/>
              </w:rPr>
              <w:t>(1)</w:t>
            </w:r>
          </w:p>
        </w:tc>
        <w:tc>
          <w:tcPr>
            <w:tcW w:w="18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tcBorders>
              <w:bottom w:val="single" w:sz="8"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December 31,</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8"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December 31,</w:t>
            </w:r>
          </w:p>
          <w:p>
            <w:pPr>
              <w:pStyle w:val="TableContents"/>
              <w:bidi w:val="0"/>
              <w:spacing w:before="0" w:after="283"/>
              <w:jc w:val="center"/>
              <w:rPr>
                <w:rFonts w:ascii="Times New Roman" w:hAnsi="Times New Roman"/>
                <w:sz w:val="16"/>
              </w:rPr>
            </w:pPr>
            <w:r>
              <w:rPr>
                <w:rFonts w:ascii="Times New Roman" w:hAnsi="Times New Roman"/>
                <w:b/>
                <w:color w:val="000000"/>
                <w:sz w:val="16"/>
              </w:rPr>
              <w:t>2024</w:t>
            </w:r>
            <w:r>
              <w:rPr>
                <w:rFonts w:ascii="Times New Roman" w:hAnsi="Times New Roman"/>
                <w:b/>
                <w:color w:val="000000"/>
                <w:sz w:val="11"/>
              </w:rPr>
              <w:t>(1)</w:t>
            </w:r>
          </w:p>
        </w:tc>
        <w:tc>
          <w:tcPr>
            <w:tcW w:w="50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continuing operations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8"/>
              </w:rPr>
              <w:t>(14,249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8"/>
              </w:rPr>
              <w:t>(27,310</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2492"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(8,320</w:t>
            </w:r>
          </w:p>
        </w:tc>
        <w:tc>
          <w:tcPr>
            <w:tcW w:w="502"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18"/>
              </w:rPr>
            </w:pPr>
            <w:r>
              <w:rPr>
                <w:rFonts w:ascii="Times New Roman" w:hAnsi="Times New Roman"/>
                <w:color w:val="000000"/>
                <w:sz w:val="18"/>
              </w:rPr>
              <w:t>)</w:t>
            </w:r>
          </w:p>
        </w:tc>
      </w:tr>
      <w:tr>
        <w:trPr/>
        <w:tc>
          <w:tcPr>
            <w:tcW w:w="2492"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Interest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1,601</w:t>
            </w:r>
          </w:p>
        </w:tc>
        <w:tc>
          <w:tcPr>
            <w:tcW w:w="502"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2492"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Income tax benefit,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(17,889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(8,199</w:t>
            </w:r>
          </w:p>
        </w:tc>
        <w:tc>
          <w:tcPr>
            <w:tcW w:w="502"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18"/>
              </w:rPr>
            </w:pPr>
            <w:r>
              <w:rPr>
                <w:rFonts w:ascii="Times New Roman" w:hAnsi="Times New Roman"/>
                <w:color w:val="000000"/>
                <w:sz w:val="18"/>
              </w:rPr>
              <w:t>)</w:t>
            </w:r>
          </w:p>
        </w:tc>
      </w:tr>
      <w:tr>
        <w:trPr/>
        <w:tc>
          <w:tcPr>
            <w:tcW w:w="2492"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3,019</w:t>
            </w:r>
          </w:p>
        </w:tc>
        <w:tc>
          <w:tcPr>
            <w:tcW w:w="18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3,204</w:t>
            </w:r>
          </w:p>
        </w:tc>
        <w:tc>
          <w:tcPr>
            <w:tcW w:w="18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005"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3,451</w:t>
            </w:r>
          </w:p>
        </w:tc>
        <w:tc>
          <w:tcPr>
            <w:tcW w:w="18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005"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12,580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14,438</w:t>
            </w:r>
          </w:p>
        </w:tc>
        <w:tc>
          <w:tcPr>
            <w:tcW w:w="50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 – continuing operations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(12,361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(16,365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(23,263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(27,790</w:t>
            </w:r>
          </w:p>
        </w:tc>
        <w:tc>
          <w:tcPr>
            <w:tcW w:w="502"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18"/>
              </w:rPr>
            </w:pPr>
            <w:r>
              <w:rPr>
                <w:rFonts w:ascii="Times New Roman" w:hAnsi="Times New Roman"/>
                <w:color w:val="000000"/>
                <w:sz w:val="18"/>
              </w:rPr>
              <w:t>)</w:t>
            </w:r>
          </w:p>
        </w:tc>
      </w:tr>
      <w:tr>
        <w:trPr/>
        <w:tc>
          <w:tcPr>
            <w:tcW w:w="2492"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Equity-based compensation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1,780</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5,297</w:t>
            </w:r>
          </w:p>
        </w:tc>
        <w:tc>
          <w:tcPr>
            <w:tcW w:w="502"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2492"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Foreign currency loss,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16,740</w:t>
            </w:r>
          </w:p>
        </w:tc>
        <w:tc>
          <w:tcPr>
            <w:tcW w:w="502"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Derivative valuation loss (gain),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502"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18"/>
              </w:rPr>
            </w:pPr>
            <w:r>
              <w:rPr>
                <w:rFonts w:ascii="Times New Roman" w:hAnsi="Times New Roman"/>
                <w:color w:val="000000"/>
                <w:sz w:val="18"/>
              </w:rPr>
              <w:t>)</w:t>
            </w:r>
          </w:p>
        </w:tc>
      </w:tr>
      <w:tr>
        <w:trPr/>
        <w:tc>
          <w:tcPr>
            <w:tcW w:w="2492"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Early termination and other charges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9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3,994</w:t>
            </w:r>
          </w:p>
        </w:tc>
        <w:tc>
          <w:tcPr>
            <w:tcW w:w="1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0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1,589</w:t>
            </w:r>
          </w:p>
        </w:tc>
        <w:tc>
          <w:tcPr>
            <w:tcW w:w="1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0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1,589</w:t>
            </w:r>
          </w:p>
        </w:tc>
        <w:tc>
          <w:tcPr>
            <w:tcW w:w="5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 – continuing operations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1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(8,856</w:t>
            </w:r>
          </w:p>
        </w:tc>
        <w:tc>
          <w:tcPr>
            <w:tcW w:w="188"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27"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(3,964</w:t>
            </w:r>
          </w:p>
        </w:tc>
        <w:tc>
          <w:tcPr>
            <w:tcW w:w="188"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005"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w:t>
            </w:r>
          </w:p>
        </w:tc>
        <w:tc>
          <w:tcPr>
            <w:tcW w:w="188"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005"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(15,567</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1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(4,241</w:t>
            </w:r>
          </w:p>
        </w:tc>
        <w:tc>
          <w:tcPr>
            <w:tcW w:w="502"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continuing operations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(14,249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(27,310</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2492"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Equity-based compensation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5,297</w:t>
            </w:r>
          </w:p>
        </w:tc>
        <w:tc>
          <w:tcPr>
            <w:tcW w:w="502"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Foreign currency loss,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6,393</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4,280</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13,352</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16,740</w:t>
            </w:r>
          </w:p>
        </w:tc>
        <w:tc>
          <w:tcPr>
            <w:tcW w:w="502"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2492"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Derivative valuation loss (gain),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502"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18"/>
              </w:rPr>
            </w:pPr>
            <w:r>
              <w:rPr>
                <w:rFonts w:ascii="Times New Roman" w:hAnsi="Times New Roman"/>
                <w:color w:val="000000"/>
                <w:sz w:val="18"/>
              </w:rPr>
              <w:t>)</w:t>
            </w:r>
          </w:p>
        </w:tc>
      </w:tr>
      <w:tr>
        <w:trPr/>
        <w:tc>
          <w:tcPr>
            <w:tcW w:w="2492"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Early termination and other charges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3,994</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1,589</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1,589</w:t>
            </w:r>
          </w:p>
        </w:tc>
        <w:tc>
          <w:tcPr>
            <w:tcW w:w="502"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2492"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Income tax effect on non-GAAP adjustments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w:t>
            </w:r>
          </w:p>
        </w:tc>
        <w:tc>
          <w:tcPr>
            <w:tcW w:w="1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9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1,822</w:t>
            </w:r>
          </w:p>
        </w:tc>
        <w:tc>
          <w:tcPr>
            <w:tcW w:w="1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0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(3,249</w:t>
            </w:r>
          </w:p>
        </w:tc>
        <w:tc>
          <w:tcPr>
            <w:tcW w:w="1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0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(4,560</w:t>
            </w:r>
          </w:p>
        </w:tc>
        <w:tc>
          <w:tcPr>
            <w:tcW w:w="5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Income (Loss) – continuing operations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1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(2,714</w:t>
            </w:r>
          </w:p>
        </w:tc>
        <w:tc>
          <w:tcPr>
            <w:tcW w:w="188"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27"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w:t>
            </w:r>
          </w:p>
        </w:tc>
        <w:tc>
          <w:tcPr>
            <w:tcW w:w="188"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005"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5,751</w:t>
            </w:r>
          </w:p>
        </w:tc>
        <w:tc>
          <w:tcPr>
            <w:tcW w:w="188"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005"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(7,866</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1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(8,321</w:t>
            </w:r>
          </w:p>
        </w:tc>
        <w:tc>
          <w:tcPr>
            <w:tcW w:w="502"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Adjusted Income (Loss) – continuing </w:t>
              <w:br/>
              <w:t>   operations per common share—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CCEE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2492"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 Basic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1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2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00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0.16</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00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(0.22</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(0.22</w:t>
            </w:r>
          </w:p>
        </w:tc>
        <w:tc>
          <w:tcPr>
            <w:tcW w:w="502"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18"/>
              </w:rPr>
            </w:pPr>
            <w:r>
              <w:rPr>
                <w:rFonts w:ascii="Times New Roman" w:hAnsi="Times New Roman"/>
                <w:color w:val="000000"/>
                <w:sz w:val="18"/>
              </w:rPr>
              <w:t>)</w:t>
            </w:r>
          </w:p>
        </w:tc>
      </w:tr>
      <w:tr>
        <w:trPr/>
        <w:tc>
          <w:tcPr>
            <w:tcW w:w="2492" w:type="dxa"/>
            <w:tcBorders/>
            <w:shd w:fill="CCEEFF" w:val="clear"/>
            <w:tcMar>
              <w:top w:w="0" w:type="dxa"/>
              <w:left w:w="0" w:type="dxa"/>
              <w:bottom w:w="0" w:type="dxa"/>
              <w:right w:w="0" w:type="dxa"/>
            </w:tcMar>
            <w:vAlign w:val="center"/>
          </w:tcPr>
          <w:p>
            <w:pPr>
              <w:pStyle w:val="TableContents"/>
              <w:bidi w:val="0"/>
              <w:spacing w:before="0" w:after="283"/>
              <w:ind w:left="288" w:right="0" w:firstLine="288"/>
              <w:jc w:val="left"/>
              <w:rPr>
                <w:rFonts w:ascii="Times New Roman" w:hAnsi="Times New Roman"/>
                <w:color w:val="000000"/>
                <w:sz w:val="18"/>
              </w:rPr>
            </w:pPr>
            <w:r>
              <w:rPr>
                <w:rFonts w:ascii="Times New Roman" w:hAnsi="Times New Roman"/>
                <w:color w:val="000000"/>
                <w:sz w:val="18"/>
              </w:rPr>
              <w:t>- Diluted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(0.22</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number of shares – basic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35,979,697</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35,934,406</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36,921,300</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36,218,138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37,774,280</w:t>
            </w:r>
          </w:p>
        </w:tc>
        <w:tc>
          <w:tcPr>
            <w:tcW w:w="5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9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number of shares – diluted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35,979,697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35,934,406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37,738,210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36,218,138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37,774,280</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ind w:left="0" w:right="9360" w:hanging="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 xml:space="preserve">We have reclassified prior period financial information to conform to the current year presentation that reflects the classification of the Display business as discontinued operations from Q1 2025. </w:t>
      </w:r>
    </w:p>
    <w:p>
      <w:pPr>
        <w:pStyle w:val="TextBody"/>
        <w:bidi w:val="0"/>
        <w:spacing w:before="200" w:after="283"/>
        <w:ind w:left="0" w:right="0" w:firstLine="360"/>
        <w:jc w:val="left"/>
        <w:rPr>
          <w:rFonts w:ascii="Times New Roman" w:hAnsi="Times New Roman"/>
          <w:color w:val="000000"/>
          <w:sz w:val="18"/>
        </w:rPr>
      </w:pPr>
      <w:r>
        <w:rPr>
          <w:rFonts w:ascii="Times New Roman" w:hAnsi="Times New Roman"/>
          <w:color w:val="000000"/>
          <w:sz w:val="18"/>
        </w:rPr>
        <w:t>We present Adjusted EBITDA from continuing operations and Adjusted Income (Loss) from continuing operations as supplemental measures of our performance. We define Adjusted EBITDA from continuing operations for the periods indicated as EBITDA – continuing operations (as defined below), adjusted to exclude (i) Equity-based compensation expense, (ii) Foreign currency loss, net, (iii) Derivative valuation loss (gain), net and (iv) Early termination and other charges. EBITDA – continuing operations for the periods indicated is defined as loss from continuing operations before interest income, interest expense, income tax benefit, net and depreciation and amortization.</w:t>
      </w:r>
    </w:p>
    <w:p>
      <w:pPr>
        <w:pStyle w:val="TextBody"/>
        <w:bidi w:val="0"/>
        <w:spacing w:before="200" w:after="283"/>
        <w:ind w:left="0" w:right="0" w:firstLine="360"/>
        <w:jc w:val="left"/>
        <w:rPr>
          <w:rFonts w:ascii="Times New Roman" w:hAnsi="Times New Roman"/>
          <w:sz w:val="20"/>
        </w:rPr>
      </w:pPr>
      <w:r>
        <w:rPr>
          <w:rFonts w:ascii="Times New Roman" w:hAnsi="Times New Roman"/>
          <w:color w:val="000000"/>
          <w:sz w:val="18"/>
        </w:rPr>
        <w:t>We prepare Adjusted Income (Loss) from continuing operations by adjusting loss from continuing operations to eliminate the impact of a number of non-cash expenses and other items that may be either one time or recurring that we do not consider to be indicative of our core ongoing operating performance. We believe that Adjusted Income (Loss) from continuing operations is particularly useful because it reflects the impact of our asset base and capital structure on our operating performance. We define Adjusted Income (Loss) from continuing operations for the periods as loss from continuing operations, adjusted to exclude (i) Equity-based compensation expense, (ii) Foreign currency loss, net, (iii) Derivative valuation loss (gain), net, (iv) Early termination and other charges, and (v) Income tax effect on non-GAAP adjustments.</w:t>
      </w:r>
      <w:r>
        <w:rPr>
          <w:rFonts w:ascii="Times New Roman" w:hAnsi="Times New Roman"/>
          <w:color w:val="000000"/>
          <w:sz w:val="20"/>
        </w:rPr>
        <w:t xml:space="preserve"> </w:t>
      </w:r>
    </w:p>
    <w:p>
      <w:pPr>
        <w:pStyle w:val="TextBody"/>
        <w:bidi w:val="0"/>
        <w:spacing w:before="200" w:after="283"/>
        <w:ind w:left="0" w:right="0" w:firstLine="360"/>
        <w:jc w:val="left"/>
        <w:rPr>
          <w:rFonts w:ascii="Times New Roman" w:hAnsi="Times New Roman"/>
          <w:color w:val="000000"/>
          <w:sz w:val="18"/>
        </w:rPr>
      </w:pPr>
      <w:r>
        <w:rPr>
          <w:rFonts w:ascii="Times New Roman" w:hAnsi="Times New Roman"/>
          <w:color w:val="000000"/>
          <w:sz w:val="18"/>
        </w:rPr>
        <w:t>For the year ended December 31, 2025, we recorded in our consolidated statement of operations $2,599 thousand of termination related charges in connection with the voluntary resignation program that we executed during the third quarter of 2025. For the same period, we also recorded $1,745 thousand of certain executive separation benefits and $496 thousand of one-time employee incentives.</w:t>
      </w:r>
    </w:p>
    <w:p>
      <w:pPr>
        <w:pStyle w:val="TextBody"/>
        <w:bidi w:val="0"/>
        <w:spacing w:before="200" w:after="283"/>
        <w:ind w:left="0" w:right="0" w:firstLine="360"/>
        <w:jc w:val="left"/>
        <w:rPr>
          <w:rFonts w:ascii="Times New Roman" w:hAnsi="Times New Roman"/>
          <w:color w:val="000000"/>
          <w:sz w:val="18"/>
        </w:rPr>
      </w:pPr>
      <w:r>
        <w:rPr>
          <w:rFonts w:ascii="Times New Roman" w:hAnsi="Times New Roman"/>
          <w:color w:val="000000"/>
          <w:sz w:val="18"/>
        </w:rPr>
        <w:t>For the year ended December 31, 2024, we recorded $1,589 thousand of one-time cumulative financial impact in connection with certain employee benefits.</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4626</Words>
  <Characters>25468</Characters>
  <CharactersWithSpaces>30579</CharactersWithSpaces>
  <Paragraphs>3250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