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mx-20260710.htm"/>
      <w:bookmarkStart w:id="1" w:name="ksmx20260710"/>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FORM S-8</w:t>
      </w:r>
    </w:p>
    <w:p>
      <w:pPr>
        <w:pStyle w:val="TextBody"/>
        <w:bidi w:val="0"/>
        <w:jc w:val="center"/>
        <w:rPr>
          <w:rFonts w:ascii="Times New Roman" w:hAnsi="Times New Roman"/>
          <w:sz w:val="20"/>
        </w:rPr>
      </w:pPr>
      <w:r>
        <w:rPr>
          <w:rFonts w:ascii="Times New Roman" w:hAnsi="Times New Roman"/>
          <w:b/>
          <w:color w:val="000000"/>
          <w:sz w:val="3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THE SECURITIES ACT OF 1933</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bidi w:val="0"/>
        <w:spacing w:before="160" w:after="283"/>
        <w:jc w:val="center"/>
        <w:rPr>
          <w:rFonts w:ascii="Times New Roman" w:hAnsi="Times New Roman"/>
          <w:sz w:val="20"/>
        </w:rPr>
      </w:pPr>
      <w:r>
        <w:rPr>
          <w:rFonts w:ascii="Times New Roman" w:hAnsi="Times New Roman"/>
          <w:b/>
          <w:color w:val="000000"/>
          <w:sz w:val="36"/>
        </w:rPr>
        <w:t>MAGNACHIP SEMICONDUCTOR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83-0406195</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60" w:after="283"/>
        <w:jc w:val="center"/>
        <w:rPr>
          <w:rFonts w:ascii="Times New Roman" w:hAnsi="Times New Roman"/>
          <w:sz w:val="20"/>
        </w:rPr>
      </w:pPr>
      <w:r>
        <w:rPr>
          <w:rFonts w:ascii="Times New Roman" w:hAnsi="Times New Roman"/>
          <w:b/>
          <w:color w:val="000000"/>
          <w:sz w:val="20"/>
        </w:rPr>
        <w:t>c/o Magnachip Semiconductor, Ltd.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15F, 76 Jikji-daero 436beon-gil, Heungdeok-gu</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Cheongju-si, Chungcheongbuk-do, 28581, Republic of Korea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(Zip Code)</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20"/>
        </w:rPr>
        <w:t>AMENDED AND RESTATED 2020 EQUITY AND INCENTIVE COMPENSATION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(Full title of the plan)</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0"/>
        </w:rPr>
        <w:t>+82 (2) 6903-3000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(Telephone number, including area code, of agent for service)</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bidi w:val="0"/>
        <w:spacing w:before="200" w:after="283"/>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Micheal J. Reagan, Esq.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 Stuart Ogg, Esq.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Goodwin Procter LLP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601 Marshall Street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Redwood City, CA 94063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Tel: (650) 739-3939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Fax: (650) 739-3900</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4909" w:type="dxa"/>
        <w:jc w:val="left"/>
        <w:tblInd w:w="0" w:type="dxa"/>
        <w:tblLayout w:type="fixed"/>
        <w:tblCellMar>
          <w:top w:w="28" w:type="dxa"/>
          <w:left w:w="28" w:type="dxa"/>
          <w:bottom w:w="28" w:type="dxa"/>
          <w:right w:w="28"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EXPLANATORY NOTE</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Magnachip Semiconductor Corporation, a Delaware corporation (the “Registrant”) is filing this Registration Statement to register an additional 3,000,000 shares of its common stock, par value $0.01 per share (“Common Stock”), for issuance under the Registrant’s 2020 Equity and Incentive Compensation Plan (the “2020 Plan”). On April 29, 2026, the Registrant’s Board of Directors amended and restated the 2020 Plan, subject to stockholder approval, in order to increase the aggregate number of shares of the Registrant’s Common Stock available for issuance thereunder by 3,000,000 shares, and such amendment was approved by the Registrant’s stockholders on June 11, 2026.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Registration Statement is being filed for the purpose of increasing the number of securities of the same class as other securities for which a Registration Statement on Form S-8 relating to the same benefit plan is effective pursuant to the amendment to the 2020 Plan described above. The Registrant previously registered shares of its Common Stock for issuance under the 2020 Plan under a Registration Statement on Form S-8 filed with the Securities and Exchange Commission (“SEC”) on July 15, 2020 (File No. 333-239872) and June 23, 2023 (File No. 333-272902). Pursuant to General Instruction E to Form S-8, this Registration Statement hereby incorporates by reference the contents of the Registration Statements referenced above with respect to the shares of Common Stock registered under the 2020 Plan, except to the extent supplemented or amended or superseded by the information set forth or incorporated herein.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REGISTRATION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08"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mx-ex5_1.htm">
              <w:r>
                <w:rPr>
                  <w:rStyle w:val="InternetLink"/>
                  <w:rFonts w:ascii="Times New Roman" w:hAnsi="Times New Roman"/>
                  <w:color w:val="0000FF"/>
                  <w:sz w:val="20"/>
                  <w:u w:val="single"/>
                </w:rPr>
                <w:t>Opinion of Goodwin Procter*</w:t>
              </w:r>
            </w:hyperlink>
            <w:hyperlink w:anchor="mx-ex5_1.htm">
              <w:r>
                <w:rPr>
                  <w:rStyle w:val="InternetLink"/>
                  <w:rFonts w:ascii="Times New Roman" w:hAnsi="Times New Roman"/>
                  <w:color w:val="0000FF"/>
                  <w:sz w:val="20"/>
                </w:rPr>
                <w:t xml:space="preserve"> </w:t>
              </w:r>
            </w:hyperlink>
          </w:p>
        </w:tc>
      </w:tr>
      <w:tr>
        <w:trPr/>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mx-ex5_1.htm">
              <w:r>
                <w:rPr>
                  <w:rStyle w:val="InternetLink"/>
                  <w:rFonts w:ascii="Times New Roman" w:hAnsi="Times New Roman"/>
                  <w:color w:val="0000FF"/>
                  <w:sz w:val="20"/>
                  <w:u w:val="single"/>
                </w:rPr>
                <w:t>Consent of Goodwin Procter (included in Exhibit 5.1 above)</w:t>
              </w:r>
            </w:hyperlink>
            <w:hyperlink w:anchor="mx-ex5_1.htm">
              <w:r>
                <w:rPr>
                  <w:rStyle w:val="InternetLink"/>
                  <w:rFonts w:ascii="Times New Roman" w:hAnsi="Times New Roman"/>
                  <w:color w:val="0000FF"/>
                  <w:sz w:val="20"/>
                </w:rPr>
                <w:t xml:space="preserve"> </w:t>
              </w:r>
            </w:hyperlink>
          </w:p>
        </w:tc>
      </w:tr>
      <w:tr>
        <w:trPr/>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mx-ex23_2.htm">
              <w:r>
                <w:rPr>
                  <w:rStyle w:val="InternetLink"/>
                  <w:rFonts w:ascii="Times New Roman" w:hAnsi="Times New Roman"/>
                  <w:color w:val="0000FF"/>
                  <w:sz w:val="20"/>
                  <w:u w:val="single"/>
                </w:rPr>
                <w:t>Consent of Samil PricewaterhouseCoopers, Independent Registered Public Accounting Firm*</w:t>
              </w:r>
            </w:hyperlink>
          </w:p>
        </w:tc>
      </w:tr>
      <w:tr>
        <w:trPr/>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mx-ex23_3.htm">
              <w:r>
                <w:rPr>
                  <w:rStyle w:val="InternetLink"/>
                  <w:rFonts w:ascii="Times New Roman" w:hAnsi="Times New Roman"/>
                  <w:color w:val="0000FF"/>
                  <w:sz w:val="20"/>
                  <w:u w:val="single"/>
                </w:rPr>
                <w:t>Consent of EY Han Young, Independent Registered Public Accounting Firm*</w:t>
              </w:r>
            </w:hyperlink>
          </w:p>
        </w:tc>
      </w:tr>
      <w:tr>
        <w:trPr/>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on the signature page)</w:t>
              </w:r>
            </w:hyperlink>
            <w:hyperlink w:anchor="power_of_attorney">
              <w:r>
                <w:rPr>
                  <w:rStyle w:val="InternetLink"/>
                  <w:rFonts w:ascii="Times New Roman" w:hAnsi="Times New Roman"/>
                  <w:color w:val="0000FF"/>
                  <w:sz w:val="20"/>
                </w:rPr>
                <w:t xml:space="preserve"> </w:t>
              </w:r>
            </w:hyperlink>
          </w:p>
        </w:tc>
      </w:tr>
      <w:tr>
        <w:trPr/>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"https://www.sec.gov/Archives/edgar/data/1325702/000119312526197484/mx-20260430.htm" \l "other_matters"</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Amended and Restated 2020 Equity and Incentive Compensation Plan (Incorporated by reference to Appendix A to our Definitive Proxy Statement on Schedule 14A filed with the Commission on April 30, 2026)</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"https://www.sec.gov/Archives/edgar/data/1325702/000119312526197484/mx-20260430.htm" \l "other_matters"</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mx-exfiling_fees.htm">
              <w:r>
                <w:rPr>
                  <w:rStyle w:val="InternetLink"/>
                  <w:rFonts w:ascii="Times New Roman" w:hAnsi="Times New Roman"/>
                  <w:color w:val="0000FF"/>
                  <w:sz w:val="20"/>
                  <w:u w:val="single"/>
                </w:rPr>
                <w:t>Filing fee table*</w:t>
              </w:r>
            </w:hyperlink>
            <w:hyperlink w:anchor="mx-exfiling_fees.htm">
              <w:r>
                <w:rPr>
                  <w:rStyle w:val="InternetLink"/>
                  <w:rFonts w:ascii="Times New Roman" w:hAnsi="Times New Roman"/>
                  <w:color w:val="0000FF"/>
                  <w:sz w:val="20"/>
                </w:rPr>
                <w:t xml:space="preserve"> </w:t>
              </w:r>
            </w:hyperlink>
          </w:p>
        </w:tc>
      </w:tr>
    </w:tbl>
    <w:p>
      <w:pPr>
        <w:pStyle w:val="TextBody"/>
        <w:pBdr>
          <w:bottom w:val="single" w:sz="6" w:space="1" w:color="000000"/>
        </w:pBdr>
        <w:bidi w:val="0"/>
        <w:ind w:left="0" w:right="7200" w:hanging="0"/>
        <w:jc w:val="left"/>
        <w:rPr/>
      </w:pPr>
      <w:r>
        <w:rPr/>
        <w:t> </w:t>
      </w:r>
    </w:p>
    <w:p>
      <w:pPr>
        <w:pStyle w:val="TextBody"/>
        <w:pBdr/>
        <w:bidi w:val="0"/>
        <w:spacing w:before="40" w:after="283"/>
        <w:ind w:left="0" w:right="0" w:hanging="245"/>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 w:name="sig"/>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Seoul, Republic of Korea on July 10, 2026.</w:t>
      </w:r>
    </w:p>
    <w:p>
      <w:pPr>
        <w:pStyle w:val="TextBody"/>
        <w:bidi w:val="0"/>
        <w:jc w:val="left"/>
        <w:rPr/>
      </w:pPr>
      <w:r>
        <w:rPr/>
        <w:t> </w:t>
      </w:r>
    </w:p>
    <w:tbl>
      <w:tblPr>
        <w:tblW w:w="5072" w:type="dxa"/>
        <w:jc w:val="left"/>
        <w:tblInd w:w="0" w:type="dxa"/>
        <w:tblLayout w:type="fixed"/>
        <w:tblCellMar>
          <w:top w:w="28" w:type="dxa"/>
          <w:left w:w="28" w:type="dxa"/>
          <w:bottom w:w="28" w:type="dxa"/>
          <w:right w:w="28" w:type="dxa"/>
        </w:tblCellMar>
      </w:tblPr>
      <w:tblGrid>
        <w:gridCol w:w="421"/>
        <w:gridCol w:w="4651"/>
      </w:tblGrid>
      <w:tr>
        <w:trPr/>
        <w:tc>
          <w:tcPr>
            <w:tcW w:w="421" w:type="dxa"/>
            <w:tcBorders/>
            <w:vAlign w:val="center"/>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MAGNACHIP SEMICONDUCTOR CORPORATION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By:</w:t>
            </w:r>
          </w:p>
        </w:tc>
        <w:tc>
          <w:tcPr>
            <w:tcW w:w="46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Chae Lee</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Chae Lee</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w:t>
            </w:r>
          </w:p>
        </w:tc>
      </w:tr>
    </w:tbl>
    <w:p>
      <w:pPr>
        <w:pStyle w:val="TextBody"/>
        <w:bidi w:val="0"/>
        <w:jc w:val="left"/>
        <w:rPr/>
      </w:pPr>
      <w:r>
        <w:rPr/>
        <w:t> </w:t>
      </w:r>
    </w:p>
    <w:p>
      <w:pPr>
        <w:pStyle w:val="TextBody"/>
        <w:bidi w:val="0"/>
        <w:jc w:val="center"/>
        <w:rPr>
          <w:rFonts w:ascii="Times New Roman" w:hAnsi="Times New Roman"/>
          <w:sz w:val="20"/>
        </w:rPr>
      </w:pPr>
      <w:bookmarkStart w:id="3" w:name="power_of_attorney"/>
      <w:bookmarkEnd w:id="3"/>
      <w:r>
        <w:rPr>
          <w:rFonts w:ascii="Times New Roman" w:hAnsi="Times New Roman"/>
          <w:b/>
          <w:color w:val="000000"/>
          <w:sz w:val="20"/>
        </w:rPr>
        <w:t>POWER</w:t>
      </w:r>
      <w:r>
        <w:rPr>
          <w:rFonts w:ascii="Times New Roman" w:hAnsi="Times New Roman"/>
          <w:color w:val="000000"/>
          <w:sz w:val="20"/>
        </w:rPr>
        <w:t xml:space="preserve"> </w:t>
      </w:r>
      <w:r>
        <w:rPr>
          <w:rFonts w:ascii="Times New Roman" w:hAnsi="Times New Roman"/>
          <w:b/>
          <w:color w:val="000000"/>
          <w:sz w:val="20"/>
        </w:rPr>
        <w:t>OF ATTORNEY</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Chae Lee and Shinyoung Park and each or either of them, as his or her true and lawful attorney-in-fact and agent, with full power of substitution and resubstitution, for him or her and in his or her name, place and stead, in any and all capacities, to sign any and all amendments to this registration statement on Form S-8, including any and all post-effective amendments and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their or his or her substitutes or substitute, may lawfully do or cause to be done by virtue hereof.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as amended, this Registration Statement on Form S-8 has been signed below by the following persons on behalf of Magnachip Semiconductor Corporation and in the capacities and on the dates indicated: </w:t>
      </w:r>
    </w:p>
    <w:p>
      <w:pPr>
        <w:pStyle w:val="TextBody"/>
        <w:bidi w:val="0"/>
        <w:jc w:val="left"/>
        <w:rPr/>
      </w:pPr>
      <w:r>
        <w:rPr/>
        <w:t> </w:t>
      </w:r>
    </w:p>
    <w:tbl>
      <w:tblPr>
        <w:tblW w:w="10048" w:type="dxa"/>
        <w:jc w:val="left"/>
        <w:tblInd w:w="0" w:type="dxa"/>
        <w:tblLayout w:type="fixed"/>
        <w:tblCellMar>
          <w:top w:w="28" w:type="dxa"/>
          <w:left w:w="28" w:type="dxa"/>
          <w:bottom w:w="28" w:type="dxa"/>
          <w:right w:w="28" w:type="dxa"/>
        </w:tblCellMar>
      </w:tblPr>
      <w:tblGrid>
        <w:gridCol w:w="8641"/>
        <w:gridCol w:w="146"/>
        <w:gridCol w:w="1261"/>
      </w:tblGrid>
      <w:tr>
        <w:trPr/>
        <w:tc>
          <w:tcPr>
            <w:tcW w:w="8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86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Chae Lee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2026</w:t>
            </w:r>
          </w:p>
        </w:tc>
      </w:tr>
      <w:tr>
        <w:trPr/>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Chae Lee, </w:t>
            </w:r>
            <w:r>
              <w:rPr>
                <w:rFonts w:ascii="Times New Roman" w:hAnsi="Times New Roman"/>
                <w:i/>
                <w:color w:val="000000"/>
                <w:sz w:val="20"/>
              </w:rPr>
              <w:t>Chief Executive Officer (Principal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Shinyoung Park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2026</w:t>
            </w:r>
          </w:p>
        </w:tc>
      </w:tr>
      <w:tr>
        <w:trPr/>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Shinyoung Park, </w:t>
            </w:r>
            <w:r>
              <w:rPr>
                <w:rFonts w:ascii="Times New Roman" w:hAnsi="Times New Roman"/>
                <w:i/>
                <w:color w:val="000000"/>
                <w:sz w:val="20"/>
              </w:rPr>
              <w:t>Chief Financial Officer (Principal Financial Officer and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Camillo Martino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2026</w:t>
            </w:r>
          </w:p>
        </w:tc>
      </w:tr>
      <w:tr>
        <w:trPr/>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Camillo Martino, </w:t>
            </w: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Cristiano Amoruso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2026</w:t>
            </w:r>
          </w:p>
        </w:tc>
      </w:tr>
      <w:tr>
        <w:trPr/>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Cristiano Amoruso, </w:t>
            </w: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Liz Chung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2026</w:t>
            </w:r>
          </w:p>
        </w:tc>
      </w:tr>
      <w:tr>
        <w:trPr/>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Liz Chung, </w:t>
            </w: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Gilbert Nathan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2026</w:t>
            </w:r>
          </w:p>
        </w:tc>
      </w:tr>
      <w:tr>
        <w:trPr/>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Gilbert Nathan, </w:t>
            </w: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4" w:name="mx-ex5_1.htm"/>
      <w:bookmarkStart w:id="5" w:name="ksmxex5_1"/>
      <w:bookmarkEnd w:id="4"/>
      <w:bookmarkEnd w:id="5"/>
      <w:r>
        <w:rPr>
          <w:rFonts w:ascii="Times New Roman" w:hAnsi="Times New Roman"/>
          <w:b/>
          <w:color w:val="000000"/>
          <w:sz w:val="24"/>
        </w:rPr>
        <w:t>Exhibit 5.1</w:t>
      </w:r>
      <w:r>
        <w:br w:type="page"/>
      </w:r>
    </w:p>
    <w:tbl>
      <w:tblPr>
        <w:tblW w:w="5213" w:type="dxa"/>
        <w:jc w:val="left"/>
        <w:tblInd w:w="0" w:type="dxa"/>
        <w:tblLayout w:type="fixed"/>
        <w:tblCellMar>
          <w:top w:w="28" w:type="dxa"/>
          <w:left w:w="28" w:type="dxa"/>
          <w:bottom w:w="28" w:type="dxa"/>
          <w:right w:w="28" w:type="dxa"/>
        </w:tblCellMar>
      </w:tblPr>
      <w:tblGrid>
        <w:gridCol w:w="3086"/>
        <w:gridCol w:w="146"/>
        <w:gridCol w:w="1981"/>
      </w:tblGrid>
      <w:tr>
        <w:trPr/>
        <w:tc>
          <w:tcPr>
            <w:tcW w:w="3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3086" w:type="dxa"/>
            <w:tcBorders/>
            <w:tcMar>
              <w:top w:w="0" w:type="dxa"/>
              <w:left w:w="0" w:type="dxa"/>
              <w:bottom w:w="0" w:type="dxa"/>
              <w:right w:w="0" w:type="dxa"/>
            </w:tcMar>
            <w:vAlign w:val="center"/>
          </w:tcPr>
          <w:p>
            <w:pPr>
              <w:pStyle w:val="TableContents"/>
              <w:bidi w:val="0"/>
              <w:spacing w:before="0" w:after="240"/>
              <w:jc w:val="left"/>
              <w:rPr/>
            </w:pPr>
            <w:r>
              <w:rPr/>
              <w:drawing>
                <wp:inline distT="0" distB="0" distL="0" distR="0">
                  <wp:extent cx="18954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4191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16"/>
              </w:rPr>
            </w:pPr>
            <w:r>
              <w:rPr>
                <w:rFonts w:ascii="Arial" w:hAnsi="Arial"/>
                <w:color w:val="848A8E"/>
                <w:sz w:val="16"/>
              </w:rPr>
              <w:t>Goodwin Procter</w:t>
            </w:r>
            <w:r>
              <w:rPr>
                <w:rFonts w:ascii="Times New Roman" w:hAnsi="Times New Roman"/>
                <w:color w:val="848A8E"/>
                <w:sz w:val="16"/>
              </w:rPr>
              <w:t> </w:t>
            </w:r>
            <w:r>
              <w:rPr>
                <w:rFonts w:ascii="Arial" w:hAnsi="Arial"/>
                <w:color w:val="848A8E"/>
                <w:sz w:val="12"/>
              </w:rPr>
              <w:t>LLP</w:t>
            </w:r>
          </w:p>
          <w:p>
            <w:pPr>
              <w:pStyle w:val="TableContents"/>
              <w:bidi w:val="0"/>
              <w:jc w:val="left"/>
              <w:rPr>
                <w:rFonts w:ascii="Arial" w:hAnsi="Arial"/>
                <w:color w:val="848A8E"/>
                <w:sz w:val="16"/>
              </w:rPr>
            </w:pPr>
            <w:r>
              <w:rPr>
                <w:rFonts w:ascii="Arial" w:hAnsi="Arial"/>
                <w:color w:val="848A8E"/>
                <w:sz w:val="16"/>
              </w:rPr>
              <w:t>601 Marshall Street</w:t>
              <w:br/>
              <w:t>Redwood City, CA 94063</w:t>
            </w:r>
          </w:p>
          <w:p>
            <w:pPr>
              <w:pStyle w:val="TableContents"/>
              <w:bidi w:val="0"/>
              <w:jc w:val="left"/>
              <w:rPr/>
            </w:pPr>
            <w:r>
              <w:rPr/>
              <w:t> </w:t>
            </w:r>
          </w:p>
          <w:p>
            <w:pPr>
              <w:pStyle w:val="TableContents"/>
              <w:bidi w:val="0"/>
              <w:jc w:val="left"/>
              <w:rPr>
                <w:rFonts w:ascii="Arial" w:hAnsi="Arial"/>
                <w:color w:val="848A8E"/>
                <w:sz w:val="16"/>
              </w:rPr>
            </w:pPr>
            <w:r>
              <w:rPr>
                <w:rFonts w:ascii="Arial" w:hAnsi="Arial"/>
                <w:color w:val="848A8E"/>
                <w:sz w:val="16"/>
              </w:rPr>
              <w:t>goodwinlaw.com</w:t>
            </w:r>
          </w:p>
          <w:p>
            <w:pPr>
              <w:pStyle w:val="TableContents"/>
              <w:bidi w:val="0"/>
              <w:spacing w:before="0" w:after="283"/>
              <w:jc w:val="left"/>
              <w:rPr>
                <w:rFonts w:ascii="Arial" w:hAnsi="Arial"/>
                <w:color w:val="848A8E"/>
                <w:sz w:val="16"/>
              </w:rPr>
            </w:pPr>
            <w:r>
              <w:rPr>
                <w:rFonts w:ascii="Arial" w:hAnsi="Arial"/>
                <w:color w:val="848A8E"/>
                <w:sz w:val="16"/>
              </w:rPr>
              <w:t>+1 650 752 3100</w:t>
            </w:r>
          </w:p>
        </w:tc>
      </w:tr>
    </w:tbl>
    <w:p>
      <w:pPr>
        <w:pStyle w:val="TextBody"/>
        <w:bidi w:val="0"/>
        <w:spacing w:before="120" w:after="283"/>
        <w:jc w:val="center"/>
        <w:rPr/>
      </w:pPr>
      <w:r>
        <w:rPr/>
        <w:t> </w:t>
      </w:r>
    </w:p>
    <w:p>
      <w:pPr>
        <w:pStyle w:val="TextBody"/>
        <w:bidi w:val="0"/>
        <w:jc w:val="center"/>
        <w:rPr>
          <w:rFonts w:ascii="Times New Roman" w:hAnsi="Times New Roman"/>
          <w:color w:val="000000"/>
          <w:sz w:val="23"/>
        </w:rPr>
      </w:pPr>
      <w:r>
        <w:rPr>
          <w:rFonts w:ascii="Times New Roman" w:hAnsi="Times New Roman"/>
          <w:color w:val="000000"/>
          <w:sz w:val="23"/>
        </w:rPr>
        <w:t>July 10, 2026</w:t>
      </w:r>
    </w:p>
    <w:p>
      <w:pPr>
        <w:pStyle w:val="TextBody"/>
        <w:bidi w:val="0"/>
        <w:jc w:val="center"/>
        <w:rPr/>
      </w:pPr>
      <w:r>
        <w:rPr/>
        <w:t> </w:t>
      </w:r>
    </w:p>
    <w:p>
      <w:pPr>
        <w:pStyle w:val="TextBody"/>
        <w:bidi w:val="0"/>
        <w:jc w:val="left"/>
        <w:rPr>
          <w:rFonts w:ascii="Times New Roman" w:hAnsi="Times New Roman"/>
          <w:color w:val="000000"/>
          <w:sz w:val="23"/>
        </w:rPr>
      </w:pPr>
      <w:r>
        <w:rPr>
          <w:rFonts w:ascii="Times New Roman" w:hAnsi="Times New Roman"/>
          <w:color w:val="000000"/>
          <w:sz w:val="23"/>
        </w:rPr>
        <w:t>Magnachip Semiconductor Corporation</w:t>
      </w:r>
    </w:p>
    <w:p>
      <w:pPr>
        <w:pStyle w:val="TextBody"/>
        <w:bidi w:val="0"/>
        <w:jc w:val="left"/>
        <w:rPr>
          <w:rFonts w:ascii="Times New Roman" w:hAnsi="Times New Roman"/>
          <w:sz w:val="20"/>
        </w:rPr>
      </w:pPr>
      <w:r>
        <w:rPr>
          <w:rFonts w:ascii="Times New Roman" w:hAnsi="Times New Roman"/>
          <w:color w:val="000000"/>
          <w:sz w:val="23"/>
        </w:rPr>
        <w:t>15F, 76 Jikji-daero 436beon-gil, Heungdeok-gu</w:t>
      </w:r>
      <w:r>
        <w:rPr>
          <w:rFonts w:ascii="Times New Roman" w:hAnsi="Times New Roman"/>
          <w:color w:val="000000"/>
          <w:sz w:val="20"/>
        </w:rPr>
        <w:t xml:space="preserve"> </w:t>
      </w:r>
    </w:p>
    <w:p>
      <w:pPr>
        <w:pStyle w:val="TextBody"/>
        <w:bidi w:val="0"/>
        <w:jc w:val="left"/>
        <w:rPr>
          <w:rFonts w:ascii="Times New Roman" w:hAnsi="Times New Roman"/>
          <w:color w:val="000000"/>
          <w:sz w:val="23"/>
        </w:rPr>
      </w:pPr>
      <w:r>
        <w:rPr>
          <w:rFonts w:ascii="Times New Roman" w:hAnsi="Times New Roman"/>
          <w:color w:val="000000"/>
          <w:sz w:val="23"/>
        </w:rPr>
        <w:t>Cheongju-si, Chungcheongbuk-do, Republic of Korea 28581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3"/>
        </w:rPr>
        <w:t xml:space="preserve">Re: </w:t>
      </w:r>
      <w:r>
        <w:rPr>
          <w:rFonts w:ascii="Times New Roman" w:hAnsi="Times New Roman"/>
          <w:color w:val="000000"/>
          <w:sz w:val="23"/>
          <w:u w:val="single"/>
        </w:rPr>
        <w:t>Securities Being Registered under Registration Statement on Form S-8</w:t>
      </w:r>
    </w:p>
    <w:p>
      <w:pPr>
        <w:pStyle w:val="TextBody"/>
        <w:bidi w:val="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We have acted as your counsel in connection with your filing of a Registration Statement on Form S-8 (the “Registration Statement”) pursuant to the Securities Act of 1933, as amended (the “Securities Act”), on or about the date hereof relating to an aggregate of 3,000,000 shares (the “Shares”) of Common Stock, par value $0.01 per share (“Common Stock”), of Magnachip Semiconductor Corporation, a Delaware corporation (the “Company”), that may be issued pursuant to the Company’s Amended and Restated 2020 Equity and Incentive Compensation Plan (the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3"/>
        </w:rPr>
        <w:t>We have reviewed such documents and made such examination of law as we have deemed appropriate to give the opinion set forth below.</w:t>
      </w:r>
      <w:r>
        <w:rPr>
          <w:rFonts w:ascii="Times New Roman" w:hAnsi="Times New Roman"/>
          <w:color w:val="000000"/>
          <w:sz w:val="20"/>
        </w:rPr>
        <w:t xml:space="preserve"> </w:t>
      </w:r>
      <w:r>
        <w:rPr>
          <w:rFonts w:ascii="Times New Roman" w:hAnsi="Times New Roman"/>
          <w:color w:val="000000"/>
          <w:sz w:val="23"/>
        </w:rPr>
        <w:t>We have relied, without independent verification, on certificates of public officials and, as to matters of fact material to the opinion set forth below, on certificates of officers of the Company.</w:t>
      </w:r>
    </w:p>
    <w:p>
      <w:pPr>
        <w:pStyle w:val="TextBody"/>
        <w:bidi w:val="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pStyle w:val="TextBody"/>
        <w:bidi w:val="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The opinion set forth below is limited to the Delaware General Corporation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3"/>
        </w:rPr>
        <w:t>Based on the foregoing, we are of the opinion that the Shares have been duly authorized and, when delivered against payment therefor in accordance with the terms of the Plan, will be validly issued, fully paid and nonassessable.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3"/>
        </w:rPr>
        <w:t xml:space="preserve">This opinion letter and the opinion it contains shall be interpreted in accordance with the Core Opinion Principles as published in 74 </w:t>
      </w:r>
      <w:r>
        <w:rPr>
          <w:rFonts w:ascii="Times New Roman" w:hAnsi="Times New Roman"/>
          <w:i/>
          <w:color w:val="000000"/>
          <w:sz w:val="23"/>
        </w:rPr>
        <w:t>Business Lawyer</w:t>
      </w:r>
      <w:r>
        <w:rPr>
          <w:rFonts w:ascii="Times New Roman" w:hAnsi="Times New Roman"/>
          <w:color w:val="000000"/>
          <w:sz w:val="20"/>
        </w:rPr>
        <w:t xml:space="preserve"> </w:t>
      </w:r>
      <w:r>
        <w:rPr>
          <w:rFonts w:ascii="Times New Roman" w:hAnsi="Times New Roman"/>
          <w:color w:val="000000"/>
          <w:sz w:val="23"/>
        </w:rPr>
        <w:t>815 (Summer 2019).</w:t>
      </w:r>
    </w:p>
    <w:p>
      <w:pPr>
        <w:pStyle w:val="TextBody"/>
        <w:bidi w:val="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283"/>
              <w:jc w:val="left"/>
              <w:rPr>
                <w:sz w:val="4"/>
                <w:szCs w:val="4"/>
              </w:rPr>
            </w:pPr>
            <w:r>
              <w:rPr>
                <w:sz w:val="4"/>
                <w:szCs w:val="4"/>
              </w:rPr>
            </w:r>
          </w:p>
        </w:tc>
      </w:tr>
      <w:tr>
        <w:trPr/>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Very truly yours,</w:t>
            </w:r>
          </w:p>
        </w:tc>
      </w:tr>
      <w:tr>
        <w:trPr/>
        <w:tc>
          <w:tcPr>
            <w:tcW w:w="27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3"/>
              </w:rPr>
            </w:pPr>
            <w:r>
              <w:rPr>
                <w:rFonts w:ascii="Times New Roman" w:hAnsi="Times New Roman"/>
                <w:smallCaps/>
                <w:color w:val="000000"/>
                <w:sz w:val="23"/>
              </w:rPr>
              <w:t>/s/ Goodwin Procter LLP</w:t>
            </w:r>
          </w:p>
        </w:tc>
      </w:tr>
      <w:tr>
        <w:trPr/>
        <w:tc>
          <w:tcPr>
            <w:tcW w:w="27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GOODWIN PROCTER LLP</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 w:name="mx-ex23_2.htm"/>
      <w:bookmarkStart w:id="7" w:name="ksmxex23_2"/>
      <w:bookmarkEnd w:id="6"/>
      <w:bookmarkEnd w:id="7"/>
      <w:r>
        <w:rPr>
          <w:rFonts w:ascii="Times New Roman" w:hAnsi="Times New Roman"/>
          <w:b/>
          <w:color w:val="000000"/>
          <w:sz w:val="20"/>
        </w:rPr>
        <w:t>Exhibit 23.2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hereby consent to the incorporation by reference in this Registration Statement on Form S-8 of Magnachip Semiconductor Corporation of our report dated March 14, 2025, except for the effects of discontinued operations discussed in Note 2 to the consolidated financial statements, as to which the date is March 16, 2026, relating to the financial statements and the effectiveness of internal control over financial reporting, which appears in Magnachip Semiconductor Corporation’s Annual Report on Form 10-K for the year ended December 31, 2025.</w:t>
      </w:r>
    </w:p>
    <w:p>
      <w:pPr>
        <w:pStyle w:val="TextBody"/>
        <w:bidi w:val="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Samil PricewaterhouseCoopers</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Seoul, Republic of Korea</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10,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 w:name="mx-ex23_3.htm"/>
      <w:bookmarkStart w:id="9" w:name="ksmxex23_3"/>
      <w:bookmarkEnd w:id="8"/>
      <w:bookmarkEnd w:id="9"/>
      <w:r>
        <w:rPr>
          <w:rFonts w:ascii="Times New Roman" w:hAnsi="Times New Roman"/>
          <w:b/>
          <w:color w:val="000000"/>
          <w:sz w:val="20"/>
        </w:rPr>
        <w:t>Exhibit 23.3</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CONSENT OF INDEPENDENT REGISTERED PUBLIC ACCOUNTING FIRM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consent to the incorporation by reference in the Registration Statement (Form S-8) of Magnachip Semiconductor Corporation of our reports dated March 16, 2026, with respect to the consolidated financial statements of Magnachip Semiconductor Corporation and the effectiveness of internal control over financial reporting of Magnachip Semiconductor Corporation included in its Annual Report (Form 10-K) for the year ended December 31, 2025, filed with the Securities and Exchange Commission. </w:t>
      </w:r>
    </w:p>
    <w:p>
      <w:pPr>
        <w:pStyle w:val="TextBody"/>
        <w:bidi w:val="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EY Han Young</w:t>
            </w:r>
          </w:p>
        </w:tc>
      </w:tr>
      <w:tr>
        <w:trPr/>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Seoul, the Republic of Korea</w:t>
            </w:r>
          </w:p>
        </w:tc>
      </w:tr>
      <w:tr>
        <w:trPr/>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10, 2026</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0" w:name="mx-exfiling_fees.htm"/>
      <w:bookmarkStart w:id="11" w:name="ksmxexfiling_fees"/>
      <w:bookmarkStart w:id="12" w:name="mx-exfiling_fees.htm"/>
      <w:bookmarkStart w:id="13" w:name="ksmxexfiling_fees"/>
      <w:bookmarkEnd w:id="12"/>
      <w:bookmarkEnd w:id="13"/>
      <w:r>
        <w:br w:type="page"/>
      </w:r>
    </w:p>
    <w:tbl>
      <w:tblPr>
        <w:tblW w:w="4760" w:type="dxa"/>
        <w:jc w:val="left"/>
        <w:tblInd w:w="0" w:type="dxa"/>
        <w:tblLayout w:type="fixed"/>
        <w:tblCellMar>
          <w:top w:w="28" w:type="dxa"/>
          <w:left w:w="28" w:type="dxa"/>
          <w:bottom w:w="28" w:type="dxa"/>
          <w:right w:w="28" w:type="dxa"/>
        </w:tblCellMar>
      </w:tblPr>
      <w:tblGrid>
        <w:gridCol w:w="4606"/>
        <w:gridCol w:w="154"/>
      </w:tblGrid>
      <w:tr>
        <w:trPr/>
        <w:tc>
          <w:tcPr>
            <w:tcW w:w="47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60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4606" w:type="dxa"/>
            <w:tcBorders/>
            <w:vAlign w:val="center"/>
          </w:tcPr>
          <w:p>
            <w:pPr>
              <w:pStyle w:val="TableContents"/>
              <w:bidi w:val="0"/>
              <w:spacing w:before="0" w:after="283"/>
              <w:jc w:val="left"/>
              <w:rPr>
                <w:b/>
              </w:rPr>
            </w:pPr>
            <w:r>
              <w:rPr>
                <w:b/>
              </w:rPr>
              <w:t xml:space="preserve">MAGNACHIP SEMICONDUCTOR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6"/>
        <w:gridCol w:w="1043"/>
        <w:gridCol w:w="1293"/>
        <w:gridCol w:w="1202"/>
        <w:gridCol w:w="1214"/>
        <w:gridCol w:w="1702"/>
        <w:gridCol w:w="1127"/>
        <w:gridCol w:w="1426"/>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3" w:type="dxa"/>
            <w:tcBorders/>
            <w:shd w:fill="E7E7E2" w:val="clear"/>
            <w:vAlign w:val="center"/>
          </w:tcPr>
          <w:p>
            <w:pPr>
              <w:pStyle w:val="TableContents"/>
              <w:bidi w:val="0"/>
              <w:spacing w:before="0" w:after="283"/>
              <w:jc w:val="left"/>
              <w:rPr/>
            </w:pPr>
            <w:r>
              <w:rPr/>
              <w:t xml:space="preserve">Common Stock, par value $0.01 per share </w:t>
            </w:r>
          </w:p>
        </w:tc>
        <w:tc>
          <w:tcPr>
            <w:tcW w:w="1293" w:type="dxa"/>
            <w:tcBorders/>
            <w:shd w:fill="E7E7E2" w:val="clear"/>
            <w:vAlign w:val="center"/>
          </w:tcPr>
          <w:p>
            <w:pPr>
              <w:pStyle w:val="TableContents"/>
              <w:bidi w:val="0"/>
              <w:spacing w:before="0" w:after="283"/>
              <w:jc w:val="center"/>
              <w:rPr/>
            </w:pPr>
            <w:r>
              <w:rPr/>
              <w:t xml:space="preserve">Other </w:t>
            </w:r>
          </w:p>
        </w:tc>
        <w:tc>
          <w:tcPr>
            <w:tcW w:w="1202" w:type="dxa"/>
            <w:tcBorders/>
            <w:shd w:fill="E7E7E2" w:val="clear"/>
            <w:vAlign w:val="center"/>
          </w:tcPr>
          <w:p>
            <w:pPr>
              <w:pStyle w:val="TableContents"/>
              <w:bidi w:val="0"/>
              <w:spacing w:before="0" w:after="283"/>
              <w:jc w:val="right"/>
              <w:rPr/>
            </w:pPr>
            <w:r>
              <w:rPr/>
              <w:t xml:space="preserve">3,000,000 </w:t>
            </w:r>
          </w:p>
        </w:tc>
        <w:tc>
          <w:tcPr>
            <w:tcW w:w="1214" w:type="dxa"/>
            <w:tcBorders/>
            <w:shd w:fill="E7E7E2" w:val="clear"/>
            <w:vAlign w:val="center"/>
          </w:tcPr>
          <w:p>
            <w:pPr>
              <w:pStyle w:val="TableContents"/>
              <w:bidi w:val="0"/>
              <w:spacing w:before="0" w:after="283"/>
              <w:jc w:val="right"/>
              <w:rPr/>
            </w:pPr>
            <w:r>
              <w:rPr/>
              <w:t xml:space="preserve">$ 3.8775 </w:t>
            </w:r>
          </w:p>
        </w:tc>
        <w:tc>
          <w:tcPr>
            <w:tcW w:w="1702" w:type="dxa"/>
            <w:tcBorders/>
            <w:shd w:fill="E7E7E2" w:val="clear"/>
            <w:vAlign w:val="center"/>
          </w:tcPr>
          <w:p>
            <w:pPr>
              <w:pStyle w:val="TableContents"/>
              <w:bidi w:val="0"/>
              <w:spacing w:before="0" w:after="283"/>
              <w:jc w:val="right"/>
              <w:rPr/>
            </w:pPr>
            <w:r>
              <w:rPr/>
              <w:t xml:space="preserve">$ 11,632,500.00 </w:t>
            </w:r>
          </w:p>
        </w:tc>
        <w:tc>
          <w:tcPr>
            <w:tcW w:w="1127"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$ 1,606.45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0"/>
              <w:ind w:left="0" w:right="0" w:hanging="0"/>
              <w:jc w:val="right"/>
              <w:rPr/>
            </w:pPr>
            <w:bookmarkStart w:id="14" w:name="MaxAggtOfferingPrice"/>
            <w:bookmarkEnd w:id="14"/>
            <w:r>
              <w:rPr/>
              <w:t xml:space="preserve">$ 11,632,500.00 </w:t>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5" w:name="TotalFeeAmt"/>
            <w:bookmarkEnd w:id="15"/>
            <w:r>
              <w:rPr/>
              <w:t xml:space="preserve">$ 1,606.45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16" w:name="TotalOffsetAmt"/>
            <w:bookmarkEnd w:id="16"/>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17" w:name="NetFeeAmt"/>
            <w:bookmarkEnd w:id="17"/>
            <w:r>
              <w:rPr/>
              <w:t xml:space="preserve">$ 1,606.45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5"/>
        <w:gridCol w:w="8711"/>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Pursuant to Rule 416 under the Securities Act of 1933, as amended (the "Securities Act"), this Registration Statement shall also cover any additional shares of common stock, par value $0.01 per share ("Common Stock"), of Magnachip Semiconductor Corporation (the "Registrant"), which become issuable under the Magnachip Semiconductor Corporation Amended and Restated 2020 Equity and Incentive Compensation Plan, as amended (the "2020 Plan"), by reason of any stock dividend, stock split, recapitalization or any other similar transaction effected without the receipt of consideration which results in an increase in the number of the Registrant's outstanding shares of Common Stock. This Registration Statement registers 3,000,000 additional shares of Common Stock newly authorized for issuance under the 2020 Plan. Shares available for issuance under the 2020 Plan were previously registered on Registration Statements on Form S-8, filed with the Securities and Exchange Commission on July 15, 2020 (File No. 333-239872) and June 23, 2023 (File No. 333-272902). The Proposed Maximum Offering Price Per Unit was estimated solely for the purpose of calculating the registration fee pursuant to Rules 457(c) and 457(h) of the Securities Act, and is based on the average of the high and low sales prices of the Registrant's common stock reported on the New York Stock Exchange on July 7, 2026, which date was within five business days prior to the filing of this Registration Statement.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1893</Words>
  <Characters>10470</Characters>
  <CharactersWithSpaces>12400</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