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___)*</w:t>
      </w:r>
    </w:p>
    <w:p>
      <w:pPr>
        <w:spacing w:after="0" w:line="238" w:lineRule="auto"/>
        <w:rPr>
          <w:sz w:val="20"/>
          <w:szCs w:val="20"/>
          <w:color w:val="auto"/>
        </w:rPr>
      </w:pPr>
      <w:r>
        <w:rPr>
          <w:rFonts w:ascii="Courier New" w:cs="Courier New" w:eastAsia="Courier New" w:hAnsi="Courier New"/>
          <w:sz w:val="18"/>
          <w:szCs w:val="18"/>
          <w:color w:val="auto"/>
        </w:rPr>
        <w:t>MagnaChip Semiconductor Corporation</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rPr>
          <w:sz w:val="20"/>
          <w:szCs w:val="20"/>
          <w:color w:val="auto"/>
        </w:rPr>
      </w:pPr>
      <w:r>
        <w:rPr>
          <w:rFonts w:ascii="Courier New" w:cs="Courier New" w:eastAsia="Courier New" w:hAnsi="Courier New"/>
          <w:sz w:val="18"/>
          <w:szCs w:val="18"/>
          <w:color w:val="auto"/>
        </w:rPr>
        <w:t>Common shares</w:t>
      </w:r>
    </w:p>
    <w:p>
      <w:pPr>
        <w:spacing w:after="0" w:line="237" w:lineRule="auto"/>
        <w:rPr>
          <w:sz w:val="20"/>
          <w:szCs w:val="20"/>
          <w:color w:val="auto"/>
        </w:rPr>
      </w:pPr>
      <w:r>
        <w:rPr>
          <w:rFonts w:ascii="Courier New" w:cs="Courier New" w:eastAsia="Courier New" w:hAnsi="Courier New"/>
          <w:sz w:val="18"/>
          <w:szCs w:val="18"/>
          <w:color w:val="auto"/>
        </w:rPr>
        <w:t>(Title of Class of Securities)</w:t>
      </w:r>
    </w:p>
    <w:p>
      <w:pPr>
        <w:spacing w:after="0" w:line="238" w:lineRule="auto"/>
        <w:rPr>
          <w:sz w:val="20"/>
          <w:szCs w:val="20"/>
          <w:color w:val="auto"/>
        </w:rPr>
      </w:pPr>
      <w:r>
        <w:rPr>
          <w:rFonts w:ascii="Courier New" w:cs="Courier New" w:eastAsia="Courier New" w:hAnsi="Courier New"/>
          <w:sz w:val="18"/>
          <w:szCs w:val="18"/>
          <w:color w:val="auto"/>
        </w:rPr>
        <w:t>55933J203</w:t>
      </w:r>
    </w:p>
    <w:p>
      <w:pPr>
        <w:spacing w:after="0"/>
        <w:rPr>
          <w:sz w:val="20"/>
          <w:szCs w:val="20"/>
          <w:color w:val="auto"/>
        </w:rPr>
      </w:pPr>
      <w:r>
        <w:rPr>
          <w:rFonts w:ascii="Courier New" w:cs="Courier New" w:eastAsia="Courier New" w:hAnsi="Courier New"/>
          <w:sz w:val="18"/>
          <w:szCs w:val="18"/>
          <w:color w:val="auto"/>
        </w:rPr>
        <w:t>(CUSIP Number)</w:t>
      </w:r>
    </w:p>
    <w:p>
      <w:pPr>
        <w:spacing w:after="0" w:line="237" w:lineRule="auto"/>
        <w:rPr>
          <w:sz w:val="20"/>
          <w:szCs w:val="20"/>
          <w:color w:val="auto"/>
        </w:rPr>
      </w:pPr>
      <w:r>
        <w:rPr>
          <w:rFonts w:ascii="Courier New" w:cs="Courier New" w:eastAsia="Courier New" w:hAnsi="Courier New"/>
          <w:sz w:val="18"/>
          <w:szCs w:val="18"/>
          <w:color w:val="auto"/>
        </w:rPr>
        <w:t>15 April 2020</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860" w:right="7399" w:hanging="9"/>
        <w:spacing w:after="0" w:line="536" w:lineRule="auto"/>
        <w:tabs>
          <w:tab w:leader="none" w:pos="138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7" w:lineRule="exact"/>
        <w:rPr>
          <w:sz w:val="24"/>
          <w:szCs w:val="24"/>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CUSIP No.</w:t>
      </w:r>
    </w:p>
    <w:p>
      <w:pPr>
        <w:spacing w:after="0" w:line="238" w:lineRule="auto"/>
        <w:rPr>
          <w:sz w:val="20"/>
          <w:szCs w:val="20"/>
          <w:color w:val="auto"/>
        </w:rPr>
      </w:pPr>
      <w:r>
        <w:rPr>
          <w:rFonts w:ascii="Courier New" w:cs="Courier New" w:eastAsia="Courier New" w:hAnsi="Courier New"/>
          <w:sz w:val="18"/>
          <w:szCs w:val="18"/>
          <w:color w:val="auto"/>
        </w:rPr>
        <w:t>55933J203</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Names of Reporting Persons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Assenagon S.A., Assenagon Asset Management S.A.</w:t>
      </w:r>
    </w:p>
    <w:p>
      <w:pPr>
        <w:spacing w:after="0" w:line="238" w:lineRule="auto"/>
        <w:rPr>
          <w:sz w:val="20"/>
          <w:szCs w:val="20"/>
          <w:color w:val="auto"/>
        </w:rPr>
      </w:pPr>
      <w:r>
        <w:rPr>
          <w:rFonts w:ascii="Courier New" w:cs="Courier New" w:eastAsia="Courier New" w:hAnsi="Courier New"/>
          <w:sz w:val="18"/>
          <w:szCs w:val="18"/>
          <w:color w:val="auto"/>
        </w:rPr>
        <w:t>2</w:t>
      </w:r>
    </w:p>
    <w:p>
      <w:pPr>
        <w:spacing w:after="0" w:line="238" w:lineRule="auto"/>
        <w:rPr>
          <w:sz w:val="20"/>
          <w:szCs w:val="20"/>
          <w:color w:val="auto"/>
        </w:rPr>
      </w:pPr>
      <w:r>
        <w:rPr>
          <w:rFonts w:ascii="Courier New" w:cs="Courier New" w:eastAsia="Courier New" w:hAnsi="Courier New"/>
          <w:sz w:val="18"/>
          <w:szCs w:val="18"/>
          <w:color w:val="auto"/>
        </w:rPr>
        <w:t>Check the appropriate box if a member of a Group (see instructions)</w:t>
      </w:r>
    </w:p>
    <w:p>
      <w:pPr>
        <w:spacing w:after="0" w:line="202"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Luxembourg</w:t>
      </w:r>
    </w:p>
    <w:p>
      <w:pPr>
        <w:spacing w:after="0" w:line="238" w:lineRule="auto"/>
        <w:rPr>
          <w:sz w:val="20"/>
          <w:szCs w:val="20"/>
          <w:color w:val="auto"/>
        </w:rPr>
      </w:pPr>
      <w:r>
        <w:rPr>
          <w:rFonts w:ascii="Courier New" w:cs="Courier New" w:eastAsia="Courier New" w:hAnsi="Courier New"/>
          <w:sz w:val="18"/>
          <w:szCs w:val="18"/>
          <w:color w:val="auto"/>
        </w:rPr>
        <w:t>Number of</w:t>
      </w:r>
    </w:p>
    <w:p>
      <w:pPr>
        <w:spacing w:after="0" w:line="238" w:lineRule="auto"/>
        <w:rPr>
          <w:sz w:val="20"/>
          <w:szCs w:val="20"/>
          <w:color w:val="auto"/>
        </w:rPr>
      </w:pPr>
      <w:r>
        <w:rPr>
          <w:rFonts w:ascii="Courier New" w:cs="Courier New" w:eastAsia="Courier New" w:hAnsi="Courier New"/>
          <w:sz w:val="18"/>
          <w:szCs w:val="18"/>
          <w:color w:val="auto"/>
        </w:rPr>
        <w:t>Shares</w:t>
      </w:r>
    </w:p>
    <w:p>
      <w:pPr>
        <w:spacing w:after="0"/>
        <w:rPr>
          <w:sz w:val="20"/>
          <w:szCs w:val="20"/>
          <w:color w:val="auto"/>
        </w:rPr>
      </w:pPr>
      <w:r>
        <w:rPr>
          <w:rFonts w:ascii="Courier New" w:cs="Courier New" w:eastAsia="Courier New" w:hAnsi="Courier New"/>
          <w:sz w:val="18"/>
          <w:szCs w:val="18"/>
          <w:color w:val="auto"/>
        </w:rPr>
        <w:t>Beneficially</w:t>
      </w:r>
    </w:p>
    <w:p>
      <w:pPr>
        <w:spacing w:after="0" w:line="237" w:lineRule="auto"/>
        <w:rPr>
          <w:sz w:val="20"/>
          <w:szCs w:val="20"/>
          <w:color w:val="auto"/>
        </w:rPr>
      </w:pPr>
      <w:r>
        <w:rPr>
          <w:rFonts w:ascii="Courier New" w:cs="Courier New" w:eastAsia="Courier New" w:hAnsi="Courier New"/>
          <w:sz w:val="18"/>
          <w:szCs w:val="18"/>
          <w:color w:val="auto"/>
        </w:rPr>
        <w:t>Owned by Each</w:t>
      </w:r>
    </w:p>
    <w:p>
      <w:pPr>
        <w:spacing w:after="0" w:line="238" w:lineRule="auto"/>
        <w:rPr>
          <w:sz w:val="20"/>
          <w:szCs w:val="20"/>
          <w:color w:val="auto"/>
        </w:rPr>
      </w:pPr>
      <w:r>
        <w:rPr>
          <w:rFonts w:ascii="Courier New" w:cs="Courier New" w:eastAsia="Courier New" w:hAnsi="Courier New"/>
          <w:sz w:val="18"/>
          <w:szCs w:val="18"/>
          <w:color w:val="auto"/>
        </w:rPr>
        <w:t>Reporting</w:t>
      </w:r>
    </w:p>
    <w:p>
      <w:pPr>
        <w:spacing w:after="0"/>
        <w:rPr>
          <w:sz w:val="20"/>
          <w:szCs w:val="20"/>
          <w:color w:val="auto"/>
        </w:rPr>
      </w:pPr>
      <w:r>
        <w:rPr>
          <w:rFonts w:ascii="Courier New" w:cs="Courier New" w:eastAsia="Courier New" w:hAnsi="Courier New"/>
          <w:sz w:val="18"/>
          <w:szCs w:val="18"/>
          <w:color w:val="auto"/>
        </w:rPr>
        <w:t>Person With:</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w:t>
      </w:r>
    </w:p>
    <w:p>
      <w:pPr>
        <w:ind w:left="220"/>
        <w:spacing w:after="0" w:line="238" w:lineRule="auto"/>
        <w:rPr>
          <w:sz w:val="20"/>
          <w:szCs w:val="20"/>
          <w:color w:val="auto"/>
        </w:rPr>
      </w:pPr>
      <w:r>
        <w:rPr>
          <w:rFonts w:ascii="Courier New" w:cs="Courier New" w:eastAsia="Courier New" w:hAnsi="Courier New"/>
          <w:sz w:val="18"/>
          <w:szCs w:val="18"/>
          <w:color w:val="auto"/>
        </w:rPr>
        <w:t>Sole Voting Power</w:t>
      </w:r>
    </w:p>
    <w:p>
      <w:pPr>
        <w:spacing w:after="0" w:line="200" w:lineRule="exact"/>
        <w:rPr>
          <w:sz w:val="24"/>
          <w:szCs w:val="24"/>
          <w:color w:val="auto"/>
        </w:rPr>
      </w:pPr>
    </w:p>
    <w:p>
      <w:pPr>
        <w:spacing w:after="0" w:line="204"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2,393,052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w:t>
      </w:r>
    </w:p>
    <w:p>
      <w:pPr>
        <w:ind w:left="220"/>
        <w:spacing w:after="0" w:line="238" w:lineRule="auto"/>
        <w:rPr>
          <w:sz w:val="20"/>
          <w:szCs w:val="20"/>
          <w:color w:val="auto"/>
        </w:rPr>
      </w:pPr>
      <w:r>
        <w:rPr>
          <w:rFonts w:ascii="Courier New" w:cs="Courier New" w:eastAsia="Courier New" w:hAnsi="Courier New"/>
          <w:sz w:val="18"/>
          <w:szCs w:val="18"/>
          <w:color w:val="auto"/>
        </w:rPr>
        <w:t>Shared Voting Power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w:t>
      </w:r>
    </w:p>
    <w:p>
      <w:pPr>
        <w:sectPr>
          <w:pgSz w:w="11900" w:h="16848" w:orient="portrait"/>
          <w:cols w:equalWidth="0" w:num="1">
            <w:col w:w="10139"/>
          </w:cols>
          <w:pgMar w:left="320" w:top="447" w:right="1440" w:bottom="0" w:gutter="0" w:footer="0" w:header="0"/>
        </w:sectPr>
      </w:pPr>
    </w:p>
    <w:bookmarkStart w:id="1" w:name="page2"/>
    <w:bookmarkEnd w:id="1"/>
    <w:p>
      <w:pPr>
        <w:ind w:left="220"/>
        <w:spacing w:after="0"/>
        <w:rPr>
          <w:sz w:val="20"/>
          <w:szCs w:val="20"/>
          <w:color w:val="auto"/>
        </w:rPr>
      </w:pPr>
      <w:r>
        <w:rPr>
          <w:rFonts w:ascii="Courier New" w:cs="Courier New" w:eastAsia="Courier New" w:hAnsi="Courier New"/>
          <w:sz w:val="18"/>
          <w:szCs w:val="18"/>
          <w:color w:val="auto"/>
        </w:rPr>
        <w:t>Sole Dispositive Power</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2,393,052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ind w:left="220"/>
        <w:spacing w:after="0" w:line="238" w:lineRule="auto"/>
        <w:rPr>
          <w:sz w:val="20"/>
          <w:szCs w:val="20"/>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38" w:lineRule="auto"/>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2,393,052</w:t>
      </w:r>
    </w:p>
    <w:p>
      <w:pPr>
        <w:spacing w:after="0" w:line="238" w:lineRule="auto"/>
        <w:rPr>
          <w:sz w:val="20"/>
          <w:szCs w:val="20"/>
          <w:color w:val="auto"/>
        </w:rPr>
      </w:pPr>
      <w:r>
        <w:rPr>
          <w:rFonts w:ascii="Courier New" w:cs="Courier New" w:eastAsia="Courier New" w:hAnsi="Courier New"/>
          <w:sz w:val="18"/>
          <w:szCs w:val="18"/>
          <w:color w:val="auto"/>
        </w:rPr>
        <w:t>10</w:t>
      </w:r>
    </w:p>
    <w:p>
      <w:pPr>
        <w:spacing w:after="0" w:line="238" w:lineRule="auto"/>
        <w:rPr>
          <w:sz w:val="20"/>
          <w:szCs w:val="20"/>
          <w:color w:val="auto"/>
        </w:rPr>
      </w:pPr>
      <w:r>
        <w:rPr>
          <w:rFonts w:ascii="Courier New" w:cs="Courier New" w:eastAsia="Courier New" w:hAnsi="Courier New"/>
          <w:sz w:val="18"/>
          <w:szCs w:val="18"/>
          <w:color w:val="auto"/>
        </w:rPr>
        <w:t>Check box if the aggregate amount in row (9) excludes certain shares</w:t>
      </w:r>
    </w:p>
    <w:p>
      <w:pPr>
        <w:spacing w:after="0" w:line="202"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6.88%</w:t>
      </w:r>
    </w:p>
    <w:p>
      <w:pPr>
        <w:spacing w:after="0" w:line="238" w:lineRule="auto"/>
        <w:rPr>
          <w:sz w:val="20"/>
          <w:szCs w:val="20"/>
          <w:color w:val="auto"/>
        </w:rPr>
      </w:pPr>
      <w:r>
        <w:rPr>
          <w:rFonts w:ascii="Courier New" w:cs="Courier New" w:eastAsia="Courier New" w:hAnsi="Courier New"/>
          <w:sz w:val="18"/>
          <w:szCs w:val="18"/>
          <w:color w:val="auto"/>
        </w:rPr>
        <w:t>12</w:t>
      </w:r>
    </w:p>
    <w:p>
      <w:pPr>
        <w:spacing w:after="0" w:line="238" w:lineRule="auto"/>
        <w:rPr>
          <w:sz w:val="20"/>
          <w:szCs w:val="20"/>
          <w:color w:val="auto"/>
        </w:rPr>
      </w:pPr>
      <w:r>
        <w:rPr>
          <w:rFonts w:ascii="Courier New" w:cs="Courier New" w:eastAsia="Courier New" w:hAnsi="Courier New"/>
          <w:sz w:val="18"/>
          <w:szCs w:val="18"/>
          <w:color w:val="auto"/>
        </w:rPr>
        <w:t>Type of Reporting Person (See Instructions)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 FI</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860" w:hanging="852"/>
        <w:spacing w:after="0" w:line="238"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MagnaChip Semiconductor Corporation</w:t>
      </w:r>
    </w:p>
    <w:p>
      <w:pPr>
        <w:spacing w:after="0" w:line="4" w:lineRule="exact"/>
        <w:rPr>
          <w:rFonts w:ascii="Courier New" w:cs="Courier New" w:eastAsia="Courier New" w:hAnsi="Courier New"/>
          <w:sz w:val="18"/>
          <w:szCs w:val="18"/>
          <w:color w:val="auto"/>
        </w:rPr>
      </w:pPr>
    </w:p>
    <w:p>
      <w:pPr>
        <w:ind w:left="120" w:right="1399" w:hanging="112"/>
        <w:spacing w:after="0" w:line="290" w:lineRule="auto"/>
        <w:tabs>
          <w:tab w:leader="none" w:pos="857"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Issuers Principal Executive Offices: c/o MagnaChip Semiconductor S.A., 1, Allee Scheffer, L-2520, Luxembourg, Grand Duchy of Luxembourg</w:t>
      </w:r>
    </w:p>
    <w:p>
      <w:pPr>
        <w:spacing w:after="0" w:line="164" w:lineRule="exact"/>
        <w:rPr>
          <w:sz w:val="20"/>
          <w:szCs w:val="20"/>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Assenagon S.A.</w:t>
      </w:r>
    </w:p>
    <w:p>
      <w:pPr>
        <w:spacing w:after="0" w:line="4" w:lineRule="exact"/>
        <w:rPr>
          <w:rFonts w:ascii="Courier New" w:cs="Courier New" w:eastAsia="Courier New" w:hAnsi="Courier New"/>
          <w:sz w:val="18"/>
          <w:szCs w:val="18"/>
          <w:color w:val="auto"/>
        </w:rPr>
      </w:pPr>
    </w:p>
    <w:p>
      <w:pPr>
        <w:ind w:right="1919" w:firstLine="8"/>
        <w:spacing w:after="0" w:line="235"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 Aerogolf Center, 1B Heienhaff, 1736 Senningerberg, Luxembourg</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r>
        <w:rPr>
          <w:rFonts w:ascii="Courier New" w:cs="Courier New" w:eastAsia="Courier New" w:hAnsi="Courier New"/>
          <w:sz w:val="16"/>
          <w:szCs w:val="16"/>
          <w:color w:val="auto"/>
        </w:rPr>
        <w:t>Luxembourg</w:t>
      </w:r>
    </w:p>
    <w:p>
      <w:pPr>
        <w:ind w:left="860" w:hanging="852"/>
        <w:spacing w:after="0" w:line="238"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and Class of Securities: Common shares</w:t>
      </w: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No.:</w:t>
      </w:r>
      <w:r>
        <w:rPr>
          <w:rFonts w:ascii="Courier New" w:cs="Courier New" w:eastAsia="Courier New" w:hAnsi="Courier New"/>
          <w:sz w:val="16"/>
          <w:szCs w:val="16"/>
          <w:color w:val="auto"/>
        </w:rPr>
        <w:t>55933J203</w:t>
      </w:r>
    </w:p>
    <w:p>
      <w:pPr>
        <w:spacing w:after="0"/>
        <w:tabs>
          <w:tab w:leader="none" w:pos="16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 240.13d-1(b) or</w:t>
      </w:r>
    </w:p>
    <w:p>
      <w:pPr>
        <w:spacing w:after="0"/>
        <w:rPr>
          <w:sz w:val="20"/>
          <w:szCs w:val="20"/>
          <w:color w:val="auto"/>
        </w:rPr>
      </w:pPr>
      <w:r>
        <w:rPr>
          <w:rFonts w:ascii="Courier New" w:cs="Courier New" w:eastAsia="Courier New" w:hAnsi="Courier New"/>
          <w:sz w:val="18"/>
          <w:szCs w:val="18"/>
          <w:color w:val="auto"/>
        </w:rPr>
        <w:t>240.13d-2(b) or (c), check whether the person filing is a:</w:t>
      </w: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Broker or dealer registered under Section 15 of the Act;</w:t>
      </w: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Bank as defined in Section 3(a)(6) of the Act;</w:t>
      </w: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Insurance company as defined in Section 3(a)(19) of the Act;</w:t>
      </w:r>
    </w:p>
    <w:p>
      <w:pPr>
        <w:spacing w:after="0" w:line="4" w:lineRule="exact"/>
        <w:rPr>
          <w:rFonts w:ascii="Courier New" w:cs="Courier New" w:eastAsia="Courier New" w:hAnsi="Courier New"/>
          <w:sz w:val="18"/>
          <w:szCs w:val="18"/>
          <w:color w:val="auto"/>
        </w:rPr>
      </w:pPr>
    </w:p>
    <w:p>
      <w:pPr>
        <w:ind w:right="979" w:firstLine="8"/>
        <w:spacing w:after="0" w:line="235"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An investment adviser in accordance with Rule 13d-1(b)(1)(ii)(E);</w:t>
      </w:r>
    </w:p>
    <w:p>
      <w:pPr>
        <w:spacing w:after="0" w:line="4" w:lineRule="exact"/>
        <w:rPr>
          <w:rFonts w:ascii="Courier New" w:cs="Courier New" w:eastAsia="Courier New" w:hAnsi="Courier New"/>
          <w:sz w:val="18"/>
          <w:szCs w:val="18"/>
          <w:color w:val="auto"/>
        </w:rPr>
      </w:pPr>
    </w:p>
    <w:p>
      <w:pPr>
        <w:ind w:right="979" w:firstLine="8"/>
        <w:spacing w:after="0" w:line="235"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Rule 13d-1(b)(1)(ii)(F);</w:t>
      </w:r>
    </w:p>
    <w:p>
      <w:pPr>
        <w:spacing w:after="0" w:line="5" w:lineRule="exact"/>
        <w:rPr>
          <w:rFonts w:ascii="Courier New" w:cs="Courier New" w:eastAsia="Courier New" w:hAnsi="Courier New"/>
          <w:sz w:val="18"/>
          <w:szCs w:val="18"/>
          <w:color w:val="auto"/>
        </w:rPr>
      </w:pPr>
    </w:p>
    <w:p>
      <w:pPr>
        <w:ind w:right="979" w:firstLine="8"/>
        <w:spacing w:after="0" w:line="235"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Rule 13d-1(b)(1)(ii)(G);</w:t>
      </w:r>
    </w:p>
    <w:p>
      <w:pPr>
        <w:spacing w:after="0" w:line="5" w:lineRule="exact"/>
        <w:rPr>
          <w:rFonts w:ascii="Courier New" w:cs="Courier New" w:eastAsia="Courier New" w:hAnsi="Courier New"/>
          <w:sz w:val="18"/>
          <w:szCs w:val="18"/>
          <w:color w:val="auto"/>
        </w:rPr>
      </w:pPr>
    </w:p>
    <w:p>
      <w:pPr>
        <w:ind w:right="1699" w:firstLine="8"/>
        <w:spacing w:after="0" w:line="235"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right="1399" w:firstLine="8"/>
        <w:spacing w:after="0" w:line="235"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 of 1940;</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r>
        <w:rPr>
          <w:rFonts w:ascii="Courier New" w:cs="Courier New" w:eastAsia="Courier New" w:hAnsi="Courier New"/>
          <w:sz w:val="16"/>
          <w:szCs w:val="16"/>
          <w:color w:val="auto"/>
        </w:rPr>
        <w:t>A non-U.S. institution in accordance with Rule 240.13d-1(b)(1)(ii)(J);</w:t>
      </w:r>
    </w:p>
    <w:p>
      <w:pPr>
        <w:spacing w:after="0" w:line="4" w:lineRule="exact"/>
        <w:rPr>
          <w:rFonts w:ascii="Courier New" w:cs="Courier New" w:eastAsia="Courier New" w:hAnsi="Courier New"/>
          <w:sz w:val="18"/>
          <w:szCs w:val="18"/>
          <w:color w:val="auto"/>
        </w:rPr>
      </w:pPr>
    </w:p>
    <w:p>
      <w:pPr>
        <w:ind w:right="1179" w:firstLine="8"/>
        <w:spacing w:after="0" w:line="235"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Rule 240.13d-1(b)(1)(ii)(K). If filing as a non-U.S. institution in accordance with Rule 240.13d-1(b)(1)(ii)(J), please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specify the type of institution: ____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860" w:hanging="747"/>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6.88%</w:t>
      </w:r>
    </w:p>
    <w:p>
      <w:pPr>
        <w:ind w:left="860" w:hanging="747"/>
        <w:spacing w:after="0" w:line="238"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1700" w:hanging="849"/>
        <w:spacing w:after="0" w:line="238" w:lineRule="auto"/>
        <w:tabs>
          <w:tab w:leader="none" w:pos="17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2,393,052</w:t>
      </w:r>
    </w:p>
    <w:p>
      <w:pPr>
        <w:ind w:left="1700" w:hanging="849"/>
        <w:spacing w:after="0" w:line="238" w:lineRule="auto"/>
        <w:tabs>
          <w:tab w:leader="none" w:pos="17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860" w:hanging="852"/>
        <w:spacing w:after="0" w:line="238"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2,393,052</w:t>
      </w:r>
    </w:p>
    <w:p>
      <w:pPr>
        <w:ind w:left="860" w:hanging="852"/>
        <w:spacing w:after="0" w:line="238"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tbl>
      <w:tblPr>
        <w:tblLayout w:type="fixed"/>
        <w:tblInd w:w="0" w:type="dxa"/>
        <w:tblCellMar>
          <w:top w:w="0" w:type="dxa"/>
          <w:left w:w="0" w:type="dxa"/>
          <w:bottom w:w="0" w:type="dxa"/>
          <w:right w:w="0" w:type="dxa"/>
        </w:tblCellMar>
      </w:tblP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Ownership</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Five Percent or Less</w:t>
            </w:r>
          </w:p>
        </w:tc>
        <w:tc>
          <w:tcPr>
            <w:tcW w:w="3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a Class.</w:t>
            </w:r>
          </w:p>
        </w:tc>
        <w:tc>
          <w:tcPr>
            <w:tcW w:w="680" w:type="dxa"/>
            <w:vAlign w:val="bottom"/>
          </w:tcPr>
          <w:p>
            <w:pPr>
              <w:spacing w:after="0"/>
              <w:rPr>
                <w:sz w:val="17"/>
                <w:szCs w:val="17"/>
                <w:color w:val="auto"/>
              </w:rPr>
            </w:pPr>
          </w:p>
        </w:tc>
      </w:tr>
      <w:tr>
        <w:trPr>
          <w:trHeight w:val="202"/>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If this</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statement</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is</w:t>
            </w:r>
          </w:p>
        </w:tc>
        <w:tc>
          <w:tcPr>
            <w:tcW w:w="5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being filed to report the fact that as of the date</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hereof</w:t>
            </w:r>
          </w:p>
        </w:tc>
      </w:tr>
      <w:tr>
        <w:trPr>
          <w:trHeight w:val="203"/>
        </w:trPr>
        <w:tc>
          <w:tcPr>
            <w:tcW w:w="2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the reporting person</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has ceased to be the</w:t>
            </w:r>
          </w:p>
        </w:tc>
        <w:tc>
          <w:tcPr>
            <w:tcW w:w="3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beneficial owner of more than</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five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percent of the class of securities, check the following (</w:t>
            </w:r>
          </w:p>
        </w:tc>
        <w:tc>
          <w:tcPr>
            <w:tcW w:w="200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6. Ownership of more than Five Percent on Behalf of Another Person.</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Invesco Markets</w:t>
            </w:r>
          </w:p>
        </w:tc>
        <w:tc>
          <w:tcPr>
            <w:tcW w:w="6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PLC has the right to receive dividends and the proceeds from</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the sale of the</w:t>
            </w:r>
          </w:p>
        </w:tc>
        <w:tc>
          <w:tcPr>
            <w:tcW w:w="6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securities mentioned herein. Invesco Markets PLC is a UCITS</w:t>
            </w:r>
          </w:p>
        </w:tc>
      </w:tr>
      <w:tr>
        <w:trPr>
          <w:trHeight w:val="202"/>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investment fund</w:t>
            </w:r>
          </w:p>
        </w:tc>
        <w:tc>
          <w:tcPr>
            <w:tcW w:w="6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established under the laws of Ireland, and is an umbrella fund</w:t>
            </w:r>
          </w:p>
        </w:tc>
      </w:tr>
      <w:tr>
        <w:trPr>
          <w:trHeight w:val="203"/>
        </w:trPr>
        <w:tc>
          <w:tcPr>
            <w:tcW w:w="8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to various index tracking sub-funds. Invesco Markets PLC has delegated</w:t>
            </w:r>
          </w:p>
        </w:tc>
      </w:tr>
      <w:tr>
        <w:trPr>
          <w:trHeight w:val="203"/>
        </w:trPr>
        <w:tc>
          <w:tcPr>
            <w:tcW w:w="8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investment and voting power to its Management Company, Invesco Investment</w:t>
            </w:r>
          </w:p>
        </w:tc>
      </w:tr>
      <w:tr>
        <w:trPr>
          <w:trHeight w:val="203"/>
        </w:trPr>
        <w:tc>
          <w:tcPr>
            <w:tcW w:w="8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Management Limited, which has sub-delegated those powers to an investment</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manager.</w:t>
            </w:r>
          </w:p>
        </w:tc>
        <w:tc>
          <w:tcPr>
            <w:tcW w:w="45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2"/>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Neither Invesco</w:t>
            </w:r>
          </w:p>
        </w:tc>
        <w:tc>
          <w:tcPr>
            <w:tcW w:w="6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Market PLC nor Invesco Investment Management Limited have</w:t>
            </w:r>
          </w:p>
        </w:tc>
      </w:tr>
    </w:tbl>
    <w:p>
      <w:pPr>
        <w:sectPr>
          <w:pgSz w:w="11900" w:h="16838" w:orient="portrait"/>
          <w:cols w:equalWidth="0" w:num="1">
            <w:col w:w="10139"/>
          </w:cols>
          <w:pgMar w:left="320" w:top="136" w:right="1440" w:bottom="0" w:gutter="0" w:footer="0" w:header="0"/>
        </w:sectPr>
      </w:pPr>
    </w:p>
    <w:bookmarkStart w:id="2" w:name="page3"/>
    <w:bookmarkEnd w:id="2"/>
    <w:p>
      <w:pPr>
        <w:ind w:right="2019"/>
        <w:spacing w:after="0" w:line="237" w:lineRule="auto"/>
        <w:rPr>
          <w:sz w:val="20"/>
          <w:szCs w:val="20"/>
          <w:color w:val="auto"/>
        </w:rPr>
      </w:pPr>
      <w:r>
        <w:rPr>
          <w:rFonts w:ascii="Courier New" w:cs="Courier New" w:eastAsia="Courier New" w:hAnsi="Courier New"/>
          <w:sz w:val="18"/>
          <w:szCs w:val="18"/>
          <w:color w:val="auto"/>
        </w:rPr>
        <w:t>retained the right under the respective outsourcing contracts to rescind the authority granted to the investment manager (other than by way of termination of the outsourcing contracts) and are thus not able to regain investment or voting power over the shares within 60 days.</w:t>
      </w:r>
    </w:p>
    <w:p>
      <w:pPr>
        <w:spacing w:after="0" w:line="5"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 The subsidiary of Assenagon S.A. is the before mentioned investent manager of Invesco Markets PLC. Invesco Markets PLC has delegated investment and voting power to its Management Company, Invesco Investment Management Limited, which has sub-delegated those powers to the subsidiary. For identity and classification of the subsidiary, please refer to Exhibit7.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For the group structure, please refer to the attached overview.</w:t>
      </w: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37" w:lineRule="auto"/>
        <w:rPr>
          <w:sz w:val="20"/>
          <w:szCs w:val="20"/>
          <w:color w:val="auto"/>
        </w:rPr>
      </w:pPr>
      <w:r>
        <w:rPr>
          <w:rFonts w:ascii="Courier New" w:cs="Courier New" w:eastAsia="Courier New" w:hAnsi="Courier New"/>
          <w:sz w:val="18"/>
          <w:szCs w:val="18"/>
          <w:color w:val="auto"/>
        </w:rPr>
        <w:t>Not applicable.</w:t>
      </w: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5" w:lineRule="exact"/>
        <w:rPr>
          <w:sz w:val="20"/>
          <w:szCs w:val="20"/>
          <w:color w:val="auto"/>
        </w:rPr>
      </w:pPr>
    </w:p>
    <w:p>
      <w:pPr>
        <w:ind w:right="191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Section 240.14a-11.</w:t>
      </w:r>
    </w:p>
    <w:p>
      <w:pPr>
        <w:spacing w:after="0" w:line="1"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foreign regulatory scheme applicable to an EU UCITS Management Company is substantially comparable to the regulatory scheme applicable to the functionally equivalent U.S. institution(s). I also undertake to furnish to the Commission staff, upon request, information that would otherwise be disclosed in a Schedule 13D.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After reasonable inquiry and to the best of my knowledge and belief, I certify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that the information set forth in this statement is true, complete and correct.</w:t>
      </w:r>
    </w:p>
    <w:p>
      <w:pPr>
        <w:spacing w:after="0" w:line="1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16 April 2020</w:t>
      </w:r>
    </w:p>
    <w:p>
      <w:pPr>
        <w:spacing w:after="0" w:line="238" w:lineRule="auto"/>
        <w:rPr>
          <w:sz w:val="20"/>
          <w:szCs w:val="20"/>
          <w:color w:val="auto"/>
        </w:rPr>
      </w:pPr>
      <w:r>
        <w:rPr>
          <w:rFonts w:ascii="Courier New" w:cs="Courier New" w:eastAsia="Courier New" w:hAnsi="Courier New"/>
          <w:sz w:val="18"/>
          <w:szCs w:val="18"/>
          <w:color w:val="auto"/>
        </w:rPr>
        <w:t>/s/ Signature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Name/Title: Dr. Dr. Heimo Ploessnig/Managing Director, Head of Legal&amp;Compliance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 of 6</w:t>
      </w:r>
    </w:p>
    <w:p>
      <w:pPr>
        <w:spacing w:after="0" w:line="238" w:lineRule="auto"/>
        <w:rPr>
          <w:sz w:val="20"/>
          <w:szCs w:val="20"/>
          <w:color w:val="auto"/>
        </w:rPr>
      </w:pPr>
      <w:r>
        <w:rPr>
          <w:rFonts w:ascii="Courier New" w:cs="Courier New" w:eastAsia="Courier New" w:hAnsi="Courier New"/>
          <w:sz w:val="18"/>
          <w:szCs w:val="18"/>
          <w:color w:val="auto"/>
        </w:rPr>
        <w:t>1297544.3</w:t>
      </w:r>
    </w:p>
    <w:sectPr>
      <w:pgSz w:w="11900" w:h="16838" w:orient="portrait"/>
      <w:cols w:equalWidth="0" w:num="1">
        <w:col w:w="10139"/>
      </w:cols>
      <w:pgMar w:left="32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2"/>
    </w:lvl>
    <w:lvl w:ilvl="1">
      <w:lvlJc w:val="left"/>
      <w:lvlText w:val="(%2)"/>
      <w:numFmt w:val="lowerRoman"/>
      <w:start w:val="1"/>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2020-04-17T08:17:41Z</dcterms:created>
  <dcterms:modified xsi:type="dcterms:W3CDTF">2020-04-17T08:17:41Z</dcterms:modified>
</cp:coreProperties>
</file>