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KEATING MELVIN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 SOUTH MARKET STREET, SUITE 750</w:t>
      </w:r>
    </w:p>
    <w:p>
      <w:pPr>
        <w:spacing w:after="0" w:line="35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SAN JOSE</w:t>
            </w:r>
          </w:p>
        </w:tc>
        <w:tc>
          <w:tcPr>
            <w:tcW w:w="1080" w:type="dxa"/>
            <w:vAlign w:val="bottom"/>
          </w:tcPr>
          <w:p>
            <w:pPr>
              <w:ind w:left="2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95113</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MAGNACHIP SEMICONDUCTOR Corp </w:t>
              </w:r>
            </w:hyperlink>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700" w:type="dxa"/>
            <w:vAlign w:val="bottom"/>
            <w:gridSpan w:val="2"/>
            <w:shd w:val="clear" w:color="auto" w:fill="0000EE"/>
          </w:tcPr>
          <w:p>
            <w:pPr>
              <w:spacing w:after="0" w:line="27" w:lineRule="exact"/>
              <w:rPr>
                <w:rFonts w:ascii="Arial" w:cs="Arial" w:eastAsia="Arial" w:hAnsi="Arial"/>
                <w:sz w:val="3"/>
                <w:szCs w:val="3"/>
                <w:color w:val="0000FF"/>
              </w:rPr>
            </w:pPr>
            <w:hyperlink r:id="rId13">
              <w:r>
                <w:rPr>
                  <w:rFonts w:ascii="Arial" w:cs="Arial" w:eastAsia="Arial" w:hAnsi="Arial"/>
                  <w:sz w:val="3"/>
                  <w:szCs w:val="3"/>
                  <w:color w:val="0000FF"/>
                </w:rPr>
                <w:t xml:space="preserve">MX </w:t>
              </w:r>
              <w:r>
                <w:rPr>
                  <w:rFonts w:ascii="Arial" w:cs="Arial" w:eastAsia="Arial" w:hAnsi="Arial"/>
                  <w:sz w:val="3"/>
                  <w:szCs w:val="3"/>
                  <w:color w:val="000000"/>
                </w:rPr>
                <w:t>]</w:t>
              </w:r>
            </w:hyperlink>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80" w:type="dxa"/>
            <w:vAlign w:val="bottom"/>
            <w:tcBorders>
              <w:bottom w:val="single" w:sz="8" w:color="808080"/>
            </w:tcBorders>
          </w:tcPr>
          <w:p>
            <w:pPr>
              <w:spacing w:after="0"/>
              <w:rPr>
                <w:sz w:val="22"/>
                <w:szCs w:val="22"/>
                <w:color w:val="auto"/>
              </w:rPr>
            </w:pPr>
          </w:p>
        </w:tc>
        <w:tc>
          <w:tcPr>
            <w:tcW w:w="120" w:type="dxa"/>
            <w:vAlign w:val="bottom"/>
            <w:tcBorders>
              <w:bottom w:val="single" w:sz="8" w:color="808080"/>
            </w:tcBorders>
          </w:tcPr>
          <w:p>
            <w:pPr>
              <w:spacing w:after="0"/>
              <w:rPr>
                <w:sz w:val="22"/>
                <w:szCs w:val="22"/>
                <w:color w:val="auto"/>
              </w:rPr>
            </w:pPr>
          </w:p>
        </w:tc>
        <w:tc>
          <w:tcPr>
            <w:tcW w:w="3580" w:type="dxa"/>
            <w:vAlign w:val="bottom"/>
            <w:tcBorders>
              <w:bottom w:val="single" w:sz="8" w:color="808080"/>
            </w:tcBorders>
          </w:tcPr>
          <w:p>
            <w:pPr>
              <w:spacing w:after="0"/>
              <w:rPr>
                <w:sz w:val="22"/>
                <w:szCs w:val="22"/>
                <w:color w:val="auto"/>
              </w:rPr>
            </w:pPr>
          </w:p>
        </w:tc>
        <w:tc>
          <w:tcPr>
            <w:tcW w:w="200" w:type="dxa"/>
            <w:vAlign w:val="bottom"/>
            <w:tcBorders>
              <w:bottom w:val="single" w:sz="8" w:color="808080"/>
            </w:tcBorders>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5"/>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0" w:type="dxa"/>
            <w:vAlign w:val="bottom"/>
          </w:tcPr>
          <w:p>
            <w:pPr>
              <w:ind w:left="100"/>
              <w:spacing w:after="0" w:line="115" w:lineRule="exact"/>
              <w:rPr>
                <w:sz w:val="20"/>
                <w:szCs w:val="20"/>
                <w:color w:val="auto"/>
              </w:rPr>
            </w:pPr>
            <w:r>
              <w:rPr>
                <w:rFonts w:ascii="Arial" w:cs="Arial" w:eastAsia="Arial" w:hAnsi="Arial"/>
                <w:sz w:val="12"/>
                <w:szCs w:val="12"/>
                <w:color w:val="auto"/>
              </w:rPr>
              <w:t>below)</w:t>
            </w:r>
          </w:p>
        </w:tc>
        <w:tc>
          <w:tcPr>
            <w:tcW w:w="1500" w:type="dxa"/>
            <w:vAlign w:val="bottom"/>
          </w:tcPr>
          <w:p>
            <w:pPr>
              <w:ind w:left="340"/>
              <w:spacing w:after="0" w:line="115"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3780" w:type="dxa"/>
            <w:vAlign w:val="bottom"/>
            <w:gridSpan w:val="3"/>
          </w:tcPr>
          <w:p>
            <w:pPr>
              <w:ind w:left="80"/>
              <w:spacing w:after="0"/>
              <w:rPr>
                <w:sz w:val="20"/>
                <w:szCs w:val="20"/>
                <w:color w:val="auto"/>
              </w:rPr>
            </w:pPr>
            <w:r>
              <w:rPr>
                <w:rFonts w:ascii="Arial" w:cs="Arial" w:eastAsia="Arial" w:hAnsi="Arial"/>
                <w:sz w:val="18"/>
                <w:szCs w:val="18"/>
                <w:color w:val="0000FF"/>
              </w:rPr>
              <w:t>02/13/2018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22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02/13/2018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3,600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9.0089</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24,016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bought in multiple transactions at prices ranging from $8.945 to $9.095 per share. The Reporting Person undertakes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Theodore Kim, Attorney-in- </w:t>
      </w:r>
      <w:r>
        <w:rPr>
          <w:rFonts w:ascii="Arial" w:cs="Arial" w:eastAsia="Arial" w:hAnsi="Arial"/>
          <w:sz w:val="35"/>
          <w:szCs w:val="35"/>
          <w:color w:val="0000FF"/>
          <w:vertAlign w:val="subscript"/>
        </w:rPr>
        <w:t>02/14/2018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3463"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2019-12-23T15:50:00Z</dcterms:created>
  <dcterms:modified xsi:type="dcterms:W3CDTF">2019-12-23T15:50:00Z</dcterms:modified>
</cp:coreProperties>
</file>