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43"/>
          <w:szCs w:val="43"/>
          <w:b w:val="1"/>
          <w:bCs w:val="1"/>
          <w:color w:val="auto"/>
        </w:rPr>
        <w:t>Magnachip Semiconductor Corporation</w:t>
      </w:r>
    </w:p>
    <w:p>
      <w:pPr>
        <w:spacing w:after="0" w:line="5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001-34791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83-0406195</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 Magnachip Semiconductor, Ltd.</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15F, 76 Jikji-daero 436beon-gil, Heungdeok-gu</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7"/>
          <w:szCs w:val="17"/>
          <w:b w:val="1"/>
          <w:bCs w:val="1"/>
          <w:color w:val="auto"/>
        </w:rPr>
        <w:t>Cheongju-si, Chungcheongbuk-do, 28581, Republic of Korea</w:t>
      </w:r>
    </w:p>
    <w:p>
      <w:pPr>
        <w:spacing w:after="0" w:line="1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ind w:left="5184"/>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+82 (2) 6903-3000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On June 17, 2026, Magnachip Semiconductor Corporation (the “Company”) entered into an At Market Issuance Sales Agreement (the “Sales Agreement”) with B. Riley Securities, Inc. (the “Sales Agent”), pursuant to which the Company may offer and sell, from time to time, shares of its common stock, par value $0.01 per share (the “Shares”) having an aggregate offering price of up to $50,000,000 through the Sales Agent, acting as its agent, or directly to the Sales Agent, acting as principal.</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currently intends to use any net proceeds from sales of the Shares under the Sales Agreement for general corporate purposes, which may include investments in strategic growth initiatives and technologies that support AI data centers and robotics.</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offer and sale of the Shares will be made pursuant to the Company’s shelf registration statement on Form S-3 (Registration No. 333-296756), which the Company filed with the U.S. Securities and Exchange Commission (the “SEC”) on June 12, 2026 and which was declared effective on June 16, 2026, the base prospectus included therein, and a related prospectus supplement, which the Company filed with the SEC on June 17, 2026. An opinion of Goodwin Procter LLP with respect to the validity of Shares that may be issued and sold pursuant to the Sales Agreement under the prospectus supplement and the related base prospectus is filed herewith as Exhibit 5.1.</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is not obligated to sell any Shares pursuant to the Sales Agreement. Subject to the terms and conditions of the Sales Agreement, the Sales Agent has agreed to use commercially reasonable efforts, consistent with its normal trading and sales practices and applicable law and regulations, to sell Shares from time to time in accordance with the Company’s instructions, including any price, time or size limits or other customary parameters or conditions the Company may impose.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Sales Agreement may be terminated for any reason, at any time, by either the Company or the Sales Agent upon written notice to the other party.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Sales Agreement contains customary representations and warranties and conditions to the placements of the Shares pursuant thereto.</w:t>
      </w:r>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foregoing summary of the Sales Agreement does not purport to be complete and is qualified in its entirety by reference to the full text of the Sales Agreement, a copy of which is filed as Exhibit 1.1 hereto and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4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spacing w:after="0"/>
              <w:rPr>
                <w:sz w:val="16"/>
                <w:szCs w:val="16"/>
                <w:color w:val="auto"/>
              </w:rPr>
            </w:pPr>
          </w:p>
        </w:tc>
        <w:tc>
          <w:tcPr>
            <w:tcW w:w="568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540" w:type="dxa"/>
            <w:vAlign w:val="bottom"/>
          </w:tcPr>
          <w:p>
            <w:pPr>
              <w:spacing w:after="0"/>
              <w:rPr>
                <w:sz w:val="22"/>
                <w:szCs w:val="22"/>
                <w:color w:val="auto"/>
              </w:rPr>
            </w:pPr>
          </w:p>
        </w:tc>
        <w:tc>
          <w:tcPr>
            <w:tcW w:w="95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At Market Issuance Sales Agreement, dated as of June 17, 2026, by and among Magnachip Semiconductor Corporation and B. Riley</w:t>
            </w:r>
          </w:p>
        </w:tc>
        <w:tc>
          <w:tcPr>
            <w:tcW w:w="420" w:type="dxa"/>
            <w:vAlign w:val="bottom"/>
          </w:tcPr>
          <w:p>
            <w:pPr>
              <w:spacing w:after="0"/>
              <w:rPr>
                <w:sz w:val="22"/>
                <w:szCs w:val="22"/>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Securities, Inc.</w:t>
            </w: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680" w:type="dxa"/>
            <w:vAlign w:val="bottom"/>
            <w:gridSpan w:val="2"/>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540" w:type="dxa"/>
            <w:vAlign w:val="bottom"/>
          </w:tcPr>
          <w:p>
            <w:pPr>
              <w:spacing w:after="0"/>
              <w:rPr>
                <w:sz w:val="24"/>
                <w:szCs w:val="24"/>
                <w:color w:val="auto"/>
              </w:rPr>
            </w:pPr>
          </w:p>
        </w:tc>
        <w:tc>
          <w:tcPr>
            <w:tcW w:w="99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Opinion of Goodwin Procter LLP.</w:t>
            </w: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40" w:type="dxa"/>
            <w:vAlign w:val="bottom"/>
            <w:gridSpan w:val="2"/>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680" w:type="dxa"/>
            <w:vAlign w:val="bottom"/>
            <w:gridSpan w:val="2"/>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40" w:type="dxa"/>
            <w:vAlign w:val="bottom"/>
          </w:tcPr>
          <w:p>
            <w:pPr>
              <w:spacing w:after="0"/>
              <w:rPr>
                <w:sz w:val="24"/>
                <w:szCs w:val="24"/>
                <w:color w:val="auto"/>
              </w:rPr>
            </w:pPr>
          </w:p>
        </w:tc>
        <w:tc>
          <w:tcPr>
            <w:tcW w:w="99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Consent of Goodwin Procter LLP. (included in Exhibit 5.1).</w:t>
            </w: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300" w:type="dxa"/>
            <w:vAlign w:val="bottom"/>
            <w:gridSpan w:val="3"/>
            <w:shd w:val="clear" w:color="auto" w:fill="0000EE"/>
          </w:tcPr>
          <w:p>
            <w:pPr>
              <w:spacing w:after="0" w:line="20" w:lineRule="exact"/>
              <w:rPr>
                <w:sz w:val="1"/>
                <w:szCs w:val="1"/>
                <w:color w:val="auto"/>
              </w:rPr>
            </w:pPr>
          </w:p>
        </w:tc>
        <w:tc>
          <w:tcPr>
            <w:tcW w:w="5680" w:type="dxa"/>
            <w:vAlign w:val="bottom"/>
            <w:gridSpan w:val="2"/>
          </w:tcPr>
          <w:p>
            <w:pPr>
              <w:spacing w:after="0" w:line="20" w:lineRule="exact"/>
              <w:rPr>
                <w:sz w:val="1"/>
                <w:szCs w:val="1"/>
                <w:color w:val="auto"/>
              </w:rPr>
            </w:pPr>
          </w:p>
        </w:tc>
      </w:tr>
      <w:tr>
        <w:trPr>
          <w:trHeight w:val="34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9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1020"/>
          </w:cols>
          <w:pgMar w:left="440" w:top="293" w:right="43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MAGNACHIP SEMICONDUCTOR CORPORATION</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Dated: June 17,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Shinyoung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Shinyoung Park</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700"/>
          </w:cols>
          <w:pgMar w:left="440" w:top="293"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MAGNACHIP SEMICONDUCTOR CORPORATION</w:t>
      </w:r>
    </w:p>
    <w:p>
      <w:pPr>
        <w:spacing w:after="0" w:line="12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Common Stock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(par value $0.01 per share)</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 Market Issuance Sales Agreement</w:t>
      </w:r>
    </w:p>
    <w:p>
      <w:pPr>
        <w:spacing w:after="0" w:line="121" w:lineRule="exact"/>
        <w:rPr>
          <w:sz w:val="20"/>
          <w:szCs w:val="20"/>
          <w:color w:val="auto"/>
        </w:rPr>
      </w:pPr>
    </w:p>
    <w:p>
      <w:pPr>
        <w:ind w:left="10000"/>
        <w:spacing w:after="0"/>
        <w:rPr>
          <w:sz w:val="20"/>
          <w:szCs w:val="20"/>
          <w:color w:val="auto"/>
        </w:rPr>
      </w:pPr>
      <w:r>
        <w:rPr>
          <w:rFonts w:ascii="Times New Roman" w:cs="Times New Roman" w:eastAsia="Times New Roman" w:hAnsi="Times New Roman"/>
          <w:sz w:val="18"/>
          <w:szCs w:val="18"/>
          <w:color w:val="auto"/>
        </w:rPr>
        <w:t>June 17,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Riley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1655 Fort Myer Drive, 12th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Arlington, VA 22209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Magnachip Semiconductor Corporation,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confirms its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with B. Riley Securities, Inc. (the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as follows:</w:t>
      </w:r>
    </w:p>
    <w:p>
      <w:pPr>
        <w:spacing w:after="0" w:line="54" w:lineRule="exact"/>
        <w:rPr>
          <w:sz w:val="20"/>
          <w:szCs w:val="20"/>
          <w:color w:val="auto"/>
        </w:rPr>
      </w:pPr>
    </w:p>
    <w:p>
      <w:pPr>
        <w:ind w:right="80" w:firstLine="436"/>
        <w:spacing w:after="0" w:line="253" w:lineRule="auto"/>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and Sale of Shares</w:t>
      </w:r>
      <w:r>
        <w:rPr>
          <w:rFonts w:ascii="Times New Roman" w:cs="Times New Roman" w:eastAsia="Times New Roman" w:hAnsi="Times New Roman"/>
          <w:sz w:val="18"/>
          <w:szCs w:val="18"/>
          <w:color w:val="auto"/>
        </w:rPr>
        <w:t>. The Company agrees that, from time to time during the term of this Agreement, on the terms and subject to the conditions set forth herein, it may issue and sell through or to the Agent, as sales agent or principal, shares (the “</w:t>
      </w:r>
      <w:r>
        <w:rPr>
          <w:rFonts w:ascii="Times New Roman" w:cs="Times New Roman" w:eastAsia="Times New Roman" w:hAnsi="Times New Roman"/>
          <w:sz w:val="18"/>
          <w:szCs w:val="18"/>
          <w:u w:val="single" w:color="auto"/>
          <w:color w:val="auto"/>
        </w:rPr>
        <w:t>Placement Shares</w:t>
      </w:r>
      <w:r>
        <w:rPr>
          <w:rFonts w:ascii="Times New Roman" w:cs="Times New Roman" w:eastAsia="Times New Roman" w:hAnsi="Times New Roman"/>
          <w:sz w:val="18"/>
          <w:szCs w:val="18"/>
          <w:color w:val="auto"/>
        </w:rPr>
        <w:t>”) of the Company’s common stock, par value $0.01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no event shall the Company issue or sell through the Agent such number of Placement Shares that (a) exceeds the number of shares or dollar amount of Common Stock registered on the effective Registration Statement (as defined below) pursuant to which the offering is being made or (b) exceeds the number of shares or dollar amount registered on the Prospectus Supplement (as defined below) (the lesser of (a) or (b) the “</w:t>
      </w:r>
      <w:r>
        <w:rPr>
          <w:rFonts w:ascii="Times New Roman" w:cs="Times New Roman" w:eastAsia="Times New Roman" w:hAnsi="Times New Roman"/>
          <w:sz w:val="18"/>
          <w:szCs w:val="18"/>
          <w:u w:val="single" w:color="auto"/>
          <w:color w:val="auto"/>
        </w:rPr>
        <w:t>Maximum Amount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provided further, however,</w:t>
      </w:r>
      <w:r>
        <w:rPr>
          <w:rFonts w:ascii="Times New Roman" w:cs="Times New Roman" w:eastAsia="Times New Roman" w:hAnsi="Times New Roman"/>
          <w:sz w:val="18"/>
          <w:szCs w:val="18"/>
          <w:color w:val="auto"/>
        </w:rPr>
        <w:t xml:space="preserve"> that in no event shall the aggregate number of Placement Shares sold pursuant to this Agreement exceed the number of authorized but unissued shares of Common Stock. Notwithstanding anything to the contrary contained herein, the parties hereto agree that compliance with the limitations set forth in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on the number of Placement Shares issued and sold under this Agreement shall be the sole responsibility of the Company and that the Agent shall have no obligation in connection with such compliance. The issuance and sale of Placement Shares through the Agent will be effected pursuant to the Registration Statement (as defined below), although nothing in this Agreement shall be construed as requiring the Company to use the Registration Statement to issue any Placement Shares.</w:t>
      </w:r>
    </w:p>
    <w:p>
      <w:pPr>
        <w:spacing w:after="0" w:line="190"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The Company has filed, in accordance with the provisions of the Securities Act of 1933, as amended and the rules and regulations thereunder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with the Securities and Exchange Commission (the “Commission”), a registration statement on Form S-3 (File No. 333-296756), including a base prospectus, relating certain securities including the Placement Shares to be issued from time to time by the Company, and which incorporates by reference documents that the Company has filed or will file in accordance with the provisions of the Securities Exchange Act of 1934, as amended and the rules and regulations thereunder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The Company has prepared a prospectus supplement to the base prospectus included as part of such registration statement specifically relating to the Placement Shares (the “</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117" w:right="439" w:bottom="1440" w:gutter="0" w:footer="0" w:header="0"/>
        </w:sectPr>
      </w:pPr>
    </w:p>
    <w:bookmarkStart w:id="4" w:name="page5"/>
    <w:bookmarkEnd w:id="4"/>
    <w:p>
      <w:pPr>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will furnish to the Agent, for use by the Agent, copies of the base prospectus included as part of such registration statement, as supplemented by the Prospectus Supplement, relating to the Placement Shares. Except where the context otherwise requires, such registration statement, and any post-effective amendment thereto, including all documents filed as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of the Securities Act or any subsequent registration statement on Form S-3 filed pursuant to Rule 415 under the Securities Act by the Company to cover any Placement Shares, is herein called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base prospectus, including all documents incorporated or deemed incorporated therein by reference to the extent such information has not been superseded or modified in accordance with Rule 412 under the Securities Act (as qualified by Rule 430B(g) of the Securities Act), included in the Registration Statement, as it may be supplemented by the Prospectus Supplement, in the form in which such base prospectus and/or Prospectus Supplement have most recently been filed by the Company with the Commission pursuant to Rule 424(b) under the Securities Act is herein called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Any reference herein to the Registration Statement, the Prospectus or any amendment or supplement thereto shall be deemed to refer to 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incorporated by reference therein (the “</w:t>
      </w:r>
      <w:r>
        <w:rPr>
          <w:rFonts w:ascii="Times New Roman" w:cs="Times New Roman" w:eastAsia="Times New Roman" w:hAnsi="Times New Roman"/>
          <w:sz w:val="18"/>
          <w:szCs w:val="18"/>
          <w:u w:val="single" w:color="auto"/>
          <w:color w:val="auto"/>
        </w:rPr>
        <w:t>Incorporated Documents</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ind w:left="4" w:right="160" w:firstLine="440"/>
        <w:spacing w:after="0" w:line="266" w:lineRule="auto"/>
        <w:rPr>
          <w:sz w:val="20"/>
          <w:szCs w:val="20"/>
          <w:color w:val="auto"/>
        </w:rPr>
      </w:pPr>
      <w:r>
        <w:rPr>
          <w:rFonts w:ascii="Times New Roman" w:cs="Times New Roman" w:eastAsia="Times New Roman" w:hAnsi="Times New Roman"/>
          <w:sz w:val="18"/>
          <w:szCs w:val="18"/>
          <w:color w:val="auto"/>
        </w:rPr>
        <w:t>For purposes of this Agreement, all references to the Registration Statement, the Prospectus or to any amendment or supplement thereto shall be deemed to include the most recent copy filed with the Commission pursuant to its Electronic Data Gathering Analysis and Retrieval System, or if applicable, the Interactive Data Electronic Application system when used by the Commission (collectively, “</w:t>
      </w:r>
      <w:r>
        <w:rPr>
          <w:rFonts w:ascii="Times New Roman" w:cs="Times New Roman" w:eastAsia="Times New Roman" w:hAnsi="Times New Roman"/>
          <w:sz w:val="18"/>
          <w:szCs w:val="18"/>
          <w:u w:val="single" w:color="auto"/>
          <w:color w:val="auto"/>
        </w:rPr>
        <w:t>EDGAR</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 w:right="20" w:firstLine="436"/>
        <w:spacing w:after="0" w:line="252" w:lineRule="auto"/>
        <w:tabs>
          <w:tab w:leader="none" w:pos="62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Placements</w:t>
      </w:r>
      <w:r>
        <w:rPr>
          <w:rFonts w:ascii="Times New Roman" w:cs="Times New Roman" w:eastAsia="Times New Roman" w:hAnsi="Times New Roman"/>
          <w:sz w:val="18"/>
          <w:szCs w:val="18"/>
          <w:color w:val="auto"/>
        </w:rPr>
        <w:t>. Each time that the Company wishes to issue and sell Placement Shares hereunder (each, a “</w:t>
      </w:r>
      <w:r>
        <w:rPr>
          <w:rFonts w:ascii="Times New Roman" w:cs="Times New Roman" w:eastAsia="Times New Roman" w:hAnsi="Times New Roman"/>
          <w:sz w:val="18"/>
          <w:szCs w:val="18"/>
          <w:u w:val="single" w:color="auto"/>
          <w:color w:val="auto"/>
        </w:rPr>
        <w:t>Placement</w:t>
      </w:r>
      <w:r>
        <w:rPr>
          <w:rFonts w:ascii="Times New Roman" w:cs="Times New Roman" w:eastAsia="Times New Roman" w:hAnsi="Times New Roman"/>
          <w:sz w:val="18"/>
          <w:szCs w:val="18"/>
          <w:color w:val="auto"/>
        </w:rPr>
        <w:t>”), it will notify the Agent by electronic mail (or other method mutually agreed to in writing by the parties) of the number or dollar value of Placement Shares to be sold, the time period during which sales are requested to be made, any limitation on the number of Placement Shares that may be sold in any one day and any minimum price below which sales may not be made (a “</w:t>
      </w:r>
      <w:r>
        <w:rPr>
          <w:rFonts w:ascii="Times New Roman" w:cs="Times New Roman" w:eastAsia="Times New Roman" w:hAnsi="Times New Roman"/>
          <w:sz w:val="18"/>
          <w:szCs w:val="18"/>
          <w:u w:val="single" w:color="auto"/>
          <w:color w:val="auto"/>
        </w:rPr>
        <w:t>Placement Notice</w:t>
      </w:r>
      <w:r>
        <w:rPr>
          <w:rFonts w:ascii="Times New Roman" w:cs="Times New Roman" w:eastAsia="Times New Roman" w:hAnsi="Times New Roman"/>
          <w:sz w:val="18"/>
          <w:szCs w:val="18"/>
          <w:color w:val="auto"/>
        </w:rPr>
        <w:t xml:space="preserve">”), the form of which is attached hereto as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The Placement Notice shall originate from any of the individuals from the Company set forth on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(with a copy to each of the other individuals from the Company listed on such schedule), and shall be addressed to each of the individuals from the Agent set forth on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as such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may be amended from time to time. The Placement Notice shall be effective immediately upon receipt by the Agent unless and until (i) the Agent declines to accept the terms contained therein for any reason, in its sole discretion, (ii) the entire amount of the Placement Shares thereunder has been sold, (iii) the Company suspends or terminates the Placement Notice, which suspension and termination rights may be exercised by the Company in its sole discretion, or</w:t>
      </w:r>
    </w:p>
    <w:p>
      <w:pPr>
        <w:spacing w:after="0" w:line="6" w:lineRule="exact"/>
        <w:rPr>
          <w:rFonts w:ascii="Times New Roman" w:cs="Times New Roman" w:eastAsia="Times New Roman" w:hAnsi="Times New Roman"/>
          <w:sz w:val="18"/>
          <w:szCs w:val="18"/>
          <w:color w:val="auto"/>
        </w:rPr>
      </w:pPr>
    </w:p>
    <w:p>
      <w:pPr>
        <w:ind w:left="4" w:right="100" w:hanging="4"/>
        <w:spacing w:after="0" w:line="260" w:lineRule="auto"/>
        <w:tabs>
          <w:tab w:leader="none" w:pos="30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has been terminated under the provisions of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The amount of any discount, commission or other compensation to be paid by the Company to the Agent in connection with the sale of the Placement Shares shall be calculated in accordance with the terms set forth in</w:t>
      </w:r>
    </w:p>
    <w:p>
      <w:pPr>
        <w:spacing w:after="0" w:line="11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4"/>
          </w:cols>
          <w:pgMar w:left="436" w:top="270" w:right="479" w:bottom="1440" w:gutter="0" w:footer="0" w:header="0"/>
        </w:sectPr>
      </w:pPr>
    </w:p>
    <w:bookmarkStart w:id="5" w:name="page6"/>
    <w:bookmarkEnd w:id="5"/>
    <w:p>
      <w:pPr>
        <w:ind w:right="60"/>
        <w:spacing w:after="0" w:line="261"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2</w:t>
      </w:r>
      <w:r>
        <w:rPr>
          <w:rFonts w:ascii="Times New Roman" w:cs="Times New Roman" w:eastAsia="Times New Roman" w:hAnsi="Times New Roman"/>
          <w:sz w:val="18"/>
          <w:szCs w:val="18"/>
          <w:color w:val="auto"/>
        </w:rPr>
        <w:t xml:space="preserve">. It is expressly acknowledged and agreed that neither the Company nor the Agent will have any obligation whatsoever with respect to a Placement or any Placement Shares unless and until the Company delivers a Placement Notice to the Agent and the Agent does not decline such Placement Notice pursuant to the terms set forth above, and then only upon the terms specified therein and herein. In the event of a conflict between the terms of </w:t>
      </w:r>
      <w:r>
        <w:rPr>
          <w:rFonts w:ascii="Times New Roman" w:cs="Times New Roman" w:eastAsia="Times New Roman" w:hAnsi="Times New Roman"/>
          <w:sz w:val="18"/>
          <w:szCs w:val="18"/>
          <w:u w:val="single" w:color="auto"/>
          <w:color w:val="auto"/>
        </w:rPr>
        <w:t>Sections 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of this Agreement and the terms of a Placement Notice, the terms of the Placement Notice will control.</w:t>
      </w:r>
    </w:p>
    <w:p>
      <w:pPr>
        <w:spacing w:after="0" w:line="180" w:lineRule="exact"/>
        <w:rPr>
          <w:sz w:val="20"/>
          <w:szCs w:val="20"/>
          <w:color w:val="auto"/>
        </w:rPr>
      </w:pPr>
    </w:p>
    <w:p>
      <w:pPr>
        <w:ind w:right="40" w:firstLine="436"/>
        <w:spacing w:after="0" w:line="252" w:lineRule="auto"/>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of Placement Shares by the Agent</w:t>
      </w:r>
      <w:r>
        <w:rPr>
          <w:rFonts w:ascii="Times New Roman" w:cs="Times New Roman" w:eastAsia="Times New Roman" w:hAnsi="Times New Roman"/>
          <w:sz w:val="18"/>
          <w:szCs w:val="18"/>
          <w:color w:val="auto"/>
        </w:rPr>
        <w:t>. Subject to the terms and conditions of this Agreement, for the period specified in a Placement Notice, the Agent will use its commercially reasonable efforts consistent with its normal trading and sales practices and applicable state and federal laws, rules and regulations and the rules of the New York Stock Exchange (the “</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xml:space="preserve">”), to sell the Placement Shares up to the amount specified in, and otherwise in accordance with the terms of, such Placement Notice. The Agent will provide written confirmation to the Company no later than the opening of the Trading Day (as defined below) immediately following the Trading Day on which it has made sales of Placement Shares hereunder setting forth the number of Placement Shares sold on such day, the compensation payable by the Company to the Agent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with respect to such sales, and the Net Proceeds (as defined below) payable to the Company, with an itemization of the deductions made by the Agent (as set forth in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xml:space="preserve"> from the gross proceeds that it receives from such sales. Subject to the terms of a Placement Notice, the Agent may sell Placement Shares by any method permitted by law deemed to be an “at the market offering” as defined in Rule 415 of the Securities Act. The Agent shall not purchase Placement Shares for its own account as principal unless expressly authorized to do so by the Company in a Placement Notice. The Company acknowledges and agrees that (i) there can be no assurance that the Agent will be successful in selling Placement Shares, (ii) the Agent will incur no liability or obligation to the Company or any other person or entity if it does not sell Placement Shares for any reason other than a failure by the Agent to use its commercially reasonable efforts consistent with its normal trading and sales practices and applicable state and federal laws, rules and regulations and the rules of the Exchange to sell such Placement Shares as required under this Agreement and (iii) the Agent shall be under no obligation to purchase Placement Shares on a principal basis pursuant to this Agreement, except as otherwise agreed by the Agent and the Company. “</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any day on which shares of Common Stock are purchased and sold on the Exchange.</w:t>
      </w:r>
    </w:p>
    <w:p>
      <w:pPr>
        <w:spacing w:after="0" w:line="194" w:lineRule="exact"/>
        <w:rPr>
          <w:rFonts w:ascii="Times New Roman" w:cs="Times New Roman" w:eastAsia="Times New Roman" w:hAnsi="Times New Roman"/>
          <w:sz w:val="18"/>
          <w:szCs w:val="18"/>
          <w:color w:val="auto"/>
        </w:rPr>
      </w:pPr>
    </w:p>
    <w:p>
      <w:pPr>
        <w:ind w:firstLine="436"/>
        <w:spacing w:after="0" w:line="254" w:lineRule="auto"/>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Suspension of Sales</w:t>
      </w:r>
      <w:r>
        <w:rPr>
          <w:rFonts w:ascii="Times New Roman" w:cs="Times New Roman" w:eastAsia="Times New Roman" w:hAnsi="Times New Roman"/>
          <w:sz w:val="18"/>
          <w:szCs w:val="18"/>
          <w:color w:val="auto"/>
        </w:rPr>
        <w:t xml:space="preserve">. The Company or the Agent may, upon notice to the other party in writing (including by email correspondence to each of the individuals of the other party set forth on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3), suspend any sale of Placement Shares (a “</w:t>
      </w:r>
      <w:r>
        <w:rPr>
          <w:rFonts w:ascii="Times New Roman" w:cs="Times New Roman" w:eastAsia="Times New Roman" w:hAnsi="Times New Roman"/>
          <w:sz w:val="18"/>
          <w:szCs w:val="18"/>
          <w:u w:val="single" w:color="auto"/>
          <w:color w:val="auto"/>
        </w:rPr>
        <w:t>Suspension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such suspension shall not affect or impair any party’s obligations with respect to any Placement Shares sold hereunder prior to the receipt of such notice. While a Suspension is in effect, any obligation under </w:t>
      </w:r>
      <w:r>
        <w:rPr>
          <w:rFonts w:ascii="Times New Roman" w:cs="Times New Roman" w:eastAsia="Times New Roman" w:hAnsi="Times New Roman"/>
          <w:sz w:val="18"/>
          <w:szCs w:val="18"/>
          <w:u w:val="single" w:color="auto"/>
          <w:color w:val="auto"/>
        </w:rPr>
        <w:t>Sections 7(l)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7(n)</w:t>
      </w:r>
      <w:r>
        <w:rPr>
          <w:rFonts w:ascii="Times New Roman" w:cs="Times New Roman" w:eastAsia="Times New Roman" w:hAnsi="Times New Roman"/>
          <w:sz w:val="18"/>
          <w:szCs w:val="18"/>
          <w:color w:val="auto"/>
        </w:rPr>
        <w:t xml:space="preserve"> with respect to the delivery of certificates, opinions, or comfort letters to the Agent, shall be waived. Each of the parties agrees that no such notice under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shall be effective against any other party unless it is made to one of the individuals named on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hereto, as such Schedule may be amended from time to time.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6" w:name="page7"/>
    <w:bookmarkEnd w:id="6"/>
    <w:p>
      <w:pPr>
        <w:ind w:left="624" w:hanging="184"/>
        <w:spacing w:after="0"/>
        <w:tabs>
          <w:tab w:leader="none" w:pos="62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Sale and Delivery to the Agent; Settlement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firstLine="987"/>
        <w:spacing w:after="0" w:line="249" w:lineRule="auto"/>
        <w:tabs>
          <w:tab w:leader="none" w:pos="1165" w:val="left"/>
        </w:tabs>
        <w:numPr>
          <w:ilvl w:val="2"/>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Settlement of Placement Shares</w:t>
      </w:r>
      <w:r>
        <w:rPr>
          <w:rFonts w:ascii="Times New Roman" w:cs="Times New Roman" w:eastAsia="Times New Roman" w:hAnsi="Times New Roman"/>
          <w:sz w:val="17"/>
          <w:szCs w:val="17"/>
          <w:color w:val="auto"/>
        </w:rPr>
        <w:t>. Unless otherwise specified in the applicable Placement Notice, settlement for sales of Placement Shares will occur on the first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7"/>
          <w:szCs w:val="17"/>
          <w:color w:val="auto"/>
        </w:rPr>
        <w:t>) Trading Day (or such earlier day as is industry practice for regular-way trading) following the date on which such sales are made (each, a “</w:t>
      </w:r>
      <w:r>
        <w:rPr>
          <w:rFonts w:ascii="Times New Roman" w:cs="Times New Roman" w:eastAsia="Times New Roman" w:hAnsi="Times New Roman"/>
          <w:sz w:val="17"/>
          <w:szCs w:val="17"/>
          <w:u w:val="single" w:color="auto"/>
          <w:color w:val="auto"/>
        </w:rPr>
        <w:t>Settlement Date</w:t>
      </w:r>
      <w:r>
        <w:rPr>
          <w:rFonts w:ascii="Times New Roman" w:cs="Times New Roman" w:eastAsia="Times New Roman" w:hAnsi="Times New Roman"/>
          <w:sz w:val="17"/>
          <w:szCs w:val="17"/>
          <w:color w:val="auto"/>
        </w:rPr>
        <w:t>”). The Agent shall notify the Company of each sale of Placement Shares no later than the opening of the Trading Day following the Trading Day that the Agent sold Placement Shares. The amount of proceeds to be delivered to the Company on a Settlement Date against receipt of the Placement Shares sold (the “</w:t>
      </w:r>
      <w:r>
        <w:rPr>
          <w:rFonts w:ascii="Times New Roman" w:cs="Times New Roman" w:eastAsia="Times New Roman" w:hAnsi="Times New Roman"/>
          <w:sz w:val="17"/>
          <w:szCs w:val="17"/>
          <w:u w:val="single" w:color="auto"/>
          <w:color w:val="auto"/>
        </w:rPr>
        <w:t>Net Proceeds</w:t>
      </w:r>
      <w:r>
        <w:rPr>
          <w:rFonts w:ascii="Times New Roman" w:cs="Times New Roman" w:eastAsia="Times New Roman" w:hAnsi="Times New Roman"/>
          <w:sz w:val="17"/>
          <w:szCs w:val="17"/>
          <w:color w:val="auto"/>
        </w:rPr>
        <w:t>”) will be equal to the aggregate sales price received by the Agent for such Placement Shares, after deduction for (i) the Agent’s commission, discount or other compensation for such sales payable by the Company pursuant to Section 2 hereof, and</w:t>
      </w:r>
    </w:p>
    <w:p>
      <w:pPr>
        <w:spacing w:after="0" w:line="2"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fees imposed by any governmental or self-regulatory organization in respect of such sales.</w:t>
      </w:r>
    </w:p>
    <w:p>
      <w:pPr>
        <w:spacing w:after="0" w:line="206" w:lineRule="exact"/>
        <w:rPr>
          <w:rFonts w:ascii="Times New Roman" w:cs="Times New Roman" w:eastAsia="Times New Roman" w:hAnsi="Times New Roman"/>
          <w:sz w:val="18"/>
          <w:szCs w:val="18"/>
          <w:color w:val="auto"/>
        </w:rPr>
      </w:pPr>
    </w:p>
    <w:p>
      <w:pPr>
        <w:ind w:left="4" w:right="20" w:firstLine="987"/>
        <w:spacing w:after="0" w:line="253" w:lineRule="auto"/>
        <w:tabs>
          <w:tab w:leader="none" w:pos="1175"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Placement Shares</w:t>
      </w:r>
      <w:r>
        <w:rPr>
          <w:rFonts w:ascii="Times New Roman" w:cs="Times New Roman" w:eastAsia="Times New Roman" w:hAnsi="Times New Roman"/>
          <w:sz w:val="18"/>
          <w:szCs w:val="18"/>
          <w:color w:val="auto"/>
        </w:rPr>
        <w:t xml:space="preserve">. On or before each Settlement Date, the Company will, or will cause its transfer agent to, electronically transfer the Placement Shares being sold by crediting the Agent’s or its designee’s account (provided the Agent shall have given the Company written notice of such designee and such designee’s account information at least one Trading Day prior to the Settlement Date) at The Depository Trust Company through its Deposit and Withdrawal at Custodian System or by such other means of delivery as may be mutually agreed upon by the parties hereto which in all cases shall be freely tradable, transferable, registered shares in good deliverable form. On each Settlement Date, the Agent will deliver the related Net Proceeds in same day funds to an account designated by the Company on, or prior to, the Settlement Date. The Company agrees that if the Company, or its transfer agent (if applicable), defaults in its obligation to deliver Placement Shares on a Settlement Date through no fault of the Agent, then in addition to and in no way limiting the rights and obligations set forth in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hereto, it will (i) hold the Agent harmless against any loss, claim, damage, or reasonable, documented expense (including actual, reasonable and documented legal fees and expenses), as incurred, arising out of or in connection with such default by the Company or its transfer agent (if applicable) and (ii) pay to the Agent (without duplication) any commission, discount, or other compensation to which it would otherwise have been entitled absent such default.</w:t>
      </w:r>
    </w:p>
    <w:p>
      <w:pPr>
        <w:spacing w:after="0" w:line="191" w:lineRule="exact"/>
        <w:rPr>
          <w:rFonts w:ascii="Times New Roman" w:cs="Times New Roman" w:eastAsia="Times New Roman" w:hAnsi="Times New Roman"/>
          <w:sz w:val="18"/>
          <w:szCs w:val="18"/>
          <w:color w:val="auto"/>
        </w:rPr>
      </w:pPr>
    </w:p>
    <w:p>
      <w:pPr>
        <w:ind w:left="4" w:firstLine="987"/>
        <w:spacing w:after="0" w:line="255" w:lineRule="auto"/>
        <w:tabs>
          <w:tab w:leader="none" w:pos="1165"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Offering Size</w:t>
      </w:r>
      <w:r>
        <w:rPr>
          <w:rFonts w:ascii="Times New Roman" w:cs="Times New Roman" w:eastAsia="Times New Roman" w:hAnsi="Times New Roman"/>
          <w:sz w:val="18"/>
          <w:szCs w:val="18"/>
          <w:color w:val="auto"/>
        </w:rPr>
        <w:t>. Under no circumstances shall the Company cause or request the offer or sale of any Placement Shares if, after giving effect to the sale of such Placement Shares, the aggregate number of Placement Shares sold pursuant to this Agreement would exceed the lesser of (A) together with all sales of Placement Shares under this Agreement, the Maximum Amount, and (B) the amount authorized from time to time to be issued and sold under this Agreement by the Company’s board of directors, a duly authorized committee thereof or a duly authorized executive committee, and notified to the Agent in writing. Under no circumstances shall the Company cause or request the offer or sale of any Placement Shares pursuant to this Agreement at a price lower than the minimum price authorized from time to time by the Company’s board of directors, a duly authorized committee thereof or a duly authorized executive committee, and notified to the Agent in writing.</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7" w:name="page8"/>
    <w:bookmarkEnd w:id="7"/>
    <w:p>
      <w:pPr>
        <w:jc w:val="both"/>
        <w:ind w:right="220" w:firstLine="436"/>
        <w:spacing w:after="0" w:line="266" w:lineRule="auto"/>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Representations and Warranties of the Company</w:t>
      </w:r>
      <w:r>
        <w:rPr>
          <w:rFonts w:ascii="Times New Roman" w:cs="Times New Roman" w:eastAsia="Times New Roman" w:hAnsi="Times New Roman"/>
          <w:sz w:val="18"/>
          <w:szCs w:val="18"/>
          <w:color w:val="auto"/>
        </w:rPr>
        <w:t>. Except as disclosed in the Registration Statement or Prospectus (including the Incorporated Documents), the Company represents and warrants to, and agrees with the Agent that as of the date of this Agreement and as of each Applicable Time (as defined below), unless such representation, warranty or agreement specifies a different date or time:</w:t>
      </w:r>
    </w:p>
    <w:p>
      <w:pPr>
        <w:spacing w:after="0" w:line="67" w:lineRule="exact"/>
        <w:rPr>
          <w:rFonts w:ascii="Times New Roman" w:cs="Times New Roman" w:eastAsia="Times New Roman" w:hAnsi="Times New Roman"/>
          <w:sz w:val="18"/>
          <w:szCs w:val="18"/>
          <w:color w:val="auto"/>
        </w:rPr>
      </w:pPr>
    </w:p>
    <w:p>
      <w:pPr>
        <w:ind w:firstLine="987"/>
        <w:spacing w:after="0" w:line="252" w:lineRule="auto"/>
        <w:tabs>
          <w:tab w:leader="none" w:pos="116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and Prospectus</w:t>
      </w:r>
      <w:r>
        <w:rPr>
          <w:rFonts w:ascii="Times New Roman" w:cs="Times New Roman" w:eastAsia="Times New Roman" w:hAnsi="Times New Roman"/>
          <w:sz w:val="18"/>
          <w:szCs w:val="18"/>
          <w:color w:val="auto"/>
        </w:rPr>
        <w:t>. The transactions contemplated by this Agreement meet the requirements for and comply with the conditions for the use of Form S-3 under the Securities Act. The Registration Statement has been filed with the Commission and has been declared effective under the Securities Act. The Prospectus Supplement will name the Agent as the agent in the section entitled “Plan of Distribution.” The Company has not received, and has no notice of, any order of the Commission preventing or suspending the use of the Registration Statement, or threatening or instituting proceedings for that purpose. The Registration Statement and the offer and sale of Placement Shares as contemplated hereby meet the requirements of Rule 415 under the Securities Act and comply in all material respects with said Rule. Any statutes, regulations, contracts or other documents that are required to be described in the Registration Statement or the Prospectus or to be filed as exhibits to the Registration Statement have been so described or filed, as applicable. Copies of the Registration Statement, the Prospectus, and any such amendments or supplements and all documents incorporated by reference therein that were filed with the Commission on or prior to the date of this Agreement have been delivered, or are available through EDGAR, to the Agent and its counsel. The Company has not distributed and, prior to the later to occur of each Settlement Date and completion of the distribution of the Placement Shares, will not distribute any offering material in connection with the offering or sale of the Placement Shares other than the Registration Statement and the Prospectus and any Issuer Free Writing Prospectus (as defined below) to which the Agent has consented, which consent will not be unreasonably withheld, conditioned or delayed, or that is required by applicable law or the listing maintenance requirements of the Exchange. The Common Stock is currently quoted on the Exchange under the trading symbol “MX.” The Company has not, in the 12 months preceding the date hereof, received notice from the Exchange to the effect that the Company is not in compliance with the listing or maintenance requirements of the Exchange. To the Company’s knowledge, it is in compliance with all such listing and maintenance requirements.</w:t>
      </w:r>
    </w:p>
    <w:p>
      <w:pPr>
        <w:spacing w:after="0" w:line="194" w:lineRule="exact"/>
        <w:rPr>
          <w:rFonts w:ascii="Times New Roman" w:cs="Times New Roman" w:eastAsia="Times New Roman" w:hAnsi="Times New Roman"/>
          <w:sz w:val="18"/>
          <w:szCs w:val="18"/>
          <w:color w:val="auto"/>
        </w:rPr>
      </w:pPr>
    </w:p>
    <w:p>
      <w:pPr>
        <w:ind w:right="40" w:firstLine="987"/>
        <w:spacing w:after="0" w:line="253" w:lineRule="auto"/>
        <w:tabs>
          <w:tab w:leader="none" w:pos="117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Misstatement or Omission</w:t>
      </w:r>
      <w:r>
        <w:rPr>
          <w:rFonts w:ascii="Times New Roman" w:cs="Times New Roman" w:eastAsia="Times New Roman" w:hAnsi="Times New Roman"/>
          <w:sz w:val="18"/>
          <w:szCs w:val="18"/>
          <w:color w:val="auto"/>
        </w:rPr>
        <w:t>. At each Settlement Date, the Registration Statement and the Prospectus, as of such date, will conform in all material respects with the requirements of the Securities Act. The Registration Statement, when it became or becomes effective, did not, and will not, contain an untrue statement of a material fact or omit to state a material fact required to be stated therein or necessary to make the statements therein not misleading. The Prospectus and any amendment and supplement thereto, on the date thereof and at each Applicable Time (defined below), did not or will not include an untrue statement of a material fact or omit to state a material fact necessary to make the statements therein, in light of the circumstances under which they were made, not misleading. The documents incorporated by reference in the Prospectus or any Prospectus Supplement did not, and any further documents filed and incorporated by reference therein will not, when filed with the Commission, contain an untrue statement of a material fact or omit to state a material fact required to be stated in such document or necessary to make the statements in such document, in light of the circumstances under which they were made, not misleading. The foregoing shall not apply to statements in, or omissions from, any such document made in reliance upon, and in conformity with, information furnished to the Company by the Agent specifically for use in the preparation thereof, it being understood and agreed that the only such information furnished by the Agent to the Company consists of “Agent Information” as defined below.</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70" w:right="439" w:bottom="1440" w:gutter="0" w:footer="0" w:header="0"/>
        </w:sectPr>
      </w:pPr>
    </w:p>
    <w:bookmarkStart w:id="8" w:name="page9"/>
    <w:bookmarkEnd w:id="8"/>
    <w:p>
      <w:pPr>
        <w:ind w:left="4" w:right="22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 </w:t>
      </w:r>
      <w:r>
        <w:rPr>
          <w:rFonts w:ascii="Times New Roman" w:cs="Times New Roman" w:eastAsia="Times New Roman" w:hAnsi="Times New Roman"/>
          <w:sz w:val="18"/>
          <w:szCs w:val="18"/>
          <w:u w:val="single" w:color="auto"/>
          <w:color w:val="auto"/>
        </w:rPr>
        <w:t>Conformity with Securities Act and Exchange Act</w:t>
      </w:r>
      <w:r>
        <w:rPr>
          <w:rFonts w:ascii="Times New Roman" w:cs="Times New Roman" w:eastAsia="Times New Roman" w:hAnsi="Times New Roman"/>
          <w:sz w:val="18"/>
          <w:szCs w:val="18"/>
          <w:color w:val="auto"/>
        </w:rPr>
        <w:t>. The Registration Statement, the Prospectus, any Issuer Free Writing Prospectus or any amendment or supplement thereto, and the Incorporated Documents, when such documents were or are filed with the Commission under the Securities Act or the Exchange Act or became or become effective under the Securities Act, as the case may be, conformed or will conform in all material respects with the requirements of the Securities Act and the Exchange Act, as applicable.</w:t>
      </w:r>
    </w:p>
    <w:p>
      <w:pPr>
        <w:spacing w:after="0" w:line="180" w:lineRule="exact"/>
        <w:rPr>
          <w:sz w:val="20"/>
          <w:szCs w:val="20"/>
          <w:color w:val="auto"/>
        </w:rPr>
      </w:pPr>
    </w:p>
    <w:p>
      <w:pPr>
        <w:ind w:left="4" w:right="60" w:firstLine="991"/>
        <w:spacing w:after="0" w:line="268" w:lineRule="auto"/>
        <w:rPr>
          <w:sz w:val="20"/>
          <w:szCs w:val="20"/>
          <w:color w:val="auto"/>
        </w:rPr>
      </w:pPr>
      <w:r>
        <w:rPr>
          <w:rFonts w:ascii="Times New Roman" w:cs="Times New Roman" w:eastAsia="Times New Roman" w:hAnsi="Times New Roman"/>
          <w:sz w:val="17"/>
          <w:szCs w:val="17"/>
          <w:color w:val="auto"/>
        </w:rPr>
        <w:t xml:space="preserve">d. </w:t>
      </w:r>
      <w:r>
        <w:rPr>
          <w:rFonts w:ascii="Times New Roman" w:cs="Times New Roman" w:eastAsia="Times New Roman" w:hAnsi="Times New Roman"/>
          <w:sz w:val="17"/>
          <w:szCs w:val="17"/>
          <w:u w:val="single" w:color="auto"/>
          <w:color w:val="auto"/>
        </w:rPr>
        <w:t>Financial Information</w:t>
      </w:r>
      <w:r>
        <w:rPr>
          <w:rFonts w:ascii="Times New Roman" w:cs="Times New Roman" w:eastAsia="Times New Roman" w:hAnsi="Times New Roman"/>
          <w:sz w:val="17"/>
          <w:szCs w:val="17"/>
          <w:color w:val="auto"/>
        </w:rPr>
        <w:t>. The consolidated financial statements of the Company included or incorporated by reference in the Registration Statement and the Prospectus, together with the related notes and schedules, present fairly, in all material respects, the consolidated financial position of the Company and the Subsidiaries (as defined below) as of the dates indicated and the consolidated results of operations, cash flows and changes in stockholders’ equity of the Company and the Subsidiaries for the periods specified (subject, in the case of unaudited statements, to normal year-end audit adjustments which will not be material, either individually or in the aggregate) and have been prepared in compliance in all material respects with the published requirements of the Securities Act and Exchange Act, as applicable, and in conformity with generally accepted accounting principles in the United States (“</w:t>
      </w:r>
      <w:r>
        <w:rPr>
          <w:rFonts w:ascii="Times New Roman" w:cs="Times New Roman" w:eastAsia="Times New Roman" w:hAnsi="Times New Roman"/>
          <w:sz w:val="17"/>
          <w:szCs w:val="17"/>
          <w:u w:val="single" w:color="auto"/>
          <w:color w:val="auto"/>
        </w:rPr>
        <w:t>GAAP</w:t>
      </w:r>
      <w:r>
        <w:rPr>
          <w:rFonts w:ascii="Times New Roman" w:cs="Times New Roman" w:eastAsia="Times New Roman" w:hAnsi="Times New Roman"/>
          <w:sz w:val="17"/>
          <w:szCs w:val="17"/>
          <w:color w:val="auto"/>
        </w:rPr>
        <w:t>”) applied on a consistent basis (except (i) for such adjustments to accounting standards and practices as are noted therein and</w:t>
      </w:r>
    </w:p>
    <w:p>
      <w:pPr>
        <w:spacing w:after="0" w:line="2" w:lineRule="exact"/>
        <w:rPr>
          <w:sz w:val="20"/>
          <w:szCs w:val="20"/>
          <w:color w:val="auto"/>
        </w:rPr>
      </w:pPr>
    </w:p>
    <w:p>
      <w:pPr>
        <w:ind w:left="4" w:hanging="4"/>
        <w:spacing w:after="0" w:line="251" w:lineRule="auto"/>
        <w:tabs>
          <w:tab w:leader="none" w:pos="26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unaudited interim financial statements, to the extent they may exclude footnotes or may be condensed or summary statements) during the periods involved; the other financial and statistical data with respect to the Company and the Subsidiaries contained or incorporated by reference in the Registration Statement and the Prospectus, are, in all material respects, accurately and fairly presented and prepared on a basis consistent with the financial statements and books and records of the Company; there are no financial statements (historical or pro forma) that are required to be included or incorporated by reference in the Registration Statement, or the Prospectus that are not included or incorporated by reference as required; the Company and the Subsidiaries do not have any material liabilities or obligations, direct or contingent (including any off balance sheet obligations), not described in the Registration Statement, and the Prospectus which are required to be described in the Registration Statement or Prospectus; and all disclosures contained or incorporated by reference in the Registration Statement and the Prospectus, if any, regarding “non-GAAP financial measures” (as such term is defined by the rules and regulations of the Commission) comply in all material respects with Regulation G of the Exchange Act and Item 10 of Regulation S-K under the Securities Act, to the extent applicable.</w:t>
      </w:r>
    </w:p>
    <w:p>
      <w:pPr>
        <w:spacing w:after="0" w:line="192" w:lineRule="exact"/>
        <w:rPr>
          <w:rFonts w:ascii="Times New Roman" w:cs="Times New Roman" w:eastAsia="Times New Roman" w:hAnsi="Times New Roman"/>
          <w:sz w:val="18"/>
          <w:szCs w:val="18"/>
          <w:color w:val="auto"/>
        </w:rPr>
      </w:pPr>
    </w:p>
    <w:p>
      <w:pPr>
        <w:ind w:left="4" w:right="60" w:firstLine="987"/>
        <w:spacing w:after="0" w:line="266" w:lineRule="auto"/>
        <w:tabs>
          <w:tab w:leader="none" w:pos="116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Conformity with EDGAR Filing</w:t>
      </w:r>
      <w:r>
        <w:rPr>
          <w:rFonts w:ascii="Times New Roman" w:cs="Times New Roman" w:eastAsia="Times New Roman" w:hAnsi="Times New Roman"/>
          <w:sz w:val="18"/>
          <w:szCs w:val="18"/>
          <w:color w:val="auto"/>
        </w:rPr>
        <w:t>. The Prospectus delivered to the Agent for use in connection with the sale of the Placement Shares pursuant to this Agreement will be identical to the versions of the Prospectus created to be transmitted to the Commission for filing via EDGAR, except to the extent permitted by Regulation S-T.</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9" w:name="page10"/>
    <w:bookmarkEnd w:id="9"/>
    <w:p>
      <w:pPr>
        <w:ind w:left="4" w:right="2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The Company and any subsidiary that is a significant subsidiary (as such term is defined in Rule 1-02 of Regulation S-X promulgated by the Commission) (each, a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are duly organized, validly existing as a corporation and in good standing under the laws of their respective jurisdictions of organization. The Company and the Subsidiaries are duly licensed or qualified as a foreign corporation for transaction of business and in good standing under the laws of each other jurisdiction in which their respective ownership or lease of property or the conduct of their respective businesses requires such license or qualification, and have all corporate power and authority necessary to own or hold their respective properties and to conduct their respective businesses as described in the Registration Statement and the Prospectus, except where the failure to be so qualified or in good standing or have such power or authority would not, individually or in the aggregate, have a material adverse effect on the assets, business, operations, earnings, properties, condition (financial or otherwise), prospects, stockholders’ equity or results of operations of the Company and the Subsidiaries taken as a whole, or prevent the consummation of the transactions contemplated hereby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left="4" w:right="80" w:firstLine="991"/>
        <w:spacing w:after="0" w:line="256"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The Company owns directly or indirectly, all of the equity interests of the Subsidiaries free and clear of any lien, charge, security interest, encumbrance, right of first refusal or other restriction, and all the equity interests of the Subsidiaries are validly issued and are fully paid, nonassessable and free of preemptive and similar rights. The Company does not own or control, directly or indirectly, any corporation, association or other entity other than the subsidiaries listed in Exhibit 21.1 to the Company’s Annual Report on Form 10-K for the most recently ended fiscal year and other than (i) those subsidiaries not required to be listed on Exhibit 21.1 by Item 601 of Regulation S-K under the Exchange Act and (ii) those subsidiaries formed since the last day of the most recently ended fiscal year.</w:t>
      </w:r>
    </w:p>
    <w:p>
      <w:pPr>
        <w:spacing w:after="0" w:line="187"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u w:val="single" w:color="auto"/>
          <w:color w:val="auto"/>
        </w:rPr>
        <w:t>No Violation or Default</w:t>
      </w:r>
      <w:r>
        <w:rPr>
          <w:rFonts w:ascii="Times New Roman" w:cs="Times New Roman" w:eastAsia="Times New Roman" w:hAnsi="Times New Roman"/>
          <w:sz w:val="18"/>
          <w:szCs w:val="18"/>
          <w:color w:val="auto"/>
        </w:rPr>
        <w:t>. Neither the Company nor any Subsidiary is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similar agreement or instrument to which the Company or any Subsidiary is a party or by which the Company or any Subsidiary is bound or to which any of the property or assets of the Company or any Subsidiary is subject; or (iii) in violation of any law or statute or any judgment, order, rule or regulation of any court or arbitrator or governmental or regulatory authority having jurisdiction over the Company or any Subsidiary, except, in the case of each of clauses (ii) and</w:t>
      </w:r>
    </w:p>
    <w:p>
      <w:pPr>
        <w:spacing w:after="0" w:line="5" w:lineRule="exact"/>
        <w:rPr>
          <w:sz w:val="20"/>
          <w:szCs w:val="20"/>
          <w:color w:val="auto"/>
        </w:rPr>
      </w:pPr>
    </w:p>
    <w:p>
      <w:pPr>
        <w:jc w:val="both"/>
        <w:ind w:left="4" w:right="120" w:hanging="4"/>
        <w:spacing w:after="0" w:line="255" w:lineRule="auto"/>
        <w:tabs>
          <w:tab w:leader="none" w:pos="31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for any such violation or default that would not, individually or in the aggregate, reasonably be expected to have a Material Adverse Effect. To the Company’s knowledge, no other party under any material contract or other agreement to which it or any Subsidiary is a party is in default in any respect thereunder where such default would have a Material Adverse Effect.</w:t>
      </w:r>
    </w:p>
    <w:p>
      <w:pPr>
        <w:spacing w:after="0" w:line="185" w:lineRule="exact"/>
        <w:rPr>
          <w:rFonts w:ascii="Times New Roman" w:cs="Times New Roman" w:eastAsia="Times New Roman" w:hAnsi="Times New Roman"/>
          <w:sz w:val="18"/>
          <w:szCs w:val="18"/>
          <w:color w:val="auto"/>
        </w:rPr>
      </w:pPr>
    </w:p>
    <w:p>
      <w:pPr>
        <w:ind w:left="4" w:firstLine="987"/>
        <w:spacing w:after="0" w:line="255" w:lineRule="auto"/>
        <w:tabs>
          <w:tab w:leader="none" w:pos="113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Effect</w:t>
      </w:r>
      <w:r>
        <w:rPr>
          <w:rFonts w:ascii="Times New Roman" w:cs="Times New Roman" w:eastAsia="Times New Roman" w:hAnsi="Times New Roman"/>
          <w:sz w:val="18"/>
          <w:szCs w:val="18"/>
          <w:color w:val="auto"/>
        </w:rPr>
        <w:t>. Since the date of the most recent financial statements of the Company included or incorporated by reference in the Registration Statement and Prospectus, there has not been (i) any Material Adverse Effect, or any development that could reasonably be expected to result in a Material Adverse Effect (ii) any transaction which is material to the Company and the Subsidiaries taken as a whole, (iii) any obligation or liability, direct or contingent (including any off-balance sheet obligations), incurred by the Company or the Subsidiaries, which is material to the Company and the Subsidiaries taken as a whole, (iv) any material change in the Company’s capital stock (other than (A) the grant of additional options and other equity awards under the Company’s existing stock option plans and equity incentive plans, (B) changes in the number of outstanding shares of Common Stock of the Company due to the</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70" w:right="459" w:bottom="1440" w:gutter="0" w:footer="0" w:header="0"/>
        </w:sectPr>
      </w:pPr>
    </w:p>
    <w:bookmarkStart w:id="10" w:name="page11"/>
    <w:bookmarkEnd w:id="10"/>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issuance of shares upon the exercise or conversion of securities exercisable for, or convertible into, Common Stock outstanding on the date hereof,</w:t>
      </w:r>
    </w:p>
    <w:p>
      <w:pPr>
        <w:spacing w:after="0" w:line="27" w:lineRule="exact"/>
        <w:rPr>
          <w:sz w:val="20"/>
          <w:szCs w:val="20"/>
          <w:color w:val="auto"/>
        </w:rPr>
      </w:pPr>
    </w:p>
    <w:p>
      <w:pPr>
        <w:ind w:left="4" w:right="60" w:hanging="4"/>
        <w:spacing w:after="0" w:line="253" w:lineRule="auto"/>
        <w:tabs>
          <w:tab w:leader="none" w:pos="28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issuance of Placement Shares, (D) any repurchases of capital stock of the Company, (E) as described in a proxy statement filed on Schedule 14A or a Registration Statement on Form S-4, or (F) otherwise publicly announced) or outstanding long-term indebtedness of the Company or the Subsidiaries or (v) any dividend or distribution of any kind declared, paid or made on the capital stock of the Company or any Subsidiary, other than in each case above in the ordinary course of business or as otherwise disclosed in the Registration Statement or Prospectus (including any Incorporated Document).</w:t>
      </w:r>
    </w:p>
    <w:p>
      <w:pPr>
        <w:spacing w:after="0" w:line="187" w:lineRule="exact"/>
        <w:rPr>
          <w:sz w:val="20"/>
          <w:szCs w:val="20"/>
          <w:color w:val="auto"/>
        </w:rPr>
      </w:pPr>
    </w:p>
    <w:p>
      <w:pPr>
        <w:ind w:left="4" w:right="1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j.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issued and outstanding shares of capital stock of the Company have been validly issued, are fully paid and non-assessable and, other than as disclosed in the Registration Statement or the Prospectus, are not subject to any preemptive rights, rights of first refusal or similar rights. The Company has an authorized equity capitalization as set forth in the Registration Statement and the Prospectus as of the dates referred to therein (other than (i) the grant of restricted stock units, options or other equity awards under the Company’s existing stock option and equity incentive plans, (ii) changes in the number of outstanding Common Stock of the Company due to the issuance of shares upon the exercise or conversion of securities exercisable for, or convertible into, Common Stock outstanding on the date hereof, or the vesting of restricted stock units,</w:t>
      </w:r>
    </w:p>
    <w:p>
      <w:pPr>
        <w:spacing w:after="0" w:line="5" w:lineRule="exact"/>
        <w:rPr>
          <w:sz w:val="20"/>
          <w:szCs w:val="20"/>
          <w:color w:val="auto"/>
        </w:rPr>
      </w:pPr>
    </w:p>
    <w:p>
      <w:pPr>
        <w:ind w:left="4" w:right="40" w:hanging="4"/>
        <w:spacing w:after="0" w:line="271" w:lineRule="auto"/>
        <w:tabs>
          <w:tab w:leader="none" w:pos="319"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result of the issuance of Placement Shares, or (iv) any repurchases of capital stock of the Company) and such authorized capital stock conforms in all material respects to the description thereof set forth in the Registration Statement and the Prospectus. The description of the Common Stock in the Registration Statement and the Prospectus is complete and accurate in all material respects. Except as disclosed in or contemplated by the Registration Statement or the Prospectus, the Company did not have outstanding any options to purchase, or any rights or warrants to subscribe for, or any securities or obligations convertible into, or exchangeable for, or any contracts or commitments to issue or sell, any shares of capital stock or other securities.</w:t>
      </w:r>
    </w:p>
    <w:p>
      <w:pPr>
        <w:spacing w:after="0" w:line="173" w:lineRule="exact"/>
        <w:rPr>
          <w:rFonts w:ascii="Times New Roman" w:cs="Times New Roman" w:eastAsia="Times New Roman" w:hAnsi="Times New Roman"/>
          <w:sz w:val="17"/>
          <w:szCs w:val="17"/>
          <w:color w:val="auto"/>
        </w:rPr>
      </w:pPr>
    </w:p>
    <w:p>
      <w:pPr>
        <w:ind w:left="4" w:firstLine="987"/>
        <w:spacing w:after="0" w:line="261" w:lineRule="auto"/>
        <w:tabs>
          <w:tab w:leader="none" w:pos="117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S-3 Eligibility</w:t>
      </w:r>
      <w:r>
        <w:rPr>
          <w:rFonts w:ascii="Times New Roman" w:cs="Times New Roman" w:eastAsia="Times New Roman" w:hAnsi="Times New Roman"/>
          <w:sz w:val="18"/>
          <w:szCs w:val="18"/>
          <w:color w:val="auto"/>
        </w:rPr>
        <w:t>. (i) At the time of filing the Registration Statement and (ii) at the time of the most recent amendment thereto for the purposes of complying with Section 10(a)(3) of the Securities Act (whether such amendment was by post-effective amendment, incorporated report filed pursuant to Section 13 or 15(d) of the Exchange Act or form of prospectus), the Company met the then applicable requirements for use of Form S-3 under the Securities Act, including compliance with General Instruction I.B.1 of Form S-3, as applicable.</w:t>
      </w:r>
    </w:p>
    <w:p>
      <w:pPr>
        <w:spacing w:after="0" w:line="179" w:lineRule="exact"/>
        <w:rPr>
          <w:rFonts w:ascii="Times New Roman" w:cs="Times New Roman" w:eastAsia="Times New Roman" w:hAnsi="Times New Roman"/>
          <w:sz w:val="18"/>
          <w:szCs w:val="18"/>
          <w:color w:val="auto"/>
        </w:rPr>
      </w:pPr>
    </w:p>
    <w:p>
      <w:pPr>
        <w:ind w:left="4" w:right="120" w:firstLine="987"/>
        <w:spacing w:after="0" w:line="256" w:lineRule="auto"/>
        <w:tabs>
          <w:tab w:leader="none" w:pos="113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Enforceability</w:t>
      </w:r>
      <w:r>
        <w:rPr>
          <w:rFonts w:ascii="Times New Roman" w:cs="Times New Roman" w:eastAsia="Times New Roman" w:hAnsi="Times New Roman"/>
          <w:sz w:val="18"/>
          <w:szCs w:val="18"/>
          <w:color w:val="auto"/>
        </w:rPr>
        <w:t xml:space="preserve">. The Company has full legal right, power and authority to enter into this Agreement and perform the transactions contemplated hereby. This Agreement has been duly authorized, executed and delivered by the Company and is a legal, valid and binding agreement of the Company enforceable against the Company in accordance with its terms, except to the extent that (i) enforceability may be limited by bankruptcy, insolvency, reorganization, moratorium or similar laws affecting creditors’ rights generally and by general equitable principles and (ii) the indemnification and contribution provisions of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hereof may be limited by federal or state securities laws and public policy considerations in respect thereof.</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70" w:right="459" w:bottom="1440" w:gutter="0" w:footer="0" w:header="0"/>
        </w:sectPr>
      </w:pPr>
    </w:p>
    <w:bookmarkStart w:id="11" w:name="page12"/>
    <w:bookmarkEnd w:id="11"/>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m. </w:t>
      </w:r>
      <w:r>
        <w:rPr>
          <w:rFonts w:ascii="Times New Roman" w:cs="Times New Roman" w:eastAsia="Times New Roman" w:hAnsi="Times New Roman"/>
          <w:sz w:val="18"/>
          <w:szCs w:val="18"/>
          <w:u w:val="single" w:color="auto"/>
          <w:color w:val="auto"/>
        </w:rPr>
        <w:t>Authorization of Placement Shares</w:t>
      </w:r>
      <w:r>
        <w:rPr>
          <w:rFonts w:ascii="Times New Roman" w:cs="Times New Roman" w:eastAsia="Times New Roman" w:hAnsi="Times New Roman"/>
          <w:sz w:val="18"/>
          <w:szCs w:val="18"/>
          <w:color w:val="auto"/>
        </w:rPr>
        <w:t>. The Placement Shares, when issued and delivered pursuant to this Agreement and pursuant to the terms approved by the board of directors of the Company or a duly authorized committee thereof, or a duly authorized executive committee, against payment therefor as provided herein, will be duly and validly authorized and issued and fully paid and nonassessable, free and clear of any pledge, lien, encumbrance, security interest or other claim (other than any pledge, lien, encumbrance, security interest or other claim arising from an act or omission of the Agent or a purchaser), including any statutory or contractual preemptive rights, resale rights, rights of first refusal or other similar rights, and will be registered pursuant to Section 12 of the Exchange Act. The Placement Shares, when issued, will conform in all material respects to the description thereof set forth in or incorporated into the Prospectus.</w:t>
      </w:r>
    </w:p>
    <w:p>
      <w:pPr>
        <w:spacing w:after="0" w:line="189" w:lineRule="exact"/>
        <w:rPr>
          <w:sz w:val="20"/>
          <w:szCs w:val="20"/>
          <w:color w:val="auto"/>
        </w:rPr>
      </w:pPr>
    </w:p>
    <w:p>
      <w:pPr>
        <w:ind w:right="1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n. </w:t>
      </w:r>
      <w:r>
        <w:rPr>
          <w:rFonts w:ascii="Times New Roman" w:cs="Times New Roman" w:eastAsia="Times New Roman" w:hAnsi="Times New Roman"/>
          <w:sz w:val="18"/>
          <w:szCs w:val="18"/>
          <w:u w:val="single" w:color="auto"/>
          <w:color w:val="auto"/>
        </w:rPr>
        <w:t>No Consents Required</w:t>
      </w:r>
      <w:r>
        <w:rPr>
          <w:rFonts w:ascii="Times New Roman" w:cs="Times New Roman" w:eastAsia="Times New Roman" w:hAnsi="Times New Roman"/>
          <w:sz w:val="18"/>
          <w:szCs w:val="18"/>
          <w:color w:val="auto"/>
        </w:rPr>
        <w:t>. No consent, approval, authorization, order, registration or qualification of or with any court or arbitrator or any governmental or regulatory authority is required for the execution, delivery and performance by the Company of this Agreement, and the issuance and sale by the Company of the Placement Shares as contemplated hereby, except for such consents, approvals, authorizations, orders and registrations or qualifications (i) as may be required under applicable state securities laws or by the by-laws and rules of the Financial Industry Regulatory Authority (“</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or the Exchange, including any notices that may be required by the Exchange, in connection with the sale of the Placement Shares by the Agent, (ii) as may be required under the Securities Act and (iii) as have been previously obtained by the Company or the absence of which would not, individually or in the aggregate, reasonably be expected to have a Material Adverse Effect.</w:t>
      </w:r>
    </w:p>
    <w:p>
      <w:pPr>
        <w:spacing w:after="0" w:line="189"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u w:val="single" w:color="auto"/>
          <w:color w:val="auto"/>
        </w:rPr>
        <w:t>No Preferential Rights</w:t>
      </w:r>
      <w:r>
        <w:rPr>
          <w:rFonts w:ascii="Times New Roman" w:cs="Times New Roman" w:eastAsia="Times New Roman" w:hAnsi="Times New Roman"/>
          <w:sz w:val="18"/>
          <w:szCs w:val="18"/>
          <w:color w:val="auto"/>
        </w:rPr>
        <w:t>. (i) No person, as such term is defined in Rule 1-02 of Regulation S-X promulgated under the Securities Act (each, a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has the right, contractual or otherwise, to cause the Company to issue or sell to such Person any Common Stock or shares of any other capital stock or other securities of the Company (other than upon the exercise of options or warrants to purchase Common Stock, the vesting of restricted stock units, or upon the exercise of options that may be granted from time to time under the Company’s stock option and equity incentive plans), (ii) no Person has any preemptive rights, rights of first refusal, or any other rights (whether pursuant to a “poison pill” provision or otherwise) to purchase any Common Stock or shares of any other capital stock or other securities of the Company from the Company which have not been duly waived with respect to the offering contemplated hereby, (iii) no Person, other than the Agent, has the right to act as an underwriter or as a financial advisor to the Company in connection with the offer and sale of the Placement Shares pursuant to this Agreement, and (iv) no Person has the right, contractual or otherwise, to require the Company to register under the Securities Act any Common Stock or shares of any other capital stock or other securities of the Company, or to include any such shares or other securities in the Registration Statement or the offering contemplated thereby, whether as a result of the filing or effectiveness of the Registration Statement or the sale of the Placement Shares as contemplated thereby or otherwise, except in each case for such rights as have been waived on or prior to the date hereof.</w:t>
      </w:r>
    </w:p>
    <w:p>
      <w:pPr>
        <w:spacing w:after="0" w:line="190" w:lineRule="exact"/>
        <w:rPr>
          <w:sz w:val="20"/>
          <w:szCs w:val="20"/>
          <w:color w:val="auto"/>
        </w:rPr>
      </w:pPr>
    </w:p>
    <w:p>
      <w:pPr>
        <w:ind w:right="180" w:firstLine="991"/>
        <w:spacing w:after="0" w:line="256" w:lineRule="auto"/>
        <w:rPr>
          <w:sz w:val="20"/>
          <w:szCs w:val="20"/>
          <w:color w:val="auto"/>
        </w:rPr>
      </w:pPr>
      <w:r>
        <w:rPr>
          <w:rFonts w:ascii="Times New Roman" w:cs="Times New Roman" w:eastAsia="Times New Roman" w:hAnsi="Times New Roman"/>
          <w:sz w:val="18"/>
          <w:szCs w:val="18"/>
          <w:color w:val="auto"/>
        </w:rPr>
        <w:t xml:space="preserve">p. </w:t>
      </w:r>
      <w:r>
        <w:rPr>
          <w:rFonts w:ascii="Times New Roman" w:cs="Times New Roman" w:eastAsia="Times New Roman" w:hAnsi="Times New Roman"/>
          <w:sz w:val="18"/>
          <w:szCs w:val="18"/>
          <w:u w:val="single" w:color="auto"/>
          <w:color w:val="auto"/>
        </w:rPr>
        <w:t>Independent Public Accountant</w:t>
      </w:r>
      <w:r>
        <w:rPr>
          <w:rFonts w:ascii="Times New Roman" w:cs="Times New Roman" w:eastAsia="Times New Roman" w:hAnsi="Times New Roman"/>
          <w:sz w:val="18"/>
          <w:szCs w:val="18"/>
          <w:color w:val="auto"/>
        </w:rPr>
        <w:t>. Each of Ernst &amp; Young Han Young (the “</w:t>
      </w:r>
      <w:r>
        <w:rPr>
          <w:rFonts w:ascii="Times New Roman" w:cs="Times New Roman" w:eastAsia="Times New Roman" w:hAnsi="Times New Roman"/>
          <w:sz w:val="18"/>
          <w:szCs w:val="18"/>
          <w:u w:val="single" w:color="auto"/>
          <w:color w:val="auto"/>
        </w:rPr>
        <w:t>Current Accountant</w:t>
      </w:r>
      <w:r>
        <w:rPr>
          <w:rFonts w:ascii="Times New Roman" w:cs="Times New Roman" w:eastAsia="Times New Roman" w:hAnsi="Times New Roman"/>
          <w:sz w:val="18"/>
          <w:szCs w:val="18"/>
          <w:color w:val="auto"/>
        </w:rPr>
        <w:t>”), and Samil PricewaterhouseCoopers (“</w:t>
      </w:r>
      <w:r>
        <w:rPr>
          <w:rFonts w:ascii="Times New Roman" w:cs="Times New Roman" w:eastAsia="Times New Roman" w:hAnsi="Times New Roman"/>
          <w:sz w:val="18"/>
          <w:szCs w:val="18"/>
          <w:u w:val="single" w:color="auto"/>
          <w:color w:val="auto"/>
        </w:rPr>
        <w:t>Prior Accountant</w:t>
      </w:r>
      <w:r>
        <w:rPr>
          <w:rFonts w:ascii="Times New Roman" w:cs="Times New Roman" w:eastAsia="Times New Roman" w:hAnsi="Times New Roman"/>
          <w:sz w:val="18"/>
          <w:szCs w:val="18"/>
          <w:color w:val="auto"/>
        </w:rPr>
        <w:t>”), whose report on the consolidated financial statements of the Company is filed with the Commission as part of the Company’s most recent Annual Report on Form 10-K filed with the Commission and incorporated into the Registration Statement, are and, during the periods covered by their report, were independent public accountants within the meaning of the Securities Act and the Public Company Accounting Oversight Board (United States). To the Company’s knowledge, neither the Current Accountant nor the Prior Accountant is in violation of the auditor independence requirements of the Sarbanes-Oxley Act of 2002 (the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with respect to the Company.</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12" w:name="page13"/>
    <w:bookmarkEnd w:id="12"/>
    <w:p>
      <w:pPr>
        <w:jc w:val="both"/>
        <w:ind w:left="4" w:right="20" w:firstLine="991"/>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q. </w:t>
      </w:r>
      <w:r>
        <w:rPr>
          <w:rFonts w:ascii="Times New Roman" w:cs="Times New Roman" w:eastAsia="Times New Roman" w:hAnsi="Times New Roman"/>
          <w:sz w:val="17"/>
          <w:szCs w:val="17"/>
          <w:u w:val="single" w:color="auto"/>
          <w:color w:val="auto"/>
        </w:rPr>
        <w:t>Enforceability of Agreements</w:t>
      </w:r>
      <w:r>
        <w:rPr>
          <w:rFonts w:ascii="Times New Roman" w:cs="Times New Roman" w:eastAsia="Times New Roman" w:hAnsi="Times New Roman"/>
          <w:sz w:val="17"/>
          <w:szCs w:val="17"/>
          <w:color w:val="auto"/>
        </w:rPr>
        <w:t>. All agreements between the Company and third parties expressly referenced in the Prospectus, other than such agreements that have expired by their terms or whose termination is disclosed in documents filed by the Company on EDGAR, are legal, valid and binding obligations of the Company and, to the Company’s knowledge, enforceable in accordance with their respective terms, except to the extent that</w:t>
      </w:r>
    </w:p>
    <w:p>
      <w:pPr>
        <w:spacing w:after="0" w:line="2" w:lineRule="exact"/>
        <w:rPr>
          <w:sz w:val="20"/>
          <w:szCs w:val="20"/>
          <w:color w:val="auto"/>
        </w:rPr>
      </w:pPr>
    </w:p>
    <w:p>
      <w:pPr>
        <w:ind w:left="4" w:right="240" w:hanging="4"/>
        <w:spacing w:after="0" w:line="253" w:lineRule="auto"/>
        <w:tabs>
          <w:tab w:leader="none" w:pos="21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enforceability may be limited by bankruptcy, insolvency, reorganization, moratorium or similar laws affecting creditors’ rights generally and by general equitable principles and (ii) the indemnification provisions of certain agreements may be limited by federal or state securities laws or public policy considerations in respect thereof, and except for any unenforceability that, individually or in the aggregate, would not have a Material Adverse Effect.</w:t>
      </w:r>
    </w:p>
    <w:p>
      <w:pPr>
        <w:spacing w:after="0" w:line="188" w:lineRule="exact"/>
        <w:rPr>
          <w:rFonts w:ascii="Times New Roman" w:cs="Times New Roman" w:eastAsia="Times New Roman" w:hAnsi="Times New Roman"/>
          <w:sz w:val="18"/>
          <w:szCs w:val="18"/>
          <w:color w:val="auto"/>
        </w:rPr>
      </w:pPr>
    </w:p>
    <w:p>
      <w:pPr>
        <w:ind w:left="4" w:right="80" w:firstLine="987"/>
        <w:spacing w:after="0" w:line="273" w:lineRule="auto"/>
        <w:tabs>
          <w:tab w:leader="none" w:pos="1135"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Litigation</w:t>
      </w:r>
      <w:r>
        <w:rPr>
          <w:rFonts w:ascii="Times New Roman" w:cs="Times New Roman" w:eastAsia="Times New Roman" w:hAnsi="Times New Roman"/>
          <w:sz w:val="17"/>
          <w:szCs w:val="17"/>
          <w:color w:val="auto"/>
        </w:rPr>
        <w:t>. There are no legal or governmental proceedings pending or, to the Company’s knowledge, threatened to which the Company or any Subsidiary is a party or to which any of the properties of the Company or any Subsidiary is subject other than (i) proceedings accurately described in all material respects in the Prospectus, (ii) proceedings that would not reasonably be expected to have a Material Adverse Effect on the Company and its subsidiaries, taken as a whole, or on the power or ability of the Company to perform its obligations under this Agreement or to consummate the transactions contemplated by the Prospectus or (iii) proceedings that are required to be described in the Registration Statement or the Prospectus and are not so described; and there are no statutes, regulations, contracts or other documents that are required to be described in the Registration Statement or the Prospectus or to be filed as exhibits to the Registration Statement that are not described or filed as required.</w:t>
      </w:r>
    </w:p>
    <w:p>
      <w:pPr>
        <w:spacing w:after="0" w:line="171" w:lineRule="exact"/>
        <w:rPr>
          <w:rFonts w:ascii="Times New Roman" w:cs="Times New Roman" w:eastAsia="Times New Roman" w:hAnsi="Times New Roman"/>
          <w:sz w:val="17"/>
          <w:szCs w:val="17"/>
          <w:color w:val="auto"/>
        </w:rPr>
      </w:pPr>
    </w:p>
    <w:p>
      <w:pPr>
        <w:ind w:left="4" w:right="40" w:firstLine="987"/>
        <w:spacing w:after="0" w:line="254" w:lineRule="auto"/>
        <w:tabs>
          <w:tab w:leader="none" w:pos="115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Licenses and Permits</w:t>
      </w:r>
      <w:r>
        <w:rPr>
          <w:rFonts w:ascii="Times New Roman" w:cs="Times New Roman" w:eastAsia="Times New Roman" w:hAnsi="Times New Roman"/>
          <w:sz w:val="18"/>
          <w:szCs w:val="18"/>
          <w:color w:val="auto"/>
        </w:rPr>
        <w:t>. The Company and the Subsidiaries possess or have obtained, all licenses, certificates, consents, orders, approvals, permits and other authorizations issued by, and have made all declarations and filings with, the appropriate federal, state, local or foreign governmental or regulatory authorities that are necessary for the ownership or lease of their respective properties or the conduct of their respective businesses as currently conducted, as described in the Registration Statement and the Prospectus (the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except where the failure to possess, obtain or make the same would not, individually or in the aggregate, reasonably be expected to have a Material Adverse Effect. Neither the Company nor any Subsidiary has received written notice of any proceeding relating to revocation or modification of any such Permit or has any reason to believe that such Permit will not be renewed in the ordinary course, except where the revocation, modification or failure to obtain the renewal of any such Permit would not, individually or in the aggregate, reasonably be expected to have a Material Adverse Effect.</w:t>
      </w:r>
    </w:p>
    <w:p>
      <w:pPr>
        <w:spacing w:after="0" w:line="191" w:lineRule="exact"/>
        <w:rPr>
          <w:rFonts w:ascii="Times New Roman" w:cs="Times New Roman" w:eastAsia="Times New Roman" w:hAnsi="Times New Roman"/>
          <w:sz w:val="18"/>
          <w:szCs w:val="18"/>
          <w:color w:val="auto"/>
        </w:rPr>
      </w:pPr>
    </w:p>
    <w:p>
      <w:pPr>
        <w:ind w:left="4" w:firstLine="987"/>
        <w:spacing w:after="0" w:line="256" w:lineRule="auto"/>
        <w:tabs>
          <w:tab w:leader="none" w:pos="113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Defaults</w:t>
      </w:r>
      <w:r>
        <w:rPr>
          <w:rFonts w:ascii="Times New Roman" w:cs="Times New Roman" w:eastAsia="Times New Roman" w:hAnsi="Times New Roman"/>
          <w:sz w:val="18"/>
          <w:szCs w:val="18"/>
          <w:color w:val="auto"/>
        </w:rPr>
        <w:t>. Neither the Company nor any Subsidiary has defaulted on any installment on indebtedness for borrowed money or on any rental on one or more long-term leases, which defaults, individually or in the aggregate, would reasonably be expected to have a Material Adverse Effect. The Company has not filed a report pursuant to Section 13(a) or 15(d) of the Exchange Act since the filing of its last Annual Report on Form 10-K, indicating that it (i) has failed to pay any dividend or sinking fund installment on preferred stock or (ii) has defaulted on any installment on indebtedness for borrowed money or on any rental on one or more long-term leases, which defaults, individually or in the aggregate, would reasonably be expected to have a Material Adverse Effect.</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70" w:right="459" w:bottom="1440" w:gutter="0" w:footer="0" w:header="0"/>
        </w:sectPr>
      </w:pPr>
    </w:p>
    <w:bookmarkStart w:id="13" w:name="page14"/>
    <w:bookmarkEnd w:id="13"/>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 </w:t>
      </w:r>
      <w:r>
        <w:rPr>
          <w:rFonts w:ascii="Times New Roman" w:cs="Times New Roman" w:eastAsia="Times New Roman" w:hAnsi="Times New Roman"/>
          <w:sz w:val="18"/>
          <w:szCs w:val="18"/>
          <w:u w:val="single" w:color="auto"/>
          <w:color w:val="auto"/>
        </w:rPr>
        <w:t>Certain Market Activities</w:t>
      </w:r>
      <w:r>
        <w:rPr>
          <w:rFonts w:ascii="Times New Roman" w:cs="Times New Roman" w:eastAsia="Times New Roman" w:hAnsi="Times New Roman"/>
          <w:sz w:val="18"/>
          <w:szCs w:val="18"/>
          <w:color w:val="auto"/>
        </w:rPr>
        <w:t>. Neither the Company, nor any Subsidiary, nor, to the knowledge of the Company, any of their respective directors, officers or controlling persons has taken, directly or indirectly, any action designed, or that has constituted or would reasonably be expected to cause or result in, under the Exchange Act or otherwise, the stabilization or manipulation of the price of any security of the Company to facilitate the sale or resale of the Placement Shares.</w:t>
      </w:r>
    </w:p>
    <w:p>
      <w:pPr>
        <w:spacing w:after="0" w:line="180"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u w:val="single" w:color="auto"/>
          <w:color w:val="auto"/>
        </w:rPr>
        <w:t>Broker/Dealer Relationships</w:t>
      </w:r>
      <w:r>
        <w:rPr>
          <w:rFonts w:ascii="Times New Roman" w:cs="Times New Roman" w:eastAsia="Times New Roman" w:hAnsi="Times New Roman"/>
          <w:sz w:val="18"/>
          <w:szCs w:val="18"/>
          <w:color w:val="auto"/>
        </w:rPr>
        <w:t>. Neither the Company nor any Subsidiary (i) is required to register as a “broker” or “dealer” in accordance with the provisions of the Exchange Act or (ii) directly or indirectly through one or more intermediaries, controls or is a “person associated with a member” or “associated person of a member” (within the meaning set forth in the FINRA Manual).</w:t>
      </w:r>
    </w:p>
    <w:p>
      <w:pPr>
        <w:spacing w:after="0" w:line="176" w:lineRule="exact"/>
        <w:rPr>
          <w:sz w:val="20"/>
          <w:szCs w:val="20"/>
          <w:color w:val="auto"/>
        </w:rPr>
      </w:pPr>
    </w:p>
    <w:p>
      <w:pPr>
        <w:ind w:right="4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w. </w:t>
      </w:r>
      <w:r>
        <w:rPr>
          <w:rFonts w:ascii="Times New Roman" w:cs="Times New Roman" w:eastAsia="Times New Roman" w:hAnsi="Times New Roman"/>
          <w:sz w:val="18"/>
          <w:szCs w:val="18"/>
          <w:u w:val="single" w:color="auto"/>
          <w:color w:val="auto"/>
        </w:rPr>
        <w:t>No Reliance</w:t>
      </w:r>
      <w:r>
        <w:rPr>
          <w:rFonts w:ascii="Times New Roman" w:cs="Times New Roman" w:eastAsia="Times New Roman" w:hAnsi="Times New Roman"/>
          <w:sz w:val="18"/>
          <w:szCs w:val="18"/>
          <w:color w:val="auto"/>
        </w:rPr>
        <w:t>. The Company has not relied upon the Agent or legal counsel for the Agent for any legal, tax or accounting advice in connection with the offering and sale of the Placement Shares.</w:t>
      </w:r>
    </w:p>
    <w:p>
      <w:pPr>
        <w:spacing w:after="0" w:line="162"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x.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The Company and the Subsidiaries have filed all federal, state, local and foreign tax returns which have been required to be filed and paid all taxes shown thereon through the date hereof, to the extent that such taxes have become due and are not being contested in good faith, except where the failure to do so would not reasonably be expected to have a Material Adverse Effect. Except as otherwise disclosed in or contemplated by the Registration Statement or the Prospectus, no tax deficiency has been determined adversely to the Company or any Subsidiary which has had, or would have, individually or in the aggregate, a Material Adverse Effect. The Company has no knowledge of any federal, state or other governmental tax deficiency, penalty or assessment which has been asserted or threatened against it which would have a Material Adverse Effect.</w:t>
      </w:r>
    </w:p>
    <w:p>
      <w:pPr>
        <w:spacing w:after="0" w:line="187"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y. </w:t>
      </w:r>
      <w:r>
        <w:rPr>
          <w:rFonts w:ascii="Times New Roman" w:cs="Times New Roman" w:eastAsia="Times New Roman" w:hAnsi="Times New Roman"/>
          <w:sz w:val="18"/>
          <w:szCs w:val="18"/>
          <w:u w:val="single" w:color="auto"/>
          <w:color w:val="auto"/>
        </w:rPr>
        <w:t>Title to Real and Personal Property.</w:t>
      </w:r>
      <w:r>
        <w:rPr>
          <w:rFonts w:ascii="Times New Roman" w:cs="Times New Roman" w:eastAsia="Times New Roman" w:hAnsi="Times New Roman"/>
          <w:sz w:val="18"/>
          <w:szCs w:val="18"/>
          <w:color w:val="auto"/>
        </w:rPr>
        <w:t xml:space="preserve"> The Company and the Subsidiaries have good and valid title in fee simple to all items of real property and good and valid title to all personal property described in the Registration Statement or Prospectus as being owned by them that are material to the businesses of the Company or such Subsidiary, in each case free and clear of all liens, encumbrances and claims, except those that (i) do not materially interfere with the use made and proposed to be made of such property by the Company and the Subsidiaries or (ii) would not, individually or in the aggregate, reasonably be expected to have a Material Adverse Effect. Any real property described in the Registration Statement or Prospectus as being leased by the Company and the Subsidiaries is held by them under valid, existing and enforceable leases, except those that (A) do not materially interfere with the use made or proposed to be made of such property by the Company or the Subsidiaries or (B) would not, individually or in the aggregate, reasonably be expected to have a Material Adverse Effect.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70" w:right="479" w:bottom="1440" w:gutter="0" w:footer="0" w:header="0"/>
        </w:sectPr>
      </w:pPr>
    </w:p>
    <w:bookmarkStart w:id="14" w:name="page15"/>
    <w:bookmarkEnd w:id="14"/>
    <w:p>
      <w:pPr>
        <w:ind w:firstLine="99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z.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xml:space="preserve"> The Company and its Subsidiaries own or possess adequate enforceable rights to use all patents, patent applications, trademarks (both registered and unregistered), trade names, trademark registrations, service marks, service mark registrations, Internet domain name registrations, copyrights, copyright registrations, licenses and know-how (including trade secrets and other unpatented and/or unpatentable proprietary or confidential information, systems or procedures) (collectively, the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necessary for the conduct of their respective businesses as conducted as of the date hereof, except to the extent that the failure to own or possess adequate rights to use such Intellectual Property would not, individually or in the aggregate, reasonably be expected to have a Material Adverse Effect. The Company and the Subsidiaries have not received any written notice of any claim of infringement or conflict which asserted Intellectual Property rights of others, which infringement or conflict, if the subject of an unfavorable decision, would reasonably be expected to result in a Material Adverse Effect. There are no pending, or to the Company’s knowledge, threatened judicial proceedings or interference proceedings against the Company or any Subsidiary challenging the Company’s or any Subsidiary’s rights in or to or the validity of the scope of any of the Company’s or its Subsidiaries’ patents, patent applications or proprietary information, except for such right or claim that would not, individually or in the aggregate, reasonably be expected to result in a Material Adverse Effect. To the Company’s knowledge, no other entity or individual has any right or claim in any of the Company’s or any of its Subsidiary’s patents, patent applications or any patent to be issued therefrom by virtue of any contract, license or other agreement entered into between such entity or individual and the Company or any Subsidiary or by any non-contractual obligation, other than by written licenses granted by the Company or any Subsidiary, except for such right or claim that would not, individually or in the aggregate, reasonably be expected to result in a Material Adverse Effect. The Company has not received any written notice of any claim challenging the rights of the Company or its Subsidiaries in or to any Intellectual Property owned, licensed or optioned by the Company or any Subsidiary which claim, if the subject of an unfavorable decision, would reasonably be expected to result in a Material Adverse Effect.</w:t>
      </w:r>
    </w:p>
    <w:p>
      <w:pPr>
        <w:spacing w:after="0" w:line="192" w:lineRule="exact"/>
        <w:rPr>
          <w:sz w:val="20"/>
          <w:szCs w:val="20"/>
          <w:color w:val="auto"/>
        </w:rPr>
      </w:pPr>
    </w:p>
    <w:p>
      <w:pPr>
        <w:ind w:right="480" w:firstLine="987"/>
        <w:spacing w:after="0" w:line="266" w:lineRule="auto"/>
        <w:tabs>
          <w:tab w:leader="none" w:pos="124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Applicable Laws</w:t>
      </w:r>
      <w:r>
        <w:rPr>
          <w:rFonts w:ascii="Times New Roman" w:cs="Times New Roman" w:eastAsia="Times New Roman" w:hAnsi="Times New Roman"/>
          <w:sz w:val="18"/>
          <w:szCs w:val="18"/>
          <w:color w:val="auto"/>
        </w:rPr>
        <w:t>. The Company has not been advised, and has no reason to believe, that it and each of its Subsidiaries are not conducting business in compliance with all applicable laws, rules and regulations of the jurisdictions in which it is conducting business, except where failure to be so in compliance would not reasonably be expected to result in a Material Adverse Effect.</w:t>
      </w:r>
    </w:p>
    <w:p>
      <w:pPr>
        <w:spacing w:after="0" w:line="175" w:lineRule="exact"/>
        <w:rPr>
          <w:rFonts w:ascii="Times New Roman" w:cs="Times New Roman" w:eastAsia="Times New Roman" w:hAnsi="Times New Roman"/>
          <w:sz w:val="18"/>
          <w:szCs w:val="18"/>
          <w:color w:val="auto"/>
        </w:rPr>
      </w:pPr>
    </w:p>
    <w:p>
      <w:pPr>
        <w:ind w:firstLine="987"/>
        <w:spacing w:after="0" w:line="254" w:lineRule="auto"/>
        <w:tabs>
          <w:tab w:leader="none" w:pos="126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 Company and the Subsidiaries (i) are in compliance with any and all applicable federal, state, local and foreign laws, rules, regulations, decisions and orders relating to the protection of human health and safety, the environment or hazardous or toxic substances or wastes, pollutants or contaminants (collectively,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have received and are in compliance with all permits, licenses or other approvals required of them under applicable Environmental Laws to conduct their respective businesses as described in the Registration Statement and the Prospectus; and (iii) have not received notice of any actual or potential liability for the investigation or remediation of any disposal or release of hazardous or toxic substances or wastes, pollutants or contaminants, except, in the case of any of clauses (i), (ii) or (iii) above, for any such failure to comply or failure to receive required permits, licenses, other approvals or liability as would not, individually or in the aggregate, reasonably be expected to have a Material Adverse Effect.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15" w:name="page16"/>
    <w:bookmarkEnd w:id="15"/>
    <w:p>
      <w:pPr>
        <w:ind w:left="1244" w:hanging="253"/>
        <w:spacing w:after="0"/>
        <w:tabs>
          <w:tab w:leader="none" w:pos="124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Disclosure Controls</w:t>
      </w:r>
      <w:r>
        <w:rPr>
          <w:rFonts w:ascii="Times New Roman" w:cs="Times New Roman" w:eastAsia="Times New Roman" w:hAnsi="Times New Roman"/>
          <w:sz w:val="18"/>
          <w:szCs w:val="18"/>
          <w:color w:val="auto"/>
        </w:rPr>
        <w:t>. The Company maintains a system of internal accounting controls designed to provide reasonable assurance that</w:t>
      </w:r>
    </w:p>
    <w:p>
      <w:pPr>
        <w:spacing w:after="0" w:line="27" w:lineRule="exact"/>
        <w:rPr>
          <w:rFonts w:ascii="Times New Roman" w:cs="Times New Roman" w:eastAsia="Times New Roman" w:hAnsi="Times New Roman"/>
          <w:sz w:val="18"/>
          <w:szCs w:val="18"/>
          <w:color w:val="auto"/>
        </w:rPr>
      </w:pPr>
    </w:p>
    <w:p>
      <w:pPr>
        <w:ind w:left="4" w:right="40" w:hanging="4"/>
        <w:spacing w:after="0" w:line="251" w:lineRule="auto"/>
        <w:tabs>
          <w:tab w:leader="none" w:pos="21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is not aware of any material weaknesses in its internal control over financial reporting (other than as set forth in the Registration Statement or the Prospectus). Since the date of the latest audited financial statements of the Company included in the Prospectus, there has been no change in the Company’s internal control over financial reporting that has materially affected, or is reasonably likely to materially affect, the Company’s internal control over financial reporting (other than as set forth in the Registration Statement or the Prospectus). The Company has established disclosure controls and procedures (as defined in Exchange Act Rules 13a-15 and 15d-15) that comply with the requirements of the Exchange Act. The Company’s certifying officers have evaluated the effectiveness of the Company’s controls and procedures as of a date within 90 days prior to the filing date of the Form 10-K for the fiscal year most recently ended (such date, the “</w:t>
      </w:r>
      <w:r>
        <w:rPr>
          <w:rFonts w:ascii="Times New Roman" w:cs="Times New Roman" w:eastAsia="Times New Roman" w:hAnsi="Times New Roman"/>
          <w:sz w:val="18"/>
          <w:szCs w:val="18"/>
          <w:u w:val="single" w:color="auto"/>
          <w:color w:val="auto"/>
        </w:rPr>
        <w:t>Evaluation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The Company presented in its Form 10-K for the fiscal year most recently ended the conclusions of the certifying officers about the effectiveness of the disclosure controls and procedures based on their evaluations as of the most recent Evaluation Date, and the “disclosure controls and procedures” are effective.</w:t>
      </w:r>
    </w:p>
    <w:p>
      <w:pPr>
        <w:spacing w:after="0" w:line="191" w:lineRule="exact"/>
        <w:rPr>
          <w:rFonts w:ascii="Times New Roman" w:cs="Times New Roman" w:eastAsia="Times New Roman" w:hAnsi="Times New Roman"/>
          <w:sz w:val="18"/>
          <w:szCs w:val="18"/>
          <w:color w:val="auto"/>
        </w:rPr>
      </w:pPr>
    </w:p>
    <w:p>
      <w:pPr>
        <w:ind w:left="4" w:right="40" w:firstLine="987"/>
        <w:spacing w:after="0" w:line="255" w:lineRule="auto"/>
        <w:tabs>
          <w:tab w:leader="none" w:pos="126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There is and has been no failure on the part of the Company or, to the knowledge of the Company, any of the Company’s directors or officers, in their capacities as such, to comply in all material respects with any applicable provisions of the Sarbanes-Oxley Act and the rules and regulations promulgated thereunder. Each of the principal executive officer and the principal financial officer of the Company (or each former principal executive officer of the Company and each former principal financial officer of the Company as applicable) has made all certifications required by Sections 302 and 906 of the Sarbanes-Oxley Act with respect to all reports, schedules, forms, statements and other documents required to be filed by it or furnished by it to the Commission during the past 12 months. For purposes of the preceding sentence, “principal executive officer” and “principal financial officer” shall have the meanings given to such terms in the Exchange Act Rules 13a-15 and 15d-15.</w:t>
      </w:r>
    </w:p>
    <w:p>
      <w:pPr>
        <w:spacing w:after="0" w:line="188" w:lineRule="exact"/>
        <w:rPr>
          <w:rFonts w:ascii="Times New Roman" w:cs="Times New Roman" w:eastAsia="Times New Roman" w:hAnsi="Times New Roman"/>
          <w:sz w:val="18"/>
          <w:szCs w:val="18"/>
          <w:color w:val="auto"/>
        </w:rPr>
      </w:pPr>
    </w:p>
    <w:p>
      <w:pPr>
        <w:jc w:val="both"/>
        <w:ind w:left="4" w:right="440" w:firstLine="987"/>
        <w:spacing w:after="0" w:line="266" w:lineRule="auto"/>
        <w:tabs>
          <w:tab w:leader="none" w:pos="124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Finder’s Fees</w:t>
      </w:r>
      <w:r>
        <w:rPr>
          <w:rFonts w:ascii="Times New Roman" w:cs="Times New Roman" w:eastAsia="Times New Roman" w:hAnsi="Times New Roman"/>
          <w:sz w:val="18"/>
          <w:szCs w:val="18"/>
          <w:color w:val="auto"/>
        </w:rPr>
        <w:t>. Neither the Company nor any Subsidiary has incurred any liability for any finder’s fees, brokerage commissions or similar payments in connection with the transactions herein contemplated, except as may otherwise exist with respect to the Agent pursuant to this Agreement.</w:t>
      </w:r>
    </w:p>
    <w:p>
      <w:pPr>
        <w:spacing w:after="0" w:line="175" w:lineRule="exact"/>
        <w:rPr>
          <w:rFonts w:ascii="Times New Roman" w:cs="Times New Roman" w:eastAsia="Times New Roman" w:hAnsi="Times New Roman"/>
          <w:sz w:val="18"/>
          <w:szCs w:val="18"/>
          <w:color w:val="auto"/>
        </w:rPr>
      </w:pPr>
    </w:p>
    <w:p>
      <w:pPr>
        <w:ind w:left="4" w:firstLine="987"/>
        <w:spacing w:after="0" w:line="282" w:lineRule="auto"/>
        <w:tabs>
          <w:tab w:leader="none" w:pos="120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Disputes</w:t>
      </w:r>
      <w:r>
        <w:rPr>
          <w:rFonts w:ascii="Times New Roman" w:cs="Times New Roman" w:eastAsia="Times New Roman" w:hAnsi="Times New Roman"/>
          <w:sz w:val="18"/>
          <w:szCs w:val="18"/>
          <w:color w:val="auto"/>
        </w:rPr>
        <w:t>. No labor disturbance by or dispute with employees of the Company or any Subsidiary exists or, to the knowledge of the Company, is threatened which would reasonably be expected to result in a Material Adverse Effect.</w:t>
      </w:r>
    </w:p>
    <w:p>
      <w:pPr>
        <w:spacing w:after="0" w:line="161" w:lineRule="exact"/>
        <w:rPr>
          <w:rFonts w:ascii="Times New Roman" w:cs="Times New Roman" w:eastAsia="Times New Roman" w:hAnsi="Times New Roman"/>
          <w:sz w:val="18"/>
          <w:szCs w:val="18"/>
          <w:color w:val="auto"/>
        </w:rPr>
      </w:pPr>
    </w:p>
    <w:p>
      <w:pPr>
        <w:jc w:val="both"/>
        <w:ind w:left="4" w:right="160" w:firstLine="987"/>
        <w:spacing w:after="0" w:line="266" w:lineRule="auto"/>
        <w:tabs>
          <w:tab w:leader="none" w:pos="126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Neither the Company nor any Subsidiary is or, after giving effect to the offering and sale of the Placement Shares, will be required to register as an “investment company” or an entity “controlled” by an “investment company,” as such terms are defined in the Investment Company Act of 1940, as amended (the “</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4"/>
          </w:cols>
          <w:pgMar w:left="436" w:top="270" w:right="439" w:bottom="1440" w:gutter="0" w:footer="0" w:header="0"/>
        </w:sectPr>
      </w:pPr>
    </w:p>
    <w:bookmarkStart w:id="16" w:name="page17"/>
    <w:bookmarkEnd w:id="16"/>
    <w:p>
      <w:pPr>
        <w:ind w:firstLine="987"/>
        <w:spacing w:after="0" w:line="255" w:lineRule="auto"/>
        <w:tabs>
          <w:tab w:leader="none" w:pos="126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Operations</w:t>
      </w:r>
      <w:r>
        <w:rPr>
          <w:rFonts w:ascii="Times New Roman" w:cs="Times New Roman" w:eastAsia="Times New Roman" w:hAnsi="Times New Roman"/>
          <w:sz w:val="18"/>
          <w:szCs w:val="18"/>
          <w:color w:val="auto"/>
        </w:rPr>
        <w:t>. The operations of the Company and the Subsidiaries are and have been conducted at all times in compliance with applicable financial record keeping and reporting requirements of the Currency and Foreign Transactions Reporting Act of 1970, as amended, the money laundering statutes of all jurisdictions to which the Company or the Subsidiaries are subject, the rules and regulations thereunder and any related or similar rules, regulations or guidelines, issued, administered or enforced by any governmental agency having jurisdiction over the Company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except where the failure to be in such compliance would not reasonably be expected to result in a Material Adverse Effect; and no action, suit or proceeding by or before any court or governmental agency, authority or body or any arbitrator involving the Company or any Subsidiary with respect to the Money Laundering Laws is pending or, to the knowledge of the Company, threatened.</w:t>
      </w:r>
    </w:p>
    <w:p>
      <w:pPr>
        <w:spacing w:after="0" w:line="188" w:lineRule="exact"/>
        <w:rPr>
          <w:rFonts w:ascii="Times New Roman" w:cs="Times New Roman" w:eastAsia="Times New Roman" w:hAnsi="Times New Roman"/>
          <w:sz w:val="18"/>
          <w:szCs w:val="18"/>
          <w:color w:val="auto"/>
        </w:rPr>
      </w:pPr>
    </w:p>
    <w:p>
      <w:pPr>
        <w:ind w:right="40" w:firstLine="987"/>
        <w:spacing w:after="0" w:line="256" w:lineRule="auto"/>
        <w:tabs>
          <w:tab w:leader="none" w:pos="118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Off-Balance Sheet Arrangements</w:t>
      </w:r>
      <w:r>
        <w:rPr>
          <w:rFonts w:ascii="Times New Roman" w:cs="Times New Roman" w:eastAsia="Times New Roman" w:hAnsi="Times New Roman"/>
          <w:sz w:val="18"/>
          <w:szCs w:val="18"/>
          <w:color w:val="auto"/>
        </w:rPr>
        <w:t>. There are no transactions, arrangements and other relationships between and/or among the Company, and/or, to the knowledge of the Company, any of its affiliates and any unconsolidated entity, including, but not limited to, any structured finance, special purpose or limited purpose entity (each, an “</w:t>
      </w:r>
      <w:r>
        <w:rPr>
          <w:rFonts w:ascii="Times New Roman" w:cs="Times New Roman" w:eastAsia="Times New Roman" w:hAnsi="Times New Roman"/>
          <w:sz w:val="18"/>
          <w:szCs w:val="18"/>
          <w:u w:val="single" w:color="auto"/>
          <w:color w:val="auto"/>
        </w:rPr>
        <w:t>Off Balance Sheet Transaction</w:t>
      </w:r>
      <w:r>
        <w:rPr>
          <w:rFonts w:ascii="Times New Roman" w:cs="Times New Roman" w:eastAsia="Times New Roman" w:hAnsi="Times New Roman"/>
          <w:sz w:val="18"/>
          <w:szCs w:val="18"/>
          <w:color w:val="auto"/>
        </w:rPr>
        <w:t>”) that would affect materially the Company’s liquidity or the availability of or requirements for its capital resources, including those Off Balance Sheet Transactions described in the Commission’s Statement about Management’s Discussion and Analysis of Financial Conditions and Results of Operations (Release Nos. 33-8056; 34-45321; FR-61), required to be described in the Registration Statement or the Prospectus which have not been described as required.</w:t>
      </w:r>
    </w:p>
    <w:p>
      <w:pPr>
        <w:spacing w:after="0" w:line="187" w:lineRule="exact"/>
        <w:rPr>
          <w:rFonts w:ascii="Times New Roman" w:cs="Times New Roman" w:eastAsia="Times New Roman" w:hAnsi="Times New Roman"/>
          <w:sz w:val="18"/>
          <w:szCs w:val="18"/>
          <w:color w:val="auto"/>
        </w:rPr>
      </w:pPr>
    </w:p>
    <w:p>
      <w:pPr>
        <w:ind w:right="420" w:firstLine="987"/>
        <w:spacing w:after="0" w:line="282" w:lineRule="auto"/>
        <w:tabs>
          <w:tab w:leader="none" w:pos="118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Underwriter Agreements</w:t>
      </w:r>
      <w:r>
        <w:rPr>
          <w:rFonts w:ascii="Times New Roman" w:cs="Times New Roman" w:eastAsia="Times New Roman" w:hAnsi="Times New Roman"/>
          <w:sz w:val="18"/>
          <w:szCs w:val="18"/>
          <w:color w:val="auto"/>
        </w:rPr>
        <w:t>. Other than with respect to this Agreement, the Company is not a party to any agreement with an agent or underwriter for any other “at the market” or continuous equity transaction.</w:t>
      </w:r>
    </w:p>
    <w:p>
      <w:pPr>
        <w:spacing w:after="0" w:line="161" w:lineRule="exact"/>
        <w:rPr>
          <w:rFonts w:ascii="Times New Roman" w:cs="Times New Roman" w:eastAsia="Times New Roman" w:hAnsi="Times New Roman"/>
          <w:sz w:val="18"/>
          <w:szCs w:val="18"/>
          <w:color w:val="auto"/>
        </w:rPr>
      </w:pPr>
    </w:p>
    <w:p>
      <w:pPr>
        <w:ind w:right="20" w:firstLine="987"/>
        <w:spacing w:after="0" w:line="253" w:lineRule="auto"/>
        <w:tabs>
          <w:tab w:leader="none" w:pos="126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To the knowledge of the Company, (i) each material employee benefit plan, within the meaning of Section 3(3) of the Employee Retirement Income Security Act of 1974, as amended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that is maintained, administered or contributed to by the Company or any of its affiliates for employees or former employees of the Company and the Subsidiaries has been maintained in material compliance with its terms and the requirements of any applicable statutes, orders, rules and regulations, including but not limited to ERISA and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(ii) no prohibited transaction, within the meaning of Section 406 of ERISA or Section 4975 of the Code, has occurred which would result in a material liability to the Company with respect to any such plan excluding transactions effected pursuant to a statutory or administrative exemption; and (iii) for each such plan that is subject to the funding rules of Section 412 of the Code or Section 302 of ERISA, no “accumulated funding deficiency” as defined in Section 412 of the Code has been incurred, whether or not waived, and the fair market value of the assets of each such plan (excluding for these purposes accrued but unpaid contributions) equals or exceeds the present value of all benefits accrued under such plan determined using reasonable actuarial assumptions, other than, in the case of (i), (ii) and (iii) above, as would not reasonably be expected to result in a Material Adverse Effect.</w:t>
      </w:r>
    </w:p>
    <w:p>
      <w:pPr>
        <w:spacing w:after="0" w:line="191" w:lineRule="exact"/>
        <w:rPr>
          <w:rFonts w:ascii="Times New Roman" w:cs="Times New Roman" w:eastAsia="Times New Roman" w:hAnsi="Times New Roman"/>
          <w:sz w:val="18"/>
          <w:szCs w:val="18"/>
          <w:color w:val="auto"/>
        </w:rPr>
      </w:pPr>
    </w:p>
    <w:p>
      <w:pPr>
        <w:ind w:right="20" w:firstLine="987"/>
        <w:spacing w:after="0" w:line="266" w:lineRule="auto"/>
        <w:tabs>
          <w:tab w:leader="none" w:pos="118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Forward-Looking Statements</w:t>
      </w:r>
      <w:r>
        <w:rPr>
          <w:rFonts w:ascii="Times New Roman" w:cs="Times New Roman" w:eastAsia="Times New Roman" w:hAnsi="Times New Roman"/>
          <w:sz w:val="18"/>
          <w:szCs w:val="18"/>
          <w:color w:val="auto"/>
        </w:rPr>
        <w:t>. No forward-looking statement (within the meaning of Section 27A of the Securities Act and Section 21E of the Exchange Act) (a “</w:t>
      </w:r>
      <w:r>
        <w:rPr>
          <w:rFonts w:ascii="Times New Roman" w:cs="Times New Roman" w:eastAsia="Times New Roman" w:hAnsi="Times New Roman"/>
          <w:sz w:val="18"/>
          <w:szCs w:val="18"/>
          <w:u w:val="single" w:color="auto"/>
          <w:color w:val="auto"/>
        </w:rPr>
        <w:t>Forward-Looking Statement</w:t>
      </w:r>
      <w:r>
        <w:rPr>
          <w:rFonts w:ascii="Times New Roman" w:cs="Times New Roman" w:eastAsia="Times New Roman" w:hAnsi="Times New Roman"/>
          <w:sz w:val="18"/>
          <w:szCs w:val="18"/>
          <w:color w:val="auto"/>
        </w:rPr>
        <w:t>”) contained in the Registration Statement and the Prospectus has been made or reaffirmed without a reasonable basis or has been disclosed other than in good faith.</w:t>
      </w:r>
    </w:p>
    <w:p>
      <w:pPr>
        <w:spacing w:after="0" w:line="175" w:lineRule="exact"/>
        <w:rPr>
          <w:rFonts w:ascii="Times New Roman" w:cs="Times New Roman" w:eastAsia="Times New Roman" w:hAnsi="Times New Roman"/>
          <w:sz w:val="18"/>
          <w:szCs w:val="18"/>
          <w:color w:val="auto"/>
        </w:rPr>
      </w:pPr>
    </w:p>
    <w:p>
      <w:pPr>
        <w:jc w:val="both"/>
        <w:ind w:right="440" w:firstLine="987"/>
        <w:spacing w:after="0" w:line="266" w:lineRule="auto"/>
        <w:tabs>
          <w:tab w:leader="none" w:pos="136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Margin Rules</w:t>
      </w:r>
      <w:r>
        <w:rPr>
          <w:rFonts w:ascii="Times New Roman" w:cs="Times New Roman" w:eastAsia="Times New Roman" w:hAnsi="Times New Roman"/>
          <w:sz w:val="18"/>
          <w:szCs w:val="18"/>
          <w:color w:val="auto"/>
        </w:rPr>
        <w:t>. Neither the issuance, sale and delivery of the Placement Shares nor the application of the proceeds thereof by the Company as described in the Registration Statement and the Prospectus will violate Regulation T, U or X of the Board of Governors of the Federal Reserve System.</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0"/>
          </w:cols>
          <w:pgMar w:left="440" w:top="270" w:right="439" w:bottom="1440" w:gutter="0" w:footer="0" w:header="0"/>
        </w:sectPr>
      </w:pPr>
    </w:p>
    <w:bookmarkStart w:id="17" w:name="page18"/>
    <w:bookmarkEnd w:id="17"/>
    <w:p>
      <w:pPr>
        <w:ind w:left="4" w:right="500" w:firstLine="987"/>
        <w:spacing w:after="0" w:line="282" w:lineRule="auto"/>
        <w:tabs>
          <w:tab w:leader="none" w:pos="126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Insurance</w:t>
      </w:r>
      <w:r>
        <w:rPr>
          <w:rFonts w:ascii="Times New Roman" w:cs="Times New Roman" w:eastAsia="Times New Roman" w:hAnsi="Times New Roman"/>
          <w:sz w:val="18"/>
          <w:szCs w:val="18"/>
          <w:color w:val="auto"/>
        </w:rPr>
        <w:t>. The Company and the Subsidiaries carry, or are covered by, insurance in such amounts and covering such risks as the Company and the Subsidiaries reasonably believe are adequate for the conduct of their business.</w:t>
      </w:r>
    </w:p>
    <w:p>
      <w:pPr>
        <w:spacing w:after="0" w:line="161" w:lineRule="exact"/>
        <w:rPr>
          <w:rFonts w:ascii="Times New Roman" w:cs="Times New Roman" w:eastAsia="Times New Roman" w:hAnsi="Times New Roman"/>
          <w:sz w:val="18"/>
          <w:szCs w:val="18"/>
          <w:color w:val="auto"/>
        </w:rPr>
      </w:pPr>
    </w:p>
    <w:p>
      <w:pPr>
        <w:ind w:left="4" w:right="20" w:firstLine="987"/>
        <w:spacing w:after="0" w:line="266" w:lineRule="auto"/>
        <w:tabs>
          <w:tab w:leader="none" w:pos="1265"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Improper Practices</w:t>
      </w:r>
      <w:r>
        <w:rPr>
          <w:rFonts w:ascii="Times New Roman" w:cs="Times New Roman" w:eastAsia="Times New Roman" w:hAnsi="Times New Roman"/>
          <w:sz w:val="17"/>
          <w:szCs w:val="17"/>
          <w:color w:val="auto"/>
        </w:rPr>
        <w:t>. (i) Neither the Company nor, to the Company’s knowledge, the Subsidiaries, nor to the Company’s knowledge, any of their respective executive officers has, in the past five years, made any unlawful contributions to any candidate for any political office (or failed fully to disclose any contribution in violation of law) or made any contribution or other payment to any official of, or candidate for, any federal, state, municipal, or foreign office or other person charged with similar public or quasi-public duty in violation of any law or of the character required to be disclosed in the Prospectus which has not been so disclosed; (ii) no relationship, direct or indirect, exists between or among the Company or, to the Company’s knowledge, the Subsidiaries or any affiliate of any of them, on the one hand, and the directors, officers and stockholders of the Company or, to the Company’s knowledge, the Subsidiaries, on the other hand, that is required by the Securities Act to be described in the Registration Statement and the Prospectus that is not so described; (iii) no relationship, direct or indirect, exists between or among the Company or the Subsidiaries or any affiliate of them, on the one hand, and the directors, officers, stockholders or directors of the Company or, to the Company’s knowledge, the Subsidiaries, on the other hand, that is required by the rules of FINRA to be described in the Registration Statement and the Prospectus that is not so described; (iv) there are no material outstanding loans or advances or material guarantees of indebtedness by the Company or, to the Company’s knowledge, the Subsidiaries to or for the benefit of any of their respective officers or directors or any of the members of the families of any of them; and (v) the Company has not offered, or caused any placement agent to offer, Common Stock to any person with the intent to influence unlawfully (A) a customer or supplier of the Company or the Subsidiaries to alter the customer’s or supplier’s level or type of business with the Company or the Subsidiaries or (B) a trade journalist or publication to write or publish favorable information about the Company or the Subsidiaries or any of their respective products or services, and,</w:t>
      </w:r>
    </w:p>
    <w:p>
      <w:pPr>
        <w:spacing w:after="0" w:line="8" w:lineRule="exact"/>
        <w:rPr>
          <w:rFonts w:ascii="Times New Roman" w:cs="Times New Roman" w:eastAsia="Times New Roman" w:hAnsi="Times New Roman"/>
          <w:sz w:val="17"/>
          <w:szCs w:val="17"/>
          <w:color w:val="auto"/>
        </w:rPr>
      </w:pPr>
    </w:p>
    <w:p>
      <w:pPr>
        <w:ind w:left="4" w:hanging="4"/>
        <w:spacing w:after="0" w:line="253" w:lineRule="auto"/>
        <w:tabs>
          <w:tab w:leader="none" w:pos="30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the Subsidiaries nor, to the Company’s knowledge, any employee or agent of the Company or the Subsidiaries has made any payment of funds of the Company or the Subsidiaries or received or retained any funds in violation of any law, rule or regulation (including, without limitation, the Foreign Corrupt Practices Act of 1977), which payment, receipt or retention of funds is of a character required to be disclosed in the Registration Statement or the Prospectus which has not been so disclosed.</w:t>
      </w:r>
    </w:p>
    <w:p>
      <w:pPr>
        <w:spacing w:after="0" w:line="188" w:lineRule="exact"/>
        <w:rPr>
          <w:rFonts w:ascii="Times New Roman" w:cs="Times New Roman" w:eastAsia="Times New Roman" w:hAnsi="Times New Roman"/>
          <w:sz w:val="18"/>
          <w:szCs w:val="18"/>
          <w:color w:val="auto"/>
        </w:rPr>
      </w:pPr>
    </w:p>
    <w:p>
      <w:pPr>
        <w:ind w:left="4" w:firstLine="987"/>
        <w:spacing w:after="0" w:line="282" w:lineRule="auto"/>
        <w:tabs>
          <w:tab w:leader="none" w:pos="126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Under the Securities Act</w:t>
      </w:r>
      <w:r>
        <w:rPr>
          <w:rFonts w:ascii="Times New Roman" w:cs="Times New Roman" w:eastAsia="Times New Roman" w:hAnsi="Times New Roman"/>
          <w:sz w:val="18"/>
          <w:szCs w:val="18"/>
          <w:color w:val="auto"/>
        </w:rPr>
        <w:t>. The Company was not and is not an ineligible issuer as defined in Rule 405 under the Securities Act at the times specified in Rules 164 and 433 under the Securities Act in connection with the offering of the Placement Shares.</w:t>
      </w:r>
    </w:p>
    <w:p>
      <w:pPr>
        <w:spacing w:after="0" w:line="161" w:lineRule="exact"/>
        <w:rPr>
          <w:rFonts w:ascii="Times New Roman" w:cs="Times New Roman" w:eastAsia="Times New Roman" w:hAnsi="Times New Roman"/>
          <w:sz w:val="18"/>
          <w:szCs w:val="18"/>
          <w:color w:val="auto"/>
        </w:rPr>
      </w:pPr>
    </w:p>
    <w:p>
      <w:pPr>
        <w:ind w:left="4" w:right="20" w:firstLine="987"/>
        <w:spacing w:after="0" w:line="261" w:lineRule="auto"/>
        <w:tabs>
          <w:tab w:leader="none" w:pos="126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Misstatement or Omission in an Issuer Free Writing Prospectus</w:t>
      </w:r>
      <w:r>
        <w:rPr>
          <w:rFonts w:ascii="Times New Roman" w:cs="Times New Roman" w:eastAsia="Times New Roman" w:hAnsi="Times New Roman"/>
          <w:sz w:val="18"/>
          <w:szCs w:val="18"/>
          <w:color w:val="auto"/>
        </w:rPr>
        <w:t xml:space="preserve">. Each Issuer Free Writing Prospectus, as of its issue date and as of each Applicable Time (as defined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below), did not, does not and will not, through the completion of the Placement or Placements for which such Issuer Free Writing Prospectus is issued, include any information that conflicted, conflicts or will conflict with the information contained in the Registration Statement or the Prospectus, including any Incorporated Document that has not been superseded or modified.</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4"/>
          </w:cols>
          <w:pgMar w:left="436" w:top="270" w:right="459" w:bottom="1440" w:gutter="0" w:footer="0" w:header="0"/>
        </w:sectPr>
      </w:pPr>
    </w:p>
    <w:bookmarkStart w:id="18" w:name="page19"/>
    <w:bookmarkEnd w:id="18"/>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foregoing sentence does not apply to statements in or omissions from any Issuer Free Writing Prospectus based upon and in conformity with written information furnished to the Company by the Agent specifically for use therein, it being understood and agreed that the only such information furnished by the Agent to the Company consists of “Agent Information” as defined below.</w:t>
      </w:r>
    </w:p>
    <w:p>
      <w:pPr>
        <w:spacing w:after="0" w:line="176" w:lineRule="exact"/>
        <w:rPr>
          <w:sz w:val="20"/>
          <w:szCs w:val="20"/>
          <w:color w:val="auto"/>
        </w:rPr>
      </w:pPr>
    </w:p>
    <w:p>
      <w:pPr>
        <w:ind w:right="60" w:firstLine="987"/>
        <w:spacing w:after="0" w:line="253" w:lineRule="auto"/>
        <w:tabs>
          <w:tab w:leader="none" w:pos="119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Neither the execution of this Agreement by the Company, nor the issuance, offering or sale of the Placement Shares by the Company, nor the consummation of any of the transactions contemplated herein, nor the compliance by the Company with the terms and provisions hereof will conflict with, or will result in a breach of, any of the terms and provisions of, or has constituted or will constitute a default under, or has resulted in or will result in the creation or imposition of any lien, charge or encumbrance upon any property or assets of the Company pursuant to the terms of any contract or other agreement to which the Company may be bound or to which any of the property or assets of the Company is subject, except (i) such conflicts, breaches or defaults as may have been waived and (ii) such conflicts, breaches and defaults that would not have a Material Adverse Effect; nor will such action result (x) in any violation of the provisions of the organizational or governing documents of the Company, or (y) in any material violation of the provisions of any statute or any order, rule or regulation applicable to the Company or of any court or of any federal, state or other regulatory authority or other government body having jurisdiction over the Company, except where such violation would not reasonable be expected to have a Material Adverse Effect.</w:t>
      </w:r>
    </w:p>
    <w:p>
      <w:pPr>
        <w:spacing w:after="0" w:line="194"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540" w:firstLine="1428"/>
        <w:spacing w:after="0" w:line="266" w:lineRule="auto"/>
        <w:tabs>
          <w:tab w:leader="none" w:pos="164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Subsidiary (collectively, the “</w:t>
      </w:r>
      <w:r>
        <w:rPr>
          <w:rFonts w:ascii="Times New Roman" w:cs="Times New Roman" w:eastAsia="Times New Roman" w:hAnsi="Times New Roman"/>
          <w:sz w:val="18"/>
          <w:szCs w:val="18"/>
          <w:u w:val="single" w:color="auto"/>
          <w:color w:val="auto"/>
        </w:rPr>
        <w:t>Entity</w:t>
      </w:r>
      <w:r>
        <w:rPr>
          <w:rFonts w:ascii="Times New Roman" w:cs="Times New Roman" w:eastAsia="Times New Roman" w:hAnsi="Times New Roman"/>
          <w:sz w:val="18"/>
          <w:szCs w:val="18"/>
          <w:color w:val="auto"/>
        </w:rPr>
        <w:t>”) nor any director or officer of the Entity nor, to the Company’s knowledge, any employee, agent, affiliate or representative of the Entity, is a government, individual, or entity (in this paragraph (rr),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that is, or is owned or controlled by a Person that is:</w:t>
      </w:r>
    </w:p>
    <w:p>
      <w:pPr>
        <w:spacing w:after="0" w:line="67" w:lineRule="exact"/>
        <w:rPr>
          <w:rFonts w:ascii="Times New Roman" w:cs="Times New Roman" w:eastAsia="Times New Roman" w:hAnsi="Times New Roman"/>
          <w:sz w:val="18"/>
          <w:szCs w:val="18"/>
          <w:color w:val="auto"/>
        </w:rPr>
      </w:pPr>
    </w:p>
    <w:p>
      <w:pPr>
        <w:ind w:left="440" w:right="440" w:firstLine="1371"/>
        <w:spacing w:after="0" w:line="266" w:lineRule="auto"/>
        <w:tabs>
          <w:tab w:leader="none" w:pos="2059"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of any sanctions administered or enforced by the U.S. Department of Treasury’s Office of Foreign Assets Control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the United Nations Security Council (“</w:t>
      </w:r>
      <w:r>
        <w:rPr>
          <w:rFonts w:ascii="Times New Roman" w:cs="Times New Roman" w:eastAsia="Times New Roman" w:hAnsi="Times New Roman"/>
          <w:sz w:val="18"/>
          <w:szCs w:val="18"/>
          <w:u w:val="single" w:color="auto"/>
          <w:color w:val="auto"/>
        </w:rPr>
        <w:t>UNSC</w:t>
      </w:r>
      <w:r>
        <w:rPr>
          <w:rFonts w:ascii="Times New Roman" w:cs="Times New Roman" w:eastAsia="Times New Roman" w:hAnsi="Times New Roman"/>
          <w:sz w:val="18"/>
          <w:szCs w:val="18"/>
          <w:color w:val="auto"/>
        </w:rPr>
        <w:t>”), the European Union (“</w:t>
      </w:r>
      <w:r>
        <w:rPr>
          <w:rFonts w:ascii="Times New Roman" w:cs="Times New Roman" w:eastAsia="Times New Roman" w:hAnsi="Times New Roman"/>
          <w:sz w:val="18"/>
          <w:szCs w:val="18"/>
          <w:u w:val="single" w:color="auto"/>
          <w:color w:val="auto"/>
        </w:rPr>
        <w:t>EU</w:t>
      </w:r>
      <w:r>
        <w:rPr>
          <w:rFonts w:ascii="Times New Roman" w:cs="Times New Roman" w:eastAsia="Times New Roman" w:hAnsi="Times New Roman"/>
          <w:sz w:val="18"/>
          <w:szCs w:val="18"/>
          <w:color w:val="auto"/>
        </w:rPr>
        <w:t>”), His Majesty’s Treasury (“</w:t>
      </w:r>
      <w:r>
        <w:rPr>
          <w:rFonts w:ascii="Times New Roman" w:cs="Times New Roman" w:eastAsia="Times New Roman" w:hAnsi="Times New Roman"/>
          <w:sz w:val="18"/>
          <w:szCs w:val="18"/>
          <w:u w:val="single" w:color="auto"/>
          <w:color w:val="auto"/>
        </w:rPr>
        <w:t>HMT</w:t>
      </w:r>
      <w:r>
        <w:rPr>
          <w:rFonts w:ascii="Times New Roman" w:cs="Times New Roman" w:eastAsia="Times New Roman" w:hAnsi="Times New Roman"/>
          <w:sz w:val="18"/>
          <w:szCs w:val="18"/>
          <w:color w:val="auto"/>
        </w:rPr>
        <w:t>”), or other relevant sanctions authority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nor</w:t>
      </w:r>
    </w:p>
    <w:p>
      <w:pPr>
        <w:spacing w:after="0" w:line="67" w:lineRule="exact"/>
        <w:rPr>
          <w:rFonts w:ascii="Times New Roman" w:cs="Times New Roman" w:eastAsia="Times New Roman" w:hAnsi="Times New Roman"/>
          <w:sz w:val="18"/>
          <w:szCs w:val="18"/>
          <w:color w:val="auto"/>
        </w:rPr>
      </w:pPr>
    </w:p>
    <w:p>
      <w:pPr>
        <w:ind w:left="2060" w:hanging="249"/>
        <w:spacing w:after="0"/>
        <w:tabs>
          <w:tab w:leader="none" w:pos="2060"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located, organized or resident in a country or territory that is the subject of comprehensive territorial Sanctions (a</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Territory</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right="400" w:firstLine="1428"/>
        <w:spacing w:after="0" w:line="282" w:lineRule="auto"/>
        <w:tabs>
          <w:tab w:leader="none" w:pos="169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will not, directly or indirectly, knowingly use the proceeds of the offering, or lend, contribute or otherwise make available such proceeds to any subsidiary, joint venture partner or other Person:</w:t>
      </w:r>
    </w:p>
    <w:p>
      <w:pPr>
        <w:spacing w:after="0" w:line="53" w:lineRule="exact"/>
        <w:rPr>
          <w:rFonts w:ascii="Times New Roman" w:cs="Times New Roman" w:eastAsia="Times New Roman" w:hAnsi="Times New Roman"/>
          <w:sz w:val="18"/>
          <w:szCs w:val="18"/>
          <w:color w:val="auto"/>
        </w:rPr>
      </w:pPr>
    </w:p>
    <w:p>
      <w:pPr>
        <w:ind w:left="440" w:right="20" w:firstLine="1371"/>
        <w:spacing w:after="0" w:line="282" w:lineRule="auto"/>
        <w:tabs>
          <w:tab w:leader="none" w:pos="2059"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fund or facilitate any activities or business of or with any Person that is the subject of Sanctions, or with or involving any Sanctioned Territory; or</w:t>
      </w:r>
    </w:p>
    <w:p>
      <w:pPr>
        <w:spacing w:after="0" w:line="53" w:lineRule="exact"/>
        <w:rPr>
          <w:rFonts w:ascii="Times New Roman" w:cs="Times New Roman" w:eastAsia="Times New Roman" w:hAnsi="Times New Roman"/>
          <w:sz w:val="18"/>
          <w:szCs w:val="18"/>
          <w:color w:val="auto"/>
        </w:rPr>
      </w:pPr>
    </w:p>
    <w:p>
      <w:pPr>
        <w:ind w:left="440" w:right="360" w:firstLine="1371"/>
        <w:spacing w:after="0" w:line="282" w:lineRule="auto"/>
        <w:tabs>
          <w:tab w:leader="none" w:pos="207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manner that will result in a violation of Sanctions by any Person (including any Person participating in the offering, whether as underwriter, advisor, investor or otherwise).</w:t>
      </w:r>
    </w:p>
    <w:p>
      <w:pPr>
        <w:spacing w:after="0" w:line="54" w:lineRule="exact"/>
        <w:rPr>
          <w:sz w:val="20"/>
          <w:szCs w:val="20"/>
          <w:color w:val="auto"/>
        </w:rPr>
      </w:pPr>
    </w:p>
    <w:p>
      <w:pPr>
        <w:ind w:left="5420" w:right="4500" w:hanging="3992"/>
        <w:spacing w:after="0" w:line="454" w:lineRule="auto"/>
        <w:tabs>
          <w:tab w:leader="none" w:pos="174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represents and covenants that, except as detailed in the 16</w:t>
      </w:r>
    </w:p>
    <w:p>
      <w:pPr>
        <w:sectPr>
          <w:pgSz w:w="11900" w:h="16838" w:orient="portrait"/>
          <w:cols w:equalWidth="0" w:num="1">
            <w:col w:w="10980"/>
          </w:cols>
          <w:pgMar w:left="440" w:top="270" w:right="479" w:bottom="1440" w:gutter="0" w:footer="0" w:header="0"/>
        </w:sectPr>
      </w:pPr>
    </w:p>
    <w:bookmarkStart w:id="19" w:name="page20"/>
    <w:bookmarkEnd w:id="19"/>
    <w:p>
      <w:pPr>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Registration Statement and the Prospectus, since April 24, 2019, it has not knowingly engaged in and is not now knowingly engaged in any dealing or transactions with any Person that at the time of the dealing or transaction is or was the subject of Sanctions, or with or involving any country or territory, that at the time of the dealing or transaction is or was a Sanctioned Territory.</w:t>
      </w:r>
    </w:p>
    <w:p>
      <w:pPr>
        <w:spacing w:after="0" w:line="176" w:lineRule="exact"/>
        <w:rPr>
          <w:sz w:val="20"/>
          <w:szCs w:val="20"/>
          <w:color w:val="auto"/>
        </w:rPr>
      </w:pPr>
    </w:p>
    <w:p>
      <w:pPr>
        <w:jc w:val="both"/>
        <w:ind w:right="20" w:firstLine="987"/>
        <w:spacing w:after="0" w:line="266" w:lineRule="auto"/>
        <w:tabs>
          <w:tab w:leader="none" w:pos="118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Transfer Taxes</w:t>
      </w:r>
      <w:r>
        <w:rPr>
          <w:rFonts w:ascii="Times New Roman" w:cs="Times New Roman" w:eastAsia="Times New Roman" w:hAnsi="Times New Roman"/>
          <w:sz w:val="18"/>
          <w:szCs w:val="18"/>
          <w:color w:val="auto"/>
        </w:rPr>
        <w:t>. On each Settlement Date, all material stock transfer or other taxes (other than income taxes) which are required to be paid in connection with the sale and transfer of the Placement Shares to be sold hereunder will be, or will have been, fully paid or provided for by the Company and all laws imposing such taxes will be or will have been fully complied with by the Company in all material respects.</w:t>
      </w:r>
    </w:p>
    <w:p>
      <w:pPr>
        <w:spacing w:after="0" w:line="175" w:lineRule="exact"/>
        <w:rPr>
          <w:rFonts w:ascii="Times New Roman" w:cs="Times New Roman" w:eastAsia="Times New Roman" w:hAnsi="Times New Roman"/>
          <w:sz w:val="18"/>
          <w:szCs w:val="18"/>
          <w:color w:val="auto"/>
        </w:rPr>
      </w:pPr>
    </w:p>
    <w:p>
      <w:pPr>
        <w:ind w:firstLine="987"/>
        <w:spacing w:after="0" w:line="253" w:lineRule="auto"/>
        <w:tabs>
          <w:tab w:leader="none" w:pos="126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IT Systems</w:t>
      </w:r>
      <w:r>
        <w:rPr>
          <w:rFonts w:ascii="Times New Roman" w:cs="Times New Roman" w:eastAsia="Times New Roman" w:hAnsi="Times New Roman"/>
          <w:sz w:val="18"/>
          <w:szCs w:val="18"/>
          <w:color w:val="auto"/>
        </w:rPr>
        <w:t>. Except as disclosed in the Registration Statement or the Prospectus, (i)(x) To the knowledge of the Company, there has been no material security breach or other material compromise of the Company’s information technology and computer systems, networks, hardware, software, data (including the data of their respective customers, employees, suppliers, vendors and any third party data maintained by or on behalf of them), equipment or technology used in the Company’s business (collectively, “</w:t>
      </w:r>
      <w:r>
        <w:rPr>
          <w:rFonts w:ascii="Times New Roman" w:cs="Times New Roman" w:eastAsia="Times New Roman" w:hAnsi="Times New Roman"/>
          <w:sz w:val="18"/>
          <w:szCs w:val="18"/>
          <w:u w:val="single" w:color="auto"/>
          <w:color w:val="auto"/>
        </w:rPr>
        <w:t>IT Systems and Data</w:t>
      </w:r>
      <w:r>
        <w:rPr>
          <w:rFonts w:ascii="Times New Roman" w:cs="Times New Roman" w:eastAsia="Times New Roman" w:hAnsi="Times New Roman"/>
          <w:sz w:val="18"/>
          <w:szCs w:val="18"/>
          <w:color w:val="auto"/>
        </w:rPr>
        <w:t>”) and (y) the Company has not been notified of, and has no knowledge of any event or condition that would reasonably be expected to result in, any material security breach or other material compromise to its IT Systems and Data; (ii) the Company is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 the case of clauses (i) and (ii), individually or in the aggregate, reasonably be expected to have a Material Adverse Effect; and (iii) the Company has implemented commercially reasonable backup and disaster recovery technology consistent with industry standards and practices.</w:t>
      </w:r>
    </w:p>
    <w:p>
      <w:pPr>
        <w:spacing w:after="0" w:line="191" w:lineRule="exact"/>
        <w:rPr>
          <w:rFonts w:ascii="Times New Roman" w:cs="Times New Roman" w:eastAsia="Times New Roman" w:hAnsi="Times New Roman"/>
          <w:sz w:val="18"/>
          <w:szCs w:val="18"/>
          <w:color w:val="auto"/>
        </w:rPr>
      </w:pPr>
    </w:p>
    <w:p>
      <w:pPr>
        <w:ind w:firstLine="987"/>
        <w:spacing w:after="0" w:line="253" w:lineRule="auto"/>
        <w:tabs>
          <w:tab w:leader="none" w:pos="125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Privacy Laws</w:t>
      </w:r>
      <w:r>
        <w:rPr>
          <w:rFonts w:ascii="Times New Roman" w:cs="Times New Roman" w:eastAsia="Times New Roman" w:hAnsi="Times New Roman"/>
          <w:sz w:val="18"/>
          <w:szCs w:val="18"/>
          <w:color w:val="auto"/>
        </w:rPr>
        <w:t>. Except as otherwise described in Registration Statement and the Prospectus, and except as would not, individually or in the aggregate, reasonably be expected to result in a Material Adverse Effect, the Company is, and during the past three (3) years was, in compliance with all applicable data privacy and security laws; and the Company has taken commercially reasonable actions to comply in all material respects with the European Union General Data Protection Regulation (“</w:t>
      </w:r>
      <w:r>
        <w:rPr>
          <w:rFonts w:ascii="Times New Roman" w:cs="Times New Roman" w:eastAsia="Times New Roman" w:hAnsi="Times New Roman"/>
          <w:sz w:val="18"/>
          <w:szCs w:val="18"/>
          <w:u w:val="single" w:color="auto"/>
          <w:color w:val="auto"/>
        </w:rPr>
        <w:t>GDPR</w:t>
      </w:r>
      <w:r>
        <w:rPr>
          <w:rFonts w:ascii="Times New Roman" w:cs="Times New Roman" w:eastAsia="Times New Roman" w:hAnsi="Times New Roman"/>
          <w:sz w:val="18"/>
          <w:szCs w:val="18"/>
          <w:color w:val="auto"/>
        </w:rPr>
        <w:t>”) (EU 2016/679) (collectively, “</w:t>
      </w:r>
      <w:r>
        <w:rPr>
          <w:rFonts w:ascii="Times New Roman" w:cs="Times New Roman" w:eastAsia="Times New Roman" w:hAnsi="Times New Roman"/>
          <w:sz w:val="18"/>
          <w:szCs w:val="18"/>
          <w:u w:val="single" w:color="auto"/>
          <w:color w:val="auto"/>
        </w:rPr>
        <w:t>Privacy Laws</w:t>
      </w:r>
      <w:r>
        <w:rPr>
          <w:rFonts w:ascii="Times New Roman" w:cs="Times New Roman" w:eastAsia="Times New Roman" w:hAnsi="Times New Roman"/>
          <w:sz w:val="18"/>
          <w:szCs w:val="18"/>
          <w:color w:val="auto"/>
        </w:rPr>
        <w:t>”). The Company has in place, complies with, and takes appropriate steps reasonably designed to ensure compliance in all material respects with its policies and procedures relating to data privacy and security and the collection, storage, use, disclosure, handling and analysis of Personal Data (the “</w:t>
      </w:r>
      <w:r>
        <w:rPr>
          <w:rFonts w:ascii="Times New Roman" w:cs="Times New Roman" w:eastAsia="Times New Roman" w:hAnsi="Times New Roman"/>
          <w:sz w:val="18"/>
          <w:szCs w:val="18"/>
          <w:u w:val="single" w:color="auto"/>
          <w:color w:val="auto"/>
        </w:rPr>
        <w:t>Policies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means (i) a natural persons’ name, street address, telephone number, email address, photograph, social security number, bank information, or customer or account number; (ii) any information which would qualify as “personally identifying information” under the Federal Trade Commission Act, as amended; (iii) “personal data” as defined by GDPR; and (iv) any other piece of information that allows the identification of such natural person, or his or her family, or permits the collection or analysis of any data related to an identified person’s health or sexual orientation. Except as would not, individually or in the aggregate, reasonably be expected to result in a Material Adverse Effect, to the Company’s knowledge, none of such disclosures made or contained in any of the Policies have been inaccurate, misleading, deceptive or in violation of any Privacy Laws or Policies. The execution, delivery and performance of this Agreement will</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20" w:name="page21"/>
    <w:bookmarkEnd w:id="20"/>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 result in a breach of any Privacy Laws or Policies, except as would not, individually or in the aggregate, reasonably be expected to result in a Material Adverse Effect. Except as would not, individually or in the aggregate, reasonably be expected to result in a Material Adverse Effect, the Company (i) has not received written notice of any actual or potential material liability under or relating to, or actual or potential violation of, any of the Privacy Laws, and has no knowledge of any event or condition that would reasonably be expected to result in any such notice; (ii) is not currently conducting or paying for, in whole or in part, any investigation, remediation or other corrective action pursuant to any Privacy Law; or (iii) is not a party to any order or agreement that imposes any obligation or liability under any Privacy Law.</w:t>
      </w:r>
    </w:p>
    <w:p>
      <w:pPr>
        <w:spacing w:after="0" w:line="187" w:lineRule="exact"/>
        <w:rPr>
          <w:sz w:val="20"/>
          <w:szCs w:val="20"/>
          <w:color w:val="auto"/>
        </w:rPr>
      </w:pPr>
    </w:p>
    <w:p>
      <w:pPr>
        <w:ind w:right="500" w:firstLine="987"/>
        <w:spacing w:after="0" w:line="282" w:lineRule="auto"/>
        <w:tabs>
          <w:tab w:leader="none" w:pos="133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FINRA Exemption</w:t>
      </w:r>
      <w:r>
        <w:rPr>
          <w:rFonts w:ascii="Times New Roman" w:cs="Times New Roman" w:eastAsia="Times New Roman" w:hAnsi="Times New Roman"/>
          <w:sz w:val="18"/>
          <w:szCs w:val="18"/>
          <w:color w:val="auto"/>
        </w:rPr>
        <w:t>. As of the date of this Agreement, the Company qualifies as an “experienced issuer” (within the meaning of FINRA Conduct Rule 5110(j)(6)) for purposes of the exemption from filing under FINRA Conduct Rule 5110(h)(1)(C).</w:t>
      </w:r>
    </w:p>
    <w:p>
      <w:pPr>
        <w:spacing w:after="0" w:line="162" w:lineRule="exact"/>
        <w:rPr>
          <w:sz w:val="20"/>
          <w:szCs w:val="20"/>
          <w:color w:val="auto"/>
        </w:rPr>
      </w:pPr>
    </w:p>
    <w:p>
      <w:pPr>
        <w:ind w:right="80" w:firstLine="991"/>
        <w:spacing w:after="0" w:line="312" w:lineRule="auto"/>
        <w:rPr>
          <w:sz w:val="20"/>
          <w:szCs w:val="20"/>
          <w:color w:val="auto"/>
        </w:rPr>
      </w:pPr>
      <w:r>
        <w:rPr>
          <w:rFonts w:ascii="Times New Roman" w:cs="Times New Roman" w:eastAsia="Times New Roman" w:hAnsi="Times New Roman"/>
          <w:sz w:val="17"/>
          <w:szCs w:val="17"/>
          <w:color w:val="auto"/>
        </w:rPr>
        <w:t>Any certificate signed by an officer of the Company and delivered to the Agent or to counsel for the Agent pursuant to or in connection with this Agreement shall be deemed to be a representation and warranty by the Company, as applicable, to the Agent as to the matters set forth therein.</w:t>
      </w:r>
    </w:p>
    <w:p>
      <w:pPr>
        <w:spacing w:after="0" w:line="140" w:lineRule="exact"/>
        <w:rPr>
          <w:sz w:val="20"/>
          <w:szCs w:val="20"/>
          <w:color w:val="auto"/>
        </w:rPr>
      </w:pPr>
    </w:p>
    <w:p>
      <w:pPr>
        <w:ind w:left="620" w:hanging="184"/>
        <w:spacing w:after="0"/>
        <w:tabs>
          <w:tab w:leader="none" w:pos="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 of the Company</w:t>
      </w:r>
      <w:r>
        <w:rPr>
          <w:rFonts w:ascii="Times New Roman" w:cs="Times New Roman" w:eastAsia="Times New Roman" w:hAnsi="Times New Roman"/>
          <w:sz w:val="18"/>
          <w:szCs w:val="18"/>
          <w:color w:val="auto"/>
        </w:rPr>
        <w:t>. The Company covenants and agrees with the Agent that:</w:t>
      </w:r>
    </w:p>
    <w:p>
      <w:pPr>
        <w:spacing w:after="0" w:line="117" w:lineRule="exact"/>
        <w:rPr>
          <w:rFonts w:ascii="Times New Roman" w:cs="Times New Roman" w:eastAsia="Times New Roman" w:hAnsi="Times New Roman"/>
          <w:sz w:val="18"/>
          <w:szCs w:val="18"/>
          <w:color w:val="auto"/>
        </w:rPr>
      </w:pPr>
    </w:p>
    <w:p>
      <w:pPr>
        <w:ind w:firstLine="991"/>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a. </w:t>
      </w:r>
      <w:r>
        <w:rPr>
          <w:rFonts w:ascii="Times New Roman" w:cs="Times New Roman" w:eastAsia="Times New Roman" w:hAnsi="Times New Roman"/>
          <w:sz w:val="17"/>
          <w:szCs w:val="17"/>
          <w:u w:val="single" w:color="auto"/>
          <w:color w:val="auto"/>
        </w:rPr>
        <w:t>Registration Statement Amendments</w:t>
      </w:r>
      <w:r>
        <w:rPr>
          <w:rFonts w:ascii="Times New Roman" w:cs="Times New Roman" w:eastAsia="Times New Roman" w:hAnsi="Times New Roman"/>
          <w:sz w:val="17"/>
          <w:szCs w:val="17"/>
          <w:color w:val="auto"/>
        </w:rPr>
        <w:t>. After the date of this Agreement and during any period in which a prospectus relating to any Placement Shares is required to be delivered by the Agent under the Securities Act (including in circumstances where such requirement may be satisfied pursuant to Rule 172 under the Securities Act) (the “</w:t>
      </w:r>
      <w:r>
        <w:rPr>
          <w:rFonts w:ascii="Times New Roman" w:cs="Times New Roman" w:eastAsia="Times New Roman" w:hAnsi="Times New Roman"/>
          <w:sz w:val="17"/>
          <w:szCs w:val="17"/>
          <w:u w:val="single" w:color="auto"/>
          <w:color w:val="auto"/>
        </w:rPr>
        <w:t>Prospectus Delivery Period</w:t>
      </w:r>
      <w:r>
        <w:rPr>
          <w:rFonts w:ascii="Times New Roman" w:cs="Times New Roman" w:eastAsia="Times New Roman" w:hAnsi="Times New Roman"/>
          <w:sz w:val="17"/>
          <w:szCs w:val="17"/>
          <w:color w:val="auto"/>
        </w:rPr>
        <w:t>”) (i) the Company will notify the Agent promptly of the time when any subsequent amendment to the Registration Statement, other than documents incorporated by reference or amendments not related to any Placement, has been filed with the Commission and/or has become effective or any subsequent supplement to the Prospectus has been filed and of any request by the Commission for any amendment or supplement to the Registration Statement or Prospectus related to the Placement or for additional information related to the Placement, (ii) the Company will prepare and file with the Commission, promptly upon the Agent’s request, any amendments or supplements to the Registration Statement or Prospectus that, upon the advice of the Company’s legal counsel, may be necessary or advisable in connection with the distribution of the Placement Shares by the Agent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the failure of the Agent to make such request shall not relieve the Company of any obligation or liability hereunder, or affect the Agent’s right to rely on the representations and warranties made by the Company in this Agreement and provided, further, that the only remedy the Agent shall have with respect to the failure to make such filing shall be to cease making sales under this Agreement until such amendment or supplement is filed); (iii) the Company will not file any amendment or supplement to the Registration Statement or Prospectus relating to the Placement Shares or a security convertible into the Placement Shares (other than an Incorporated Document) unless a copy thereof has been submitted to the Agent within a reasonable period of time before the filing and the Agent has not reasonably objected thereto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(A) the failure of the Agent to make such objection shall not relieve the Company of any obligation or liability hereunder, or affect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Agent’s right to rely on the representations and warranties made by the Company in this Agreement and (B) the Company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21" w:name="page22"/>
    <w:bookmarkEnd w:id="21"/>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has no obligation to provide the Agent any advance copy of such filing or to provide the Agent an opportunity to object to such filing if the filing does not name the Agent or does not relate to the transaction herein provided; and provided, further, that the only remedy the Agent shall have with respect to the failure by the Company to obtain such consent shall be to cease making sales under this Agreement) and the Company will furnish to the Agent at the time of filing thereof a copy of any document that upon filing is deemed to be incorporated by reference into the Registration Statement or Prospectus, except for those documents available via EDGAR; and (iv) the Company will cause each amendment or supplement to the Prospectus to be filed with the Commission as required pursuant to the applicable paragraph of Rule 424(b) of the Securities Act or, in the case of any document to be incorporated therein by reference, to be filed with the Commission as required pursuant to the Exchange Act, within the time period prescribed (the determination to file or not file any amendment or supplement with the Commission under this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 based on the Company’s reasonable opinion or reasonable objections, shall be made exclusively by the Company).</w:t>
      </w:r>
    </w:p>
    <w:p>
      <w:pPr>
        <w:spacing w:after="0" w:line="188" w:lineRule="exact"/>
        <w:rPr>
          <w:sz w:val="20"/>
          <w:szCs w:val="20"/>
          <w:color w:val="auto"/>
        </w:rPr>
      </w:pPr>
    </w:p>
    <w:p>
      <w:pPr>
        <w:ind w:firstLine="991"/>
        <w:spacing w:after="0" w:line="273" w:lineRule="auto"/>
        <w:rPr>
          <w:sz w:val="20"/>
          <w:szCs w:val="20"/>
          <w:color w:val="auto"/>
        </w:rPr>
      </w:pPr>
      <w:r>
        <w:rPr>
          <w:rFonts w:ascii="Times New Roman" w:cs="Times New Roman" w:eastAsia="Times New Roman" w:hAnsi="Times New Roman"/>
          <w:sz w:val="17"/>
          <w:szCs w:val="17"/>
          <w:color w:val="auto"/>
        </w:rPr>
        <w:t xml:space="preserve">b. </w:t>
      </w:r>
      <w:r>
        <w:rPr>
          <w:rFonts w:ascii="Times New Roman" w:cs="Times New Roman" w:eastAsia="Times New Roman" w:hAnsi="Times New Roman"/>
          <w:sz w:val="17"/>
          <w:szCs w:val="17"/>
          <w:u w:val="single" w:color="auto"/>
          <w:color w:val="auto"/>
        </w:rPr>
        <w:t>Notice of Commission Stop Orders</w:t>
      </w:r>
      <w:r>
        <w:rPr>
          <w:rFonts w:ascii="Times New Roman" w:cs="Times New Roman" w:eastAsia="Times New Roman" w:hAnsi="Times New Roman"/>
          <w:sz w:val="17"/>
          <w:szCs w:val="17"/>
          <w:color w:val="auto"/>
        </w:rPr>
        <w:t>. The Company will advise the Agent,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use its commercially reasonable efforts to prevent the issuance of any stop order or to obtain its withdrawal if such a stop order should be issued. The Company will advise the Agent promptly after it receives any request by the Commission for any amendments to the Registration Statement or any amendment or supplements to the Prospectus or any Issuer Free Writing Prospectus or for additional information related to the offering of the Placement Shares or for additional information related to the Registration Statement, the Prospectus or any Issuer Free Writing Prospectus.</w:t>
      </w:r>
    </w:p>
    <w:p>
      <w:pPr>
        <w:spacing w:after="0" w:line="171"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Delivery of Prospectus; Subsequent Changes</w:t>
      </w:r>
      <w:r>
        <w:rPr>
          <w:rFonts w:ascii="Times New Roman" w:cs="Times New Roman" w:eastAsia="Times New Roman" w:hAnsi="Times New Roman"/>
          <w:sz w:val="18"/>
          <w:szCs w:val="18"/>
          <w:color w:val="auto"/>
        </w:rPr>
        <w:t xml:space="preserve">. During the Prospectus Delivery Period, the Company will comply with all requirements imposed upon it by the Securities Act, as from time to time in force, and to file on or before their respective due dates all reports and any definitive proxy or information statements required to be filed by the Company with the Commission pursuant to Sections 13(a), 13(c), 14, 15(d) or any other provision of or under the Exchange Act. If the Company has omitted any information from the Registration Statement pursuant to Rule 430A under the Securities Act, it will use its commercially reasonable efforts to comply with the provisions of and make all requisite filings with the Commission pursuant to said Rule 430A and to notify the Agent promptly of all such filings. If during the Prospectus Delivery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Prospectus Delivery Period it is necessary to amend or supplement the Registration Statement or Prospectus to comply with the Securities Act, the Company will promptly notify the Agent to suspend the offering of Placement Shares during such period and the Company will promptly amend or supplement the Registration Statement or Prospectus (at the expense of the Company) so as to correct such statement or omission or effect such compliance;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may delay the filing of any amendment or supplement, if in the judgment of the Company, it is in the best interest of the Company.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20"/>
          </w:cols>
          <w:pgMar w:left="440" w:top="270" w:right="439" w:bottom="1440" w:gutter="0" w:footer="0" w:header="0"/>
        </w:sectPr>
      </w:pPr>
    </w:p>
    <w:bookmarkStart w:id="22" w:name="page23"/>
    <w:bookmarkEnd w:id="22"/>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 </w:t>
      </w:r>
      <w:r>
        <w:rPr>
          <w:rFonts w:ascii="Times New Roman" w:cs="Times New Roman" w:eastAsia="Times New Roman" w:hAnsi="Times New Roman"/>
          <w:sz w:val="18"/>
          <w:szCs w:val="18"/>
          <w:u w:val="single" w:color="auto"/>
          <w:color w:val="auto"/>
        </w:rPr>
        <w:t>Listing of Placement Shares</w:t>
      </w:r>
      <w:r>
        <w:rPr>
          <w:rFonts w:ascii="Times New Roman" w:cs="Times New Roman" w:eastAsia="Times New Roman" w:hAnsi="Times New Roman"/>
          <w:sz w:val="18"/>
          <w:szCs w:val="18"/>
          <w:color w:val="auto"/>
        </w:rPr>
        <w:t xml:space="preserve">. During the Prospectus Delivery Period, the Company will use its commercially reasonable efforts to cause the Placement Shares to be listed on the Exchange and to qualify the Placement Shares for sale under the securities laws of such jurisdictions in the United States as the Agent reasonably designates and to continue such qualifications in effect so long as required for the distribution of the Placement Shares;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shall not be required in connection therewith to qualify as a foreign corporation or dealer in securities, file a general consent to service of process, or subject itself to taxation in any jurisdiction if it is not otherwise so subject.</w:t>
      </w:r>
    </w:p>
    <w:p>
      <w:pPr>
        <w:spacing w:after="0" w:line="183"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Delivery of Registration Statement and Prospectus</w:t>
      </w:r>
      <w:r>
        <w:rPr>
          <w:rFonts w:ascii="Times New Roman" w:cs="Times New Roman" w:eastAsia="Times New Roman" w:hAnsi="Times New Roman"/>
          <w:sz w:val="18"/>
          <w:szCs w:val="18"/>
          <w:color w:val="auto"/>
        </w:rPr>
        <w:t xml:space="preserve">. The Company will furnish to the Agent and its counsel (at the reasonable expense of the Company) copies of the Registration Statement, the Prospectus (including all documents incorporated by reference therein) and all amendments and supplements to the Registration Statement or Prospectus that are filed with the Commission during the Prospectus Delivery Period (including all documents filed with the Commission during such period that are deemed to be incorporated by reference therein), in each case as soon as reasonably practicable and in such quantities as the Agent may from time to time reasonably request and, at the Agent’s request, will also furnish copies of the Prospectus to each exchange or market on which sales of the Placement Shares may be made;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shall not be required to furnish any document (other than the Prospectus) to the Agent to the extent such document is available on EDGAR.</w:t>
      </w:r>
    </w:p>
    <w:p>
      <w:pPr>
        <w:spacing w:after="0" w:line="189"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Earnings Statement</w:t>
      </w:r>
      <w:r>
        <w:rPr>
          <w:rFonts w:ascii="Times New Roman" w:cs="Times New Roman" w:eastAsia="Times New Roman" w:hAnsi="Times New Roman"/>
          <w:sz w:val="18"/>
          <w:szCs w:val="18"/>
          <w:color w:val="auto"/>
        </w:rPr>
        <w:t>. To the extent not available on Edgar, the Company will make generally available to its security holders as soon as practicable, but in any event not later than 15 months after the end of the Company’s current fiscal quarter, an earnings statement covering a 12-month period that satisfies the provisions of Section 11(a) and Rule 158 of the Securities Act. The Agent and the Company acknowledge and agree that the Company’s ordinary, timely-filed periodic filings with the Commission pursuant to the Exchange Act may be used to satisfy this obligation to the extent consistent with the requirements set forth herein.</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will use the Net Proceeds as described in the Prospectus in the section entitled “Use of Proceeds.”</w:t>
      </w:r>
    </w:p>
    <w:p>
      <w:pPr>
        <w:spacing w:after="0" w:line="225"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u w:val="single" w:color="auto"/>
          <w:color w:val="auto"/>
        </w:rPr>
        <w:t>Notice of Other Sales</w:t>
      </w:r>
      <w:r>
        <w:rPr>
          <w:rFonts w:ascii="Times New Roman" w:cs="Times New Roman" w:eastAsia="Times New Roman" w:hAnsi="Times New Roman"/>
          <w:sz w:val="18"/>
          <w:szCs w:val="18"/>
          <w:color w:val="auto"/>
        </w:rPr>
        <w:t xml:space="preserve">. Without the prior written consent of the Agent, the Company will not, directly or indirectly, offer to sell, sell, contract to sell, grant any option to sell or otherwise dispose of any Common Stock (other than the Placement Shares offered pursuant to this Agreement) or securities convertible into or exchangeable for Common Stock, warrants or any rights to purchase or acquire, Common Stock during the period beginning on the date on which any Placement Notice is delivered to the Agent hereunder and ending on the third (3rd) Trading Day immediately following the final Settlement Date with respect to Placement Shares sold pursuant to such Placement Notice (or, if the Placement Notice has been terminated or suspended prior to the sale of all Placement Shares covered by a Placement Notice, the date of such suspension or termination); and will not directly or indirectly in any other “at the market” or continuous equity transaction offer to sell, sell, contract to sell, grant any option to sell or otherwise dispose of any Common Stock (other than the Placement Shares offered pursuant to this Agreement) or securities convertible into or exchangeable for Common Stock, warrants or any rights to purchase or acquire, Common Stock prior to the termination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restrictions will not apply in connection with the Company’s issuance or sale of (i) Common Stock,</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23" w:name="page24"/>
    <w:bookmarkEnd w:id="23"/>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options to purchase Common Stock or Common Stock issuable upon the exercise, vesting or settlement of options, restricted stock units or other equity awards, pursuant to any stock option, benefits plan, other employee compensation plan, stock ownership plan or dividend reinvestment plan (but not Common Stock subject to a waiver to exceed plan limits in its dividend reinvestment plan) of the Company whether now in effect or hereafter implemented; (ii) Common Stock issuable upon conversion or redemption of securities or the exercise of warrants, options or other rights in effect or outstanding, and disclosed in filings by the Company available on EDGAR or otherwise in writing to the Agent, (iii) Common Stock, or securities convertible into, exchangeable for or exercisable for Common Stock, offered and sold in a privately negotiated transaction to vendors, customers, strategic partners or potential strategic partners or other investors conducted in a manner so as not to be integrated with the offering of Common Stock hereby and (iv) Common Stock in connection with any acquisition, strategic investment, commercial transaction or other similar transaction (including any joint venture, strategic alliance or partnership). Notwithstanding the foregoing provisions, nothing herein shall be construed to restrict the Company’s ability, or require the consent of the Agent, to file a registration statement under the Securities Act.</w:t>
      </w:r>
    </w:p>
    <w:p>
      <w:pPr>
        <w:spacing w:after="0" w:line="194"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Change of Circumstances</w:t>
      </w:r>
      <w:r>
        <w:rPr>
          <w:rFonts w:ascii="Times New Roman" w:cs="Times New Roman" w:eastAsia="Times New Roman" w:hAnsi="Times New Roman"/>
          <w:sz w:val="18"/>
          <w:szCs w:val="18"/>
          <w:color w:val="auto"/>
        </w:rPr>
        <w:t>. The Company will, at any time during the pendency of a Placement Notice advise the Agent promptly after it shall have received notice or obtained knowledge thereof, of any information or fact that would alter or affect in any material respect any opinion, certificate, letter or other document required to be provided to the Agent pursuant to this Agreement.</w:t>
      </w:r>
    </w:p>
    <w:p>
      <w:pPr>
        <w:spacing w:after="0" w:line="176"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j. </w:t>
      </w:r>
      <w:r>
        <w:rPr>
          <w:rFonts w:ascii="Times New Roman" w:cs="Times New Roman" w:eastAsia="Times New Roman" w:hAnsi="Times New Roman"/>
          <w:sz w:val="18"/>
          <w:szCs w:val="18"/>
          <w:u w:val="single" w:color="auto"/>
          <w:color w:val="auto"/>
        </w:rPr>
        <w:t>Due Diligence Cooperation</w:t>
      </w:r>
      <w:r>
        <w:rPr>
          <w:rFonts w:ascii="Times New Roman" w:cs="Times New Roman" w:eastAsia="Times New Roman" w:hAnsi="Times New Roman"/>
          <w:sz w:val="18"/>
          <w:szCs w:val="18"/>
          <w:color w:val="auto"/>
        </w:rPr>
        <w:t>. During the term of this Agreement, the Company will cooperate with any reasonable due diligence review conducted by the Agent or its representatives in connection with the transactions contemplated hereby, including, without limitation, providing information and making available documents and senior corporate officers, during regular business hours and at the Company’s principal offices, as the Agent may reasonably request.</w:t>
      </w:r>
    </w:p>
    <w:p>
      <w:pPr>
        <w:spacing w:after="0" w:line="180" w:lineRule="exact"/>
        <w:rPr>
          <w:sz w:val="20"/>
          <w:szCs w:val="20"/>
          <w:color w:val="auto"/>
        </w:rPr>
      </w:pPr>
    </w:p>
    <w:p>
      <w:pPr>
        <w:ind w:right="1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k. </w:t>
      </w:r>
      <w:r>
        <w:rPr>
          <w:rFonts w:ascii="Times New Roman" w:cs="Times New Roman" w:eastAsia="Times New Roman" w:hAnsi="Times New Roman"/>
          <w:sz w:val="18"/>
          <w:szCs w:val="18"/>
          <w:u w:val="single" w:color="auto"/>
          <w:color w:val="auto"/>
        </w:rPr>
        <w:t>Required Filings Relating to Placement of Placement Shares</w:t>
      </w:r>
      <w:r>
        <w:rPr>
          <w:rFonts w:ascii="Times New Roman" w:cs="Times New Roman" w:eastAsia="Times New Roman" w:hAnsi="Times New Roman"/>
          <w:sz w:val="18"/>
          <w:szCs w:val="18"/>
          <w:color w:val="auto"/>
        </w:rPr>
        <w:t>. Promptly following the end of each quarterly period, the Company shall disclose in its Annual Report on Form 10-K or Quarterly Report on Form 10-Q filed by the Company for any quarter the number of Placement Shares sold by or through the Agent under this Agreement and the Net Proceeds received by the Company with respect to such sales or, to the extent required by applicable law and/or interpretations of the Commission, the Company shall disclose such information in a prospectus supplement with the Commission under the applicable paragraph of Rule 424(b) under the Securities Act.</w:t>
      </w:r>
    </w:p>
    <w:p>
      <w:pPr>
        <w:spacing w:after="0" w:line="183"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l. </w:t>
      </w:r>
      <w:r>
        <w:rPr>
          <w:rFonts w:ascii="Times New Roman" w:cs="Times New Roman" w:eastAsia="Times New Roman" w:hAnsi="Times New Roman"/>
          <w:sz w:val="18"/>
          <w:szCs w:val="18"/>
          <w:u w:val="single" w:color="auto"/>
          <w:color w:val="auto"/>
        </w:rPr>
        <w:t>Representation Dates; Certificate</w:t>
      </w:r>
      <w:r>
        <w:rPr>
          <w:rFonts w:ascii="Times New Roman" w:cs="Times New Roman" w:eastAsia="Times New Roman" w:hAnsi="Times New Roman"/>
          <w:sz w:val="18"/>
          <w:szCs w:val="18"/>
          <w:color w:val="auto"/>
        </w:rPr>
        <w:t>. On or prior to the date of the first Placement Notice given hereunder and each time during the term of this Agreement that the Company:</w:t>
      </w:r>
    </w:p>
    <w:p>
      <w:pPr>
        <w:spacing w:after="0" w:line="54" w:lineRule="exact"/>
        <w:rPr>
          <w:sz w:val="20"/>
          <w:szCs w:val="20"/>
          <w:color w:val="auto"/>
        </w:rPr>
      </w:pPr>
    </w:p>
    <w:p>
      <w:pPr>
        <w:jc w:val="both"/>
        <w:ind w:right="120" w:firstLine="1428"/>
        <w:spacing w:after="0" w:line="289" w:lineRule="auto"/>
        <w:tabs>
          <w:tab w:leader="none" w:pos="1647"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amends or supplements (other than a prospectus supplement relating solely to an offering of securities other than the Placement Shares) the Registration Statement or the Prospectus relating to the Placement Shares by means of a post-effective amendment, sticker, or supplement but not by means of incorporation of documents by reference into the Registration Statement or the Prospectus relating to the Placement Shares;</w:t>
      </w:r>
    </w:p>
    <w:p>
      <w:pPr>
        <w:spacing w:after="0" w:line="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40"/>
          </w:cols>
          <w:pgMar w:left="440" w:top="270" w:right="519" w:bottom="1440" w:gutter="0" w:footer="0" w:header="0"/>
        </w:sectPr>
      </w:pPr>
    </w:p>
    <w:bookmarkStart w:id="24" w:name="page25"/>
    <w:bookmarkEnd w:id="24"/>
    <w:p>
      <w:pPr>
        <w:ind w:right="60" w:firstLine="1428"/>
        <w:spacing w:after="0" w:line="282" w:lineRule="auto"/>
        <w:tabs>
          <w:tab w:leader="none" w:pos="169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files an annual report on Form 10-K under the Exchange Act (including any Form 10-K/A containing amended audited financial information or a material amendment to the previously filed Form 10-K);</w:t>
      </w:r>
    </w:p>
    <w:p>
      <w:pPr>
        <w:spacing w:after="0" w:line="161"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its quarterly reports on Form 10-Q under the Exchange Act; or</w:t>
      </w:r>
    </w:p>
    <w:p>
      <w:pPr>
        <w:spacing w:after="0" w:line="225" w:lineRule="exact"/>
        <w:rPr>
          <w:rFonts w:ascii="Times New Roman" w:cs="Times New Roman" w:eastAsia="Times New Roman" w:hAnsi="Times New Roman"/>
          <w:sz w:val="18"/>
          <w:szCs w:val="18"/>
          <w:color w:val="auto"/>
        </w:rPr>
      </w:pPr>
    </w:p>
    <w:p>
      <w:pPr>
        <w:ind w:right="300" w:firstLine="1428"/>
        <w:spacing w:after="0" w:line="261" w:lineRule="auto"/>
        <w:tabs>
          <w:tab w:leader="none" w:pos="173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a current report on Form 8-K containing amended financial information (other than information “furnished” pursuant to Items 2.02 or 7.01 of Form 8-K or to provide disclosure pursuant to Item 8.01 of Form 8-K relating to the reclassification of certain properties as discontinued operations in accordance with Statement of Financial Accounting Standards No. 144) under the Exchange Act that is incorporated or deemed to be incorporated by reference into the Registration Statement or the Prospectus;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date of filing of one or more of the documents referred to in clauses (i) through (iv) shall be a “</w:t>
      </w:r>
      <w:r>
        <w:rPr>
          <w:rFonts w:ascii="Times New Roman" w:cs="Times New Roman" w:eastAsia="Times New Roman" w:hAnsi="Times New Roman"/>
          <w:sz w:val="18"/>
          <w:szCs w:val="18"/>
          <w:u w:val="single" w:color="auto"/>
          <w:color w:val="auto"/>
        </w:rPr>
        <w:t>Representation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the Company shall furnish the Agent (but in the case of clause (iv) above only if the Agent reasonably determines that the information contained in such Form 8-K is material) with a certificate, in the form attached hereto as </w:t>
      </w:r>
      <w:r>
        <w:rPr>
          <w:rFonts w:ascii="Times New Roman" w:cs="Times New Roman" w:eastAsia="Times New Roman" w:hAnsi="Times New Roman"/>
          <w:sz w:val="18"/>
          <w:szCs w:val="18"/>
          <w:u w:val="single" w:color="auto"/>
          <w:color w:val="auto"/>
        </w:rPr>
        <w:t>Exhibit 7(1)</w:t>
      </w:r>
      <w:r>
        <w:rPr>
          <w:rFonts w:ascii="Times New Roman" w:cs="Times New Roman" w:eastAsia="Times New Roman" w:hAnsi="Times New Roman"/>
          <w:sz w:val="18"/>
          <w:szCs w:val="18"/>
          <w:color w:val="auto"/>
        </w:rPr>
        <w:t xml:space="preserve">. The requirement to provide a certificate under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shall be automatically waived for any Representation Date occurring at a time at which no Placement Notice is pending, which waiver shall continue until the earlier to occur of the date the Company delivers a Placement Notice hereunder (which for such calendar quarter shall be considered a Representation Date) and the next occurring Representation Date on which the Company files its Annual Report on Form 10-K. Notwithstanding the foregoing, (i) upon the delivery of the first Placement Notice hereunder and (ii) if the Company subsequently decides to sell Placement Shares following a Representation Date when the Company relied on such waiver and did not provide the Agent with a certificate under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then before the Agent sells any Placement Shares, the Company shall provide the Agent with a certificate, in the form attached hereto as </w:t>
      </w:r>
      <w:r>
        <w:rPr>
          <w:rFonts w:ascii="Times New Roman" w:cs="Times New Roman" w:eastAsia="Times New Roman" w:hAnsi="Times New Roman"/>
          <w:sz w:val="18"/>
          <w:szCs w:val="18"/>
          <w:u w:val="single" w:color="auto"/>
          <w:color w:val="auto"/>
        </w:rPr>
        <w:t>Exhibit 7(1)</w:t>
      </w:r>
      <w:r>
        <w:rPr>
          <w:rFonts w:ascii="Times New Roman" w:cs="Times New Roman" w:eastAsia="Times New Roman" w:hAnsi="Times New Roman"/>
          <w:sz w:val="18"/>
          <w:szCs w:val="18"/>
          <w:color w:val="auto"/>
        </w:rPr>
        <w:t>, dated the date of the Placement Notice.</w:t>
      </w:r>
    </w:p>
    <w:p>
      <w:pPr>
        <w:spacing w:after="0" w:line="188"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 xml:space="preserve">m. </w:t>
      </w:r>
      <w:r>
        <w:rPr>
          <w:rFonts w:ascii="Times New Roman" w:cs="Times New Roman" w:eastAsia="Times New Roman" w:hAnsi="Times New Roman"/>
          <w:sz w:val="18"/>
          <w:szCs w:val="18"/>
          <w:u w:val="single" w:color="auto"/>
          <w:color w:val="auto"/>
        </w:rPr>
        <w:t>Legal Opinion</w:t>
      </w:r>
      <w:r>
        <w:rPr>
          <w:rFonts w:ascii="Times New Roman" w:cs="Times New Roman" w:eastAsia="Times New Roman" w:hAnsi="Times New Roman"/>
          <w:sz w:val="18"/>
          <w:szCs w:val="18"/>
          <w:color w:val="auto"/>
        </w:rPr>
        <w:t>. On or prior to the date of the first Placement Notice given hereunder the Company shall cause to be furnished to the Agent a written opinion and a negative assurance letter of Goodwin Procter LLP (“</w:t>
      </w:r>
      <w:r>
        <w:rPr>
          <w:rFonts w:ascii="Times New Roman" w:cs="Times New Roman" w:eastAsia="Times New Roman" w:hAnsi="Times New Roman"/>
          <w:sz w:val="18"/>
          <w:szCs w:val="18"/>
          <w:u w:val="single" w:color="auto"/>
          <w:color w:val="auto"/>
        </w:rPr>
        <w:t>U.S. Company Counsel</w:t>
      </w:r>
      <w:r>
        <w:rPr>
          <w:rFonts w:ascii="Times New Roman" w:cs="Times New Roman" w:eastAsia="Times New Roman" w:hAnsi="Times New Roman"/>
          <w:sz w:val="18"/>
          <w:szCs w:val="18"/>
          <w:color w:val="auto"/>
        </w:rPr>
        <w:t>”) each in form and substance reasonably satisfactory to the Agent. Thereafter, within five (5) Trading Days of each Representation Date with respect to which the Company is obligated to deliver a certificate in the form attached hereto as Exhibit 7(l) for which no waiver is applicable, the Company shall cause to be furnished to the Agent a negative assurance letter of U.S. Company Counsel in form and substance reasonably satisfactory to the Agent; provided that, in lieu of such negative assurance for subsequent periodic filings under the Exchange Act, counsel may furnish the Agent with a letter (a “</w:t>
      </w:r>
      <w:r>
        <w:rPr>
          <w:rFonts w:ascii="Times New Roman" w:cs="Times New Roman" w:eastAsia="Times New Roman" w:hAnsi="Times New Roman"/>
          <w:sz w:val="18"/>
          <w:szCs w:val="18"/>
          <w:u w:val="single" w:color="auto"/>
          <w:color w:val="auto"/>
        </w:rPr>
        <w:t>Reliance Letter</w:t>
      </w:r>
      <w:r>
        <w:rPr>
          <w:rFonts w:ascii="Times New Roman" w:cs="Times New Roman" w:eastAsia="Times New Roman" w:hAnsi="Times New Roman"/>
          <w:sz w:val="18"/>
          <w:szCs w:val="18"/>
          <w:color w:val="auto"/>
        </w:rPr>
        <w:t>”) to the effect that the Agent may rely on the negative assurance letter previously delivered under this Section 7(m) to the same extent as if it were dated the date of such letter (except that statements in such prior letter shall be deemed to relate to the Registration Statement and the Prospectus as amended or supplemented as of the date of the Reliance Letter).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25" w:name="page26"/>
    <w:bookmarkEnd w:id="25"/>
    <w:p>
      <w:pPr>
        <w:ind w:left="4" w:right="2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 </w:t>
      </w:r>
      <w:r>
        <w:rPr>
          <w:rFonts w:ascii="Times New Roman" w:cs="Times New Roman" w:eastAsia="Times New Roman" w:hAnsi="Times New Roman"/>
          <w:sz w:val="18"/>
          <w:szCs w:val="18"/>
          <w:u w:val="single" w:color="auto"/>
          <w:color w:val="auto"/>
        </w:rPr>
        <w:t>Comfort Letter</w:t>
      </w:r>
      <w:r>
        <w:rPr>
          <w:rFonts w:ascii="Times New Roman" w:cs="Times New Roman" w:eastAsia="Times New Roman" w:hAnsi="Times New Roman"/>
          <w:sz w:val="18"/>
          <w:szCs w:val="18"/>
          <w:color w:val="auto"/>
        </w:rPr>
        <w:t>. On or prior to the date of the first Placement Notice given hereunder and within five (5) Trading Days after each subsequent Representation Date, other than pursuant to Section 7(l)(iii), with respect to which the Company is obligated to deliver a certificate in the form attached hereto as Exhibit 7(l) for which no waiver is applicable, the Company shall cause its independent accountants to furnish the Agent letters (the “</w:t>
      </w:r>
      <w:r>
        <w:rPr>
          <w:rFonts w:ascii="Times New Roman" w:cs="Times New Roman" w:eastAsia="Times New Roman" w:hAnsi="Times New Roman"/>
          <w:sz w:val="18"/>
          <w:szCs w:val="18"/>
          <w:u w:val="single" w:color="auto"/>
          <w:color w:val="auto"/>
        </w:rPr>
        <w:t>Comfort Letters</w:t>
      </w:r>
      <w:r>
        <w:rPr>
          <w:rFonts w:ascii="Times New Roman" w:cs="Times New Roman" w:eastAsia="Times New Roman" w:hAnsi="Times New Roman"/>
          <w:sz w:val="18"/>
          <w:szCs w:val="18"/>
          <w:color w:val="auto"/>
        </w:rPr>
        <w:t xml:space="preserve">”), dated the date the Comfort Letter is delivered, which shall meet the requirements set forth in this </w:t>
      </w:r>
      <w:r>
        <w:rPr>
          <w:rFonts w:ascii="Times New Roman" w:cs="Times New Roman" w:eastAsia="Times New Roman" w:hAnsi="Times New Roman"/>
          <w:sz w:val="18"/>
          <w:szCs w:val="18"/>
          <w:u w:val="single" w:color="auto"/>
          <w:color w:val="auto"/>
        </w:rPr>
        <w:t>Section 7(n)</w:t>
      </w:r>
      <w:r>
        <w:rPr>
          <w:rFonts w:ascii="Times New Roman" w:cs="Times New Roman" w:eastAsia="Times New Roman" w:hAnsi="Times New Roman"/>
          <w:sz w:val="18"/>
          <w:szCs w:val="18"/>
          <w:color w:val="auto"/>
        </w:rPr>
        <w:t>. The Comfort Letter from the Company’s independent accountants shall be in a form and substance reasonably satisfactory to the Agent, (i) confirming that they are an independent public accounting firm within the meaning of the Securities Act and the Public Company Accounting Oversight Board (the “</w:t>
      </w:r>
      <w:r>
        <w:rPr>
          <w:rFonts w:ascii="Times New Roman" w:cs="Times New Roman" w:eastAsia="Times New Roman" w:hAnsi="Times New Roman"/>
          <w:sz w:val="18"/>
          <w:szCs w:val="18"/>
          <w:u w:val="single" w:color="auto"/>
          <w:color w:val="auto"/>
        </w:rPr>
        <w:t>PCAOB</w:t>
      </w:r>
      <w:r>
        <w:rPr>
          <w:rFonts w:ascii="Times New Roman" w:cs="Times New Roman" w:eastAsia="Times New Roman" w:hAnsi="Times New Roman"/>
          <w:sz w:val="18"/>
          <w:szCs w:val="18"/>
          <w:color w:val="auto"/>
        </w:rPr>
        <w:t>”), (ii) stating,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Times New Roman" w:cs="Times New Roman" w:eastAsia="Times New Roman" w:hAnsi="Times New Roman"/>
          <w:sz w:val="18"/>
          <w:szCs w:val="18"/>
          <w:u w:val="single" w:color="auto"/>
          <w:color w:val="auto"/>
        </w:rPr>
        <w:t>Initial Comfort Letter</w:t>
      </w:r>
      <w:r>
        <w:rPr>
          <w:rFonts w:ascii="Times New Roman" w:cs="Times New Roman" w:eastAsia="Times New Roman" w:hAnsi="Times New Roman"/>
          <w:sz w:val="18"/>
          <w:szCs w:val="18"/>
          <w:color w:val="auto"/>
        </w:rPr>
        <w:t>”) and</w:t>
      </w:r>
    </w:p>
    <w:p>
      <w:pPr>
        <w:spacing w:after="0" w:line="1" w:lineRule="exact"/>
        <w:rPr>
          <w:sz w:val="20"/>
          <w:szCs w:val="20"/>
          <w:color w:val="auto"/>
        </w:rPr>
      </w:pPr>
    </w:p>
    <w:p>
      <w:pPr>
        <w:ind w:left="4" w:right="120" w:hanging="4"/>
        <w:spacing w:after="0" w:line="260" w:lineRule="auto"/>
        <w:tabs>
          <w:tab w:leader="none" w:pos="31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spacing w:after="0" w:line="181" w:lineRule="exact"/>
        <w:rPr>
          <w:rFonts w:ascii="Times New Roman" w:cs="Times New Roman" w:eastAsia="Times New Roman" w:hAnsi="Times New Roman"/>
          <w:sz w:val="18"/>
          <w:szCs w:val="18"/>
          <w:color w:val="auto"/>
        </w:rPr>
      </w:pPr>
    </w:p>
    <w:p>
      <w:pPr>
        <w:ind w:left="4" w:right="20" w:firstLine="987"/>
        <w:spacing w:after="0" w:line="261" w:lineRule="auto"/>
        <w:tabs>
          <w:tab w:leader="none" w:pos="117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 Activities</w:t>
      </w:r>
      <w:r>
        <w:rPr>
          <w:rFonts w:ascii="Times New Roman" w:cs="Times New Roman" w:eastAsia="Times New Roman" w:hAnsi="Times New Roman"/>
          <w:sz w:val="18"/>
          <w:szCs w:val="18"/>
          <w:color w:val="auto"/>
        </w:rPr>
        <w:t>. The Company will not, directly or indirectly, (i) take any action designed to cause or result in, or that constitutes or would reasonably be expected to constitute, the stabilization or manipulation of the price of any security of the Company to facilitate the sale or resale of Placement Shares or (ii) sell, bid for, or purchase Placement Shares to be issued and sold pursuant to this Agreement in violation of Regulation M, or pay anyone any compensation for soliciting purchases of the Placement Shares other than the Agent.</w:t>
      </w:r>
    </w:p>
    <w:p>
      <w:pPr>
        <w:spacing w:after="0" w:line="179" w:lineRule="exact"/>
        <w:rPr>
          <w:rFonts w:ascii="Times New Roman" w:cs="Times New Roman" w:eastAsia="Times New Roman" w:hAnsi="Times New Roman"/>
          <w:sz w:val="18"/>
          <w:szCs w:val="18"/>
          <w:color w:val="auto"/>
        </w:rPr>
      </w:pPr>
    </w:p>
    <w:p>
      <w:pPr>
        <w:ind w:left="4" w:right="480" w:firstLine="987"/>
        <w:spacing w:after="0" w:line="266" w:lineRule="auto"/>
        <w:tabs>
          <w:tab w:leader="none" w:pos="117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The Company will conduct its affairs in such a manner so as to reasonably ensure that neither it nor the Subsidiaries will be or become, at any time prior to the termination of this Agreement, an “investment company,” as such term is defined in the Investment Company Act.</w:t>
      </w:r>
    </w:p>
    <w:p>
      <w:pPr>
        <w:spacing w:after="0" w:line="175" w:lineRule="exact"/>
        <w:rPr>
          <w:rFonts w:ascii="Times New Roman" w:cs="Times New Roman" w:eastAsia="Times New Roman" w:hAnsi="Times New Roman"/>
          <w:sz w:val="18"/>
          <w:szCs w:val="18"/>
          <w:color w:val="auto"/>
        </w:rPr>
      </w:pPr>
    </w:p>
    <w:p>
      <w:pPr>
        <w:ind w:left="4" w:right="240" w:firstLine="987"/>
        <w:spacing w:after="0" w:line="261" w:lineRule="auto"/>
        <w:tabs>
          <w:tab w:leader="none" w:pos="117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Offer to Sell</w:t>
      </w:r>
      <w:r>
        <w:rPr>
          <w:rFonts w:ascii="Times New Roman" w:cs="Times New Roman" w:eastAsia="Times New Roman" w:hAnsi="Times New Roman"/>
          <w:sz w:val="18"/>
          <w:szCs w:val="18"/>
          <w:color w:val="auto"/>
        </w:rPr>
        <w:t xml:space="preserve">. Other than an Issuer Free Writing Prospectus approved in advance by the Company and the Agent in its capacity as agent hereunder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neither of the Agent nor the Company (including its agents and representatives, other than the Agent in its capacity as such) will make, use, prepare, authorize, approve or refer to any written communication (as defined in Rule 405), required to be filed with the Commission, that constitutes an offer to sell or solicitation of an offer to buy Placement Shares hereunder.</w:t>
      </w:r>
    </w:p>
    <w:p>
      <w:pPr>
        <w:spacing w:after="0" w:line="179" w:lineRule="exact"/>
        <w:rPr>
          <w:rFonts w:ascii="Times New Roman" w:cs="Times New Roman" w:eastAsia="Times New Roman" w:hAnsi="Times New Roman"/>
          <w:sz w:val="18"/>
          <w:szCs w:val="18"/>
          <w:color w:val="auto"/>
        </w:rPr>
      </w:pPr>
    </w:p>
    <w:p>
      <w:pPr>
        <w:ind w:left="4" w:firstLine="987"/>
        <w:spacing w:after="0" w:line="253" w:lineRule="auto"/>
        <w:tabs>
          <w:tab w:leader="none" w:pos="113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The Company will maintain and keep accurate books and records reflecting its assets and maintain internal accounting controls in a manner designed to provide reasonable assurance regarding the reliability of financial reporting and the preparation of financial statements for external purposes in accordance with GAAP and including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the preparation of the Company’s consolidated financial statements in accordance with GAAP and that receipts and expenditures of the Company are being made only in accordance with management’s and the Company’s directors’ authorization, and</w:t>
      </w:r>
    </w:p>
    <w:p>
      <w:pPr>
        <w:spacing w:after="0" w:line="5" w:lineRule="exact"/>
        <w:rPr>
          <w:rFonts w:ascii="Times New Roman" w:cs="Times New Roman" w:eastAsia="Times New Roman" w:hAnsi="Times New Roman"/>
          <w:sz w:val="18"/>
          <w:szCs w:val="18"/>
          <w:color w:val="auto"/>
        </w:rPr>
      </w:pPr>
    </w:p>
    <w:p>
      <w:pPr>
        <w:ind w:left="4" w:right="180" w:hanging="4"/>
        <w:spacing w:after="0" w:line="255" w:lineRule="auto"/>
        <w:tabs>
          <w:tab w:leader="none" w:pos="31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its financial statements. The Company will maintain disclosure controls and procedures that comply in all material respects with the requirements of the Exchange Act.</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4"/>
          </w:cols>
          <w:pgMar w:left="436" w:top="270" w:right="439" w:bottom="1440" w:gutter="0" w:footer="0" w:header="0"/>
        </w:sectPr>
      </w:pPr>
    </w:p>
    <w:bookmarkStart w:id="26" w:name="page27"/>
    <w:bookmarkEnd w:id="26"/>
    <w:p>
      <w:pPr>
        <w:ind w:left="-40" w:right="20" w:firstLine="436"/>
        <w:spacing w:after="0" w:line="255" w:lineRule="auto"/>
        <w:tabs>
          <w:tab w:leader="none" w:pos="5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Representations and Covenants of the Agent</w:t>
      </w:r>
      <w:r>
        <w:rPr>
          <w:rFonts w:ascii="Times New Roman" w:cs="Times New Roman" w:eastAsia="Times New Roman" w:hAnsi="Times New Roman"/>
          <w:sz w:val="18"/>
          <w:szCs w:val="18"/>
          <w:color w:val="auto"/>
        </w:rPr>
        <w:t>. The Agent represents and warrants that it is duly registered as a broker-dealer under FINRA, the Exchange Act and the applicable statutes and regulations of each state in which the Placement Shares will be offered and sold, except such states in which the Agent is exempt from registration or such registration is not otherwise required. The Agent shall continue, for the term of this Agreement, to be duly registered as a broker-dealer under FINRA, the Exchange Act and the applicable statutes and regulations of each state in which the Placement Shares will be offered and sold, except such states in which it is exempt from registration or such registration is not otherwise required, during the term of this Agreement. The Agent shall comply with all applicable law and regulations in connection with the transactions contemplated by this Agreement, including the issuance and sale through the Agent of the Placement Shares.</w:t>
      </w:r>
    </w:p>
    <w:p>
      <w:pPr>
        <w:spacing w:after="0" w:line="188" w:lineRule="exact"/>
        <w:rPr>
          <w:rFonts w:ascii="Times New Roman" w:cs="Times New Roman" w:eastAsia="Times New Roman" w:hAnsi="Times New Roman"/>
          <w:sz w:val="18"/>
          <w:szCs w:val="18"/>
          <w:color w:val="auto"/>
        </w:rPr>
      </w:pPr>
    </w:p>
    <w:p>
      <w:pPr>
        <w:ind w:left="-40" w:firstLine="436"/>
        <w:spacing w:after="0" w:line="253" w:lineRule="auto"/>
        <w:tabs>
          <w:tab w:leader="none" w:pos="5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color w:val="auto"/>
        </w:rPr>
        <w:t>. The Company will pay all expenses incident to the performance of its obligations under this Agreement, including (i) the preparation, filing, including any fees required by the Commission, and printing of the Registration Statement (including financial statements and exhibits) as originally filed and of each amendment and supplement thereto and each Issuer Free Writing Prospectus, in such number as the Agent shall deem reasonably necessary, (ii) the printing and delivery to the Agent of this Agreement and such other documents as may be required in connection with the offering, purchase, sale, issuance or delivery of the Placement Shares, (iii) the preparation, issuance and delivery of the certificates, if any, for the Placement Shares to the Agent, including any stock or other transfer taxes and any capital duties, stamp duties or other duties or taxes payable upon the sale, issuance or delivery of the Placement Shares to the Agent, (iv) the fees and disbursements of the counsel, accountants and other advisors to the Company, (v) the actual, reasonable and documented out-of-pocket fees and disbursements of counsel to the Agent (x) not to exceed $100,000 in connection with the filing of this Agreement and (y) not to exceed $7,500 per calendar quarter thereafter in connection with updates at the time of Representation Dates for any calendar quarter in which the Company has furnished or caused to be furnished the documents set forth in Sections 7(l), 7(m) and 7(n); (vi) the fees and expenses of the transfer agent and registrar for the Common Stock, (vii) the filing fees incident to any review by FINRA of the terms of the sale of the Placement Shares, and (viii) the fees and expenses incurred in connection with the listing of the Placement Shares on the Exchange.</w:t>
      </w:r>
    </w:p>
    <w:p>
      <w:pPr>
        <w:spacing w:after="0" w:line="187" w:lineRule="exact"/>
        <w:rPr>
          <w:rFonts w:ascii="Times New Roman" w:cs="Times New Roman" w:eastAsia="Times New Roman" w:hAnsi="Times New Roman"/>
          <w:sz w:val="18"/>
          <w:szCs w:val="18"/>
          <w:color w:val="auto"/>
        </w:rPr>
      </w:pPr>
    </w:p>
    <w:p>
      <w:pPr>
        <w:ind w:left="-40" w:right="40" w:firstLine="436"/>
        <w:spacing w:after="0" w:line="258" w:lineRule="auto"/>
        <w:tabs>
          <w:tab w:leader="none" w:pos="67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the Agent’s Obligations</w:t>
      </w:r>
      <w:r>
        <w:rPr>
          <w:rFonts w:ascii="Times New Roman" w:cs="Times New Roman" w:eastAsia="Times New Roman" w:hAnsi="Times New Roman"/>
          <w:sz w:val="18"/>
          <w:szCs w:val="18"/>
          <w:color w:val="auto"/>
        </w:rPr>
        <w:t>. The obligations of the Agent hereunder with respect to a Placement will be subject to the continuing accuracy and completeness of the representations and warranties made by the Company herein (other than those representations and warranties made as of a specified date or time), to the due performance in all material respects by the Company of its obligations hereunder, to the completion by the Agent of a due diligence review satisfactory to it in its reasonable judgment, and to the continuing reasonable satisfaction (or waiver by the Agent in its sole discretion) of the following additional conditions:</w:t>
      </w:r>
    </w:p>
    <w:p>
      <w:pPr>
        <w:spacing w:after="0" w:line="75" w:lineRule="exact"/>
        <w:rPr>
          <w:rFonts w:ascii="Times New Roman" w:cs="Times New Roman" w:eastAsia="Times New Roman" w:hAnsi="Times New Roman"/>
          <w:sz w:val="18"/>
          <w:szCs w:val="18"/>
          <w:color w:val="auto"/>
        </w:rPr>
      </w:pPr>
    </w:p>
    <w:p>
      <w:pPr>
        <w:ind w:left="-40" w:right="140" w:firstLine="987"/>
        <w:spacing w:after="0" w:line="282" w:lineRule="auto"/>
        <w:tabs>
          <w:tab w:leader="none" w:pos="112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Effective</w:t>
      </w:r>
      <w:r>
        <w:rPr>
          <w:rFonts w:ascii="Times New Roman" w:cs="Times New Roman" w:eastAsia="Times New Roman" w:hAnsi="Times New Roman"/>
          <w:sz w:val="18"/>
          <w:szCs w:val="18"/>
          <w:color w:val="auto"/>
        </w:rPr>
        <w:t>. The Registration Statement shall remain effective and shall be available for the sale of all Placement Shares contemplated to be issued by any Placement Notice.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20"/>
          </w:cols>
          <w:pgMar w:left="480" w:top="270" w:right="499" w:bottom="1440" w:gutter="0" w:footer="0" w:header="0"/>
        </w:sectPr>
      </w:pPr>
    </w:p>
    <w:bookmarkStart w:id="27" w:name="page28"/>
    <w:bookmarkEnd w:id="27"/>
    <w:p>
      <w:pPr>
        <w:ind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 </w:t>
      </w:r>
      <w:r>
        <w:rPr>
          <w:rFonts w:ascii="Times New Roman" w:cs="Times New Roman" w:eastAsia="Times New Roman" w:hAnsi="Times New Roman"/>
          <w:sz w:val="18"/>
          <w:szCs w:val="18"/>
          <w:u w:val="single" w:color="auto"/>
          <w:color w:val="auto"/>
        </w:rPr>
        <w:t>No Material Notices</w:t>
      </w:r>
      <w:r>
        <w:rPr>
          <w:rFonts w:ascii="Times New Roman" w:cs="Times New Roman" w:eastAsia="Times New Roman" w:hAnsi="Times New Roman"/>
          <w:sz w:val="18"/>
          <w:szCs w:val="18"/>
          <w:color w:val="auto"/>
        </w:rPr>
        <w:t>. None of the following events shall have occurred and be continuing: (i) receipt by the Company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receipt by the Company of notification of the initiation of any proceedings for that purpose; (iii) receipt by the Company of any notification with respect to the suspension of the qualification or exemption from qualification of any of the Placement Shares for sale in any jurisdiction or receipt by the Company of notification of the initiation of, or a threat to initiate, any proceeding for such purpose; or (iv) the occurrence of any event that makes any material statement made in the Registration Statement or the Prospectus or any material Incorporated Document untrue in any material respect or that requires the making of any changes in the Registration Statement, the Prospectus or any material Incorporated Document so that, in the case of the Registration Statement, it will not contain any materially untrue statement of a material fact or omit to state any material fact required to be stated therein or necessary to make the statements therein not misleading and, that in the case of the Prospectus or any material Incorporated Document, it will not contain any materially untrue statement of a material fact or omit to state any material fact required to be stated therein or necessary to make the statements therein, in the light of the circumstances under which they were made, not misleading.</w:t>
      </w:r>
    </w:p>
    <w:p>
      <w:pPr>
        <w:spacing w:after="0" w:line="187"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No Misstatement or Material Omission</w:t>
      </w:r>
      <w:r>
        <w:rPr>
          <w:rFonts w:ascii="Times New Roman" w:cs="Times New Roman" w:eastAsia="Times New Roman" w:hAnsi="Times New Roman"/>
          <w:sz w:val="18"/>
          <w:szCs w:val="18"/>
          <w:color w:val="auto"/>
        </w:rPr>
        <w:t>. The Agent shall not have advised the Company that the Registration Statement or Prospectus,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p>
      <w:pPr>
        <w:spacing w:after="0" w:line="176"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Material Changes</w:t>
      </w:r>
      <w:r>
        <w:rPr>
          <w:rFonts w:ascii="Times New Roman" w:cs="Times New Roman" w:eastAsia="Times New Roman" w:hAnsi="Times New Roman"/>
          <w:sz w:val="18"/>
          <w:szCs w:val="18"/>
          <w:color w:val="auto"/>
        </w:rPr>
        <w:t>. Except as contemplated in the Prospectus, or disclosed in the Company’s reports filed with the Commission, there shall not have been any Material Adverse Effect, or any development that would cause a Material Adverse Effect, or a downgrading in or withdrawal of the rating assigned to any of the Company’s securities (other than asset backed securities) by any “nationally recognized statistical rating organization,” as such term is defined by the Commission for purposes of Rule 436(g)(2) under the Securities Act (a “</w:t>
      </w:r>
      <w:r>
        <w:rPr>
          <w:rFonts w:ascii="Times New Roman" w:cs="Times New Roman" w:eastAsia="Times New Roman" w:hAnsi="Times New Roman"/>
          <w:sz w:val="18"/>
          <w:szCs w:val="18"/>
          <w:u w:val="single" w:color="auto"/>
          <w:color w:val="auto"/>
        </w:rPr>
        <w:t>Rating Organization</w:t>
      </w:r>
      <w:r>
        <w:rPr>
          <w:rFonts w:ascii="Times New Roman" w:cs="Times New Roman" w:eastAsia="Times New Roman" w:hAnsi="Times New Roman"/>
          <w:sz w:val="18"/>
          <w:szCs w:val="18"/>
          <w:color w:val="auto"/>
        </w:rPr>
        <w:t>”), or a public announcement by any Rating Organization that it has under surveillance or review its rating of any of the Company’s securities (other than asset backed securities), the effect of which, in the case of any such action by a Rating Organization described above, in the reasonable judgment of the Agent (without relieving the Company of any obligation or liability it may otherwise have), is so material as to make it impracticable or inadvisable to proceed with the offering of the Placement Shares on the terms and in the manner contemplated in the Prospectus.</w:t>
      </w:r>
    </w:p>
    <w:p>
      <w:pPr>
        <w:spacing w:after="0" w:line="192"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Company Counsel Legal Opinion</w:t>
      </w:r>
      <w:r>
        <w:rPr>
          <w:rFonts w:ascii="Times New Roman" w:cs="Times New Roman" w:eastAsia="Times New Roman" w:hAnsi="Times New Roman"/>
          <w:sz w:val="18"/>
          <w:szCs w:val="18"/>
          <w:color w:val="auto"/>
        </w:rPr>
        <w:t xml:space="preserve">. The Agent shall have received the opinion and negative assurance letter of U.S. Company Counsel required to be delivered pursuant to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 xml:space="preserve"> on or before the date on which such delivery of such opinion and negative assurance letter are required pursuant to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Agent Counsel Legal Opinion</w:t>
      </w:r>
      <w:r>
        <w:rPr>
          <w:rFonts w:ascii="Times New Roman" w:cs="Times New Roman" w:eastAsia="Times New Roman" w:hAnsi="Times New Roman"/>
          <w:sz w:val="18"/>
          <w:szCs w:val="18"/>
          <w:color w:val="auto"/>
        </w:rPr>
        <w:t xml:space="preserve">. Agent shall have received from Duane Morris LLP, counsel for the Agent, such opinion or opinions, on or before the date on which the delivery of the Company Counsel legal opinion is required pursuant to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 with respect to such matters as the Agent may reasonably require, and the Company shall have furnished to such counsel such documents as they request for enabling them to pass upon such matters.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28" w:name="page29"/>
    <w:bookmarkEnd w:id="28"/>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g. </w:t>
      </w:r>
      <w:r>
        <w:rPr>
          <w:rFonts w:ascii="Times New Roman" w:cs="Times New Roman" w:eastAsia="Times New Roman" w:hAnsi="Times New Roman"/>
          <w:sz w:val="18"/>
          <w:szCs w:val="18"/>
          <w:u w:val="single" w:color="auto"/>
          <w:color w:val="auto"/>
        </w:rPr>
        <w:t>Comfort Letter</w:t>
      </w:r>
      <w:r>
        <w:rPr>
          <w:rFonts w:ascii="Times New Roman" w:cs="Times New Roman" w:eastAsia="Times New Roman" w:hAnsi="Times New Roman"/>
          <w:sz w:val="18"/>
          <w:szCs w:val="18"/>
          <w:color w:val="auto"/>
        </w:rPr>
        <w:t xml:space="preserve">. The Agent shall have received the Comfort Letter required to be delivered pursuant </w:t>
      </w:r>
      <w:r>
        <w:rPr>
          <w:rFonts w:ascii="Times New Roman" w:cs="Times New Roman" w:eastAsia="Times New Roman" w:hAnsi="Times New Roman"/>
          <w:sz w:val="18"/>
          <w:szCs w:val="18"/>
          <w:u w:val="single" w:color="auto"/>
          <w:color w:val="auto"/>
        </w:rPr>
        <w:t>Section 7(n)</w:t>
      </w:r>
      <w:r>
        <w:rPr>
          <w:rFonts w:ascii="Times New Roman" w:cs="Times New Roman" w:eastAsia="Times New Roman" w:hAnsi="Times New Roman"/>
          <w:sz w:val="18"/>
          <w:szCs w:val="18"/>
          <w:color w:val="auto"/>
        </w:rPr>
        <w:t xml:space="preserve"> on or before the date on which such delivery of such letter is required pursuant to </w:t>
      </w:r>
      <w:r>
        <w:rPr>
          <w:rFonts w:ascii="Times New Roman" w:cs="Times New Roman" w:eastAsia="Times New Roman" w:hAnsi="Times New Roman"/>
          <w:sz w:val="18"/>
          <w:szCs w:val="18"/>
          <w:u w:val="single" w:color="auto"/>
          <w:color w:val="auto"/>
        </w:rPr>
        <w:t>Section 7(n)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u w:val="single" w:color="auto"/>
          <w:color w:val="auto"/>
        </w:rPr>
        <w:t>Representation Certificate</w:t>
      </w:r>
      <w:r>
        <w:rPr>
          <w:rFonts w:ascii="Times New Roman" w:cs="Times New Roman" w:eastAsia="Times New Roman" w:hAnsi="Times New Roman"/>
          <w:sz w:val="18"/>
          <w:szCs w:val="18"/>
          <w:color w:val="auto"/>
        </w:rPr>
        <w:t xml:space="preserve">. The Agent shall have received the certificate required to be delivered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on or before the date on which delivery of such certificate is required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Secretary’s Certificate</w:t>
      </w:r>
      <w:r>
        <w:rPr>
          <w:rFonts w:ascii="Times New Roman" w:cs="Times New Roman" w:eastAsia="Times New Roman" w:hAnsi="Times New Roman"/>
          <w:sz w:val="18"/>
          <w:szCs w:val="18"/>
          <w:color w:val="auto"/>
        </w:rPr>
        <w:t>. On or prior to the first Representation Date, the Agent shall have received a certificate, signed on behalf of the Company by its corporate Secretary, in form and substance reasonably satisfactory to the Agent and its counsel.</w:t>
      </w:r>
    </w:p>
    <w:p>
      <w:pPr>
        <w:spacing w:after="0" w:line="162"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j. </w:t>
      </w:r>
      <w:r>
        <w:rPr>
          <w:rFonts w:ascii="Times New Roman" w:cs="Times New Roman" w:eastAsia="Times New Roman" w:hAnsi="Times New Roman"/>
          <w:sz w:val="18"/>
          <w:szCs w:val="18"/>
          <w:u w:val="single" w:color="auto"/>
          <w:color w:val="auto"/>
        </w:rPr>
        <w:t>No Suspension</w:t>
      </w:r>
      <w:r>
        <w:rPr>
          <w:rFonts w:ascii="Times New Roman" w:cs="Times New Roman" w:eastAsia="Times New Roman" w:hAnsi="Times New Roman"/>
          <w:sz w:val="18"/>
          <w:szCs w:val="18"/>
          <w:color w:val="auto"/>
        </w:rPr>
        <w:t>. Trading in the Common Stock shall not have been suspended on the Exchange and the Common Stock shall not have been delisted from the Exchange.</w:t>
      </w:r>
    </w:p>
    <w:p>
      <w:pPr>
        <w:spacing w:after="0" w:line="162"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k. </w:t>
      </w:r>
      <w:r>
        <w:rPr>
          <w:rFonts w:ascii="Times New Roman" w:cs="Times New Roman" w:eastAsia="Times New Roman" w:hAnsi="Times New Roman"/>
          <w:sz w:val="18"/>
          <w:szCs w:val="18"/>
          <w:u w:val="single" w:color="auto"/>
          <w:color w:val="auto"/>
        </w:rPr>
        <w:t>Other Materials</w:t>
      </w:r>
      <w:r>
        <w:rPr>
          <w:rFonts w:ascii="Times New Roman" w:cs="Times New Roman" w:eastAsia="Times New Roman" w:hAnsi="Times New Roman"/>
          <w:sz w:val="18"/>
          <w:szCs w:val="18"/>
          <w:color w:val="auto"/>
        </w:rPr>
        <w:t xml:space="preserve">. On each date on which the Company is required to deliver a certificate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the Company shall have furnished to the Agent such appropriate further information, certificates and documents as the Agent may reasonably request and which are usually and customarily furnished by an issuer of securities in connection with a securities offering of the type contemplated hereby. All such opinions, certificates, letters and other documents will be in compliance with the provisions hereof.</w:t>
      </w:r>
    </w:p>
    <w:p>
      <w:pPr>
        <w:spacing w:after="0" w:line="180" w:lineRule="exact"/>
        <w:rPr>
          <w:sz w:val="20"/>
          <w:szCs w:val="20"/>
          <w:color w:val="auto"/>
        </w:rPr>
      </w:pPr>
    </w:p>
    <w:p>
      <w:pPr>
        <w:jc w:val="both"/>
        <w:ind w:right="4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l. </w:t>
      </w:r>
      <w:r>
        <w:rPr>
          <w:rFonts w:ascii="Times New Roman" w:cs="Times New Roman" w:eastAsia="Times New Roman" w:hAnsi="Times New Roman"/>
          <w:sz w:val="18"/>
          <w:szCs w:val="18"/>
          <w:u w:val="single" w:color="auto"/>
          <w:color w:val="auto"/>
        </w:rPr>
        <w:t>Securities Act Filings Made</w:t>
      </w:r>
      <w:r>
        <w:rPr>
          <w:rFonts w:ascii="Times New Roman" w:cs="Times New Roman" w:eastAsia="Times New Roman" w:hAnsi="Times New Roman"/>
          <w:sz w:val="18"/>
          <w:szCs w:val="18"/>
          <w:color w:val="auto"/>
        </w:rPr>
        <w:t>. All filings with the Commission with respect to the Placement Shares required by Rule 424 under the Securities Act to have been filed prior to the issuance of any Placement Notice hereunder shall have been made within the applicable time period prescribed for such filing by Rule 424.</w:t>
      </w:r>
    </w:p>
    <w:p>
      <w:pPr>
        <w:spacing w:after="0" w:line="176" w:lineRule="exact"/>
        <w:rPr>
          <w:sz w:val="20"/>
          <w:szCs w:val="20"/>
          <w:color w:val="auto"/>
        </w:rPr>
      </w:pPr>
    </w:p>
    <w:p>
      <w:pPr>
        <w:ind w:right="4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m. </w:t>
      </w:r>
      <w:r>
        <w:rPr>
          <w:rFonts w:ascii="Times New Roman" w:cs="Times New Roman" w:eastAsia="Times New Roman" w:hAnsi="Times New Roman"/>
          <w:sz w:val="18"/>
          <w:szCs w:val="18"/>
          <w:u w:val="single" w:color="auto"/>
          <w:color w:val="auto"/>
        </w:rPr>
        <w:t>Approval for Listing</w:t>
      </w:r>
      <w:r>
        <w:rPr>
          <w:rFonts w:ascii="Times New Roman" w:cs="Times New Roman" w:eastAsia="Times New Roman" w:hAnsi="Times New Roman"/>
          <w:sz w:val="18"/>
          <w:szCs w:val="18"/>
          <w:color w:val="auto"/>
        </w:rPr>
        <w:t>. The Placement Shares shall either have been approved for listing on the Exchange, subject only to notice of issuance, or the Company shall have filed an application for listing of the Placement Shares on the Exchange at, or prior to, the issuance of any Placement Notice.</w:t>
      </w:r>
    </w:p>
    <w:p>
      <w:pPr>
        <w:spacing w:after="0" w:line="176"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n. </w:t>
      </w:r>
      <w:r>
        <w:rPr>
          <w:rFonts w:ascii="Times New Roman" w:cs="Times New Roman" w:eastAsia="Times New Roman" w:hAnsi="Times New Roman"/>
          <w:sz w:val="18"/>
          <w:szCs w:val="18"/>
          <w:u w:val="single" w:color="auto"/>
          <w:color w:val="auto"/>
        </w:rPr>
        <w:t>No Termination Event</w:t>
      </w:r>
      <w:r>
        <w:rPr>
          <w:rFonts w:ascii="Times New Roman" w:cs="Times New Roman" w:eastAsia="Times New Roman" w:hAnsi="Times New Roman"/>
          <w:sz w:val="18"/>
          <w:szCs w:val="18"/>
          <w:color w:val="auto"/>
        </w:rPr>
        <w:t xml:space="preserve">. There shall not have occurred any event that would permit the Agent to terminate this Agreement pursuant to </w:t>
      </w:r>
      <w:r>
        <w:rPr>
          <w:rFonts w:ascii="Times New Roman" w:cs="Times New Roman" w:eastAsia="Times New Roman" w:hAnsi="Times New Roman"/>
          <w:sz w:val="18"/>
          <w:szCs w:val="18"/>
          <w:u w:val="single" w:color="auto"/>
          <w:color w:val="auto"/>
        </w:rPr>
        <w:t>Section 13(a)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700" w:hanging="264"/>
        <w:spacing w:after="0"/>
        <w:tabs>
          <w:tab w:leader="none" w:pos="7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120" w:firstLine="987"/>
        <w:spacing w:after="0" w:line="266" w:lineRule="auto"/>
        <w:tabs>
          <w:tab w:leader="none" w:pos="123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Indemnification</w:t>
      </w:r>
      <w:r>
        <w:rPr>
          <w:rFonts w:ascii="Times New Roman" w:cs="Times New Roman" w:eastAsia="Times New Roman" w:hAnsi="Times New Roman"/>
          <w:sz w:val="18"/>
          <w:szCs w:val="18"/>
          <w:color w:val="auto"/>
        </w:rPr>
        <w:t>. The Company agrees to indemnify and hold harmless the Agent, its partners, members, directors, officers, employees and agents and each person, if any, who controls the Agent within the meaning of Section 15 of the Securities Act or Section 20 of the Exchange Act as follows:</w:t>
      </w:r>
    </w:p>
    <w:p>
      <w:pPr>
        <w:spacing w:after="0" w:line="67" w:lineRule="exact"/>
        <w:rPr>
          <w:rFonts w:ascii="Times New Roman" w:cs="Times New Roman" w:eastAsia="Times New Roman" w:hAnsi="Times New Roman"/>
          <w:sz w:val="18"/>
          <w:szCs w:val="18"/>
          <w:color w:val="auto"/>
        </w:rPr>
      </w:pPr>
    </w:p>
    <w:p>
      <w:pPr>
        <w:jc w:val="both"/>
        <w:ind w:right="280" w:firstLine="1428"/>
        <w:spacing w:after="0" w:line="261" w:lineRule="auto"/>
        <w:tabs>
          <w:tab w:leader="none" w:pos="1647"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loss, liability, claim, damage and expense whatsoever, as incurred, joint or several, arising out of or based upon any untrue statement or alleged untrue statement of a material fact contained in the Registration Statement (or any amendment thereto), or the omission or alleged omission therefrom of a material fact required to be stated therein or necessary to make the statements therein not misleading, or arising out of any</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80"/>
          </w:cols>
          <w:pgMar w:left="440" w:top="270" w:right="479" w:bottom="1440" w:gutter="0" w:footer="0" w:header="0"/>
        </w:sectPr>
      </w:pPr>
    </w:p>
    <w:bookmarkStart w:id="29" w:name="page30"/>
    <w:bookmarkEnd w:id="29"/>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untrue statement or alleged untrue statement of a material fact included in any related Issuer Free Writing Prospectus or the Prospectus (or any amendment or supplement thereto), or the omission or alleged omission therefrom of a material fact necessary in order to make the statements therein, in the light of the circumstances under which they were made, not misleading;</w:t>
      </w:r>
    </w:p>
    <w:p>
      <w:pPr>
        <w:spacing w:after="0" w:line="176" w:lineRule="exact"/>
        <w:rPr>
          <w:sz w:val="20"/>
          <w:szCs w:val="20"/>
          <w:color w:val="auto"/>
        </w:rPr>
      </w:pPr>
    </w:p>
    <w:p>
      <w:pPr>
        <w:ind w:right="160" w:firstLine="1428"/>
        <w:spacing w:after="0" w:line="258" w:lineRule="auto"/>
        <w:tabs>
          <w:tab w:leader="none" w:pos="169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against any and all loss, liability, claim, damage and expense whatsoever, as incurred, joint or several,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w:t>
      </w:r>
      <w:r>
        <w:rPr>
          <w:rFonts w:ascii="Times New Roman" w:cs="Times New Roman" w:eastAsia="Times New Roman" w:hAnsi="Times New Roman"/>
          <w:sz w:val="18"/>
          <w:szCs w:val="18"/>
          <w:u w:val="single" w:color="auto"/>
          <w:color w:val="auto"/>
        </w:rPr>
        <w:t>Section 11(d)</w:t>
      </w:r>
      <w:r>
        <w:rPr>
          <w:rFonts w:ascii="Times New Roman" w:cs="Times New Roman" w:eastAsia="Times New Roman" w:hAnsi="Times New Roman"/>
          <w:sz w:val="18"/>
          <w:szCs w:val="18"/>
          <w:color w:val="auto"/>
        </w:rPr>
        <w:t xml:space="preserve"> below) any such settlement is effected with the written consent of the Company, which consent shall not unreasonably be delayed or withheld; and</w:t>
      </w:r>
    </w:p>
    <w:p>
      <w:pPr>
        <w:spacing w:after="0" w:line="183" w:lineRule="exact"/>
        <w:rPr>
          <w:rFonts w:ascii="Times New Roman" w:cs="Times New Roman" w:eastAsia="Times New Roman" w:hAnsi="Times New Roman"/>
          <w:sz w:val="18"/>
          <w:szCs w:val="18"/>
          <w:color w:val="auto"/>
        </w:rPr>
      </w:pPr>
    </w:p>
    <w:p>
      <w:pPr>
        <w:ind w:right="80" w:firstLine="1428"/>
        <w:spacing w:after="0" w:line="261" w:lineRule="auto"/>
        <w:tabs>
          <w:tab w:leader="none" w:pos="174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expense whatsoever, as incurred (including the reasonable and documented out-of-pocket fees and disbursements of counsel),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w:t>
      </w:r>
    </w:p>
    <w:p>
      <w:pPr>
        <w:spacing w:after="0" w:line="178"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this indemnity agreement shall not apply to any loss, liability, claim, damage or expense to the extent arising out of any untrue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or omission or alleged untrue statement or omission made solely in reliance upon and in conformity with written information furnished to the Company by the Agent expressly for use in the Registration Statement (or any amendment thereto), or in any related Issuer Free Writing Prospectus or the Prospectus (or any amendment or supplement thereto).</w:t>
      </w:r>
    </w:p>
    <w:p>
      <w:pPr>
        <w:spacing w:after="0" w:line="182" w:lineRule="exact"/>
        <w:rPr>
          <w:sz w:val="20"/>
          <w:szCs w:val="20"/>
          <w:color w:val="auto"/>
        </w:rPr>
      </w:pPr>
    </w:p>
    <w:p>
      <w:pPr>
        <w:ind w:right="120" w:firstLine="987"/>
        <w:spacing w:after="0" w:line="254" w:lineRule="auto"/>
        <w:tabs>
          <w:tab w:leader="none" w:pos="124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Agent</w:t>
      </w:r>
      <w:r>
        <w:rPr>
          <w:rFonts w:ascii="Times New Roman" w:cs="Times New Roman" w:eastAsia="Times New Roman" w:hAnsi="Times New Roman"/>
          <w:sz w:val="18"/>
          <w:szCs w:val="18"/>
          <w:color w:val="auto"/>
        </w:rPr>
        <w:t xml:space="preserve">. The Agent agrees to indemnify and hold harmless the Company and its directors and officers, and each person, if any, who (i) controls the Company within the meaning of Section 15 of the Securities Act or Section 20 of the Exchange Act or (ii) is controlled by or is under common control with the Company against any and all loss, liability, claim, damage and expense described in the indemnity contained in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as incurred, but only with respect to untrue statements or omissions, or alleged untrue statements or omissions, made in the Registration Statement (or any amendments thereto) or in any related Issuer Free Writing Prospectus or the Prospectus (or any amendment or supplement thereto) in reliance upon and in conformity with information relating to the Agent and furnished to the Company in writing by the Agent expressly for use therein. The Company hereby acknowledges that the only information that the Agents have furnished to the Company expressly for use in the Registration Statement, the Prospectus, any Prospectus Supplement or any Issuer Free Writing Prospectus (or any amendment or supplement thereto) are the statements set forth in the ninth paragraph under the caption “Plan of Distribution” in the Prospectus (the “</w:t>
      </w:r>
      <w:r>
        <w:rPr>
          <w:rFonts w:ascii="Times New Roman" w:cs="Times New Roman" w:eastAsia="Times New Roman" w:hAnsi="Times New Roman"/>
          <w:sz w:val="18"/>
          <w:szCs w:val="18"/>
          <w:u w:val="single" w:color="auto"/>
          <w:color w:val="auto"/>
        </w:rPr>
        <w:t>Agent Information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30" w:name="page31"/>
    <w:bookmarkEnd w:id="30"/>
    <w:p>
      <w:pPr>
        <w:ind w:left="-40" w:firstLine="987"/>
        <w:spacing w:after="0" w:line="251" w:lineRule="auto"/>
        <w:tabs>
          <w:tab w:leader="none" w:pos="119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Procedure</w:t>
      </w:r>
      <w:r>
        <w:rPr>
          <w:rFonts w:ascii="Times New Roman" w:cs="Times New Roman" w:eastAsia="Times New Roman" w:hAnsi="Times New Roman"/>
          <w:sz w:val="18"/>
          <w:szCs w:val="18"/>
          <w:color w:val="auto"/>
        </w:rPr>
        <w:t xml:space="preserve">. Any party that proposes to assert the right to be indemnified under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will, promptly after receipt of notice of commencement of any action against such party in respect of which a claim is to be made against an indemnifying party or parties under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and (ii) any liability that it may have to any indemnified party under the foregoing provisions of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legal or other expenses except as provided below and except for the reasonable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of interest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within a reasonable time after receiving notice of the commencement of the action, in each of which cases the reasonable and documented out-of-pocket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and documented out-of-pocket fees, disbursements and other charges of more than one separate firm admitted to practice in such jurisdiction at any one time for all such indemnified party or parties. All such reasonable and documented out-of-pocket fees, disbursements and other charges will be reimbursed by the indemnifying party promptly after the indemnifying party receives a written invoice relating to fees, disbursements and other charges in reasonable detail.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(whether or not any indemnified party is a party thereto), unless such settlement, compromise or consent (1) includes an unconditional release of each indemnified party from all liability arising out of such litigation, investigation, proceeding or claim and (2) does not include a statement as to or an admission of fault, culpability or a failure to act by or on behalf of any indemnified party.</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40"/>
          </w:cols>
          <w:pgMar w:left="480" w:top="270" w:right="479" w:bottom="1440" w:gutter="0" w:footer="0" w:header="0"/>
        </w:sectPr>
      </w:pPr>
    </w:p>
    <w:bookmarkStart w:id="31" w:name="page32"/>
    <w:bookmarkEnd w:id="31"/>
    <w:p>
      <w:pPr>
        <w:ind w:left="-20" w:firstLine="987"/>
        <w:spacing w:after="0" w:line="251" w:lineRule="auto"/>
        <w:tabs>
          <w:tab w:leader="none" w:pos="122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Contribution</w:t>
      </w:r>
      <w:r>
        <w:rPr>
          <w:rFonts w:ascii="Times New Roman" w:cs="Times New Roman" w:eastAsia="Times New Roman" w:hAnsi="Times New Roman"/>
          <w:sz w:val="18"/>
          <w:szCs w:val="18"/>
          <w:color w:val="auto"/>
        </w:rPr>
        <w:t xml:space="preserve">. In order to provide for just and equitable contribution in circumstances in which the indemnification provided for in the foregoing paragraphs of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is applicable in accordance with its terms but for any reason is held to be unavailable from the Company or the Agent, the Company and the Agent will contribute to the total losses, claims, liabilities, expenses and damages (including any investigative, legal and other expenses reasonably incurred in connection with, and any amount paid in settlement of, any action, suit or proceeding or any claim asserted, but after deducting any contribution received by the Company from persons other than the Agent, such as persons who control the Company within the meaning of the Securities Act or the Exchange Act, officers of the Company who signed the Registration Statement and directors of the Company, who also may be liable for contribution) to which the Company and the Agent may be subject in such proportion as shall be appropriate to reflect the relative benefits received by the Company on the one hand and the Agent on the other hand. The relative benefits received by the Company on the one hand and the Agent on the other hand shall be deemed to be in the same proportion as the total Net Proceeds from the sale of the Placement Shares (before deducting expenses) received by the Company bear to the total compensation (including commissions) received by the Agent (before deducting expenses)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the Agent, on the other hand,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the Agent, the intent of the parties and their relative knowledge, access to information and opportunity to correct or prevent such statement or omission. The Company and the Agent agree that it would not be just and equitable if contributions pursuant to this </w:t>
      </w:r>
      <w:r>
        <w:rPr>
          <w:rFonts w:ascii="Times New Roman" w:cs="Times New Roman" w:eastAsia="Times New Roman" w:hAnsi="Times New Roman"/>
          <w:sz w:val="18"/>
          <w:szCs w:val="18"/>
          <w:u w:val="single" w:color="auto"/>
          <w:color w:val="auto"/>
        </w:rPr>
        <w:t>Section 11(d)</w:t>
      </w:r>
      <w:r>
        <w:rPr>
          <w:rFonts w:ascii="Times New Roman" w:cs="Times New Roman" w:eastAsia="Times New Roman" w:hAnsi="Times New Roman"/>
          <w:sz w:val="18"/>
          <w:szCs w:val="18"/>
          <w:color w:val="auto"/>
        </w:rPr>
        <w:t xml:space="preserve">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w:t>
      </w:r>
      <w:r>
        <w:rPr>
          <w:rFonts w:ascii="Times New Roman" w:cs="Times New Roman" w:eastAsia="Times New Roman" w:hAnsi="Times New Roman"/>
          <w:sz w:val="18"/>
          <w:szCs w:val="18"/>
          <w:u w:val="single" w:color="auto"/>
          <w:color w:val="auto"/>
        </w:rPr>
        <w:t>Section 11(d)</w:t>
      </w:r>
      <w:r>
        <w:rPr>
          <w:rFonts w:ascii="Times New Roman" w:cs="Times New Roman" w:eastAsia="Times New Roman" w:hAnsi="Times New Roman"/>
          <w:sz w:val="18"/>
          <w:szCs w:val="18"/>
          <w:color w:val="auto"/>
        </w:rPr>
        <w:t xml:space="preserve"> shall be deemed to include, for the purpose of this </w:t>
      </w:r>
      <w:r>
        <w:rPr>
          <w:rFonts w:ascii="Times New Roman" w:cs="Times New Roman" w:eastAsia="Times New Roman" w:hAnsi="Times New Roman"/>
          <w:sz w:val="18"/>
          <w:szCs w:val="18"/>
          <w:u w:val="single" w:color="auto"/>
          <w:color w:val="auto"/>
        </w:rPr>
        <w:t>Section 11(d)</w:t>
      </w:r>
      <w:r>
        <w:rPr>
          <w:rFonts w:ascii="Times New Roman" w:cs="Times New Roman" w:eastAsia="Times New Roman" w:hAnsi="Times New Roman"/>
          <w:sz w:val="18"/>
          <w:szCs w:val="18"/>
          <w:color w:val="auto"/>
        </w:rPr>
        <w:t xml:space="preserve">, any legal or other expenses reasonably incurred by such indemnified party in connection with investigating or defending any such action or claim to the extent consistent with </w:t>
      </w:r>
      <w:r>
        <w:rPr>
          <w:rFonts w:ascii="Times New Roman" w:cs="Times New Roman" w:eastAsia="Times New Roman" w:hAnsi="Times New Roman"/>
          <w:sz w:val="18"/>
          <w:szCs w:val="18"/>
          <w:u w:val="single" w:color="auto"/>
          <w:color w:val="auto"/>
        </w:rPr>
        <w:t>Section 11(c)</w:t>
      </w:r>
      <w:r>
        <w:rPr>
          <w:rFonts w:ascii="Times New Roman" w:cs="Times New Roman" w:eastAsia="Times New Roman" w:hAnsi="Times New Roman"/>
          <w:sz w:val="18"/>
          <w:szCs w:val="18"/>
          <w:color w:val="auto"/>
        </w:rPr>
        <w:t xml:space="preserve"> hereof. Notwithstanding the foregoing provisions of this </w:t>
      </w:r>
      <w:r>
        <w:rPr>
          <w:rFonts w:ascii="Times New Roman" w:cs="Times New Roman" w:eastAsia="Times New Roman" w:hAnsi="Times New Roman"/>
          <w:sz w:val="18"/>
          <w:szCs w:val="18"/>
          <w:u w:val="single" w:color="auto"/>
          <w:color w:val="auto"/>
        </w:rPr>
        <w:t>Section 11(d)</w:t>
      </w:r>
      <w:r>
        <w:rPr>
          <w:rFonts w:ascii="Times New Roman" w:cs="Times New Roman" w:eastAsia="Times New Roman" w:hAnsi="Times New Roman"/>
          <w:sz w:val="18"/>
          <w:szCs w:val="18"/>
          <w:color w:val="auto"/>
        </w:rPr>
        <w:t xml:space="preserve">, the Agent shall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w:t>
      </w:r>
      <w:r>
        <w:rPr>
          <w:rFonts w:ascii="Times New Roman" w:cs="Times New Roman" w:eastAsia="Times New Roman" w:hAnsi="Times New Roman"/>
          <w:sz w:val="18"/>
          <w:szCs w:val="18"/>
          <w:u w:val="single" w:color="auto"/>
          <w:color w:val="auto"/>
        </w:rPr>
        <w:t>Section 11(d)</w:t>
      </w:r>
      <w:r>
        <w:rPr>
          <w:rFonts w:ascii="Times New Roman" w:cs="Times New Roman" w:eastAsia="Times New Roman" w:hAnsi="Times New Roman"/>
          <w:sz w:val="18"/>
          <w:szCs w:val="18"/>
          <w:color w:val="auto"/>
        </w:rPr>
        <w:t xml:space="preserve">, any person who controls a party to this Agreement within the meaning of the Securities Act or the Exchange Act, and any officers, directors, partners, employees or agents of the Agent, will have the same rights to contribution as that party, and each officer who signed the Registration Statement and director of the Company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w:t>
      </w:r>
      <w:r>
        <w:rPr>
          <w:rFonts w:ascii="Times New Roman" w:cs="Times New Roman" w:eastAsia="Times New Roman" w:hAnsi="Times New Roman"/>
          <w:sz w:val="18"/>
          <w:szCs w:val="18"/>
          <w:u w:val="single" w:color="auto"/>
          <w:color w:val="auto"/>
        </w:rPr>
        <w:t>Section 11(d)</w:t>
      </w:r>
      <w:r>
        <w:rPr>
          <w:rFonts w:ascii="Times New Roman" w:cs="Times New Roman" w:eastAsia="Times New Roman" w:hAnsi="Times New Roman"/>
          <w:sz w:val="18"/>
          <w:szCs w:val="18"/>
          <w:color w:val="auto"/>
        </w:rPr>
        <w:t xml:space="preserve">, will notify any such party or parties from whom contribution may be sought, but the omission to so notify will not relieve that party or parties from whom contribution may be sought from any other obligation it or they may have under this </w:t>
      </w:r>
      <w:r>
        <w:rPr>
          <w:rFonts w:ascii="Times New Roman" w:cs="Times New Roman" w:eastAsia="Times New Roman" w:hAnsi="Times New Roman"/>
          <w:sz w:val="18"/>
          <w:szCs w:val="18"/>
          <w:u w:val="single" w:color="auto"/>
          <w:color w:val="auto"/>
        </w:rPr>
        <w:t>Section 11(d)</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80"/>
          </w:cols>
          <w:pgMar w:left="460" w:top="270" w:right="459" w:bottom="1440" w:gutter="0" w:footer="0" w:header="0"/>
        </w:sectPr>
      </w:pPr>
    </w:p>
    <w:bookmarkStart w:id="32" w:name="page33"/>
    <w:bookmarkEnd w:id="32"/>
    <w:p>
      <w:pPr>
        <w:ind w:left="4"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except to the extent that the failure to so notify such other party materially prejudiced the substantive rights or defenses of the party from whom contribution is sought. Except for a settlement entered into pursuant to the last sentence of </w:t>
      </w:r>
      <w:r>
        <w:rPr>
          <w:rFonts w:ascii="Times New Roman" w:cs="Times New Roman" w:eastAsia="Times New Roman" w:hAnsi="Times New Roman"/>
          <w:sz w:val="18"/>
          <w:szCs w:val="18"/>
          <w:u w:val="single" w:color="auto"/>
          <w:color w:val="auto"/>
        </w:rPr>
        <w:t>Section 11(c)</w:t>
      </w:r>
      <w:r>
        <w:rPr>
          <w:rFonts w:ascii="Times New Roman" w:cs="Times New Roman" w:eastAsia="Times New Roman" w:hAnsi="Times New Roman"/>
          <w:sz w:val="18"/>
          <w:szCs w:val="18"/>
          <w:color w:val="auto"/>
        </w:rPr>
        <w:t xml:space="preserve"> hereof, no party will be liable for contribution with respect to any action or claim settled without its written consent if such consent is required pursuant to </w:t>
      </w:r>
      <w:r>
        <w:rPr>
          <w:rFonts w:ascii="Times New Roman" w:cs="Times New Roman" w:eastAsia="Times New Roman" w:hAnsi="Times New Roman"/>
          <w:sz w:val="18"/>
          <w:szCs w:val="18"/>
          <w:u w:val="single" w:color="auto"/>
          <w:color w:val="auto"/>
        </w:rPr>
        <w:t>Section 11(c)</w:t>
      </w:r>
      <w:r>
        <w:rPr>
          <w:rFonts w:ascii="Times New Roman" w:cs="Times New Roman" w:eastAsia="Times New Roman" w:hAnsi="Times New Roman"/>
          <w:sz w:val="18"/>
          <w:szCs w:val="18"/>
          <w:color w:val="auto"/>
        </w:rPr>
        <w:t xml:space="preserve"> hereof.</w:t>
      </w:r>
    </w:p>
    <w:p>
      <w:pPr>
        <w:spacing w:after="0" w:line="176" w:lineRule="exact"/>
        <w:rPr>
          <w:sz w:val="20"/>
          <w:szCs w:val="20"/>
          <w:color w:val="auto"/>
        </w:rPr>
      </w:pPr>
    </w:p>
    <w:p>
      <w:pPr>
        <w:ind w:left="4" w:right="120" w:firstLine="436"/>
        <w:spacing w:after="0" w:line="281" w:lineRule="auto"/>
        <w:tabs>
          <w:tab w:leader="none" w:pos="714"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Representations and Agreements to Survive Delivery</w:t>
      </w:r>
      <w:r>
        <w:rPr>
          <w:rFonts w:ascii="Times New Roman" w:cs="Times New Roman" w:eastAsia="Times New Roman" w:hAnsi="Times New Roman"/>
          <w:sz w:val="17"/>
          <w:szCs w:val="17"/>
          <w:color w:val="auto"/>
        </w:rPr>
        <w:t>. The indemnity and contribution agreements contained in Section 11 of this Agreement and all representations and warranties of the Company herein or in certificates delivered pursuant hereto shall survive, as of their respective dates, regardless of (i) any investigation made by or on behalf of the Agent, any controlling persons, or the Company (or any of their respective officers, directors or controlling persons), (ii) delivery and acceptance of the Placement Shares and payment therefor or (iii) any termination of this Agreement.</w:t>
      </w:r>
    </w:p>
    <w:p>
      <w:pPr>
        <w:spacing w:after="0" w:line="164" w:lineRule="exact"/>
        <w:rPr>
          <w:rFonts w:ascii="Times New Roman" w:cs="Times New Roman" w:eastAsia="Times New Roman" w:hAnsi="Times New Roman"/>
          <w:sz w:val="17"/>
          <w:szCs w:val="17"/>
          <w:color w:val="auto"/>
        </w:rPr>
      </w:pPr>
    </w:p>
    <w:p>
      <w:pPr>
        <w:ind w:left="704" w:hanging="264"/>
        <w:spacing w:after="0"/>
        <w:tabs>
          <w:tab w:leader="none" w:pos="70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firstLine="987"/>
        <w:spacing w:after="0" w:line="252" w:lineRule="auto"/>
        <w:tabs>
          <w:tab w:leader="none" w:pos="1165"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may terminate this Agreement, by notice to the Company, as hereinafter specified at any time (1) if there has been, since the time of execution of this Agreement or since the date as of which information is given in the Prospectus, any Material Adverse Effect, or any development that would have a Material Adverse Effect that, in the sole judgment of the Agent, is material and adverse and makes it impractical or inadvisable to market the Placement Shares or to enforce contracts for the sale of the Placement Shares, (2)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Agent, impracticable or inadvisable to market the Placement Shares or to enforce contracts for the sale of the Placement Shares, (3) if trading in the Common Stock has been suspended or limited by the Commission or the Exchange, or if trading generally on the Exchange has been suspended or limited, or minimum prices for trading have been fixed on the Exchange, (4) if any suspension of trading of any securities of the Company on any exchange or in the over-the-counter market shall have occurred and be continuing,</w:t>
      </w:r>
    </w:p>
    <w:p>
      <w:pPr>
        <w:spacing w:after="0" w:line="5" w:lineRule="exact"/>
        <w:rPr>
          <w:rFonts w:ascii="Times New Roman" w:cs="Times New Roman" w:eastAsia="Times New Roman" w:hAnsi="Times New Roman"/>
          <w:sz w:val="18"/>
          <w:szCs w:val="18"/>
          <w:color w:val="auto"/>
        </w:rPr>
      </w:pPr>
    </w:p>
    <w:p>
      <w:pPr>
        <w:ind w:left="4" w:right="140" w:hanging="4"/>
        <w:spacing w:after="0" w:line="252" w:lineRule="auto"/>
        <w:tabs>
          <w:tab w:leader="none" w:pos="25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major disruption of securities settlements or clearance services in the United States shall have occurred and be continuing, or (6) if a banking moratorium has been declared by either U.S. Federal or New York authorities. Any such termination shall be without liability of any party to any other party except that the provisions of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9 (Payment of Expenses),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(Indemnification and Contribution),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(Representations and Agreements to Survive Delivery),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(Governing Law and Time; Waiver of Jury Trial) and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xml:space="preserve"> (Consent to Jurisdiction) hereof shall remain in full force and effect notwithstanding such termination. If the Agent elects to terminate this Agreement as provided in this Section 13(a), the Agent shall provide the required notice as specified in Section 14 (Notices).</w:t>
      </w:r>
    </w:p>
    <w:p>
      <w:pPr>
        <w:spacing w:after="0" w:line="189" w:lineRule="exact"/>
        <w:rPr>
          <w:rFonts w:ascii="Times New Roman" w:cs="Times New Roman" w:eastAsia="Times New Roman" w:hAnsi="Times New Roman"/>
          <w:sz w:val="18"/>
          <w:szCs w:val="18"/>
          <w:color w:val="auto"/>
        </w:rPr>
      </w:pPr>
    </w:p>
    <w:p>
      <w:pPr>
        <w:ind w:left="4" w:right="60" w:firstLine="987"/>
        <w:spacing w:after="0" w:line="258" w:lineRule="auto"/>
        <w:tabs>
          <w:tab w:leader="none" w:pos="1175"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the right, by giving five (5) days’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(Payment of Expenses),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(Indemnification and Contribution),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(Representations and Agreements to Survive Delivery),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(Governing Law and Time; Waiver of Jury Trial) and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xml:space="preserve"> (Consent to Jurisdiction) hereof shall remain in full force and effect notwithstanding such termination.</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84"/>
          </w:cols>
          <w:pgMar w:left="436" w:top="270" w:right="479" w:bottom="1440" w:gutter="0" w:footer="0" w:header="0"/>
        </w:sectPr>
      </w:pPr>
    </w:p>
    <w:bookmarkStart w:id="33" w:name="page34"/>
    <w:bookmarkEnd w:id="33"/>
    <w:p>
      <w:pPr>
        <w:ind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 The Agent shall have the right, by giving five (5) days’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(Payment of Expenses),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(Indemnification and Contribution),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(Representations and Agreements to Survive Delivery),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(Governing Law and Time; Waiver of Jury Trial) and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xml:space="preserve"> (Consent to Jurisdiction) hereof shall remain in full force and effect notwithstanding such termination.</w:t>
      </w:r>
    </w:p>
    <w:p>
      <w:pPr>
        <w:spacing w:after="0" w:line="183"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d. Unless earlier terminated pursuant to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this Agreement shall automatically terminate upon the issuance and sale of all of the Placement Shares through the Agent on the terms and subject to the conditions set forth herein except that the provisions of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(Payment of Expenses),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(Indemnification and Contribution),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(Representations and Agreements to Survive Delivery),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(Governing Law and Time; Waiver of Jury Trial) and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xml:space="preserve"> (Consent to Jurisdiction) hereof shall remain in full force and effect notwithstanding such termination.</w:t>
      </w:r>
    </w:p>
    <w:p>
      <w:pPr>
        <w:spacing w:after="0" w:line="183"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e. This Agreement shall remain in full force and effect unless terminated pursuant to </w:t>
      </w:r>
      <w:r>
        <w:rPr>
          <w:rFonts w:ascii="Times New Roman" w:cs="Times New Roman" w:eastAsia="Times New Roman" w:hAnsi="Times New Roman"/>
          <w:sz w:val="18"/>
          <w:szCs w:val="18"/>
          <w:u w:val="single" w:color="auto"/>
          <w:color w:val="auto"/>
        </w:rPr>
        <w:t>Sections 13(a)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above or otherwise by mutual agreement of the parties;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any such termination by mutual agreement shall in all cases be deemed to provide that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(Payment of Expenses),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(Indemnification and Contribution),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(Representations and Agreements to Survive Delivery),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(Governing Law and Time; Waiver of Jury Trial) and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xml:space="preserve"> (Consent to Jurisdiction) shall remain in full force and effect. Upon termination of this Agreement, the Company shall not have any liability to the Agent for any discount, commission or other compensation with respect to any Placement Shares not otherwise sold by the Agent under this Agreement.</w:t>
      </w:r>
    </w:p>
    <w:p>
      <w:pPr>
        <w:spacing w:after="0" w:line="185" w:lineRule="exact"/>
        <w:rPr>
          <w:sz w:val="20"/>
          <w:szCs w:val="20"/>
          <w:color w:val="auto"/>
        </w:rPr>
      </w:pPr>
    </w:p>
    <w:p>
      <w:pPr>
        <w:jc w:val="both"/>
        <w:ind w:right="1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f. Any termination of this Agreement shall be effective on the date specified in such notice of termination;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termination shall not be effective until the close of business on the date of receipt of such notice by the Agent or the Company, as the case may be. If such termination shall occur prior to the Settlement Date for any sale of Placement Shares, such Placement Shares shall settle in accordance with the provisions of this Agreement.</w:t>
      </w:r>
    </w:p>
    <w:p>
      <w:pPr>
        <w:spacing w:after="0" w:line="182" w:lineRule="exact"/>
        <w:rPr>
          <w:sz w:val="20"/>
          <w:szCs w:val="20"/>
          <w:color w:val="auto"/>
        </w:rPr>
      </w:pPr>
    </w:p>
    <w:p>
      <w:pPr>
        <w:ind w:right="160" w:firstLine="436"/>
        <w:spacing w:after="0" w:line="282" w:lineRule="auto"/>
        <w:tabs>
          <w:tab w:leader="none" w:pos="71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or other communications required or permitted to be given by any party to any other party pursuant to the terms of this Agreement shall be in writing, unless otherwise specified, and if sent to the Agent, shall be delivered to:</w:t>
      </w:r>
    </w:p>
    <w:p>
      <w:pPr>
        <w:spacing w:after="0" w:line="18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B. Riley Securities, Inc.</w:t>
      </w:r>
    </w:p>
    <w:p>
      <w:pPr>
        <w:spacing w:after="0" w:line="2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1655 Fort Myer Drive, 12th Floor</w:t>
      </w:r>
    </w:p>
    <w:p>
      <w:pPr>
        <w:spacing w:after="0" w:line="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Arlington, VA 22209</w:t>
      </w:r>
    </w:p>
    <w:p>
      <w:pPr>
        <w:spacing w:after="0" w:line="9" w:lineRule="exact"/>
        <w:rPr>
          <w:sz w:val="20"/>
          <w:szCs w:val="20"/>
          <w:color w:val="auto"/>
        </w:rPr>
      </w:pPr>
    </w:p>
    <w:p>
      <w:pPr>
        <w:ind w:left="1120"/>
        <w:spacing w:after="0"/>
        <w:tabs>
          <w:tab w:leader="none" w:pos="2080" w:val="left"/>
        </w:tabs>
        <w:rPr>
          <w:sz w:val="20"/>
          <w:szCs w:val="20"/>
          <w:color w:val="auto"/>
        </w:rPr>
      </w:pPr>
      <w:r>
        <w:rPr>
          <w:rFonts w:ascii="Times New Roman" w:cs="Times New Roman" w:eastAsia="Times New Roman" w:hAnsi="Times New Roman"/>
          <w:sz w:val="18"/>
          <w:szCs w:val="18"/>
          <w:color w:val="auto"/>
        </w:rPr>
        <w:t>Attention:</w:t>
        <w:tab/>
        <w:t>General Counsel</w:t>
      </w:r>
    </w:p>
    <w:p>
      <w:pPr>
        <w:spacing w:after="0" w:line="23" w:lineRule="exact"/>
        <w:rPr>
          <w:sz w:val="20"/>
          <w:szCs w:val="20"/>
          <w:color w:val="auto"/>
        </w:rPr>
      </w:pPr>
    </w:p>
    <w:p>
      <w:pPr>
        <w:ind w:left="1120"/>
        <w:spacing w:after="0"/>
        <w:tabs>
          <w:tab w:leader="none" w:pos="2080" w:val="left"/>
        </w:tabs>
        <w:rPr>
          <w:sz w:val="20"/>
          <w:szCs w:val="20"/>
          <w:color w:val="auto"/>
        </w:rPr>
      </w:pPr>
      <w:r>
        <w:rPr>
          <w:rFonts w:ascii="Times New Roman" w:cs="Times New Roman" w:eastAsia="Times New Roman" w:hAnsi="Times New Roman"/>
          <w:sz w:val="18"/>
          <w:szCs w:val="18"/>
          <w:color w:val="auto"/>
        </w:rPr>
        <w:t>Telephone:</w:t>
        <w:tab/>
        <w:t>(212) 457-9947</w:t>
      </w:r>
    </w:p>
    <w:p>
      <w:pPr>
        <w:spacing w:after="0" w:line="9" w:lineRule="exact"/>
        <w:rPr>
          <w:sz w:val="20"/>
          <w:szCs w:val="20"/>
          <w:color w:val="auto"/>
        </w:rPr>
      </w:pPr>
    </w:p>
    <w:p>
      <w:pPr>
        <w:ind w:left="1120"/>
        <w:spacing w:after="0"/>
        <w:tabs>
          <w:tab w:leader="none" w:pos="20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atmdesk@brileysecurities.com</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880"/>
          </w:cols>
          <w:pgMar w:left="440" w:top="270" w:right="579" w:bottom="1440" w:gutter="0" w:footer="0" w:header="0"/>
        </w:sectPr>
      </w:pPr>
    </w:p>
    <w:bookmarkStart w:id="34" w:name="page35"/>
    <w:bookmarkEnd w:id="3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a copy to:</w:t>
      </w:r>
    </w:p>
    <w:p>
      <w:pPr>
        <w:spacing w:after="0" w:line="117" w:lineRule="exact"/>
        <w:rPr>
          <w:sz w:val="20"/>
          <w:szCs w:val="20"/>
          <w:color w:val="auto"/>
        </w:rPr>
      </w:pPr>
    </w:p>
    <w:p>
      <w:pPr>
        <w:ind w:left="1124"/>
        <w:spacing w:after="0"/>
        <w:rPr>
          <w:sz w:val="20"/>
          <w:szCs w:val="20"/>
          <w:color w:val="auto"/>
        </w:rPr>
      </w:pPr>
      <w:r>
        <w:rPr>
          <w:rFonts w:ascii="Times New Roman" w:cs="Times New Roman" w:eastAsia="Times New Roman" w:hAnsi="Times New Roman"/>
          <w:sz w:val="18"/>
          <w:szCs w:val="18"/>
          <w:color w:val="auto"/>
        </w:rPr>
        <w:t>Duane Morris LLP</w:t>
      </w:r>
    </w:p>
    <w:p>
      <w:pPr>
        <w:spacing w:after="0" w:line="27" w:lineRule="exact"/>
        <w:rPr>
          <w:sz w:val="20"/>
          <w:szCs w:val="20"/>
          <w:color w:val="auto"/>
        </w:rPr>
      </w:pPr>
    </w:p>
    <w:p>
      <w:pPr>
        <w:ind w:left="1124"/>
        <w:spacing w:after="0"/>
        <w:rPr>
          <w:sz w:val="20"/>
          <w:szCs w:val="20"/>
          <w:color w:val="auto"/>
        </w:rPr>
      </w:pPr>
      <w:r>
        <w:rPr>
          <w:rFonts w:ascii="Times New Roman" w:cs="Times New Roman" w:eastAsia="Times New Roman" w:hAnsi="Times New Roman"/>
          <w:sz w:val="18"/>
          <w:szCs w:val="18"/>
          <w:color w:val="auto"/>
        </w:rPr>
        <w:t>22 Vanderbilt</w:t>
      </w:r>
    </w:p>
    <w:p>
      <w:pPr>
        <w:ind w:left="1124"/>
        <w:spacing w:after="0" w:line="192" w:lineRule="auto"/>
        <w:rPr>
          <w:sz w:val="20"/>
          <w:szCs w:val="20"/>
          <w:color w:val="auto"/>
        </w:rPr>
      </w:pPr>
      <w:r>
        <w:rPr>
          <w:rFonts w:ascii="Times New Roman" w:cs="Times New Roman" w:eastAsia="Times New Roman" w:hAnsi="Times New Roman"/>
          <w:sz w:val="18"/>
          <w:szCs w:val="18"/>
          <w:color w:val="auto"/>
        </w:rPr>
        <w:t>335 Madison Avenue, 23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1124"/>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7" w:lineRule="exact"/>
        <w:rPr>
          <w:sz w:val="20"/>
          <w:szCs w:val="20"/>
          <w:color w:val="auto"/>
        </w:rPr>
      </w:pPr>
    </w:p>
    <w:p>
      <w:pPr>
        <w:ind w:left="1124"/>
        <w:spacing w:after="0"/>
        <w:tabs>
          <w:tab w:leader="none" w:pos="2084" w:val="left"/>
        </w:tabs>
        <w:rPr>
          <w:sz w:val="20"/>
          <w:szCs w:val="20"/>
          <w:color w:val="auto"/>
        </w:rPr>
      </w:pPr>
      <w:r>
        <w:rPr>
          <w:rFonts w:ascii="Times New Roman" w:cs="Times New Roman" w:eastAsia="Times New Roman" w:hAnsi="Times New Roman"/>
          <w:sz w:val="18"/>
          <w:szCs w:val="18"/>
          <w:color w:val="auto"/>
        </w:rPr>
        <w:t>Attention:</w:t>
        <w:tab/>
        <w:t>James T. Seery</w:t>
      </w:r>
    </w:p>
    <w:p>
      <w:pPr>
        <w:spacing w:after="0" w:line="9" w:lineRule="exact"/>
        <w:rPr>
          <w:sz w:val="20"/>
          <w:szCs w:val="20"/>
          <w:color w:val="auto"/>
        </w:rPr>
      </w:pPr>
    </w:p>
    <w:p>
      <w:pPr>
        <w:ind w:left="1124"/>
        <w:spacing w:after="0"/>
        <w:tabs>
          <w:tab w:leader="none" w:pos="2084" w:val="left"/>
        </w:tabs>
        <w:rPr>
          <w:sz w:val="20"/>
          <w:szCs w:val="20"/>
          <w:color w:val="auto"/>
        </w:rPr>
      </w:pPr>
      <w:r>
        <w:rPr>
          <w:rFonts w:ascii="Times New Roman" w:cs="Times New Roman" w:eastAsia="Times New Roman" w:hAnsi="Times New Roman"/>
          <w:sz w:val="18"/>
          <w:szCs w:val="18"/>
          <w:color w:val="auto"/>
        </w:rPr>
        <w:t>Telephone:</w:t>
        <w:tab/>
        <w:t>(973) 424-2088</w:t>
      </w:r>
    </w:p>
    <w:p>
      <w:pPr>
        <w:spacing w:after="0" w:line="9" w:lineRule="exact"/>
        <w:rPr>
          <w:sz w:val="20"/>
          <w:szCs w:val="20"/>
          <w:color w:val="auto"/>
        </w:rPr>
      </w:pPr>
    </w:p>
    <w:p>
      <w:pPr>
        <w:ind w:left="1124"/>
        <w:spacing w:after="0"/>
        <w:tabs>
          <w:tab w:leader="none" w:pos="2084"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jtseery@duanemorris.com</w:t>
      </w:r>
    </w:p>
    <w:p>
      <w:pPr>
        <w:spacing w:after="0" w:line="9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and if to the Company, shall be delivered to:</w:t>
      </w:r>
    </w:p>
    <w:p>
      <w:pPr>
        <w:spacing w:after="0" w:line="117" w:lineRule="exact"/>
        <w:rPr>
          <w:sz w:val="20"/>
          <w:szCs w:val="20"/>
          <w:color w:val="auto"/>
        </w:rPr>
      </w:pPr>
    </w:p>
    <w:p>
      <w:pPr>
        <w:ind w:left="1124"/>
        <w:spacing w:after="0"/>
        <w:rPr>
          <w:sz w:val="20"/>
          <w:szCs w:val="20"/>
          <w:color w:val="auto"/>
        </w:rPr>
      </w:pPr>
      <w:r>
        <w:rPr>
          <w:rFonts w:ascii="Times New Roman" w:cs="Times New Roman" w:eastAsia="Times New Roman" w:hAnsi="Times New Roman"/>
          <w:sz w:val="18"/>
          <w:szCs w:val="18"/>
          <w:color w:val="auto"/>
        </w:rPr>
        <w:t>Magnachip Semiconductor Corporation</w:t>
      </w:r>
    </w:p>
    <w:p>
      <w:pPr>
        <w:spacing w:after="0" w:line="27" w:lineRule="exact"/>
        <w:rPr>
          <w:sz w:val="20"/>
          <w:szCs w:val="20"/>
          <w:color w:val="auto"/>
        </w:rPr>
      </w:pPr>
    </w:p>
    <w:p>
      <w:pPr>
        <w:ind w:left="1124"/>
        <w:spacing w:after="0"/>
        <w:rPr>
          <w:sz w:val="20"/>
          <w:szCs w:val="20"/>
          <w:color w:val="auto"/>
        </w:rPr>
      </w:pPr>
      <w:r>
        <w:rPr>
          <w:rFonts w:ascii="Times New Roman" w:cs="Times New Roman" w:eastAsia="Times New Roman" w:hAnsi="Times New Roman"/>
          <w:sz w:val="18"/>
          <w:szCs w:val="18"/>
          <w:color w:val="auto"/>
        </w:rPr>
        <w:t>15F, 76 Jikji-daero 436beon-gil, Heungdeok-gu</w:t>
      </w:r>
    </w:p>
    <w:p>
      <w:pPr>
        <w:spacing w:after="0" w:line="9" w:lineRule="exact"/>
        <w:rPr>
          <w:sz w:val="20"/>
          <w:szCs w:val="20"/>
          <w:color w:val="auto"/>
        </w:rPr>
      </w:pPr>
    </w:p>
    <w:p>
      <w:pPr>
        <w:ind w:left="1124"/>
        <w:spacing w:after="0"/>
        <w:rPr>
          <w:sz w:val="20"/>
          <w:szCs w:val="20"/>
          <w:color w:val="auto"/>
        </w:rPr>
      </w:pPr>
      <w:r>
        <w:rPr>
          <w:rFonts w:ascii="Times New Roman" w:cs="Times New Roman" w:eastAsia="Times New Roman" w:hAnsi="Times New Roman"/>
          <w:sz w:val="18"/>
          <w:szCs w:val="18"/>
          <w:color w:val="auto"/>
        </w:rPr>
        <w:t>Cheongju-si, Chungcheongbuk-do, Republic of Korea 28581</w:t>
      </w:r>
    </w:p>
    <w:p>
      <w:pPr>
        <w:spacing w:after="0" w:line="23" w:lineRule="exact"/>
        <w:rPr>
          <w:sz w:val="20"/>
          <w:szCs w:val="20"/>
          <w:color w:val="auto"/>
        </w:rPr>
      </w:pPr>
    </w:p>
    <w:p>
      <w:pPr>
        <w:ind w:left="1124"/>
        <w:spacing w:after="0"/>
        <w:tabs>
          <w:tab w:leader="none" w:pos="2084" w:val="left"/>
        </w:tabs>
        <w:rPr>
          <w:sz w:val="20"/>
          <w:szCs w:val="20"/>
          <w:color w:val="auto"/>
        </w:rPr>
      </w:pPr>
      <w:r>
        <w:rPr>
          <w:rFonts w:ascii="Times New Roman" w:cs="Times New Roman" w:eastAsia="Times New Roman" w:hAnsi="Times New Roman"/>
          <w:sz w:val="18"/>
          <w:szCs w:val="18"/>
          <w:color w:val="auto"/>
        </w:rPr>
        <w:t>Attention:</w:t>
        <w:tab/>
        <w:t>Camillo Martino</w:t>
      </w:r>
    </w:p>
    <w:p>
      <w:pPr>
        <w:spacing w:after="0" w:line="9" w:lineRule="exact"/>
        <w:rPr>
          <w:sz w:val="20"/>
          <w:szCs w:val="20"/>
          <w:color w:val="auto"/>
        </w:rPr>
      </w:pPr>
    </w:p>
    <w:p>
      <w:pPr>
        <w:ind w:left="2104"/>
        <w:spacing w:after="0"/>
        <w:rPr>
          <w:sz w:val="20"/>
          <w:szCs w:val="20"/>
          <w:color w:val="auto"/>
        </w:rPr>
      </w:pPr>
      <w:r>
        <w:rPr>
          <w:rFonts w:ascii="Times New Roman" w:cs="Times New Roman" w:eastAsia="Times New Roman" w:hAnsi="Times New Roman"/>
          <w:sz w:val="18"/>
          <w:szCs w:val="18"/>
          <w:color w:val="auto"/>
        </w:rPr>
        <w:t>Shinyoung Park</w:t>
      </w:r>
    </w:p>
    <w:p>
      <w:pPr>
        <w:spacing w:after="0" w:line="9" w:lineRule="exact"/>
        <w:rPr>
          <w:sz w:val="20"/>
          <w:szCs w:val="20"/>
          <w:color w:val="auto"/>
        </w:rPr>
      </w:pPr>
    </w:p>
    <w:p>
      <w:pPr>
        <w:ind w:left="1124"/>
        <w:spacing w:after="0"/>
        <w:tabs>
          <w:tab w:leader="none" w:pos="2084" w:val="left"/>
        </w:tabs>
        <w:rPr>
          <w:sz w:val="20"/>
          <w:szCs w:val="20"/>
          <w:color w:val="auto"/>
        </w:rPr>
      </w:pPr>
      <w:r>
        <w:rPr>
          <w:rFonts w:ascii="Times New Roman" w:cs="Times New Roman" w:eastAsia="Times New Roman" w:hAnsi="Times New Roman"/>
          <w:sz w:val="18"/>
          <w:szCs w:val="18"/>
          <w:color w:val="auto"/>
        </w:rPr>
        <w:t>Telephone:</w:t>
        <w:tab/>
        <w:t>+82 (2) 6903-3000</w:t>
      </w:r>
    </w:p>
    <w:p>
      <w:pPr>
        <w:spacing w:after="0" w:line="9" w:lineRule="exact"/>
        <w:rPr>
          <w:sz w:val="20"/>
          <w:szCs w:val="20"/>
          <w:color w:val="auto"/>
        </w:rPr>
      </w:pPr>
    </w:p>
    <w:p>
      <w:pPr>
        <w:jc w:val="both"/>
        <w:ind w:left="1124"/>
        <w:spacing w:after="0"/>
        <w:tabs>
          <w:tab w:leader="none" w:pos="2084"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camillo.martino@magnachip.com</w:t>
      </w:r>
    </w:p>
    <w:p>
      <w:pPr>
        <w:spacing w:after="0" w:line="9" w:lineRule="exact"/>
        <w:rPr>
          <w:sz w:val="20"/>
          <w:szCs w:val="20"/>
          <w:color w:val="auto"/>
        </w:rPr>
      </w:pPr>
    </w:p>
    <w:p>
      <w:pPr>
        <w:jc w:val="right"/>
        <w:ind w:right="6460"/>
        <w:spacing w:after="0"/>
        <w:rPr>
          <w:sz w:val="20"/>
          <w:szCs w:val="20"/>
          <w:color w:val="auto"/>
        </w:rPr>
      </w:pPr>
      <w:r>
        <w:rPr>
          <w:rFonts w:ascii="Times New Roman" w:cs="Times New Roman" w:eastAsia="Times New Roman" w:hAnsi="Times New Roman"/>
          <w:sz w:val="18"/>
          <w:szCs w:val="18"/>
          <w:color w:val="auto"/>
        </w:rPr>
        <w:t>shinyoung.park@magnachip.com</w:t>
      </w:r>
    </w:p>
    <w:p>
      <w:pPr>
        <w:spacing w:after="0" w:line="9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1124"/>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7" w:lineRule="exact"/>
        <w:rPr>
          <w:sz w:val="20"/>
          <w:szCs w:val="20"/>
          <w:color w:val="auto"/>
        </w:rPr>
      </w:pPr>
    </w:p>
    <w:p>
      <w:pPr>
        <w:ind w:left="1124"/>
        <w:spacing w:after="0"/>
        <w:rPr>
          <w:sz w:val="20"/>
          <w:szCs w:val="20"/>
          <w:color w:val="auto"/>
        </w:rPr>
      </w:pPr>
      <w:r>
        <w:rPr>
          <w:rFonts w:ascii="Times New Roman" w:cs="Times New Roman" w:eastAsia="Times New Roman" w:hAnsi="Times New Roman"/>
          <w:sz w:val="18"/>
          <w:szCs w:val="18"/>
          <w:color w:val="auto"/>
        </w:rPr>
        <w:t>601 Marshall St.</w:t>
      </w:r>
    </w:p>
    <w:p>
      <w:pPr>
        <w:spacing w:after="0" w:line="9" w:lineRule="exact"/>
        <w:rPr>
          <w:sz w:val="20"/>
          <w:szCs w:val="20"/>
          <w:color w:val="auto"/>
        </w:rPr>
      </w:pPr>
    </w:p>
    <w:p>
      <w:pPr>
        <w:ind w:left="1124"/>
        <w:spacing w:after="0"/>
        <w:rPr>
          <w:sz w:val="20"/>
          <w:szCs w:val="20"/>
          <w:color w:val="auto"/>
        </w:rPr>
      </w:pPr>
      <w:r>
        <w:rPr>
          <w:rFonts w:ascii="Times New Roman" w:cs="Times New Roman" w:eastAsia="Times New Roman" w:hAnsi="Times New Roman"/>
          <w:sz w:val="18"/>
          <w:szCs w:val="18"/>
          <w:color w:val="auto"/>
        </w:rPr>
        <w:t>Redwood City, CA 94063</w:t>
      </w:r>
    </w:p>
    <w:p>
      <w:pPr>
        <w:spacing w:after="0" w:line="23" w:lineRule="exact"/>
        <w:rPr>
          <w:sz w:val="20"/>
          <w:szCs w:val="20"/>
          <w:color w:val="auto"/>
        </w:rPr>
      </w:pPr>
    </w:p>
    <w:p>
      <w:pPr>
        <w:ind w:left="1124"/>
        <w:spacing w:after="0"/>
        <w:tabs>
          <w:tab w:leader="none" w:pos="2084" w:val="left"/>
        </w:tabs>
        <w:rPr>
          <w:sz w:val="20"/>
          <w:szCs w:val="20"/>
          <w:color w:val="auto"/>
        </w:rPr>
      </w:pPr>
      <w:r>
        <w:rPr>
          <w:rFonts w:ascii="Times New Roman" w:cs="Times New Roman" w:eastAsia="Times New Roman" w:hAnsi="Times New Roman"/>
          <w:sz w:val="18"/>
          <w:szCs w:val="18"/>
          <w:color w:val="auto"/>
        </w:rPr>
        <w:t>Attention:</w:t>
        <w:tab/>
        <w:t>Micheal Reagan</w:t>
      </w:r>
    </w:p>
    <w:p>
      <w:pPr>
        <w:spacing w:after="0" w:line="9" w:lineRule="exact"/>
        <w:rPr>
          <w:sz w:val="20"/>
          <w:szCs w:val="20"/>
          <w:color w:val="auto"/>
        </w:rPr>
      </w:pPr>
    </w:p>
    <w:p>
      <w:pPr>
        <w:ind w:left="2104"/>
        <w:spacing w:after="0"/>
        <w:rPr>
          <w:sz w:val="20"/>
          <w:szCs w:val="20"/>
          <w:color w:val="auto"/>
        </w:rPr>
      </w:pPr>
      <w:r>
        <w:rPr>
          <w:rFonts w:ascii="Times New Roman" w:cs="Times New Roman" w:eastAsia="Times New Roman" w:hAnsi="Times New Roman"/>
          <w:sz w:val="18"/>
          <w:szCs w:val="18"/>
          <w:color w:val="auto"/>
        </w:rPr>
        <w:t>Stuart Ogg</w:t>
      </w:r>
    </w:p>
    <w:p>
      <w:pPr>
        <w:spacing w:after="0" w:line="9" w:lineRule="exact"/>
        <w:rPr>
          <w:sz w:val="20"/>
          <w:szCs w:val="20"/>
          <w:color w:val="auto"/>
        </w:rPr>
      </w:pPr>
    </w:p>
    <w:p>
      <w:pPr>
        <w:ind w:left="1124"/>
        <w:spacing w:after="0"/>
        <w:tabs>
          <w:tab w:leader="none" w:pos="2084" w:val="left"/>
        </w:tabs>
        <w:rPr>
          <w:sz w:val="20"/>
          <w:szCs w:val="20"/>
          <w:color w:val="auto"/>
        </w:rPr>
      </w:pPr>
      <w:r>
        <w:rPr>
          <w:rFonts w:ascii="Times New Roman" w:cs="Times New Roman" w:eastAsia="Times New Roman" w:hAnsi="Times New Roman"/>
          <w:sz w:val="18"/>
          <w:szCs w:val="18"/>
          <w:color w:val="auto"/>
        </w:rPr>
        <w:t>Telephone:</w:t>
        <w:tab/>
        <w:t>(650) 752-3294</w:t>
      </w:r>
    </w:p>
    <w:p>
      <w:pPr>
        <w:spacing w:after="0" w:line="9" w:lineRule="exact"/>
        <w:rPr>
          <w:sz w:val="20"/>
          <w:szCs w:val="20"/>
          <w:color w:val="auto"/>
        </w:rPr>
      </w:pPr>
    </w:p>
    <w:p>
      <w:pPr>
        <w:ind w:left="2104"/>
        <w:spacing w:after="0"/>
        <w:rPr>
          <w:sz w:val="20"/>
          <w:szCs w:val="20"/>
          <w:color w:val="auto"/>
        </w:rPr>
      </w:pPr>
      <w:r>
        <w:rPr>
          <w:rFonts w:ascii="Times New Roman" w:cs="Times New Roman" w:eastAsia="Times New Roman" w:hAnsi="Times New Roman"/>
          <w:sz w:val="18"/>
          <w:szCs w:val="18"/>
          <w:color w:val="auto"/>
        </w:rPr>
        <w:t>(650) 752-3295</w:t>
      </w:r>
    </w:p>
    <w:p>
      <w:pPr>
        <w:spacing w:after="0" w:line="9" w:lineRule="exact"/>
        <w:rPr>
          <w:sz w:val="20"/>
          <w:szCs w:val="20"/>
          <w:color w:val="auto"/>
        </w:rPr>
      </w:pPr>
    </w:p>
    <w:p>
      <w:pPr>
        <w:ind w:left="1124"/>
        <w:spacing w:after="0"/>
        <w:tabs>
          <w:tab w:leader="none" w:pos="2084"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MReagan@goodwinlaw.com</w:t>
      </w:r>
    </w:p>
    <w:p>
      <w:pPr>
        <w:spacing w:after="0" w:line="9" w:lineRule="exact"/>
        <w:rPr>
          <w:sz w:val="20"/>
          <w:szCs w:val="20"/>
          <w:color w:val="auto"/>
        </w:rPr>
      </w:pPr>
    </w:p>
    <w:p>
      <w:pPr>
        <w:ind w:left="2104"/>
        <w:spacing w:after="0"/>
        <w:rPr>
          <w:sz w:val="20"/>
          <w:szCs w:val="20"/>
          <w:color w:val="auto"/>
        </w:rPr>
      </w:pPr>
      <w:r>
        <w:rPr>
          <w:rFonts w:ascii="Times New Roman" w:cs="Times New Roman" w:eastAsia="Times New Roman" w:hAnsi="Times New Roman"/>
          <w:sz w:val="18"/>
          <w:szCs w:val="18"/>
          <w:color w:val="auto"/>
        </w:rPr>
        <w:t>SOgg@goodwinlaw.com</w:t>
      </w:r>
    </w:p>
    <w:p>
      <w:pPr>
        <w:spacing w:after="0" w:line="207" w:lineRule="exact"/>
        <w:rPr>
          <w:sz w:val="20"/>
          <w:szCs w:val="20"/>
          <w:color w:val="auto"/>
        </w:rPr>
      </w:pPr>
    </w:p>
    <w:p>
      <w:pPr>
        <w:ind w:left="4"/>
        <w:spacing w:after="0" w:line="272" w:lineRule="auto"/>
        <w:rPr>
          <w:sz w:val="20"/>
          <w:szCs w:val="20"/>
          <w:color w:val="auto"/>
        </w:rPr>
      </w:pPr>
      <w:r>
        <w:rPr>
          <w:rFonts w:ascii="Times New Roman" w:cs="Times New Roman" w:eastAsia="Times New Roman" w:hAnsi="Times New Roman"/>
          <w:sz w:val="17"/>
          <w:szCs w:val="17"/>
          <w:color w:val="auto"/>
        </w:rPr>
        <w:t>Each party to this Agreement may change such address for notices by sending to the parties to this Agreement written notice of a new address for such purpose. Each such notice or other communication shall be deemed given (i) when delivered personally, by email, or by verifiable facsimile transmission on or before 4:30 p.m., New York City time, on a Business Day or, if such day is not a Business Day, on the next succeeding Business Day,</w:t>
      </w:r>
    </w:p>
    <w:p>
      <w:pPr>
        <w:spacing w:after="0" w:line="2" w:lineRule="exact"/>
        <w:rPr>
          <w:sz w:val="20"/>
          <w:szCs w:val="20"/>
          <w:color w:val="auto"/>
        </w:rPr>
      </w:pPr>
    </w:p>
    <w:p>
      <w:pPr>
        <w:ind w:left="4" w:right="40" w:hanging="4"/>
        <w:spacing w:after="0" w:line="255" w:lineRule="auto"/>
        <w:tabs>
          <w:tab w:leader="none" w:pos="26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next Business Day after timely delivery to a nationally-recognized overnight courier and (iii) on the Business Day actually received if deposited in the U.S. mail (certified or registered mail, return receipt requested, postage prepaid). For purposes of this Agreement,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shall mean any day on which the Exchange and commercial banks in the City of New York are open for business.</w:t>
      </w:r>
    </w:p>
    <w:p>
      <w:pPr>
        <w:spacing w:after="0" w:line="11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84"/>
          </w:cols>
          <w:pgMar w:left="436" w:top="270" w:right="479" w:bottom="1440" w:gutter="0" w:footer="0" w:header="0"/>
        </w:sectPr>
      </w:pPr>
    </w:p>
    <w:bookmarkStart w:id="35" w:name="page36"/>
    <w:bookmarkEnd w:id="35"/>
    <w:p>
      <w:pPr>
        <w:ind w:left="-20" w:right="20" w:firstLine="436"/>
        <w:spacing w:after="0" w:line="256" w:lineRule="auto"/>
        <w:tabs>
          <w:tab w:leader="none" w:pos="69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Successors and Assigns</w:t>
      </w:r>
      <w:r>
        <w:rPr>
          <w:rFonts w:ascii="Times New Roman" w:cs="Times New Roman" w:eastAsia="Times New Roman" w:hAnsi="Times New Roman"/>
          <w:sz w:val="18"/>
          <w:szCs w:val="18"/>
          <w:color w:val="auto"/>
        </w:rPr>
        <w:t xml:space="preserve">. This Agreement shall inure to the benefit of and be binding upon the Company and the Agent and their respective successors and the affiliates, controlling persons, officers and directors referred to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the Company nor the Agent may assign its rights or obligations under this Agreement without the prior written consent of the other party.</w:t>
      </w:r>
    </w:p>
    <w:p>
      <w:pPr>
        <w:spacing w:after="0" w:line="187" w:lineRule="exact"/>
        <w:rPr>
          <w:rFonts w:ascii="Times New Roman" w:cs="Times New Roman" w:eastAsia="Times New Roman" w:hAnsi="Times New Roman"/>
          <w:sz w:val="18"/>
          <w:szCs w:val="18"/>
          <w:color w:val="auto"/>
        </w:rPr>
      </w:pPr>
    </w:p>
    <w:p>
      <w:pPr>
        <w:jc w:val="both"/>
        <w:ind w:left="-20" w:right="100" w:firstLine="436"/>
        <w:spacing w:after="0" w:line="266" w:lineRule="auto"/>
        <w:tabs>
          <w:tab w:leader="none" w:pos="69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for Stock Splits</w:t>
      </w:r>
      <w:r>
        <w:rPr>
          <w:rFonts w:ascii="Times New Roman" w:cs="Times New Roman" w:eastAsia="Times New Roman" w:hAnsi="Times New Roman"/>
          <w:sz w:val="18"/>
          <w:szCs w:val="18"/>
          <w:color w:val="auto"/>
        </w:rPr>
        <w:t>. The parties acknowledge and agree that all share-related numbers contained in this Agreement shall be adjusted to take into account any share consolidation, stock split, stock dividend, corporate domestication or similar event effected with respect to the Placement Shares.</w:t>
      </w:r>
    </w:p>
    <w:p>
      <w:pPr>
        <w:spacing w:after="0" w:line="175" w:lineRule="exact"/>
        <w:rPr>
          <w:rFonts w:ascii="Times New Roman" w:cs="Times New Roman" w:eastAsia="Times New Roman" w:hAnsi="Times New Roman"/>
          <w:sz w:val="18"/>
          <w:szCs w:val="18"/>
          <w:color w:val="auto"/>
        </w:rPr>
      </w:pPr>
    </w:p>
    <w:p>
      <w:pPr>
        <w:ind w:left="-20" w:firstLine="436"/>
        <w:spacing w:after="0" w:line="272" w:lineRule="auto"/>
        <w:tabs>
          <w:tab w:leader="none" w:pos="69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Entire Agreement; Amendment; Severability</w:t>
      </w:r>
      <w:r>
        <w:rPr>
          <w:rFonts w:ascii="Times New Roman" w:cs="Times New Roman" w:eastAsia="Times New Roman" w:hAnsi="Times New Roman"/>
          <w:sz w:val="17"/>
          <w:szCs w:val="17"/>
          <w:color w:val="auto"/>
        </w:rPr>
        <w:t>. This Agreement (including all schedules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the Agent.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w:t>
      </w:r>
    </w:p>
    <w:p>
      <w:pPr>
        <w:spacing w:after="0" w:line="171" w:lineRule="exact"/>
        <w:rPr>
          <w:rFonts w:ascii="Times New Roman" w:cs="Times New Roman" w:eastAsia="Times New Roman" w:hAnsi="Times New Roman"/>
          <w:sz w:val="17"/>
          <w:szCs w:val="17"/>
          <w:color w:val="auto"/>
        </w:rPr>
      </w:pPr>
    </w:p>
    <w:p>
      <w:pPr>
        <w:ind w:left="-20" w:right="80" w:firstLine="436"/>
        <w:spacing w:after="0" w:line="277" w:lineRule="auto"/>
        <w:tabs>
          <w:tab w:leader="none" w:pos="69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 AND TIME; WAIVER OF JURY TRIAL</w:t>
      </w:r>
      <w:r>
        <w:rPr>
          <w:rFonts w:ascii="Times New Roman" w:cs="Times New Roman" w:eastAsia="Times New Roman" w:hAnsi="Times New Roman"/>
          <w:sz w:val="17"/>
          <w:szCs w:val="17"/>
          <w:color w:val="auto"/>
        </w:rPr>
        <w:t>. THIS AGREEMENT SHALL BE GOVERNED BY AND CONSTRUED IN ACCORDANCE WITH THE LAWS OF THE STATE OF NEW YORK WITHOUT REGARD TO THE PRINCIPLES OF CONFLICTS OF LAWS. SPECIFIED TIMES OF DAY REFER TO NEW YORK CITY TIME. THE COMPANY AND THE AGENT EACH HEREBY IRREVOCABLY WAIVES, TO THE FULLEST EXTENT PERMITTED BY APPLICABLE LAW, ANY AND ALL RIGHT TO TRIAL BY JURY IN ANY LEGAL PROCEEDING ARISING OUT OF OR RELATING TO THIS AGREEMENT OR THE TRANSACTIONS CONTEMPLATED HEREBY.</w:t>
      </w:r>
    </w:p>
    <w:p>
      <w:pPr>
        <w:spacing w:after="0" w:line="167" w:lineRule="exact"/>
        <w:rPr>
          <w:rFonts w:ascii="Times New Roman" w:cs="Times New Roman" w:eastAsia="Times New Roman" w:hAnsi="Times New Roman"/>
          <w:sz w:val="17"/>
          <w:szCs w:val="17"/>
          <w:color w:val="auto"/>
        </w:rPr>
      </w:pPr>
    </w:p>
    <w:p>
      <w:pPr>
        <w:ind w:left="-20" w:right="40" w:firstLine="436"/>
        <w:spacing w:after="0" w:line="254" w:lineRule="auto"/>
        <w:tabs>
          <w:tab w:leader="none" w:pos="69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 TO JURISDICTION</w:t>
      </w:r>
      <w:r>
        <w:rPr>
          <w:rFonts w:ascii="Times New Roman" w:cs="Times New Roman" w:eastAsia="Times New Roman" w:hAnsi="Times New Roman"/>
          <w:sz w:val="18"/>
          <w:szCs w:val="18"/>
          <w:color w:val="auto"/>
        </w:rPr>
        <w:t>. EACH PARTY HEREBY IRREVOCABLY SUBMITS TO THE NON-EXCLUSIVE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80"/>
          </w:cols>
          <w:pgMar w:left="460" w:top="270" w:right="459" w:bottom="1440" w:gutter="0" w:footer="0" w:header="0"/>
        </w:sectPr>
      </w:pPr>
    </w:p>
    <w:bookmarkStart w:id="36" w:name="page37"/>
    <w:bookmarkEnd w:id="36"/>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spacing w:after="0" w:line="180" w:lineRule="exact"/>
        <w:rPr>
          <w:sz w:val="20"/>
          <w:szCs w:val="20"/>
          <w:color w:val="auto"/>
        </w:rPr>
      </w:pPr>
    </w:p>
    <w:p>
      <w:pPr>
        <w:ind w:right="180" w:firstLine="436"/>
        <w:spacing w:after="0" w:line="282" w:lineRule="auto"/>
        <w:tabs>
          <w:tab w:leader="none" w:pos="71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Information</w:t>
      </w:r>
      <w:r>
        <w:rPr>
          <w:rFonts w:ascii="Times New Roman" w:cs="Times New Roman" w:eastAsia="Times New Roman" w:hAnsi="Times New Roman"/>
          <w:sz w:val="18"/>
          <w:szCs w:val="18"/>
          <w:color w:val="auto"/>
        </w:rPr>
        <w:t>. The Agent may not use any information gained in connection with this Agreement and the transactions contemplated by this Agreement, including due diligence, to advise any party with respect to transactions not expressly approved by the Company.</w:t>
      </w:r>
    </w:p>
    <w:p>
      <w:pPr>
        <w:spacing w:after="0" w:line="161" w:lineRule="exact"/>
        <w:rPr>
          <w:rFonts w:ascii="Times New Roman" w:cs="Times New Roman" w:eastAsia="Times New Roman" w:hAnsi="Times New Roman"/>
          <w:sz w:val="18"/>
          <w:szCs w:val="18"/>
          <w:color w:val="auto"/>
        </w:rPr>
      </w:pPr>
    </w:p>
    <w:p>
      <w:pPr>
        <w:ind w:right="460" w:firstLine="436"/>
        <w:spacing w:after="0" w:line="266" w:lineRule="auto"/>
        <w:tabs>
          <w:tab w:leader="none" w:pos="71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counterparts, each of which shall be deemed an original, but all of which together shall constitute one and the same instrument. Delivery of an executed Agreement by one party to the other may be made by facsimile transmission or email of a .pdf attachment.</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The section, Schedule and Exhibit headings herein are for convenience only and shall not affect the construction hereof.</w:t>
      </w:r>
    </w:p>
    <w:p>
      <w:pPr>
        <w:spacing w:after="0" w:line="225" w:lineRule="exact"/>
        <w:rPr>
          <w:rFonts w:ascii="Times New Roman" w:cs="Times New Roman" w:eastAsia="Times New Roman" w:hAnsi="Times New Roman"/>
          <w:sz w:val="18"/>
          <w:szCs w:val="18"/>
          <w:color w:val="auto"/>
        </w:rPr>
      </w:pPr>
    </w:p>
    <w:p>
      <w:pPr>
        <w:ind w:right="20" w:firstLine="436"/>
        <w:spacing w:after="0" w:line="253" w:lineRule="auto"/>
        <w:tabs>
          <w:tab w:leader="none" w:pos="71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Permitted Free Writing Prospectuses</w:t>
      </w:r>
      <w:r>
        <w:rPr>
          <w:rFonts w:ascii="Times New Roman" w:cs="Times New Roman" w:eastAsia="Times New Roman" w:hAnsi="Times New Roman"/>
          <w:sz w:val="18"/>
          <w:szCs w:val="18"/>
          <w:color w:val="auto"/>
        </w:rPr>
        <w:t xml:space="preserve">. The Company represents, warrants and agrees that, unless it obtains the prior consent of the Agent, which consent shall not be unreasonably withheld, conditioned or delayed, and the Agent represents, warrants and agrees that, unless it obtains the prior consent of the Company, which consent shall not be unreasonably withheld, conditioned or delayed, it has not made and will not make any offer relating to the Placement Shares that would constitute an Issuer Free Writing Prospectus, or that would otherwise constitute a “free writing prospectus,” as defined in Rule 405, required to be filed with the Commission. Any such free writing prospectus consented to by the Agent or by the Company, as the case may be, is hereinafter referred to as a “Permitted Free Writing Prospectus.” The Company represents and warrants that it has treated and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 For the purposes of clarity, the parties hereto agree that all free writing prospectuses, if any, listed in </w:t>
      </w:r>
      <w:r>
        <w:rPr>
          <w:rFonts w:ascii="Times New Roman" w:cs="Times New Roman" w:eastAsia="Times New Roman" w:hAnsi="Times New Roman"/>
          <w:sz w:val="18"/>
          <w:szCs w:val="18"/>
          <w:u w:val="single" w:color="auto"/>
          <w:color w:val="auto"/>
        </w:rPr>
        <w:t>Exhibit 23</w:t>
      </w:r>
      <w:r>
        <w:rPr>
          <w:rFonts w:ascii="Times New Roman" w:cs="Times New Roman" w:eastAsia="Times New Roman" w:hAnsi="Times New Roman"/>
          <w:sz w:val="18"/>
          <w:szCs w:val="18"/>
          <w:color w:val="auto"/>
        </w:rPr>
        <w:t xml:space="preserve"> hereto are Permitted Free Writing Prospectuses.</w:t>
      </w:r>
    </w:p>
    <w:p>
      <w:pPr>
        <w:spacing w:after="0" w:line="194"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Fiduciary Relationship</w:t>
      </w:r>
      <w:r>
        <w:rPr>
          <w:rFonts w:ascii="Times New Roman" w:cs="Times New Roman" w:eastAsia="Times New Roman" w:hAnsi="Times New Roman"/>
          <w:sz w:val="18"/>
          <w:szCs w:val="18"/>
          <w:color w:val="auto"/>
        </w:rPr>
        <w:t>. The Company acknowledges and agrees that:</w:t>
      </w:r>
    </w:p>
    <w:p>
      <w:pPr>
        <w:spacing w:after="0" w:line="117" w:lineRule="exact"/>
        <w:rPr>
          <w:rFonts w:ascii="Times New Roman" w:cs="Times New Roman" w:eastAsia="Times New Roman" w:hAnsi="Times New Roman"/>
          <w:sz w:val="18"/>
          <w:szCs w:val="18"/>
          <w:color w:val="auto"/>
        </w:rPr>
      </w:pPr>
    </w:p>
    <w:p>
      <w:pPr>
        <w:ind w:firstLine="987"/>
        <w:spacing w:after="0" w:line="256" w:lineRule="auto"/>
        <w:tabs>
          <w:tab w:leader="none" w:pos="1161"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 is acting solely as agent in connection with the public offering of the Placement Shares and in connection with each transaction contemplated by this Agreement and the process leading to such transactions, and no fiduciary or advisory relationship between the Company or any of its respective affiliates, stockholders (or other equity holders), creditors or employees or any other party, on the one hand, and the Agent, on the other hand, has been or will be created in respect of any of the transactions contemplated by this Agreement, irrespective of whether or not the Agent has advised or is advising the Company on other matters, and the Agent has no obligation to the Company with respect to the transactions contemplated by this Agreement except the obligations expressly set forth in this Agreement;</w:t>
      </w:r>
    </w:p>
    <w:p>
      <w:pPr>
        <w:spacing w:after="0" w:line="187" w:lineRule="exact"/>
        <w:rPr>
          <w:rFonts w:ascii="Times New Roman" w:cs="Times New Roman" w:eastAsia="Times New Roman" w:hAnsi="Times New Roman"/>
          <w:sz w:val="18"/>
          <w:szCs w:val="18"/>
          <w:color w:val="auto"/>
        </w:rPr>
      </w:pPr>
    </w:p>
    <w:p>
      <w:pPr>
        <w:ind w:right="840" w:firstLine="987"/>
        <w:spacing w:after="0" w:line="282" w:lineRule="auto"/>
        <w:tabs>
          <w:tab w:leader="none" w:pos="1171"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capable of evaluating and understanding, and understands and accepts, the terms, risks and conditions of the transactions contemplated by this Agreement;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70" w:right="459" w:bottom="1440" w:gutter="0" w:footer="0" w:header="0"/>
        </w:sectPr>
      </w:pPr>
    </w:p>
    <w:bookmarkStart w:id="37" w:name="page38"/>
    <w:bookmarkEnd w:id="37"/>
    <w:p>
      <w:pPr>
        <w:ind w:left="4" w:right="6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 the Agent has not provided any legal, accounting, regulatory or tax advice with respect to the transactions contemplated by this Agreement and it has consulted its own legal, accounting, regulatory and tax advisors to the extent it has deemed appropriate;</w:t>
      </w:r>
    </w:p>
    <w:p>
      <w:pPr>
        <w:spacing w:after="0" w:line="162" w:lineRule="exact"/>
        <w:rPr>
          <w:sz w:val="20"/>
          <w:szCs w:val="20"/>
          <w:color w:val="auto"/>
        </w:rPr>
      </w:pPr>
    </w:p>
    <w:p>
      <w:pPr>
        <w:ind w:left="4" w:right="40" w:firstLine="991"/>
        <w:spacing w:after="0" w:line="266" w:lineRule="auto"/>
        <w:rPr>
          <w:sz w:val="20"/>
          <w:szCs w:val="20"/>
          <w:color w:val="auto"/>
        </w:rPr>
      </w:pPr>
      <w:r>
        <w:rPr>
          <w:rFonts w:ascii="Times New Roman" w:cs="Times New Roman" w:eastAsia="Times New Roman" w:hAnsi="Times New Roman"/>
          <w:sz w:val="18"/>
          <w:szCs w:val="18"/>
          <w:color w:val="auto"/>
        </w:rPr>
        <w:t>d. it is aware that the Agent and its affiliates are engaged in a broad range of transactions which may involve interests that differ from those of the Company and the Agent has no obligation to disclose such interests and transactions to the Company by virtue of any fiduciary, advisory or agency relationship or otherwise; and</w:t>
      </w:r>
    </w:p>
    <w:p>
      <w:pPr>
        <w:spacing w:after="0" w:line="176" w:lineRule="exact"/>
        <w:rPr>
          <w:sz w:val="20"/>
          <w:szCs w:val="20"/>
          <w:color w:val="auto"/>
        </w:rPr>
      </w:pPr>
    </w:p>
    <w:p>
      <w:pPr>
        <w:ind w:left="4" w:firstLine="991"/>
        <w:spacing w:after="0" w:line="258" w:lineRule="auto"/>
        <w:rPr>
          <w:sz w:val="20"/>
          <w:szCs w:val="20"/>
          <w:color w:val="auto"/>
        </w:rPr>
      </w:pPr>
      <w:r>
        <w:rPr>
          <w:rFonts w:ascii="Times New Roman" w:cs="Times New Roman" w:eastAsia="Times New Roman" w:hAnsi="Times New Roman"/>
          <w:sz w:val="18"/>
          <w:szCs w:val="18"/>
          <w:color w:val="auto"/>
        </w:rPr>
        <w:t>e. it waives, to the fullest extent permitted by law, any claims it may have against the Agent for breach of fiduciary duty or alleged breach of fiduciary duty in connection with the sale of Placement Shares under this Agreement and agrees that the Agent shall not have any liability (whether direct or indirect, in contract, tort or otherwise) to it in respect of such a fiduciary duty claim or to any person asserting a fiduciary duty claim on its behalf or in right of it or the Company, employees or creditors of Company, other than in respect of the Agent’s obligations under this Agreement and to keep information provided by the Company to the Agent and its counsel confidential to the extent not otherwise publicly-available.</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Agreement, the following terms have the respective meanings set forth below:</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Time</w:t>
      </w:r>
      <w:r>
        <w:rPr>
          <w:rFonts w:ascii="Times New Roman" w:cs="Times New Roman" w:eastAsia="Times New Roman" w:hAnsi="Times New Roman"/>
          <w:sz w:val="18"/>
          <w:szCs w:val="18"/>
          <w:color w:val="auto"/>
        </w:rPr>
        <w:t>” means (i) each Representation Date and (ii) the time of each sale of any Placement Shares pursuant to this Agreement.</w:t>
      </w:r>
    </w:p>
    <w:p>
      <w:pPr>
        <w:spacing w:after="0" w:line="225" w:lineRule="exact"/>
        <w:rPr>
          <w:sz w:val="20"/>
          <w:szCs w:val="20"/>
          <w:color w:val="auto"/>
        </w:rPr>
      </w:pPr>
    </w:p>
    <w:p>
      <w:pPr>
        <w:ind w:left="4" w:right="20" w:firstLine="44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Issuer Free Writing Prospectus</w:t>
      </w:r>
      <w:r>
        <w:rPr>
          <w:rFonts w:ascii="Times New Roman" w:cs="Times New Roman" w:eastAsia="Times New Roman" w:hAnsi="Times New Roman"/>
          <w:sz w:val="17"/>
          <w:szCs w:val="17"/>
          <w:color w:val="auto"/>
        </w:rPr>
        <w:t>” means any “issuer free writing prospectus,” as defined in Rule 433, relating to the Placement Shares that (1) is required to be filed with the Commission by the Company, (2) is a “road show” that is a “written communication” within the meaning of Rule 433(d)(8)</w:t>
      </w:r>
    </w:p>
    <w:p>
      <w:pPr>
        <w:spacing w:after="0" w:line="1" w:lineRule="exact"/>
        <w:rPr>
          <w:sz w:val="20"/>
          <w:szCs w:val="20"/>
          <w:color w:val="auto"/>
        </w:rPr>
      </w:pPr>
    </w:p>
    <w:p>
      <w:pPr>
        <w:ind w:left="4" w:right="20" w:hanging="4"/>
        <w:spacing w:after="0" w:line="255" w:lineRule="auto"/>
        <w:tabs>
          <w:tab w:leader="none" w:pos="21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required to be filed with the Commission, or (3) is exempt from filing pursuant to Rule 433(d)(5)(i) because it contains a description of the Placement Shares or of the offering that does not reflect the final terms, in each case in the form filed or required to be filed with the Commission or, if not required to be filed, in the form retained in the Company’s records pursuant to Rule 433(g) under the Securities Act.</w:t>
      </w:r>
    </w:p>
    <w:p>
      <w:pPr>
        <w:spacing w:after="0" w:line="18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172</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405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415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424(b)</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Rule 430B</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Rule 433</w:t>
      </w:r>
      <w:r>
        <w:rPr>
          <w:rFonts w:ascii="Times New Roman" w:cs="Times New Roman" w:eastAsia="Times New Roman" w:hAnsi="Times New Roman"/>
          <w:sz w:val="18"/>
          <w:szCs w:val="18"/>
          <w:color w:val="auto"/>
        </w:rPr>
        <w:t>” refer to such rules under the Securities Act.</w:t>
      </w:r>
    </w:p>
    <w:p>
      <w:pPr>
        <w:spacing w:after="0" w:line="225" w:lineRule="exact"/>
        <w:rPr>
          <w:sz w:val="20"/>
          <w:szCs w:val="20"/>
          <w:color w:val="auto"/>
        </w:rPr>
      </w:pPr>
    </w:p>
    <w:p>
      <w:pPr>
        <w:ind w:left="4" w:right="60" w:firstLine="440"/>
        <w:spacing w:after="0" w:line="266" w:lineRule="auto"/>
        <w:rPr>
          <w:sz w:val="20"/>
          <w:szCs w:val="20"/>
          <w:color w:val="auto"/>
        </w:rPr>
      </w:pPr>
      <w:r>
        <w:rPr>
          <w:rFonts w:ascii="Times New Roman" w:cs="Times New Roman" w:eastAsia="Times New Roman" w:hAnsi="Times New Roman"/>
          <w:sz w:val="18"/>
          <w:szCs w:val="18"/>
          <w:color w:val="auto"/>
        </w:rPr>
        <w:t>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spacing w:after="0" w:line="10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64"/>
          </w:cols>
          <w:pgMar w:left="436" w:top="270" w:right="499" w:bottom="1440" w:gutter="0" w:footer="0" w:header="0"/>
        </w:sectPr>
      </w:pPr>
    </w:p>
    <w:bookmarkStart w:id="38" w:name="page39"/>
    <w:bookmarkEnd w:id="38"/>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references in this Agreement to the Registration Statement, the Prospectus or any amendment or supplement to any of the foregoing shall be deemed to include the copy filed with the Commission pursuant to EDGAR; all references in this Agreement to any Issuer Free Writing Prospectus (other than any Issuer Free Writing Prospectuses that, pursuant to Rule 433, are not required to be filed with the Commission) shall be deemed to include the copy thereof filed with the Commission pursuant to EDGAR; and all references in this Agreement to “supplements” to the Prospectus shall include, without limitation, any supplements, “wrappers” or similar materials prepared in connection with any offering, sale or private placement of any Placement Shares by the Agent outside of the United States.</w:t>
      </w:r>
    </w:p>
    <w:p>
      <w:pPr>
        <w:spacing w:after="0" w:line="1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[Remainder of the page intentionally left blank]</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40"/>
          </w:cols>
          <w:pgMar w:left="440" w:top="270" w:right="519" w:bottom="1440" w:gutter="0" w:footer="0" w:header="0"/>
        </w:sectPr>
      </w:pPr>
    </w:p>
    <w:bookmarkStart w:id="39" w:name="page40"/>
    <w:bookmarkEnd w:id="39"/>
    <w:p>
      <w:pPr>
        <w:ind w:right="3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foregoing correctly sets forth the understanding between the Company and the Agent, please so indicate in the space provided below for that purpose, whereupon this letter shall constitute a binding agreement between the Company and the Agent.</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MAGNACHIP SEMICONDUCTOR CORPORATION</w:t>
      </w:r>
    </w:p>
    <w:p>
      <w:pPr>
        <w:spacing w:after="0" w:line="24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Camillo 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Camillo Martino</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Chairman and Interim Chief Executive Officer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ACCEPTED as of the date first-above written:</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 RILEY SECURITIES,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Ryan Aceto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Ryan Aceto</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Deputy Head of Equity Capital Markets</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840"/>
          </w:cols>
          <w:pgMar w:left="440" w:top="270" w:right="61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8"/>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SCHEDULE 1</w:t>
            </w:r>
          </w:p>
        </w:tc>
        <w:tc>
          <w:tcPr>
            <w:tcW w:w="29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960" w:type="dxa"/>
            <w:vAlign w:val="bottom"/>
          </w:tcPr>
          <w:p>
            <w:pPr>
              <w:spacing w:after="0"/>
              <w:rPr>
                <w:sz w:val="20"/>
                <w:szCs w:val="20"/>
                <w:color w:val="auto"/>
              </w:rPr>
            </w:pPr>
          </w:p>
        </w:tc>
      </w:tr>
      <w:tr>
        <w:trPr>
          <w:trHeight w:val="351"/>
        </w:trPr>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3960" w:type="dxa"/>
            <w:vAlign w:val="bottom"/>
          </w:tcPr>
          <w:p>
            <w:pPr>
              <w:spacing w:after="0"/>
              <w:rPr>
                <w:sz w:val="24"/>
                <w:szCs w:val="24"/>
                <w:color w:val="auto"/>
              </w:rPr>
            </w:pPr>
          </w:p>
        </w:tc>
      </w:tr>
      <w:tr>
        <w:trPr>
          <w:trHeight w:val="426"/>
        </w:trPr>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0" w:type="dxa"/>
            <w:vAlign w:val="bottom"/>
            <w:gridSpan w:val="3"/>
          </w:tcPr>
          <w:p>
            <w:pPr>
              <w:ind w:left="2780"/>
              <w:spacing w:after="0"/>
              <w:rPr>
                <w:sz w:val="20"/>
                <w:szCs w:val="20"/>
                <w:color w:val="auto"/>
              </w:rPr>
            </w:pPr>
            <w:r>
              <w:rPr>
                <w:rFonts w:ascii="Times New Roman" w:cs="Times New Roman" w:eastAsia="Times New Roman" w:hAnsi="Times New Roman"/>
                <w:sz w:val="18"/>
                <w:szCs w:val="18"/>
                <w:color w:val="auto"/>
              </w:rPr>
              <w:t>FORM OF PLACEMENT NOTICE</w:t>
            </w:r>
          </w:p>
        </w:tc>
      </w:tr>
      <w:tr>
        <w:trPr>
          <w:trHeight w:val="364"/>
        </w:trPr>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3960" w:type="dxa"/>
            <w:vAlign w:val="bottom"/>
          </w:tcPr>
          <w:p>
            <w:pPr>
              <w:spacing w:after="0"/>
              <w:rPr>
                <w:sz w:val="24"/>
                <w:szCs w:val="24"/>
                <w:color w:val="auto"/>
              </w:rPr>
            </w:pPr>
          </w:p>
        </w:tc>
      </w:tr>
      <w:tr>
        <w:trPr>
          <w:trHeight w:val="479"/>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From:</w:t>
            </w:r>
          </w:p>
        </w:tc>
        <w:tc>
          <w:tcPr>
            <w:tcW w:w="92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Magnachip Semiconductor Corporation</w:t>
            </w:r>
          </w:p>
        </w:tc>
      </w:tr>
      <w:tr>
        <w:trPr>
          <w:trHeight w:val="324"/>
        </w:trPr>
        <w:tc>
          <w:tcPr>
            <w:tcW w:w="320" w:type="dxa"/>
            <w:vAlign w:val="bottom"/>
          </w:tcPr>
          <w:p>
            <w:pPr>
              <w:spacing w:after="0"/>
              <w:rPr>
                <w:sz w:val="24"/>
                <w:szCs w:val="24"/>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w:t>
            </w:r>
          </w:p>
        </w:tc>
        <w:tc>
          <w:tcPr>
            <w:tcW w:w="92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B. Riley Securities, Inc.</w:t>
            </w:r>
          </w:p>
        </w:tc>
      </w:tr>
      <w:tr>
        <w:trPr>
          <w:trHeight w:val="324"/>
        </w:trPr>
        <w:tc>
          <w:tcPr>
            <w:tcW w:w="320" w:type="dxa"/>
            <w:vAlign w:val="bottom"/>
          </w:tcPr>
          <w:p>
            <w:pPr>
              <w:spacing w:after="0"/>
              <w:rPr>
                <w:sz w:val="24"/>
                <w:szCs w:val="24"/>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Attention:</w:t>
            </w:r>
          </w:p>
        </w:tc>
        <w:tc>
          <w:tcPr>
            <w:tcW w:w="92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320" w:type="dxa"/>
            <w:vAlign w:val="bottom"/>
          </w:tcPr>
          <w:p>
            <w:pPr>
              <w:spacing w:after="0"/>
              <w:rPr>
                <w:sz w:val="24"/>
                <w:szCs w:val="24"/>
                <w:color w:val="auto"/>
              </w:rPr>
            </w:pPr>
          </w:p>
        </w:tc>
        <w:tc>
          <w:tcPr>
            <w:tcW w:w="1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Subject:</w:t>
            </w:r>
          </w:p>
        </w:tc>
        <w:tc>
          <w:tcPr>
            <w:tcW w:w="92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At Market Issuance-Placement Notice</w:t>
            </w:r>
          </w:p>
        </w:tc>
      </w:tr>
      <w:tr>
        <w:trPr>
          <w:trHeight w:val="432"/>
        </w:trPr>
        <w:tc>
          <w:tcPr>
            <w:tcW w:w="320" w:type="dxa"/>
            <w:vAlign w:val="bottom"/>
          </w:tcPr>
          <w:p>
            <w:pPr>
              <w:spacing w:after="0"/>
              <w:rPr>
                <w:sz w:val="24"/>
                <w:szCs w:val="24"/>
                <w:color w:val="auto"/>
              </w:rPr>
            </w:pPr>
          </w:p>
        </w:tc>
        <w:tc>
          <w:tcPr>
            <w:tcW w:w="103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Ladies and Gentlemen:</w:t>
            </w:r>
          </w:p>
        </w:tc>
      </w:tr>
      <w:tr>
        <w:trPr>
          <w:trHeight w:val="324"/>
        </w:trPr>
        <w:tc>
          <w:tcPr>
            <w:tcW w:w="320" w:type="dxa"/>
            <w:vAlign w:val="bottom"/>
          </w:tcPr>
          <w:p>
            <w:pPr>
              <w:spacing w:after="0"/>
              <w:rPr>
                <w:sz w:val="24"/>
                <w:szCs w:val="24"/>
                <w:color w:val="auto"/>
              </w:rPr>
            </w:pPr>
          </w:p>
        </w:tc>
        <w:tc>
          <w:tcPr>
            <w:tcW w:w="103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w w:val="99"/>
              </w:rPr>
              <w:t>Pursuant to the terms and subject to the conditions contained in the At Market Issuance Sales Agreement between Magnachip Semiconductor</w:t>
            </w:r>
          </w:p>
        </w:tc>
      </w:tr>
    </w:tbl>
    <w:p>
      <w:pPr>
        <w:jc w:val="both"/>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Corporation,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B. Riley Securities, Inc. (the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dated June 17, 2026, the Company hereby requests that the Agent sell up to [____] of the Company’s Common Stock, par value $0.01 per share, at a minimum market price of $[  ] per share, during the time period beginning [month, day, time] and ending [month, day, time].</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880"/>
          </w:cols>
          <w:pgMar w:left="440" w:top="266" w:right="5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Company shall pay to the Agent in cash, upon each sale of Placement Shares pursuant to this Agreement, an amount up to 3.0% of the gross proceeds from each sale of Placement Shares.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860"/>
          </w:cols>
          <w:pgMar w:left="440" w:top="266" w:right="5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right"/>
        <w:ind w:right="3979"/>
        <w:spacing w:after="0"/>
        <w:rPr>
          <w:sz w:val="20"/>
          <w:szCs w:val="20"/>
          <w:color w:val="auto"/>
        </w:rPr>
      </w:pPr>
      <w:r>
        <w:rPr>
          <w:rFonts w:ascii="Times New Roman" w:cs="Times New Roman" w:eastAsia="Times New Roman" w:hAnsi="Times New Roman"/>
          <w:sz w:val="18"/>
          <w:szCs w:val="18"/>
          <w:b w:val="1"/>
          <w:bCs w:val="1"/>
          <w:color w:val="auto"/>
        </w:rPr>
        <w:t>Notice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Camillo Martino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Shinyoung Park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Cristiano Amoruso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Gilbert Nathan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 Riley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Keith Pompliano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Ammaturo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Ryan Aceto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Craig Krinbring</w:t>
      </w:r>
    </w:p>
    <w:p>
      <w:pPr>
        <w:spacing w:after="0" w:line="225" w:lineRule="exact"/>
        <w:rPr>
          <w:sz w:val="20"/>
          <w:szCs w:val="20"/>
          <w:color w:val="auto"/>
        </w:rPr>
      </w:pPr>
    </w:p>
    <w:p>
      <w:pPr>
        <w:ind w:left="5420" w:right="4059" w:hanging="5417"/>
        <w:spacing w:after="0" w:line="367" w:lineRule="auto"/>
        <w:rPr>
          <w:sz w:val="20"/>
          <w:szCs w:val="20"/>
          <w:color w:val="auto"/>
        </w:rPr>
      </w:pPr>
      <w:r>
        <w:rPr>
          <w:rFonts w:ascii="Times New Roman" w:cs="Times New Roman" w:eastAsia="Times New Roman" w:hAnsi="Times New Roman"/>
          <w:sz w:val="17"/>
          <w:szCs w:val="17"/>
          <w:color w:val="auto"/>
        </w:rPr>
        <w:t xml:space="preserve">with copies to </w:t>
      </w:r>
      <w:r>
        <w:rPr>
          <w:rFonts w:ascii="Times New Roman" w:cs="Times New Roman" w:eastAsia="Times New Roman" w:hAnsi="Times New Roman"/>
          <w:sz w:val="17"/>
          <w:szCs w:val="17"/>
          <w:u w:val="single" w:color="auto"/>
          <w:color w:val="auto"/>
        </w:rPr>
        <w:t>atmdesk@brileysecurities.com</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atmadmin@brileysecurities.com</w:t>
      </w:r>
      <w:r>
        <w:rPr>
          <w:rFonts w:ascii="Times New Roman" w:cs="Times New Roman" w:eastAsia="Times New Roman" w:hAnsi="Times New Roman"/>
          <w:sz w:val="17"/>
          <w:szCs w:val="17"/>
          <w:color w:val="auto"/>
        </w:rPr>
        <w:t xml:space="preserve"> 40</w:t>
      </w:r>
    </w:p>
    <w:p>
      <w:pPr>
        <w:sectPr>
          <w:pgSz w:w="11900" w:h="16838" w:orient="portrait"/>
          <w:cols w:equalWidth="0" w:num="1">
            <w:col w:w="10019"/>
          </w:cols>
          <w:pgMar w:left="440" w:top="266" w:right="1440" w:bottom="1440" w:gutter="0" w:footer="0" w:header="0"/>
        </w:sectPr>
      </w:pPr>
    </w:p>
    <w:bookmarkStart w:id="43" w:name="page44"/>
    <w:bookmarkEnd w:id="43"/>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7(1)</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Form of Representation Date Certificate</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___________, 20___</w:t>
      </w:r>
    </w:p>
    <w:p>
      <w:pPr>
        <w:spacing w:after="0" w:line="20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This Representation Date Certificate (this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xml:space="preserve">”) is executed and delivered in connection with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of the At Market Issuance Sales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June 17, 2026, and entered into between Magnachip Semiconductor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B. Riley Securities, Inc. All capitalized terms used but not defined herein shall have the meanings given to such terms in the Agreement.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hereby certifies as follows:</w:t>
      </w:r>
    </w:p>
    <w:p>
      <w:pPr>
        <w:spacing w:after="0" w:line="117" w:lineRule="exact"/>
        <w:rPr>
          <w:sz w:val="20"/>
          <w:szCs w:val="20"/>
          <w:color w:val="auto"/>
        </w:rPr>
      </w:pPr>
    </w:p>
    <w:p>
      <w:pPr>
        <w:ind w:right="60" w:firstLine="436"/>
        <w:spacing w:after="0" w:line="256" w:lineRule="auto"/>
        <w:tabs>
          <w:tab w:leader="none" w:pos="6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Certificate (i) the Registration Statement does not contain any untrue statement of a material fact or omit to state a material fact required to be stated therein or necessary in order to make the statements therein not misleading and (ii) neither the Registration Statement nor the Prospectus contain any untrue statement of a material fact or omit to state a material fact required to be stated therein or necessary in order to make the statements therein, in light of the circumstances under which they were made, not misleading and (iii) no event has occurred as a result of which it is necessary to amend or supplement the Prospectus in order to make the statements therein not untrue or misleading for this paragraph 1 to be true.</w:t>
      </w:r>
    </w:p>
    <w:p>
      <w:pPr>
        <w:spacing w:after="0" w:line="187" w:lineRule="exact"/>
        <w:rPr>
          <w:rFonts w:ascii="Times New Roman" w:cs="Times New Roman" w:eastAsia="Times New Roman" w:hAnsi="Times New Roman"/>
          <w:sz w:val="18"/>
          <w:szCs w:val="18"/>
          <w:color w:val="auto"/>
        </w:rPr>
      </w:pPr>
    </w:p>
    <w:p>
      <w:pPr>
        <w:ind w:right="100" w:firstLine="436"/>
        <w:spacing w:after="0" w:line="266" w:lineRule="auto"/>
        <w:tabs>
          <w:tab w:leader="none" w:pos="6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representations and warranties of the Company contained in the Agreement were, when originally made, and are, as of the date of this Certificate, true and correct in all material respects (unless such representation or warranty specifies a different date or time, then as of such date or time).</w:t>
      </w:r>
    </w:p>
    <w:p>
      <w:pPr>
        <w:spacing w:after="0" w:line="175" w:lineRule="exact"/>
        <w:rPr>
          <w:rFonts w:ascii="Times New Roman" w:cs="Times New Roman" w:eastAsia="Times New Roman" w:hAnsi="Times New Roman"/>
          <w:sz w:val="18"/>
          <w:szCs w:val="18"/>
          <w:color w:val="auto"/>
        </w:rPr>
      </w:pPr>
    </w:p>
    <w:p>
      <w:pPr>
        <w:ind w:firstLine="436"/>
        <w:spacing w:after="0" w:line="258" w:lineRule="auto"/>
        <w:tabs>
          <w:tab w:leader="none" w:pos="6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waived by the Agent in writing, each of the covenants required to be performed by the Company in the Agreement on or prior to the date of the Agreement, this Representation Date, and each such other date prior to the date hereof as set forth in the Agreement, has been duly, timely and fully performed in all material respects and each condition required to be complied with by the Company on or prior to the date of the Agreement, this Representation Date, and each such other date prior to the date hereof as set forth in the Agreement has been duly, timely and fully complied with in all material respects.</w:t>
      </w:r>
    </w:p>
    <w:p>
      <w:pPr>
        <w:spacing w:after="0" w:line="183" w:lineRule="exact"/>
        <w:rPr>
          <w:rFonts w:ascii="Times New Roman" w:cs="Times New Roman" w:eastAsia="Times New Roman" w:hAnsi="Times New Roman"/>
          <w:sz w:val="18"/>
          <w:szCs w:val="18"/>
          <w:color w:val="auto"/>
        </w:rPr>
      </w:pPr>
    </w:p>
    <w:p>
      <w:pPr>
        <w:ind w:right="800" w:firstLine="436"/>
        <w:spacing w:after="0" w:line="282" w:lineRule="auto"/>
        <w:tabs>
          <w:tab w:leader="none" w:pos="6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date of the most recent financial statements in the Prospectus, and except as described in the Prospectus, including Incorporated Documents, there has been no Material Adverse Effect.</w:t>
      </w:r>
    </w:p>
    <w:p>
      <w:pPr>
        <w:spacing w:after="0" w:line="161" w:lineRule="exact"/>
        <w:rPr>
          <w:rFonts w:ascii="Times New Roman" w:cs="Times New Roman" w:eastAsia="Times New Roman" w:hAnsi="Times New Roman"/>
          <w:sz w:val="18"/>
          <w:szCs w:val="18"/>
          <w:color w:val="auto"/>
        </w:rPr>
      </w:pPr>
    </w:p>
    <w:p>
      <w:pPr>
        <w:ind w:right="320" w:firstLine="436"/>
        <w:spacing w:after="0" w:line="266" w:lineRule="auto"/>
        <w:tabs>
          <w:tab w:leader="none" w:pos="6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stop order suspending the effectiveness of the Registration Statement or of any part thereof has been issued, and no proceedings for that purpose have been instituted or are pending or, to the knowledge of the Company, threatened by any securities or other governmental authority (including, without limitation, the Commission).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80"/>
          </w:cols>
          <w:pgMar w:left="440" w:top="266" w:right="479" w:bottom="1440" w:gutter="0" w:footer="0" w:header="0"/>
        </w:sectPr>
      </w:pPr>
    </w:p>
    <w:bookmarkStart w:id="44" w:name="page45"/>
    <w:bookmarkEnd w:id="44"/>
    <w:p>
      <w:pPr>
        <w:ind w:left="-436" w:right="240" w:firstLine="436"/>
        <w:spacing w:after="0" w:line="266" w:lineRule="auto"/>
        <w:tabs>
          <w:tab w:leader="none" w:pos="18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order suspending the effectiveness of the Registration Statement or the qualification or registration of the Placement Shares under the securities or Blue Sky laws of any jurisdiction are in effect and no proceeding for such purpose is pending before, or, to the Company’s knowledge, threatened by, any securities or other governmental authority (including, without limitation, the Commission).</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undersigned has executed this Representation Date Certificate as of the date first written above.</w:t>
      </w:r>
    </w:p>
    <w:p>
      <w:pPr>
        <w:spacing w:after="0" w:line="248" w:lineRule="exact"/>
        <w:rPr>
          <w:sz w:val="20"/>
          <w:szCs w:val="20"/>
          <w:color w:val="auto"/>
        </w:rPr>
      </w:pPr>
    </w:p>
    <w:p>
      <w:pPr>
        <w:ind w:left="6184"/>
        <w:spacing w:after="0"/>
        <w:rPr>
          <w:sz w:val="20"/>
          <w:szCs w:val="20"/>
          <w:color w:val="auto"/>
        </w:rPr>
      </w:pPr>
      <w:r>
        <w:rPr>
          <w:rFonts w:ascii="Times New Roman" w:cs="Times New Roman" w:eastAsia="Times New Roman" w:hAnsi="Times New Roman"/>
          <w:sz w:val="17"/>
          <w:szCs w:val="17"/>
          <w:b w:val="1"/>
          <w:bCs w:val="1"/>
          <w:color w:val="auto"/>
        </w:rPr>
        <w:t>MAGNACHIP SEMICONDUCTOR CORPORATION</w:t>
      </w:r>
    </w:p>
    <w:p>
      <w:pPr>
        <w:spacing w:after="0" w:line="241" w:lineRule="exact"/>
        <w:rPr>
          <w:sz w:val="20"/>
          <w:szCs w:val="20"/>
          <w:color w:val="auto"/>
        </w:rPr>
      </w:pPr>
    </w:p>
    <w:p>
      <w:pPr>
        <w:ind w:left="618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4255135</wp:posOffset>
            </wp:positionH>
            <wp:positionV relativeFrom="paragraph">
              <wp:posOffset>17145</wp:posOffset>
            </wp:positionV>
            <wp:extent cx="24599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6184"/>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4255135</wp:posOffset>
            </wp:positionH>
            <wp:positionV relativeFrom="paragraph">
              <wp:posOffset>14605</wp:posOffset>
            </wp:positionV>
            <wp:extent cx="24599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184"/>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4255135</wp:posOffset>
            </wp:positionH>
            <wp:positionV relativeFrom="paragraph">
              <wp:posOffset>14605</wp:posOffset>
            </wp:positionV>
            <wp:extent cx="24599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ectPr>
          <w:pgSz w:w="11900" w:h="16838" w:orient="portrait"/>
          <w:cols w:equalWidth="0" w:num="1">
            <w:col w:w="10404"/>
          </w:cols>
          <w:pgMar w:left="876" w:top="270" w:right="619" w:bottom="1440" w:gutter="0" w:footer="0" w:header="0"/>
        </w:sectPr>
      </w:pPr>
    </w:p>
    <w:bookmarkStart w:id="45" w:name="page46"/>
    <w:bookmarkEnd w:id="45"/>
    <w:p>
      <w:pPr>
        <w:jc w:val="center"/>
        <w:ind w:right="-98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23</w:t>
      </w:r>
    </w:p>
    <w:p>
      <w:pPr>
        <w:spacing w:after="0" w:line="225" w:lineRule="exact"/>
        <w:rPr>
          <w:sz w:val="20"/>
          <w:szCs w:val="20"/>
          <w:color w:val="auto"/>
        </w:rPr>
      </w:pPr>
    </w:p>
    <w:p>
      <w:pPr>
        <w:jc w:val="right"/>
        <w:ind w:right="2839"/>
        <w:spacing w:after="0"/>
        <w:rPr>
          <w:sz w:val="20"/>
          <w:szCs w:val="20"/>
          <w:color w:val="auto"/>
        </w:rPr>
      </w:pPr>
      <w:r>
        <w:rPr>
          <w:rFonts w:ascii="Times New Roman" w:cs="Times New Roman" w:eastAsia="Times New Roman" w:hAnsi="Times New Roman"/>
          <w:sz w:val="18"/>
          <w:szCs w:val="18"/>
          <w:b w:val="1"/>
          <w:bCs w:val="1"/>
          <w:color w:val="auto"/>
        </w:rPr>
        <w:t>Permitted Issuer Free Writing Prospectuses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0019"/>
          </w:cols>
          <w:pgMar w:left="440" w:top="266" w:right="1440"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56"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8"/>
          <w:szCs w:val="18"/>
          <w:color w:val="auto"/>
        </w:rPr>
        <w:t xml:space="preserve">Goodwin Procter </w:t>
      </w:r>
      <w:r>
        <w:rPr>
          <w:rFonts w:ascii="Times New Roman" w:cs="Times New Roman" w:eastAsia="Times New Roman" w:hAnsi="Times New Roman"/>
          <w:sz w:val="14"/>
          <w:szCs w:val="14"/>
          <w:color w:val="auto"/>
        </w:rPr>
        <w:t>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2614295" cy="5829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614295" cy="582930"/>
                    </a:xfrm>
                    <a:prstGeom prst="rect">
                      <a:avLst/>
                    </a:prstGeom>
                    <a:noFill/>
                  </pic:spPr>
                </pic:pic>
              </a:graphicData>
            </a:graphic>
          </wp:anchor>
        </w:drawing>
      </w:r>
    </w:p>
    <w:p>
      <w:pPr>
        <w:spacing w:after="0" w:line="7"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8"/>
          <w:szCs w:val="18"/>
          <w:color w:val="auto"/>
        </w:rPr>
        <w:t>601 Marshall Street</w:t>
      </w:r>
    </w:p>
    <w:p>
      <w:pPr>
        <w:spacing w:after="0" w:line="9"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8"/>
          <w:szCs w:val="18"/>
          <w:color w:val="auto"/>
        </w:rPr>
        <w:t>Redwood City, CA 94063</w:t>
      </w:r>
    </w:p>
    <w:p>
      <w:pPr>
        <w:spacing w:after="0" w:line="234"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8"/>
          <w:szCs w:val="18"/>
          <w:color w:val="auto"/>
        </w:rPr>
        <w:t>goodwinlaw.com</w:t>
      </w:r>
    </w:p>
    <w:p>
      <w:pPr>
        <w:spacing w:after="0" w:line="27"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8"/>
          <w:szCs w:val="18"/>
          <w:color w:val="auto"/>
        </w:rPr>
        <w:t>+1 650 752 3100</w:t>
      </w:r>
    </w:p>
    <w:p>
      <w:pPr>
        <w:spacing w:after="0" w:line="200" w:lineRule="exact"/>
        <w:rPr>
          <w:sz w:val="20"/>
          <w:szCs w:val="20"/>
          <w:color w:val="auto"/>
        </w:rPr>
      </w:pPr>
    </w:p>
    <w:p>
      <w:pPr>
        <w:spacing w:after="0" w:line="236" w:lineRule="exact"/>
        <w:rPr>
          <w:sz w:val="20"/>
          <w:szCs w:val="20"/>
          <w:color w:val="auto"/>
        </w:rPr>
      </w:pPr>
    </w:p>
    <w:p>
      <w:pPr>
        <w:ind w:left="10000"/>
        <w:spacing w:after="0"/>
        <w:rPr>
          <w:sz w:val="20"/>
          <w:szCs w:val="20"/>
          <w:color w:val="auto"/>
        </w:rPr>
      </w:pPr>
      <w:r>
        <w:rPr>
          <w:rFonts w:ascii="Times New Roman" w:cs="Times New Roman" w:eastAsia="Times New Roman" w:hAnsi="Times New Roman"/>
          <w:sz w:val="18"/>
          <w:szCs w:val="18"/>
          <w:color w:val="auto"/>
        </w:rPr>
        <w:t>June 17,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Magnachip Semiconductor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15F, 76 Jikji-daero 436beon-gil, Heungdeok-gu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Cheongju-si, Chungcheongbuk-do, Republic of Korea 28581</w:t>
      </w:r>
    </w:p>
    <w:p>
      <w:pPr>
        <w:spacing w:after="0" w:line="234"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Securities Registered under Registration Statement on Form S-3</w:t>
      </w:r>
    </w:p>
    <w:p>
      <w:pPr>
        <w:spacing w:after="0" w:line="225"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We have acted as counsel to you in connection with your filing of a Registration Statement on Form S-3 (File No. 333-296756) (as amended or supplemented, the “Registration Statement”) filed on June 12, 2026 with the Securities and Exchange Commission (the “Commission”) pursuant to the Securities Act of 1933, as amended (the “Securities Act”), relating to the registration of the offering by Magnachip Semiconductor Corporation, a Delaware corporation (the “Company”) of up to $50,000,000 of any combination of securities of the types specified therein. The Registration Statement was declared effective by the Commission on June 16, 2026. Reference is made to our opinion letter dated June 12, 2026 and included as Exhibit 5.1 to the Registration Statement. We are delivering this supplemental opinion letter in connection with the prospectus supplement (the “Prospectus Supplement”) filed on June 17, 2026 by the Company with the Commission pursuant to Rule 424 under the Securities Act. The Prospectus Supplement relates to the offering by the Company of up to $50,000,000 in shares (the “Shares”) of the Company’s common stock, par value $0.01 per share (“Common Stock”) covered by the Registration Statement. The Shares are being offered and sold by the sales agent named in, and pursuant to, sales agreement among the Company and such sales agent.</w:t>
      </w:r>
    </w:p>
    <w:p>
      <w:pPr>
        <w:spacing w:after="0" w:line="194" w:lineRule="exact"/>
        <w:rPr>
          <w:sz w:val="20"/>
          <w:szCs w:val="20"/>
          <w:color w:val="auto"/>
        </w:rPr>
      </w:pPr>
    </w:p>
    <w:p>
      <w:pPr>
        <w:ind w:right="380" w:firstLine="440"/>
        <w:spacing w:after="0" w:line="266" w:lineRule="auto"/>
        <w:rPr>
          <w:sz w:val="20"/>
          <w:szCs w:val="20"/>
          <w:color w:val="auto"/>
        </w:rPr>
      </w:pPr>
      <w:r>
        <w:rPr>
          <w:rFonts w:ascii="Times New Roman" w:cs="Times New Roman" w:eastAsia="Times New Roman" w:hAnsi="Times New Roman"/>
          <w:sz w:val="18"/>
          <w:szCs w:val="18"/>
          <w:color w:val="auto"/>
        </w:rPr>
        <w:t>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w:t>
      </w:r>
    </w:p>
    <w:p>
      <w:pPr>
        <w:spacing w:after="0" w:line="176"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For purposes of the opinion set forth below, we have assumed that the Shares are issued for a price per share equal to or greater than the minimum price authorized by the Company’s board of directors prior to the date hereof (the “Minimum Price”) and that no event occurs that causes the number of authorized shares of Common Stock available for issuance by the Company to be less than the number of then unissued Shares that may be issued for the Minimum Price.</w:t>
      </w:r>
    </w:p>
    <w:p>
      <w:pPr>
        <w:spacing w:after="0" w:line="180"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For purposes of the opinion set forth below, we refer to the following as “Future Approval and Issuance”: (a) the approval by the Company’s board of directors (or a duly authorized committee of the board of directors) of the issuance of the Shares (the “Approval”) and (b) the issuance of the Shares in accordance with the Approval and the receipt by the Company of the consideration (which shall not be less than the par value of such Shares) to be paid in accordance with the Approval.</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opinion set forth below is limited to the Delaware General Corporation Law.</w:t>
      </w:r>
    </w:p>
    <w:p>
      <w:pPr>
        <w:sectPr>
          <w:pgSz w:w="11900" w:h="16838" w:orient="portrait"/>
          <w:cols w:equalWidth="0" w:num="1">
            <w:col w:w="11020"/>
          </w:cols>
          <w:pgMar w:left="440" w:top="117"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Magnachip Semiconductor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17,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Based on the foregoing, we are of the opinion that the Shares have been duly authorized and, upon Future Approval and Issuance, will be validly issued, fully paid and nonassessable.</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This opinion is being furnished to you for submission to the Commission as an exhibit to the Company’s Current Report on Form 8-K relating to the Shares (the “Current Report”), which is incorporated by reference in the Registration Statement. We hereby consent to the filing of this opinion letter as an exhibit to the Current Report and its incorporation by reference and the reference to our firm in that report. In giving our consent, we do not admit that we are in the category of persons whose consent is required under Section 7 of the Securities Act or the rules and regulations thereunder.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Goodwin Procter LLP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GOODWIN PROCTER </w:t>
      </w:r>
      <w:r>
        <w:rPr>
          <w:rFonts w:ascii="Times New Roman" w:cs="Times New Roman" w:eastAsia="Times New Roman" w:hAnsi="Times New Roman"/>
          <w:sz w:val="14"/>
          <w:szCs w:val="14"/>
          <w:color w:val="auto"/>
        </w:rPr>
        <w:t>LLP</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1."/>
      <w:numFmt w:val="decimal"/>
      <w:start w:val="1"/>
    </w:lvl>
  </w:abstractNum>
  <w:abstractNum w:abstractNumId="2">
    <w:nsid w:val="6763845E"/>
    <w:multiLevelType w:val="hybridMultilevel"/>
    <w:lvl w:ilvl="0">
      <w:lvlJc w:val="left"/>
      <w:lvlText w:val="%1"/>
      <w:numFmt w:val="lowerRoman"/>
      <w:start w:val="1"/>
    </w:lvl>
    <w:lvl w:ilvl="1">
      <w:lvlJc w:val="left"/>
      <w:lvlText w:val="%2."/>
      <w:numFmt w:val="decimal"/>
      <w:start w:val="2"/>
    </w:lvl>
  </w:abstractNum>
  <w:abstractNum w:abstractNumId="3">
    <w:nsid w:val="75A2A8D4"/>
    <w:multiLevelType w:val="hybridMultilevel"/>
    <w:lvl w:ilvl="0">
      <w:lvlJc w:val="left"/>
      <w:lvlText w:val="(%1)"/>
      <w:numFmt w:val="lowerRoman"/>
      <w:start w:val="4"/>
    </w:lvl>
    <w:lvl w:ilvl="1">
      <w:lvlJc w:val="left"/>
      <w:lvlText w:val="%2"/>
      <w:numFmt w:val="decimal"/>
      <w:start w:val="1"/>
    </w:lvl>
  </w:abstractNum>
  <w:abstractNum w:abstractNumId="4">
    <w:nsid w:val="8EDBDAB"/>
    <w:multiLevelType w:val="hybridMultilevel"/>
    <w:lvl w:ilvl="0">
      <w:lvlJc w:val="left"/>
      <w:lvlText w:val="%1."/>
      <w:numFmt w:val="decimal"/>
      <w:start w:val="3"/>
    </w:lvl>
  </w:abstractNum>
  <w:abstractNum w:abstractNumId="5">
    <w:nsid w:val="79838CB2"/>
    <w:multiLevelType w:val="hybridMultilevel"/>
    <w:lvl w:ilvl="0">
      <w:lvlJc w:val="left"/>
      <w:lvlText w:val="%1"/>
      <w:numFmt w:val="lowerRoman"/>
      <w:start w:val="1"/>
    </w:lvl>
    <w:lvl w:ilvl="1">
      <w:lvlJc w:val="left"/>
      <w:lvlText w:val="%2."/>
      <w:numFmt w:val="decimal"/>
      <w:start w:val="5"/>
    </w:lvl>
    <w:lvl w:ilvl="2">
      <w:lvlJc w:val="left"/>
      <w:lvlText w:val="%3."/>
      <w:numFmt w:val="lowerLetter"/>
      <w:start w:val="1"/>
    </w:lvl>
  </w:abstractNum>
  <w:abstractNum w:abstractNumId="6">
    <w:nsid w:val="4353D0CD"/>
    <w:multiLevelType w:val="hybridMultilevel"/>
    <w:lvl w:ilvl="0">
      <w:lvlJc w:val="left"/>
      <w:lvlText w:val="(%1)"/>
      <w:numFmt w:val="lowerRoman"/>
      <w:start w:val="2"/>
    </w:lvl>
    <w:lvl w:ilvl="1">
      <w:lvlJc w:val="left"/>
      <w:lvlText w:val="%2"/>
      <w:numFmt w:val="decimal"/>
      <w:start w:val="1"/>
    </w:lvl>
    <w:lvl w:ilvl="2">
      <w:lvlJc w:val="left"/>
      <w:lvlText w:val="%3."/>
      <w:numFmt w:val="lowerLetter"/>
      <w:start w:val="2"/>
    </w:lvl>
  </w:abstractNum>
  <w:abstractNum w:abstractNumId="7">
    <w:nsid w:val="B03E0C6"/>
    <w:multiLevelType w:val="hybridMultilevel"/>
    <w:lvl w:ilvl="0">
      <w:lvlJc w:val="left"/>
      <w:lvlText w:val="%1."/>
      <w:numFmt w:val="decimal"/>
      <w:start w:val="6"/>
    </w:lvl>
    <w:lvl w:ilvl="1">
      <w:lvlJc w:val="left"/>
      <w:lvlText w:val="%2."/>
      <w:numFmt w:val="lowerLetter"/>
      <w:start w:val="1"/>
    </w:lvl>
  </w:abstractNum>
  <w:abstractNum w:abstractNumId="8">
    <w:nsid w:val="189A769B"/>
    <w:multiLevelType w:val="hybridMultilevel"/>
    <w:lvl w:ilvl="0">
      <w:lvlJc w:val="left"/>
      <w:lvlText w:val="(%1)"/>
      <w:numFmt w:val="lowerRoman"/>
      <w:start w:val="2"/>
    </w:lvl>
    <w:lvl w:ilvl="1">
      <w:lvlJc w:val="left"/>
      <w:lvlText w:val="%2."/>
      <w:numFmt w:val="lowerLetter"/>
      <w:start w:val="5"/>
    </w:lvl>
  </w:abstractNum>
  <w:abstractNum w:abstractNumId="9">
    <w:nsid w:val="54E49EB4"/>
    <w:multiLevelType w:val="hybridMultilevel"/>
    <w:lvl w:ilvl="0">
      <w:lvlJc w:val="left"/>
      <w:lvlText w:val="(%1)"/>
      <w:numFmt w:val="lowerRoman"/>
      <w:start w:val="3"/>
    </w:lvl>
    <w:lvl w:ilvl="1">
      <w:lvlJc w:val="left"/>
      <w:lvlText w:val="%2."/>
      <w:numFmt w:val="lowerRoman"/>
      <w:start w:val="1"/>
    </w:lvl>
  </w:abstractNum>
  <w:abstractNum w:abstractNumId="10">
    <w:nsid w:val="71F32454"/>
    <w:multiLevelType w:val="hybridMultilevel"/>
    <w:lvl w:ilvl="0">
      <w:lvlJc w:val="left"/>
      <w:lvlText w:val="(%1)"/>
      <w:numFmt w:val="upperLetter"/>
      <w:start w:val="3"/>
    </w:lvl>
  </w:abstractNum>
  <w:abstractNum w:abstractNumId="11">
    <w:nsid w:val="2CA88611"/>
    <w:multiLevelType w:val="hybridMultilevel"/>
    <w:lvl w:ilvl="0">
      <w:lvlJc w:val="left"/>
      <w:lvlText w:val="(%1)"/>
      <w:numFmt w:val="lowerRoman"/>
      <w:start w:val="3"/>
    </w:lvl>
    <w:lvl w:ilvl="1">
      <w:lvlJc w:val="left"/>
      <w:lvlText w:val="%2."/>
      <w:numFmt w:val="lowerLetter"/>
      <w:start w:val="11"/>
    </w:lvl>
  </w:abstractNum>
  <w:abstractNum w:abstractNumId="12">
    <w:nsid w:val="836C40E"/>
    <w:multiLevelType w:val="hybridMultilevel"/>
    <w:lvl w:ilvl="0">
      <w:lvlJc w:val="left"/>
      <w:lvlText w:val="(%1)"/>
      <w:numFmt w:val="lowerRoman"/>
      <w:start w:val="1"/>
    </w:lvl>
    <w:lvl w:ilvl="1">
      <w:lvlJc w:val="left"/>
      <w:lvlText w:val="%2."/>
      <w:numFmt w:val="lowerLetter"/>
      <w:start w:val="18"/>
    </w:lvl>
  </w:abstractNum>
  <w:abstractNum w:abstractNumId="13">
    <w:nsid w:val="2901D82"/>
    <w:multiLevelType w:val="hybridMultilevel"/>
    <w:lvl w:ilvl="0">
      <w:lvlJc w:val="left"/>
      <w:lvlText w:val="%1."/>
      <w:numFmt w:val="lowerLetter"/>
      <w:start w:val="27"/>
    </w:lvl>
  </w:abstractNum>
  <w:abstractNum w:abstractNumId="14">
    <w:nsid w:val="3A95F874"/>
    <w:multiLevelType w:val="hybridMultilevel"/>
    <w:lvl w:ilvl="0">
      <w:lvlJc w:val="left"/>
      <w:lvlText w:val="%1"/>
      <w:numFmt w:val="lowerRoman"/>
      <w:start w:val="1"/>
    </w:lvl>
    <w:lvl w:ilvl="1">
      <w:lvlJc w:val="left"/>
      <w:lvlText w:val="%2."/>
      <w:numFmt w:val="lowerLetter"/>
      <w:start w:val="29"/>
    </w:lvl>
  </w:abstractNum>
  <w:abstractNum w:abstractNumId="15">
    <w:nsid w:val="8138641"/>
    <w:multiLevelType w:val="hybridMultilevel"/>
    <w:lvl w:ilvl="0">
      <w:lvlJc w:val="left"/>
      <w:lvlText w:val="(%1)"/>
      <w:numFmt w:val="lowerRoman"/>
      <w:start w:val="1"/>
    </w:lvl>
    <w:lvl w:ilvl="1">
      <w:lvlJc w:val="left"/>
      <w:lvlText w:val="%2."/>
      <w:numFmt w:val="lowerLetter"/>
      <w:start w:val="30"/>
    </w:lvl>
  </w:abstractNum>
  <w:abstractNum w:abstractNumId="16">
    <w:nsid w:val="1E7FF521"/>
    <w:multiLevelType w:val="hybridMultilevel"/>
    <w:lvl w:ilvl="0">
      <w:lvlJc w:val="left"/>
      <w:lvlText w:val="%1."/>
      <w:numFmt w:val="lowerLetter"/>
      <w:start w:val="34"/>
    </w:lvl>
  </w:abstractNum>
  <w:abstractNum w:abstractNumId="17">
    <w:nsid w:val="7C3DBD3D"/>
    <w:multiLevelType w:val="hybridMultilevel"/>
    <w:lvl w:ilvl="0">
      <w:lvlJc w:val="left"/>
      <w:lvlText w:val="%1"/>
      <w:numFmt w:val="lowerRoman"/>
      <w:start w:val="1"/>
    </w:lvl>
    <w:lvl w:ilvl="1">
      <w:lvlJc w:val="left"/>
      <w:lvlText w:val="%2."/>
      <w:numFmt w:val="lowerLetter"/>
      <w:start w:val="40"/>
    </w:lvl>
  </w:abstractNum>
  <w:abstractNum w:abstractNumId="18">
    <w:nsid w:val="737B8DDC"/>
    <w:multiLevelType w:val="hybridMultilevel"/>
    <w:lvl w:ilvl="0">
      <w:lvlJc w:val="left"/>
      <w:lvlText w:val="(%1)"/>
      <w:numFmt w:val="lowerRoman"/>
      <w:start w:val="6"/>
    </w:lvl>
    <w:lvl w:ilvl="1">
      <w:lvlJc w:val="left"/>
      <w:lvlText w:val="%2."/>
      <w:numFmt w:val="lowerLetter"/>
      <w:start w:val="42"/>
    </w:lvl>
  </w:abstractNum>
  <w:abstractNum w:abstractNumId="19">
    <w:nsid w:val="6CEAF087"/>
    <w:multiLevelType w:val="hybridMultilevel"/>
    <w:lvl w:ilvl="0">
      <w:lvlJc w:val="left"/>
      <w:lvlText w:val="%1."/>
      <w:numFmt w:val="lowerLetter"/>
      <w:start w:val="44"/>
    </w:lvl>
    <w:lvl w:ilvl="1">
      <w:lvlJc w:val="left"/>
      <w:lvlText w:val="(%2)"/>
      <w:numFmt w:val="lowerLetter"/>
      <w:start w:val="9"/>
    </w:lvl>
    <w:lvl w:ilvl="2">
      <w:lvlJc w:val="left"/>
      <w:lvlText w:val="(%3)"/>
      <w:numFmt w:val="lowerLetter"/>
      <w:start w:val="1"/>
    </w:lvl>
  </w:abstractNum>
  <w:abstractNum w:abstractNumId="20">
    <w:nsid w:val="22221A70"/>
    <w:multiLevelType w:val="hybridMultilevel"/>
    <w:lvl w:ilvl="0">
      <w:lvlJc w:val="left"/>
      <w:lvlText w:val="(%1)"/>
      <w:numFmt w:val="lowerLetter"/>
      <w:start w:val="35"/>
    </w:lvl>
    <w:lvl w:ilvl="1">
      <w:lvlJc w:val="left"/>
      <w:lvlText w:val="(%2)"/>
      <w:numFmt w:val="lowerLetter"/>
      <w:start w:val="1"/>
    </w:lvl>
  </w:abstractNum>
  <w:abstractNum w:abstractNumId="21">
    <w:nsid w:val="4516DDE9"/>
    <w:multiLevelType w:val="hybridMultilevel"/>
    <w:lvl w:ilvl="0">
      <w:lvlJc w:val="left"/>
      <w:lvlText w:val="(%1)"/>
      <w:numFmt w:val="lowerRoman"/>
      <w:start w:val="3"/>
    </w:lvl>
  </w:abstractNum>
  <w:abstractNum w:abstractNumId="22">
    <w:nsid w:val="3006C83E"/>
    <w:multiLevelType w:val="hybridMultilevel"/>
    <w:lvl w:ilvl="0">
      <w:lvlJc w:val="left"/>
      <w:lvlText w:val="%1."/>
      <w:numFmt w:val="lowerLetter"/>
      <w:start w:val="46"/>
    </w:lvl>
  </w:abstractNum>
  <w:abstractNum w:abstractNumId="23">
    <w:nsid w:val="614FD4A1"/>
    <w:multiLevelType w:val="hybridMultilevel"/>
    <w:lvl w:ilvl="0">
      <w:lvlJc w:val="left"/>
      <w:lvlText w:val="%1."/>
      <w:numFmt w:val="lowerLetter"/>
      <w:start w:val="49"/>
    </w:lvl>
  </w:abstractNum>
  <w:abstractNum w:abstractNumId="24">
    <w:nsid w:val="419AC241"/>
    <w:multiLevelType w:val="hybridMultilevel"/>
    <w:lvl w:ilvl="0">
      <w:lvlJc w:val="left"/>
      <w:lvlText w:val="%1."/>
      <w:numFmt w:val="decimal"/>
      <w:start w:val="7"/>
    </w:lvl>
    <w:lvl w:ilvl="1">
      <w:lvlJc w:val="left"/>
      <w:lvlText w:val="%2"/>
      <w:numFmt w:val="lowerLetter"/>
      <w:start w:val="1"/>
    </w:lvl>
  </w:abstractNum>
  <w:abstractNum w:abstractNumId="25">
    <w:nsid w:val="5577F8E1"/>
    <w:multiLevelType w:val="hybridMultilevel"/>
    <w:lvl w:ilvl="0">
      <w:lvlJc w:val="left"/>
      <w:lvlText w:val="(%1)"/>
      <w:numFmt w:val="lowerRoman"/>
      <w:start w:val="1"/>
    </w:lvl>
  </w:abstractNum>
  <w:abstractNum w:abstractNumId="26">
    <w:nsid w:val="440BADFC"/>
    <w:multiLevelType w:val="hybridMultilevel"/>
    <w:lvl w:ilvl="0">
      <w:lvlJc w:val="left"/>
      <w:lvlText w:val="(%1)"/>
      <w:numFmt w:val="lowerRoman"/>
      <w:start w:val="2"/>
    </w:lvl>
  </w:abstractNum>
  <w:abstractNum w:abstractNumId="27">
    <w:nsid w:val="5072367"/>
    <w:multiLevelType w:val="hybridMultilevel"/>
    <w:lvl w:ilvl="0">
      <w:lvlJc w:val="left"/>
      <w:lvlText w:val="(%1)"/>
      <w:numFmt w:val="lowerRoman"/>
      <w:start w:val="3"/>
    </w:lvl>
    <w:lvl w:ilvl="1">
      <w:lvlJc w:val="left"/>
      <w:lvlText w:val="%2."/>
      <w:numFmt w:val="lowerLetter"/>
      <w:start w:val="15"/>
    </w:lvl>
  </w:abstractNum>
  <w:abstractNum w:abstractNumId="28">
    <w:nsid w:val="3804823E"/>
    <w:multiLevelType w:val="hybridMultilevel"/>
    <w:lvl w:ilvl="0">
      <w:lvlJc w:val="left"/>
      <w:lvlText w:val="(%1)"/>
      <w:numFmt w:val="lowerRoman"/>
      <w:start w:val="3"/>
    </w:lvl>
    <w:lvl w:ilvl="1">
      <w:lvlJc w:val="left"/>
      <w:lvlText w:val="%2"/>
      <w:numFmt w:val="lowerLetter"/>
      <w:start w:val="1"/>
    </w:lvl>
  </w:abstractNum>
  <w:abstractNum w:abstractNumId="29">
    <w:nsid w:val="77465F01"/>
    <w:multiLevelType w:val="hybridMultilevel"/>
    <w:lvl w:ilvl="0">
      <w:lvlJc w:val="left"/>
      <w:lvlText w:val="%1."/>
      <w:numFmt w:val="decimal"/>
      <w:start w:val="8"/>
    </w:lvl>
    <w:lvl w:ilvl="1">
      <w:lvlJc w:val="left"/>
      <w:lvlText w:val="%2."/>
      <w:numFmt w:val="lowerLetter"/>
      <w:start w:val="1"/>
    </w:lvl>
  </w:abstractNum>
  <w:abstractNum w:abstractNumId="30">
    <w:nsid w:val="7724C67E"/>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9"/>
    </w:lvl>
  </w:abstractNum>
  <w:abstractNum w:abstractNumId="31">
    <w:nsid w:val="5C482A97"/>
    <w:multiLevelType w:val="hybridMultilevel"/>
    <w:lvl w:ilvl="0">
      <w:lvlJc w:val="left"/>
      <w:lvlText w:val="(%1)"/>
      <w:numFmt w:val="lowerRoman"/>
      <w:start w:val="2"/>
    </w:lvl>
  </w:abstractNum>
  <w:abstractNum w:abstractNumId="32">
    <w:nsid w:val="2463B9EA"/>
    <w:multiLevelType w:val="hybridMultilevel"/>
    <w:lvl w:ilvl="0">
      <w:lvlJc w:val="left"/>
      <w:lvlText w:val="(%1)"/>
      <w:numFmt w:val="lowerLetter"/>
      <w:start w:val="2"/>
    </w:lvl>
  </w:abstractNum>
  <w:abstractNum w:abstractNumId="33">
    <w:nsid w:val="5E884ADC"/>
    <w:multiLevelType w:val="hybridMultilevel"/>
    <w:lvl w:ilvl="0">
      <w:lvlJc w:val="left"/>
      <w:lvlText w:val="(%1)"/>
      <w:numFmt w:val="lowerLetter"/>
      <w:start w:val="3"/>
    </w:lvl>
  </w:abstractNum>
  <w:abstractNum w:abstractNumId="34">
    <w:nsid w:val="51EAD36B"/>
    <w:multiLevelType w:val="hybridMultilevel"/>
    <w:lvl w:ilvl="0">
      <w:lvlJc w:val="left"/>
      <w:lvlText w:val="(%1)"/>
      <w:numFmt w:val="lowerLetter"/>
      <w:start w:val="4"/>
    </w:lvl>
  </w:abstractNum>
  <w:abstractNum w:abstractNumId="35">
    <w:nsid w:val="2D517796"/>
    <w:multiLevelType w:val="hybridMultilevel"/>
    <w:lvl w:ilvl="0">
      <w:lvlJc w:val="left"/>
      <w:lvlText w:val="%1"/>
      <w:numFmt w:val="decimal"/>
      <w:start w:val="1"/>
    </w:lvl>
    <w:lvl w:ilvl="1">
      <w:lvlJc w:val="left"/>
      <w:lvlText w:val="%2."/>
      <w:numFmt w:val="decimal"/>
      <w:start w:val="12"/>
    </w:lvl>
    <w:lvl w:ilvl="2">
      <w:lvlJc w:val="left"/>
      <w:lvlText w:val="%3."/>
      <w:numFmt w:val="lowerLetter"/>
      <w:start w:val="1"/>
    </w:lvl>
  </w:abstractNum>
  <w:abstractNum w:abstractNumId="36">
    <w:nsid w:val="580BD78F"/>
    <w:multiLevelType w:val="hybridMultilevel"/>
    <w:lvl w:ilvl="0">
      <w:lvlJc w:val="left"/>
      <w:lvlText w:val="(%1)"/>
      <w:numFmt w:val="decimal"/>
      <w:start w:val="5"/>
    </w:lvl>
    <w:lvl w:ilvl="1">
      <w:lvlJc w:val="left"/>
      <w:lvlText w:val="%2"/>
      <w:numFmt w:val="decimal"/>
      <w:start w:val="1"/>
    </w:lvl>
    <w:lvl w:ilvl="2">
      <w:lvlJc w:val="left"/>
      <w:lvlText w:val="%3."/>
      <w:numFmt w:val="lowerLetter"/>
      <w:start w:val="2"/>
    </w:lvl>
  </w:abstractNum>
  <w:abstractNum w:abstractNumId="37">
    <w:nsid w:val="153EA438"/>
    <w:multiLevelType w:val="hybridMultilevel"/>
    <w:lvl w:ilvl="0">
      <w:lvlJc w:val="left"/>
      <w:lvlText w:val="%1."/>
      <w:numFmt w:val="decimal"/>
      <w:start w:val="14"/>
    </w:lvl>
  </w:abstractNum>
  <w:abstractNum w:abstractNumId="38">
    <w:nsid w:val="3855585C"/>
    <w:multiLevelType w:val="hybridMultilevel"/>
    <w:lvl w:ilvl="0">
      <w:lvlJc w:val="left"/>
      <w:lvlText w:val="(%1)"/>
      <w:numFmt w:val="lowerRoman"/>
      <w:start w:val="2"/>
    </w:lvl>
  </w:abstractNum>
  <w:abstractNum w:abstractNumId="39">
    <w:nsid w:val="70A64E2A"/>
    <w:multiLevelType w:val="hybridMultilevel"/>
    <w:lvl w:ilvl="0">
      <w:lvlJc w:val="left"/>
      <w:lvlText w:val="%1."/>
      <w:numFmt w:val="decimal"/>
      <w:start w:val="15"/>
    </w:lvl>
  </w:abstractNum>
  <w:abstractNum w:abstractNumId="40">
    <w:nsid w:val="6A2342EC"/>
    <w:multiLevelType w:val="hybridMultilevel"/>
    <w:lvl w:ilvl="0">
      <w:lvlJc w:val="left"/>
      <w:lvlText w:val="%1."/>
      <w:numFmt w:val="decimal"/>
      <w:start w:val="20"/>
    </w:lvl>
    <w:lvl w:ilvl="1">
      <w:lvlJc w:val="left"/>
      <w:lvlText w:val="%2."/>
      <w:numFmt w:val="lowerLetter"/>
      <w:start w:val="1"/>
    </w:lvl>
  </w:abstractNum>
  <w:abstractNum w:abstractNumId="41">
    <w:nsid w:val="2A487CB0"/>
    <w:multiLevelType w:val="hybridMultilevel"/>
    <w:lvl w:ilvl="0">
      <w:lvlJc w:val="left"/>
      <w:lvlText w:val="(%1)"/>
      <w:numFmt w:val="lowerRoman"/>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2026-06-17T16:20:09Z</dcterms:created>
  <dcterms:modified xsi:type="dcterms:W3CDTF">2026-06-17T16:20:09Z</dcterms:modified>
</cp:coreProperties>
</file>