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199390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7"/>
          <w:szCs w:val="27"/>
          <w:color w:val="auto"/>
        </w:rPr>
        <w:t>SECURITIES AND EXCHANGE COMMISSION</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3"/>
          <w:szCs w:val="23"/>
          <w:color w:val="auto"/>
        </w:rPr>
        <w:t>Washington, D.C. 20549</w:t>
      </w: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34"/>
          <w:szCs w:val="34"/>
          <w:color w:val="auto"/>
        </w:rPr>
        <w:t>SCHEDULE 13G</w:t>
      </w: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Under the Securities Exchange Act of 1934</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62508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46"/>
          <w:szCs w:val="46"/>
          <w:color w:val="auto"/>
        </w:rPr>
        <w:t>MAGNACHIP SEMICONDUCTOR CORP.</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62508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62508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62508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66" w:lineRule="exact"/>
        <w:rPr>
          <w:sz w:val="24"/>
          <w:szCs w:val="24"/>
          <w:color w:val="auto"/>
        </w:rPr>
      </w:pPr>
    </w:p>
    <w:p>
      <w:pPr>
        <w:ind w:left="5580" w:hanging="227"/>
        <w:spacing w:after="0"/>
        <w:tabs>
          <w:tab w:leader="none" w:pos="5580" w:val="left"/>
        </w:tabs>
        <w:numPr>
          <w:ilvl w:val="1"/>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5" w:lineRule="exact"/>
        <w:rPr>
          <w:rFonts w:ascii="MS PGothic" w:cs="MS PGothic" w:eastAsia="MS PGothic" w:hAnsi="MS PGothic"/>
          <w:sz w:val="19"/>
          <w:szCs w:val="19"/>
          <w:color w:val="auto"/>
        </w:rPr>
      </w:pPr>
    </w:p>
    <w:p>
      <w:pPr>
        <w:ind w:left="5580" w:hanging="222"/>
        <w:spacing w:after="0"/>
        <w:tabs>
          <w:tab w:leader="none" w:pos="5580" w:val="left"/>
        </w:tabs>
        <w:numPr>
          <w:ilvl w:val="2"/>
          <w:numId w:val="1"/>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9" w:lineRule="exact"/>
        <w:rPr>
          <w:rFonts w:ascii="MS PGothic" w:cs="MS PGothic" w:eastAsia="MS PGothic" w:hAnsi="MS PGothic"/>
          <w:sz w:val="19"/>
          <w:szCs w:val="19"/>
          <w:color w:val="auto"/>
        </w:rPr>
      </w:pPr>
    </w:p>
    <w:p>
      <w:pPr>
        <w:ind w:left="5580" w:hanging="227"/>
        <w:spacing w:after="0"/>
        <w:tabs>
          <w:tab w:leader="none" w:pos="5580" w:val="left"/>
        </w:tabs>
        <w:numPr>
          <w:ilvl w:val="2"/>
          <w:numId w:val="1"/>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250" w:lineRule="exact"/>
        <w:rPr>
          <w:rFonts w:ascii="MS PGothic" w:cs="MS PGothic" w:eastAsia="MS PGothic" w:hAnsi="MS PGothic"/>
          <w:sz w:val="19"/>
          <w:szCs w:val="19"/>
          <w:color w:val="auto"/>
        </w:rPr>
      </w:pPr>
    </w:p>
    <w:p>
      <w:pPr>
        <w:ind w:right="120"/>
        <w:spacing w:after="0" w:line="275" w:lineRule="auto"/>
        <w:rPr>
          <w:rFonts w:ascii="MS PGothic" w:cs="MS PGothic" w:eastAsia="MS PGothic" w:hAnsi="MS PGothic"/>
          <w:sz w:val="19"/>
          <w:szCs w:val="19"/>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2"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267970</wp:posOffset>
            </wp:positionV>
            <wp:extent cx="7625080"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762508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40"/>
          </w:cols>
          <w:pgMar w:left="120" w:top="418" w:right="180"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CUSIP No.: 55933J203</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60" w:type="dxa"/>
            <w:vAlign w:val="bottom"/>
            <w:tcBorders>
              <w:top w:val="single" w:sz="8" w:color="auto"/>
              <w:left w:val="single" w:sz="8" w:color="auto"/>
              <w:right w:val="single" w:sz="8" w:color="auto"/>
            </w:tcBorders>
          </w:tcPr>
          <w:p>
            <w:pPr>
              <w:spacing w:after="0"/>
              <w:rPr>
                <w:sz w:val="23"/>
                <w:szCs w:val="23"/>
                <w:color w:val="auto"/>
              </w:rPr>
            </w:pPr>
          </w:p>
        </w:tc>
        <w:tc>
          <w:tcPr>
            <w:tcW w:w="10420" w:type="dxa"/>
            <w:vAlign w:val="bottom"/>
            <w:tcBorders>
              <w:top w:val="single" w:sz="8" w:color="auto"/>
            </w:tcBorders>
            <w:gridSpan w:val="5"/>
          </w:tcPr>
          <w:p>
            <w:pPr>
              <w:ind w:left="40"/>
              <w:spacing w:after="0"/>
              <w:rPr>
                <w:sz w:val="20"/>
                <w:szCs w:val="20"/>
                <w:color w:val="auto"/>
              </w:rPr>
            </w:pPr>
            <w:r>
              <w:rPr>
                <w:rFonts w:ascii="Arial" w:cs="Arial" w:eastAsia="Arial" w:hAnsi="Arial"/>
                <w:sz w:val="19"/>
                <w:szCs w:val="19"/>
                <w:b w:val="1"/>
                <w:bCs w:val="1"/>
                <w:color w:val="auto"/>
              </w:rPr>
              <w:t>NAME OF REPORTING PERSON</w:t>
            </w:r>
          </w:p>
        </w:tc>
        <w:tc>
          <w:tcPr>
            <w:tcW w:w="1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I.R.S. IDENTIFICATION NO. OF ABOVE PERSON (ENTITIES ONLY)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60" w:type="dxa"/>
            <w:vAlign w:val="bottom"/>
            <w:tcBorders>
              <w:left w:val="single" w:sz="8" w:color="auto"/>
              <w:right w:val="single" w:sz="8" w:color="auto"/>
            </w:tcBorders>
            <w:vMerge w:val="continue"/>
          </w:tcPr>
          <w:p>
            <w:pPr>
              <w:spacing w:after="0"/>
              <w:rPr>
                <w:sz w:val="20"/>
                <w:szCs w:val="20"/>
                <w:color w:val="auto"/>
              </w:rPr>
            </w:pPr>
          </w:p>
        </w:tc>
        <w:tc>
          <w:tcPr>
            <w:tcW w:w="10420" w:type="dxa"/>
            <w:vAlign w:val="bottom"/>
            <w:gridSpan w:val="5"/>
            <w:vMerge w:val="restart"/>
          </w:tcPr>
          <w:p>
            <w:pPr>
              <w:ind w:left="40"/>
              <w:spacing w:after="0"/>
              <w:rPr>
                <w:sz w:val="20"/>
                <w:szCs w:val="20"/>
                <w:color w:val="auto"/>
              </w:rPr>
            </w:pPr>
            <w:r>
              <w:rPr>
                <w:rFonts w:ascii="Arial" w:cs="Arial" w:eastAsia="Arial" w:hAnsi="Arial"/>
                <w:sz w:val="19"/>
                <w:szCs w:val="19"/>
                <w:color w:val="auto"/>
              </w:rPr>
              <w:t>Wolverine Asset Management, LLC</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60" w:type="dxa"/>
            <w:vAlign w:val="bottom"/>
            <w:tcBorders>
              <w:left w:val="single" w:sz="8" w:color="auto"/>
              <w:right w:val="single" w:sz="8" w:color="auto"/>
            </w:tcBorders>
          </w:tcPr>
          <w:p>
            <w:pPr>
              <w:spacing w:after="0"/>
              <w:rPr>
                <w:sz w:val="17"/>
                <w:szCs w:val="17"/>
                <w:color w:val="auto"/>
              </w:rPr>
            </w:pPr>
          </w:p>
        </w:tc>
        <w:tc>
          <w:tcPr>
            <w:tcW w:w="10420" w:type="dxa"/>
            <w:vAlign w:val="bottom"/>
            <w:gridSpan w:val="5"/>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10300" w:type="dxa"/>
            <w:vAlign w:val="bottom"/>
            <w:tcBorders>
              <w:bottom w:val="single" w:sz="8" w:color="auto"/>
            </w:tcBorders>
            <w:gridSpan w:val="4"/>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THE APPROPRIATE BOX IF A MEMBER OF A GROUP</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line="219" w:lineRule="exact"/>
              <w:rPr>
                <w:sz w:val="20"/>
                <w:szCs w:val="20"/>
                <w:color w:val="auto"/>
              </w:rPr>
            </w:pPr>
            <w:r>
              <w:rPr>
                <w:rFonts w:ascii="Arial" w:cs="Arial" w:eastAsia="Arial" w:hAnsi="Arial"/>
                <w:sz w:val="19"/>
                <w:szCs w:val="19"/>
                <w:color w:val="auto"/>
              </w:rPr>
              <w:t>(a)</w:t>
            </w:r>
            <w:r>
              <w:rPr>
                <w:rFonts w:ascii="MS PGothic" w:cs="MS PGothic" w:eastAsia="MS PGothic" w:hAnsi="MS PGothic"/>
                <w:sz w:val="19"/>
                <w:szCs w:val="19"/>
                <w:color w:val="auto"/>
              </w:rPr>
              <w:t>☐</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40"/>
              <w:spacing w:after="0" w:line="219" w:lineRule="exact"/>
              <w:rPr>
                <w:sz w:val="20"/>
                <w:szCs w:val="20"/>
                <w:color w:val="auto"/>
              </w:rPr>
            </w:pPr>
            <w:r>
              <w:rPr>
                <w:rFonts w:ascii="Arial" w:cs="Arial" w:eastAsia="Arial" w:hAnsi="Arial"/>
                <w:sz w:val="19"/>
                <w:szCs w:val="19"/>
                <w:color w:val="auto"/>
              </w:rPr>
              <w:t>(b)</w:t>
            </w:r>
            <w:r>
              <w:rPr>
                <w:rFonts w:ascii="MS PGothic" w:cs="MS PGothic" w:eastAsia="MS PGothic" w:hAnsi="MS PGothic"/>
                <w:sz w:val="19"/>
                <w:szCs w:val="19"/>
                <w:color w:val="auto"/>
              </w:rPr>
              <w:t>☐</w:t>
            </w:r>
          </w:p>
        </w:tc>
        <w:tc>
          <w:tcPr>
            <w:tcW w:w="52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3</w:t>
            </w:r>
          </w:p>
        </w:tc>
        <w:tc>
          <w:tcPr>
            <w:tcW w:w="140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9"/>
                <w:szCs w:val="19"/>
                <w:b w:val="1"/>
                <w:bCs w:val="1"/>
                <w:color w:val="auto"/>
                <w:w w:val="93"/>
              </w:rPr>
              <w:t>SEC USE ONLY</w:t>
            </w:r>
          </w:p>
        </w:tc>
        <w:tc>
          <w:tcPr>
            <w:tcW w:w="8900" w:type="dxa"/>
            <w:vAlign w:val="bottom"/>
            <w:shd w:val="clear" w:color="auto" w:fill="BFBFBF"/>
          </w:tcPr>
          <w:p>
            <w:pPr>
              <w:spacing w:after="0"/>
              <w:rPr>
                <w:sz w:val="22"/>
                <w:szCs w:val="22"/>
                <w:color w:val="auto"/>
              </w:rPr>
            </w:pPr>
          </w:p>
        </w:tc>
        <w:tc>
          <w:tcPr>
            <w:tcW w:w="120" w:type="dxa"/>
            <w:vAlign w:val="bottom"/>
            <w:shd w:val="clear" w:color="auto" w:fill="BFBFBF"/>
          </w:tcPr>
          <w:p>
            <w:pPr>
              <w:spacing w:after="0"/>
              <w:rPr>
                <w:sz w:val="22"/>
                <w:szCs w:val="22"/>
                <w:color w:val="auto"/>
              </w:rPr>
            </w:pPr>
          </w:p>
        </w:tc>
        <w:tc>
          <w:tcPr>
            <w:tcW w:w="12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46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900" w:type="dxa"/>
            <w:vAlign w:val="bottom"/>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520" w:type="dxa"/>
            <w:vAlign w:val="bottom"/>
            <w:tcBorders>
              <w:bottom w:val="single" w:sz="8" w:color="auto"/>
              <w:right w:val="single" w:sz="8" w:color="BFBFBF"/>
            </w:tcBorders>
            <w:shd w:val="clear" w:color="auto" w:fill="BFBFBF"/>
          </w:tcPr>
          <w:p>
            <w:pPr>
              <w:spacing w:after="0"/>
              <w:rPr>
                <w:sz w:val="24"/>
                <w:szCs w:val="24"/>
                <w:color w:val="auto"/>
              </w:rPr>
            </w:pPr>
          </w:p>
        </w:tc>
        <w:tc>
          <w:tcPr>
            <w:tcW w:w="890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4</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CITIZENSHIP OR PLACE OF ORGANIZATION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rPr>
              <w:t>Illinois</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5</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SOLE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6</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18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900" w:type="dxa"/>
            <w:vAlign w:val="bottom"/>
            <w:vMerge w:val="restart"/>
          </w:tcPr>
          <w:p>
            <w:pPr>
              <w:ind w:left="20"/>
              <w:spacing w:after="0"/>
              <w:rPr>
                <w:sz w:val="20"/>
                <w:szCs w:val="20"/>
                <w:color w:val="auto"/>
              </w:rPr>
            </w:pPr>
            <w:r>
              <w:rPr>
                <w:rFonts w:ascii="Arial" w:cs="Arial" w:eastAsia="Arial" w:hAnsi="Arial"/>
                <w:sz w:val="19"/>
                <w:szCs w:val="19"/>
                <w:color w:val="auto"/>
              </w:rPr>
              <w:t>1,453,664</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BENEFICIALLY</w:t>
            </w:r>
          </w:p>
        </w:tc>
        <w:tc>
          <w:tcPr>
            <w:tcW w:w="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8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OWNED BY EACH</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902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18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7</w:t>
            </w:r>
          </w:p>
        </w:tc>
        <w:tc>
          <w:tcPr>
            <w:tcW w:w="9020" w:type="dxa"/>
            <w:vAlign w:val="bottom"/>
            <w:gridSpan w:val="2"/>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1460" w:type="dxa"/>
            <w:vAlign w:val="bottom"/>
            <w:tcBorders>
              <w:left w:val="single" w:sz="8" w:color="auto"/>
            </w:tcBorders>
          </w:tcPr>
          <w:p>
            <w:pPr>
              <w:jc w:val="center"/>
              <w:ind w:left="538"/>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8</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9"/>
                <w:szCs w:val="19"/>
                <w:color w:val="auto"/>
              </w:rPr>
              <w:t>1,453,664</w:t>
            </w: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9</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w w:val="96"/>
              </w:rPr>
              <w:t>1,453,664</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10</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BOX IF THE AGGREGATE AMOUNT IN ROW (9) EXCLUDES CERTAIN SHARES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40"/>
              <w:spacing w:after="0" w:line="191" w:lineRule="exact"/>
              <w:rPr>
                <w:sz w:val="20"/>
                <w:szCs w:val="20"/>
                <w:color w:val="auto"/>
              </w:rPr>
            </w:pPr>
            <w:r>
              <w:rPr>
                <w:rFonts w:ascii="MS PGothic" w:cs="MS PGothic" w:eastAsia="MS PGothic" w:hAnsi="MS PGothic"/>
                <w:sz w:val="19"/>
                <w:szCs w:val="19"/>
                <w:color w:val="auto"/>
              </w:rPr>
              <w:t>☐</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spacing w:after="0"/>
              <w:rPr>
                <w:sz w:val="13"/>
                <w:szCs w:val="13"/>
                <w:color w:val="auto"/>
              </w:rPr>
            </w:pPr>
          </w:p>
        </w:tc>
        <w:tc>
          <w:tcPr>
            <w:tcW w:w="8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10420" w:type="dxa"/>
            <w:vAlign w:val="bottom"/>
            <w:gridSpan w:val="5"/>
          </w:tcPr>
          <w:p>
            <w:pPr>
              <w:ind w:left="40"/>
              <w:spacing w:after="0"/>
              <w:rPr>
                <w:sz w:val="20"/>
                <w:szCs w:val="20"/>
                <w:color w:val="auto"/>
              </w:rPr>
            </w:pPr>
            <w:r>
              <w:rPr>
                <w:rFonts w:ascii="Arial" w:cs="Arial" w:eastAsia="Arial" w:hAnsi="Arial"/>
                <w:sz w:val="19"/>
                <w:szCs w:val="19"/>
                <w:color w:val="auto"/>
              </w:rPr>
              <w:t>4.1%*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TYPE OF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rPr>
              <w:t>IA</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*Percentage calculated by dividing (i) the sum of 1,453,664 shares of common stock receivable upon conversion of convertible notes of the Issuer plus (ii) the sum of (a) 34,621,962 (the number of shares of common stock outstanding as of October 31, 2018, as reported in the Issuer's Form 10-Q filed on November 7, 2018) and (b) 1,453,664 (the number of shares of common stock receivable upon conversion of convertible notes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62508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 w:name="page3"/>
    <w:bookmarkEnd w:id="2"/>
    <w:p>
      <w:pPr>
        <w:ind w:left="6"/>
        <w:spacing w:after="0"/>
        <w:rPr>
          <w:sz w:val="20"/>
          <w:szCs w:val="20"/>
          <w:color w:val="auto"/>
        </w:rPr>
      </w:pPr>
      <w:r>
        <w:rPr>
          <w:rFonts w:ascii="Arial" w:cs="Arial" w:eastAsia="Arial" w:hAnsi="Arial"/>
          <w:sz w:val="19"/>
          <w:szCs w:val="19"/>
          <w:b w:val="1"/>
          <w:bCs w:val="1"/>
          <w:color w:val="auto"/>
        </w:rPr>
        <w:t>CUSIP No.: 55933J203</w:t>
      </w:r>
    </w:p>
    <w:p>
      <w:pPr>
        <w:spacing w:after="0" w:line="246" w:lineRule="exact"/>
        <w:rPr>
          <w:sz w:val="20"/>
          <w:szCs w:val="20"/>
          <w:color w:val="auto"/>
        </w:rPr>
      </w:pPr>
    </w:p>
    <w:tbl>
      <w:tblPr>
        <w:tblLayout w:type="fixed"/>
        <w:tblInd w:w="16" w:type="dxa"/>
        <w:tblCellMar>
          <w:top w:w="0" w:type="dxa"/>
          <w:left w:w="0" w:type="dxa"/>
          <w:bottom w:w="0" w:type="dxa"/>
          <w:right w:w="0" w:type="dxa"/>
        </w:tblCellMar>
      </w:tblPr>
      <w:tr>
        <w:trPr>
          <w:trHeight w:val="270"/>
        </w:trPr>
        <w:tc>
          <w:tcPr>
            <w:tcW w:w="1460" w:type="dxa"/>
            <w:vAlign w:val="bottom"/>
            <w:tcBorders>
              <w:top w:val="single" w:sz="8" w:color="auto"/>
              <w:left w:val="single" w:sz="8" w:color="auto"/>
              <w:right w:val="single" w:sz="8" w:color="auto"/>
            </w:tcBorders>
          </w:tcPr>
          <w:p>
            <w:pPr>
              <w:spacing w:after="0"/>
              <w:rPr>
                <w:sz w:val="23"/>
                <w:szCs w:val="23"/>
                <w:color w:val="auto"/>
              </w:rPr>
            </w:pPr>
          </w:p>
        </w:tc>
        <w:tc>
          <w:tcPr>
            <w:tcW w:w="10420" w:type="dxa"/>
            <w:vAlign w:val="bottom"/>
            <w:tcBorders>
              <w:top w:val="single" w:sz="8" w:color="auto"/>
            </w:tcBorders>
            <w:gridSpan w:val="5"/>
          </w:tcPr>
          <w:p>
            <w:pPr>
              <w:ind w:left="40"/>
              <w:spacing w:after="0"/>
              <w:rPr>
                <w:sz w:val="20"/>
                <w:szCs w:val="20"/>
                <w:color w:val="auto"/>
              </w:rPr>
            </w:pPr>
            <w:r>
              <w:rPr>
                <w:rFonts w:ascii="Arial" w:cs="Arial" w:eastAsia="Arial" w:hAnsi="Arial"/>
                <w:sz w:val="19"/>
                <w:szCs w:val="19"/>
                <w:b w:val="1"/>
                <w:bCs w:val="1"/>
                <w:color w:val="auto"/>
              </w:rPr>
              <w:t>NAME OF REPORTING PERSON</w:t>
            </w:r>
          </w:p>
        </w:tc>
        <w:tc>
          <w:tcPr>
            <w:tcW w:w="1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I.R.S. IDENTIFICATION NO. OF ABOVE PERSON (ENTITIES ONLY)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60" w:type="dxa"/>
            <w:vAlign w:val="bottom"/>
            <w:tcBorders>
              <w:left w:val="single" w:sz="8" w:color="auto"/>
              <w:right w:val="single" w:sz="8" w:color="auto"/>
            </w:tcBorders>
            <w:vMerge w:val="continue"/>
          </w:tcPr>
          <w:p>
            <w:pPr>
              <w:spacing w:after="0"/>
              <w:rPr>
                <w:sz w:val="20"/>
                <w:szCs w:val="20"/>
                <w:color w:val="auto"/>
              </w:rPr>
            </w:pPr>
          </w:p>
        </w:tc>
        <w:tc>
          <w:tcPr>
            <w:tcW w:w="10420" w:type="dxa"/>
            <w:vAlign w:val="bottom"/>
            <w:gridSpan w:val="5"/>
            <w:vMerge w:val="restart"/>
          </w:tcPr>
          <w:p>
            <w:pPr>
              <w:ind w:left="40"/>
              <w:spacing w:after="0"/>
              <w:rPr>
                <w:sz w:val="20"/>
                <w:szCs w:val="20"/>
                <w:color w:val="auto"/>
              </w:rPr>
            </w:pPr>
            <w:r>
              <w:rPr>
                <w:rFonts w:ascii="Arial" w:cs="Arial" w:eastAsia="Arial" w:hAnsi="Arial"/>
                <w:sz w:val="19"/>
                <w:szCs w:val="19"/>
                <w:color w:val="auto"/>
              </w:rPr>
              <w:t>Wolverine Holdings, L.P.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60" w:type="dxa"/>
            <w:vAlign w:val="bottom"/>
            <w:tcBorders>
              <w:left w:val="single" w:sz="8" w:color="auto"/>
              <w:right w:val="single" w:sz="8" w:color="auto"/>
            </w:tcBorders>
          </w:tcPr>
          <w:p>
            <w:pPr>
              <w:spacing w:after="0"/>
              <w:rPr>
                <w:sz w:val="17"/>
                <w:szCs w:val="17"/>
                <w:color w:val="auto"/>
              </w:rPr>
            </w:pPr>
          </w:p>
        </w:tc>
        <w:tc>
          <w:tcPr>
            <w:tcW w:w="10420" w:type="dxa"/>
            <w:vAlign w:val="bottom"/>
            <w:gridSpan w:val="5"/>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10300" w:type="dxa"/>
            <w:vAlign w:val="bottom"/>
            <w:tcBorders>
              <w:bottom w:val="single" w:sz="8" w:color="auto"/>
            </w:tcBorders>
            <w:gridSpan w:val="4"/>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THE APPROPRIATE BOX IF A MEMBER OF A GROUP</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line="219" w:lineRule="exact"/>
              <w:rPr>
                <w:sz w:val="20"/>
                <w:szCs w:val="20"/>
                <w:color w:val="auto"/>
              </w:rPr>
            </w:pPr>
            <w:r>
              <w:rPr>
                <w:rFonts w:ascii="Arial" w:cs="Arial" w:eastAsia="Arial" w:hAnsi="Arial"/>
                <w:sz w:val="19"/>
                <w:szCs w:val="19"/>
                <w:color w:val="auto"/>
              </w:rPr>
              <w:t>(a)</w:t>
            </w:r>
            <w:r>
              <w:rPr>
                <w:rFonts w:ascii="MS PGothic" w:cs="MS PGothic" w:eastAsia="MS PGothic" w:hAnsi="MS PGothic"/>
                <w:sz w:val="19"/>
                <w:szCs w:val="19"/>
                <w:color w:val="auto"/>
              </w:rPr>
              <w:t>☐</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40"/>
              <w:spacing w:after="0" w:line="219" w:lineRule="exact"/>
              <w:rPr>
                <w:sz w:val="20"/>
                <w:szCs w:val="20"/>
                <w:color w:val="auto"/>
              </w:rPr>
            </w:pPr>
            <w:r>
              <w:rPr>
                <w:rFonts w:ascii="Arial" w:cs="Arial" w:eastAsia="Arial" w:hAnsi="Arial"/>
                <w:sz w:val="19"/>
                <w:szCs w:val="19"/>
                <w:color w:val="auto"/>
              </w:rPr>
              <w:t>(b)</w:t>
            </w:r>
            <w:r>
              <w:rPr>
                <w:rFonts w:ascii="MS PGothic" w:cs="MS PGothic" w:eastAsia="MS PGothic" w:hAnsi="MS PGothic"/>
                <w:sz w:val="19"/>
                <w:szCs w:val="19"/>
                <w:color w:val="auto"/>
              </w:rPr>
              <w:t>☐</w:t>
            </w:r>
          </w:p>
        </w:tc>
        <w:tc>
          <w:tcPr>
            <w:tcW w:w="52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3</w:t>
            </w:r>
          </w:p>
        </w:tc>
        <w:tc>
          <w:tcPr>
            <w:tcW w:w="140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9"/>
                <w:szCs w:val="19"/>
                <w:b w:val="1"/>
                <w:bCs w:val="1"/>
                <w:color w:val="auto"/>
                <w:w w:val="93"/>
              </w:rPr>
              <w:t>SEC USE ONLY</w:t>
            </w:r>
          </w:p>
        </w:tc>
        <w:tc>
          <w:tcPr>
            <w:tcW w:w="8900" w:type="dxa"/>
            <w:vAlign w:val="bottom"/>
            <w:shd w:val="clear" w:color="auto" w:fill="BFBFBF"/>
          </w:tcPr>
          <w:p>
            <w:pPr>
              <w:spacing w:after="0"/>
              <w:rPr>
                <w:sz w:val="22"/>
                <w:szCs w:val="22"/>
                <w:color w:val="auto"/>
              </w:rPr>
            </w:pPr>
          </w:p>
        </w:tc>
        <w:tc>
          <w:tcPr>
            <w:tcW w:w="120" w:type="dxa"/>
            <w:vAlign w:val="bottom"/>
            <w:shd w:val="clear" w:color="auto" w:fill="BFBFBF"/>
          </w:tcPr>
          <w:p>
            <w:pPr>
              <w:spacing w:after="0"/>
              <w:rPr>
                <w:sz w:val="22"/>
                <w:szCs w:val="22"/>
                <w:color w:val="auto"/>
              </w:rPr>
            </w:pPr>
          </w:p>
        </w:tc>
        <w:tc>
          <w:tcPr>
            <w:tcW w:w="12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46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900" w:type="dxa"/>
            <w:vAlign w:val="bottom"/>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520" w:type="dxa"/>
            <w:vAlign w:val="bottom"/>
            <w:tcBorders>
              <w:bottom w:val="single" w:sz="8" w:color="auto"/>
              <w:right w:val="single" w:sz="8" w:color="BFBFBF"/>
            </w:tcBorders>
            <w:shd w:val="clear" w:color="auto" w:fill="BFBFBF"/>
          </w:tcPr>
          <w:p>
            <w:pPr>
              <w:spacing w:after="0"/>
              <w:rPr>
                <w:sz w:val="24"/>
                <w:szCs w:val="24"/>
                <w:color w:val="auto"/>
              </w:rPr>
            </w:pPr>
          </w:p>
        </w:tc>
        <w:tc>
          <w:tcPr>
            <w:tcW w:w="890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4</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CITIZENSHIP OR PLACE OF ORGANIZATION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rPr>
              <w:t>Illinois</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5</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SOLE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6</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18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900" w:type="dxa"/>
            <w:vAlign w:val="bottom"/>
            <w:vMerge w:val="restart"/>
          </w:tcPr>
          <w:p>
            <w:pPr>
              <w:ind w:left="20"/>
              <w:spacing w:after="0"/>
              <w:rPr>
                <w:sz w:val="20"/>
                <w:szCs w:val="20"/>
                <w:color w:val="auto"/>
              </w:rPr>
            </w:pPr>
            <w:r>
              <w:rPr>
                <w:rFonts w:ascii="Arial" w:cs="Arial" w:eastAsia="Arial" w:hAnsi="Arial"/>
                <w:sz w:val="19"/>
                <w:szCs w:val="19"/>
                <w:color w:val="auto"/>
              </w:rPr>
              <w:t>1,493,524</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BENEFICIALLY</w:t>
            </w:r>
          </w:p>
        </w:tc>
        <w:tc>
          <w:tcPr>
            <w:tcW w:w="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8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OWNED BY EACH</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902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18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7</w:t>
            </w:r>
          </w:p>
        </w:tc>
        <w:tc>
          <w:tcPr>
            <w:tcW w:w="9020" w:type="dxa"/>
            <w:vAlign w:val="bottom"/>
            <w:gridSpan w:val="2"/>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1460" w:type="dxa"/>
            <w:vAlign w:val="bottom"/>
            <w:tcBorders>
              <w:left w:val="single" w:sz="8" w:color="auto"/>
            </w:tcBorders>
          </w:tcPr>
          <w:p>
            <w:pPr>
              <w:jc w:val="center"/>
              <w:ind w:left="538"/>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8</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9"/>
                <w:szCs w:val="19"/>
                <w:color w:val="auto"/>
              </w:rPr>
              <w:t>1,493,524</w:t>
            </w: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9</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w w:val="96"/>
              </w:rPr>
              <w:t>1,493,524</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10</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BOX IF THE AGGREGATE AMOUNT IN ROW (9) EXCLUDES CERTAIN SHARES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40"/>
              <w:spacing w:after="0" w:line="191" w:lineRule="exact"/>
              <w:rPr>
                <w:sz w:val="20"/>
                <w:szCs w:val="20"/>
                <w:color w:val="auto"/>
              </w:rPr>
            </w:pPr>
            <w:r>
              <w:rPr>
                <w:rFonts w:ascii="MS PGothic" w:cs="MS PGothic" w:eastAsia="MS PGothic" w:hAnsi="MS PGothic"/>
                <w:sz w:val="19"/>
                <w:szCs w:val="19"/>
                <w:color w:val="auto"/>
              </w:rPr>
              <w:t>☐</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spacing w:after="0"/>
              <w:rPr>
                <w:sz w:val="13"/>
                <w:szCs w:val="13"/>
                <w:color w:val="auto"/>
              </w:rPr>
            </w:pPr>
          </w:p>
        </w:tc>
        <w:tc>
          <w:tcPr>
            <w:tcW w:w="8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10420" w:type="dxa"/>
            <w:vAlign w:val="bottom"/>
            <w:gridSpan w:val="5"/>
          </w:tcPr>
          <w:p>
            <w:pPr>
              <w:ind w:left="40"/>
              <w:spacing w:after="0"/>
              <w:rPr>
                <w:sz w:val="20"/>
                <w:szCs w:val="20"/>
                <w:color w:val="auto"/>
              </w:rPr>
            </w:pPr>
            <w:r>
              <w:rPr>
                <w:rFonts w:ascii="Arial" w:cs="Arial" w:eastAsia="Arial" w:hAnsi="Arial"/>
                <w:sz w:val="19"/>
                <w:szCs w:val="19"/>
                <w:color w:val="auto"/>
              </w:rPr>
              <w:t>4.1%*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TYPE OF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rPr>
              <w:t>HC</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 w:right="80"/>
        <w:spacing w:after="0" w:line="288" w:lineRule="auto"/>
        <w:rPr>
          <w:sz w:val="20"/>
          <w:szCs w:val="20"/>
          <w:color w:val="auto"/>
        </w:rPr>
      </w:pPr>
      <w:r>
        <w:rPr>
          <w:rFonts w:ascii="Arial" w:cs="Arial" w:eastAsia="Arial" w:hAnsi="Arial"/>
          <w:sz w:val="17"/>
          <w:szCs w:val="17"/>
          <w:color w:val="auto"/>
        </w:rPr>
        <w:t>*Percentage calculated by dividing (i) the sum of (a) 19,160 shares of common stock of the Issuer plus (b) 20,700 shares of common stock receivable upon exercise of options of the Issuer plus (c) 1,453,664 shares of common stock receivable upon conversion of convertible notes of the Issuer plus (ii) the sum of</w:t>
      </w:r>
    </w:p>
    <w:p>
      <w:pPr>
        <w:jc w:val="both"/>
        <w:ind w:left="6" w:right="20" w:hanging="6"/>
        <w:spacing w:after="0" w:line="255" w:lineRule="auto"/>
        <w:tabs>
          <w:tab w:leader="none" w:pos="265" w:val="left"/>
        </w:tabs>
        <w:numPr>
          <w:ilvl w:val="0"/>
          <w:numId w:val="2"/>
        </w:numPr>
        <w:rPr>
          <w:rFonts w:ascii="Arial" w:cs="Arial" w:eastAsia="Arial" w:hAnsi="Arial"/>
          <w:sz w:val="19"/>
          <w:szCs w:val="19"/>
          <w:color w:val="auto"/>
        </w:rPr>
      </w:pPr>
      <w:r>
        <w:rPr>
          <w:rFonts w:ascii="Arial" w:cs="Arial" w:eastAsia="Arial" w:hAnsi="Arial"/>
          <w:sz w:val="19"/>
          <w:szCs w:val="19"/>
          <w:color w:val="auto"/>
        </w:rPr>
        <w:t>34,621,962 (the number of shares of common stock outstanding as of October 31, 2018, as reported in the Issuer's Form 10-Q filed on November 7, 2018) and (b) 1,453,664 (the number of shares of common stock receivable upon conversion of convertible notes of the Issuer plus (c) 20,700 (the number of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62508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3" w:name="page4"/>
    <w:bookmarkEnd w:id="3"/>
    <w:p>
      <w:pPr>
        <w:ind w:left="6"/>
        <w:spacing w:after="0"/>
        <w:rPr>
          <w:sz w:val="20"/>
          <w:szCs w:val="20"/>
          <w:color w:val="auto"/>
        </w:rPr>
      </w:pPr>
      <w:r>
        <w:rPr>
          <w:rFonts w:ascii="Arial" w:cs="Arial" w:eastAsia="Arial" w:hAnsi="Arial"/>
          <w:sz w:val="19"/>
          <w:szCs w:val="19"/>
          <w:b w:val="1"/>
          <w:bCs w:val="1"/>
          <w:color w:val="auto"/>
        </w:rPr>
        <w:t>CUSIP No.: 55933J203</w:t>
      </w:r>
    </w:p>
    <w:p>
      <w:pPr>
        <w:spacing w:after="0" w:line="218" w:lineRule="exact"/>
        <w:rPr>
          <w:sz w:val="20"/>
          <w:szCs w:val="20"/>
          <w:color w:val="auto"/>
        </w:rPr>
      </w:pPr>
    </w:p>
    <w:tbl>
      <w:tblPr>
        <w:tblLayout w:type="fixed"/>
        <w:tblInd w:w="16" w:type="dxa"/>
        <w:tblCellMar>
          <w:top w:w="0" w:type="dxa"/>
          <w:left w:w="0" w:type="dxa"/>
          <w:bottom w:w="0" w:type="dxa"/>
          <w:right w:w="0" w:type="dxa"/>
        </w:tblCellMar>
      </w:tblPr>
      <w:tr>
        <w:trPr>
          <w:trHeight w:val="270"/>
        </w:trPr>
        <w:tc>
          <w:tcPr>
            <w:tcW w:w="1460" w:type="dxa"/>
            <w:vAlign w:val="bottom"/>
            <w:tcBorders>
              <w:top w:val="single" w:sz="8" w:color="auto"/>
              <w:left w:val="single" w:sz="8" w:color="auto"/>
              <w:right w:val="single" w:sz="8" w:color="auto"/>
            </w:tcBorders>
          </w:tcPr>
          <w:p>
            <w:pPr>
              <w:spacing w:after="0"/>
              <w:rPr>
                <w:sz w:val="23"/>
                <w:szCs w:val="23"/>
                <w:color w:val="auto"/>
              </w:rPr>
            </w:pPr>
          </w:p>
        </w:tc>
        <w:tc>
          <w:tcPr>
            <w:tcW w:w="10420" w:type="dxa"/>
            <w:vAlign w:val="bottom"/>
            <w:tcBorders>
              <w:top w:val="single" w:sz="8" w:color="auto"/>
            </w:tcBorders>
            <w:gridSpan w:val="5"/>
          </w:tcPr>
          <w:p>
            <w:pPr>
              <w:ind w:left="40"/>
              <w:spacing w:after="0"/>
              <w:rPr>
                <w:sz w:val="20"/>
                <w:szCs w:val="20"/>
                <w:color w:val="auto"/>
              </w:rPr>
            </w:pPr>
            <w:r>
              <w:rPr>
                <w:rFonts w:ascii="Arial" w:cs="Arial" w:eastAsia="Arial" w:hAnsi="Arial"/>
                <w:sz w:val="19"/>
                <w:szCs w:val="19"/>
                <w:b w:val="1"/>
                <w:bCs w:val="1"/>
                <w:color w:val="auto"/>
              </w:rPr>
              <w:t>NAME OF REPORTING PERSON</w:t>
            </w:r>
          </w:p>
        </w:tc>
        <w:tc>
          <w:tcPr>
            <w:tcW w:w="1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I.R.S. IDENTIFICATION NO. OF ABOVE PERSON (ENTITIES ONLY)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60" w:type="dxa"/>
            <w:vAlign w:val="bottom"/>
            <w:tcBorders>
              <w:left w:val="single" w:sz="8" w:color="auto"/>
              <w:right w:val="single" w:sz="8" w:color="auto"/>
            </w:tcBorders>
            <w:vMerge w:val="continue"/>
          </w:tcPr>
          <w:p>
            <w:pPr>
              <w:spacing w:after="0"/>
              <w:rPr>
                <w:sz w:val="20"/>
                <w:szCs w:val="20"/>
                <w:color w:val="auto"/>
              </w:rPr>
            </w:pPr>
          </w:p>
        </w:tc>
        <w:tc>
          <w:tcPr>
            <w:tcW w:w="10420" w:type="dxa"/>
            <w:vAlign w:val="bottom"/>
            <w:gridSpan w:val="5"/>
            <w:vMerge w:val="restart"/>
          </w:tcPr>
          <w:p>
            <w:pPr>
              <w:ind w:left="40"/>
              <w:spacing w:after="0"/>
              <w:rPr>
                <w:sz w:val="20"/>
                <w:szCs w:val="20"/>
                <w:color w:val="auto"/>
              </w:rPr>
            </w:pPr>
            <w:r>
              <w:rPr>
                <w:rFonts w:ascii="Arial" w:cs="Arial" w:eastAsia="Arial" w:hAnsi="Arial"/>
                <w:sz w:val="19"/>
                <w:szCs w:val="19"/>
                <w:color w:val="auto"/>
              </w:rPr>
              <w:t>Wolverine Trading Partners, Inc.</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60" w:type="dxa"/>
            <w:vAlign w:val="bottom"/>
            <w:tcBorders>
              <w:left w:val="single" w:sz="8" w:color="auto"/>
              <w:right w:val="single" w:sz="8" w:color="auto"/>
            </w:tcBorders>
          </w:tcPr>
          <w:p>
            <w:pPr>
              <w:spacing w:after="0"/>
              <w:rPr>
                <w:sz w:val="17"/>
                <w:szCs w:val="17"/>
                <w:color w:val="auto"/>
              </w:rPr>
            </w:pPr>
          </w:p>
        </w:tc>
        <w:tc>
          <w:tcPr>
            <w:tcW w:w="10420" w:type="dxa"/>
            <w:vAlign w:val="bottom"/>
            <w:gridSpan w:val="5"/>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10300" w:type="dxa"/>
            <w:vAlign w:val="bottom"/>
            <w:tcBorders>
              <w:bottom w:val="single" w:sz="8" w:color="auto"/>
            </w:tcBorders>
            <w:gridSpan w:val="4"/>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THE APPROPRIATE BOX IF A MEMBER OF A GROUP</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line="219" w:lineRule="exact"/>
              <w:rPr>
                <w:sz w:val="20"/>
                <w:szCs w:val="20"/>
                <w:color w:val="auto"/>
              </w:rPr>
            </w:pPr>
            <w:r>
              <w:rPr>
                <w:rFonts w:ascii="Arial" w:cs="Arial" w:eastAsia="Arial" w:hAnsi="Arial"/>
                <w:sz w:val="19"/>
                <w:szCs w:val="19"/>
                <w:color w:val="auto"/>
              </w:rPr>
              <w:t>(a)</w:t>
            </w:r>
            <w:r>
              <w:rPr>
                <w:rFonts w:ascii="MS PGothic" w:cs="MS PGothic" w:eastAsia="MS PGothic" w:hAnsi="MS PGothic"/>
                <w:sz w:val="19"/>
                <w:szCs w:val="19"/>
                <w:color w:val="auto"/>
              </w:rPr>
              <w:t>☐</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40"/>
              <w:spacing w:after="0" w:line="219" w:lineRule="exact"/>
              <w:rPr>
                <w:sz w:val="20"/>
                <w:szCs w:val="20"/>
                <w:color w:val="auto"/>
              </w:rPr>
            </w:pPr>
            <w:r>
              <w:rPr>
                <w:rFonts w:ascii="Arial" w:cs="Arial" w:eastAsia="Arial" w:hAnsi="Arial"/>
                <w:sz w:val="19"/>
                <w:szCs w:val="19"/>
                <w:color w:val="auto"/>
              </w:rPr>
              <w:t>(b)</w:t>
            </w:r>
            <w:r>
              <w:rPr>
                <w:rFonts w:ascii="MS PGothic" w:cs="MS PGothic" w:eastAsia="MS PGothic" w:hAnsi="MS PGothic"/>
                <w:sz w:val="19"/>
                <w:szCs w:val="19"/>
                <w:color w:val="auto"/>
              </w:rPr>
              <w:t>☐</w:t>
            </w:r>
          </w:p>
        </w:tc>
        <w:tc>
          <w:tcPr>
            <w:tcW w:w="52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3</w:t>
            </w:r>
          </w:p>
        </w:tc>
        <w:tc>
          <w:tcPr>
            <w:tcW w:w="140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9"/>
                <w:szCs w:val="19"/>
                <w:b w:val="1"/>
                <w:bCs w:val="1"/>
                <w:color w:val="auto"/>
                <w:w w:val="93"/>
              </w:rPr>
              <w:t>SEC USE ONLY</w:t>
            </w:r>
          </w:p>
        </w:tc>
        <w:tc>
          <w:tcPr>
            <w:tcW w:w="8900" w:type="dxa"/>
            <w:vAlign w:val="bottom"/>
            <w:shd w:val="clear" w:color="auto" w:fill="BFBFBF"/>
          </w:tcPr>
          <w:p>
            <w:pPr>
              <w:spacing w:after="0"/>
              <w:rPr>
                <w:sz w:val="22"/>
                <w:szCs w:val="22"/>
                <w:color w:val="auto"/>
              </w:rPr>
            </w:pPr>
          </w:p>
        </w:tc>
        <w:tc>
          <w:tcPr>
            <w:tcW w:w="120" w:type="dxa"/>
            <w:vAlign w:val="bottom"/>
            <w:shd w:val="clear" w:color="auto" w:fill="BFBFBF"/>
          </w:tcPr>
          <w:p>
            <w:pPr>
              <w:spacing w:after="0"/>
              <w:rPr>
                <w:sz w:val="22"/>
                <w:szCs w:val="22"/>
                <w:color w:val="auto"/>
              </w:rPr>
            </w:pPr>
          </w:p>
        </w:tc>
        <w:tc>
          <w:tcPr>
            <w:tcW w:w="12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46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900" w:type="dxa"/>
            <w:vAlign w:val="bottom"/>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520" w:type="dxa"/>
            <w:vAlign w:val="bottom"/>
            <w:tcBorders>
              <w:bottom w:val="single" w:sz="8" w:color="auto"/>
              <w:right w:val="single" w:sz="8" w:color="BFBFBF"/>
            </w:tcBorders>
            <w:shd w:val="clear" w:color="auto" w:fill="BFBFBF"/>
          </w:tcPr>
          <w:p>
            <w:pPr>
              <w:spacing w:after="0"/>
              <w:rPr>
                <w:sz w:val="24"/>
                <w:szCs w:val="24"/>
                <w:color w:val="auto"/>
              </w:rPr>
            </w:pPr>
          </w:p>
        </w:tc>
        <w:tc>
          <w:tcPr>
            <w:tcW w:w="890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4</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CITIZENSHIP OR PLACE OF ORGANIZATION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rPr>
              <w:t>Illinois</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5</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SOLE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6</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18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900" w:type="dxa"/>
            <w:vAlign w:val="bottom"/>
            <w:vMerge w:val="restart"/>
          </w:tcPr>
          <w:p>
            <w:pPr>
              <w:ind w:left="20"/>
              <w:spacing w:after="0"/>
              <w:rPr>
                <w:sz w:val="20"/>
                <w:szCs w:val="20"/>
                <w:color w:val="auto"/>
              </w:rPr>
            </w:pPr>
            <w:r>
              <w:rPr>
                <w:rFonts w:ascii="Arial" w:cs="Arial" w:eastAsia="Arial" w:hAnsi="Arial"/>
                <w:sz w:val="19"/>
                <w:szCs w:val="19"/>
                <w:color w:val="auto"/>
              </w:rPr>
              <w:t>1,493,524</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BENEFICIALLY</w:t>
            </w:r>
          </w:p>
        </w:tc>
        <w:tc>
          <w:tcPr>
            <w:tcW w:w="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8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OWNED BY EACH</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902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18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7</w:t>
            </w:r>
          </w:p>
        </w:tc>
        <w:tc>
          <w:tcPr>
            <w:tcW w:w="9020" w:type="dxa"/>
            <w:vAlign w:val="bottom"/>
            <w:gridSpan w:val="2"/>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1460" w:type="dxa"/>
            <w:vAlign w:val="bottom"/>
            <w:tcBorders>
              <w:left w:val="single" w:sz="8" w:color="auto"/>
            </w:tcBorders>
          </w:tcPr>
          <w:p>
            <w:pPr>
              <w:jc w:val="center"/>
              <w:ind w:left="538"/>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8</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9"/>
                <w:szCs w:val="19"/>
                <w:color w:val="auto"/>
              </w:rPr>
              <w:t>1,493,524</w:t>
            </w: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9</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w w:val="96"/>
              </w:rPr>
              <w:t>1,493,524</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10</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BOX IF THE AGGREGATE AMOUNT IN ROW (9) EXCLUDES CERTAIN SHARES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40"/>
              <w:spacing w:after="0" w:line="191" w:lineRule="exact"/>
              <w:rPr>
                <w:sz w:val="20"/>
                <w:szCs w:val="20"/>
                <w:color w:val="auto"/>
              </w:rPr>
            </w:pPr>
            <w:r>
              <w:rPr>
                <w:rFonts w:ascii="MS PGothic" w:cs="MS PGothic" w:eastAsia="MS PGothic" w:hAnsi="MS PGothic"/>
                <w:sz w:val="19"/>
                <w:szCs w:val="19"/>
                <w:color w:val="auto"/>
              </w:rPr>
              <w:t>☐</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spacing w:after="0"/>
              <w:rPr>
                <w:sz w:val="13"/>
                <w:szCs w:val="13"/>
                <w:color w:val="auto"/>
              </w:rPr>
            </w:pPr>
          </w:p>
        </w:tc>
        <w:tc>
          <w:tcPr>
            <w:tcW w:w="8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10420" w:type="dxa"/>
            <w:vAlign w:val="bottom"/>
            <w:gridSpan w:val="5"/>
          </w:tcPr>
          <w:p>
            <w:pPr>
              <w:ind w:left="40"/>
              <w:spacing w:after="0"/>
              <w:rPr>
                <w:sz w:val="20"/>
                <w:szCs w:val="20"/>
                <w:color w:val="auto"/>
              </w:rPr>
            </w:pPr>
            <w:r>
              <w:rPr>
                <w:rFonts w:ascii="Arial" w:cs="Arial" w:eastAsia="Arial" w:hAnsi="Arial"/>
                <w:sz w:val="19"/>
                <w:szCs w:val="19"/>
                <w:color w:val="auto"/>
              </w:rPr>
              <w:t>4.1%*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TYPE OF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9"/>
                <w:szCs w:val="19"/>
                <w:color w:val="auto"/>
              </w:rPr>
              <w:t>CO/HC</w:t>
            </w: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 w:right="80"/>
        <w:spacing w:after="0" w:line="288" w:lineRule="auto"/>
        <w:rPr>
          <w:sz w:val="20"/>
          <w:szCs w:val="20"/>
          <w:color w:val="auto"/>
        </w:rPr>
      </w:pPr>
      <w:r>
        <w:rPr>
          <w:rFonts w:ascii="Arial" w:cs="Arial" w:eastAsia="Arial" w:hAnsi="Arial"/>
          <w:sz w:val="17"/>
          <w:szCs w:val="17"/>
          <w:color w:val="auto"/>
        </w:rPr>
        <w:t>*Percentage calculated by dividing (i) the sum of (a) 19,160 shares of common stock of the Issuer plus (b) 20,700 shares of common stock receivable upon exercise of options of the Issuer plus (c) 1,453,664 shares of common stock receivable upon conversion of convertible notes of the Issuer plus (ii) the sum of</w:t>
      </w:r>
    </w:p>
    <w:p>
      <w:pPr>
        <w:jc w:val="both"/>
        <w:ind w:left="6" w:right="20" w:hanging="6"/>
        <w:spacing w:after="0" w:line="255" w:lineRule="auto"/>
        <w:tabs>
          <w:tab w:leader="none" w:pos="265" w:val="left"/>
        </w:tabs>
        <w:numPr>
          <w:ilvl w:val="0"/>
          <w:numId w:val="3"/>
        </w:numPr>
        <w:rPr>
          <w:rFonts w:ascii="Arial" w:cs="Arial" w:eastAsia="Arial" w:hAnsi="Arial"/>
          <w:sz w:val="19"/>
          <w:szCs w:val="19"/>
          <w:color w:val="auto"/>
        </w:rPr>
      </w:pPr>
      <w:r>
        <w:rPr>
          <w:rFonts w:ascii="Arial" w:cs="Arial" w:eastAsia="Arial" w:hAnsi="Arial"/>
          <w:sz w:val="19"/>
          <w:szCs w:val="19"/>
          <w:color w:val="auto"/>
        </w:rPr>
        <w:t>34,621,962 (the number of shares of common stock outstanding as of October 31, 2018, as reported in the Issuer's Form 10-Q filed on November 7, 2018) and (b) 1,453,664 (the number of shares of common stock receivable upon conversion of convertible notes of the Issuer plus (c) 20,700 (the number of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6250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4" w:name="page5"/>
    <w:bookmarkEnd w:id="4"/>
    <w:p>
      <w:pPr>
        <w:ind w:left="6"/>
        <w:spacing w:after="0"/>
        <w:rPr>
          <w:sz w:val="20"/>
          <w:szCs w:val="20"/>
          <w:color w:val="auto"/>
        </w:rPr>
      </w:pPr>
      <w:r>
        <w:rPr>
          <w:rFonts w:ascii="Arial" w:cs="Arial" w:eastAsia="Arial" w:hAnsi="Arial"/>
          <w:sz w:val="19"/>
          <w:szCs w:val="19"/>
          <w:b w:val="1"/>
          <w:bCs w:val="1"/>
          <w:color w:val="auto"/>
        </w:rPr>
        <w:t>CUSIP No.: 55933J203</w:t>
      </w:r>
    </w:p>
    <w:p>
      <w:pPr>
        <w:spacing w:after="0" w:line="246" w:lineRule="exact"/>
        <w:rPr>
          <w:sz w:val="20"/>
          <w:szCs w:val="20"/>
          <w:color w:val="auto"/>
        </w:rPr>
      </w:pPr>
    </w:p>
    <w:tbl>
      <w:tblPr>
        <w:tblLayout w:type="fixed"/>
        <w:tblInd w:w="16" w:type="dxa"/>
        <w:tblCellMar>
          <w:top w:w="0" w:type="dxa"/>
          <w:left w:w="0" w:type="dxa"/>
          <w:bottom w:w="0" w:type="dxa"/>
          <w:right w:w="0" w:type="dxa"/>
        </w:tblCellMar>
      </w:tblPr>
      <w:tr>
        <w:trPr>
          <w:trHeight w:val="270"/>
        </w:trPr>
        <w:tc>
          <w:tcPr>
            <w:tcW w:w="1460" w:type="dxa"/>
            <w:vAlign w:val="bottom"/>
            <w:tcBorders>
              <w:top w:val="single" w:sz="8" w:color="auto"/>
              <w:left w:val="single" w:sz="8" w:color="auto"/>
              <w:right w:val="single" w:sz="8" w:color="auto"/>
            </w:tcBorders>
          </w:tcPr>
          <w:p>
            <w:pPr>
              <w:spacing w:after="0"/>
              <w:rPr>
                <w:sz w:val="23"/>
                <w:szCs w:val="23"/>
                <w:color w:val="auto"/>
              </w:rPr>
            </w:pPr>
          </w:p>
        </w:tc>
        <w:tc>
          <w:tcPr>
            <w:tcW w:w="10420" w:type="dxa"/>
            <w:vAlign w:val="bottom"/>
            <w:tcBorders>
              <w:top w:val="single" w:sz="8" w:color="auto"/>
            </w:tcBorders>
            <w:gridSpan w:val="5"/>
          </w:tcPr>
          <w:p>
            <w:pPr>
              <w:ind w:left="40"/>
              <w:spacing w:after="0"/>
              <w:rPr>
                <w:sz w:val="20"/>
                <w:szCs w:val="20"/>
                <w:color w:val="auto"/>
              </w:rPr>
            </w:pPr>
            <w:r>
              <w:rPr>
                <w:rFonts w:ascii="Arial" w:cs="Arial" w:eastAsia="Arial" w:hAnsi="Arial"/>
                <w:sz w:val="19"/>
                <w:szCs w:val="19"/>
                <w:b w:val="1"/>
                <w:bCs w:val="1"/>
                <w:color w:val="auto"/>
              </w:rPr>
              <w:t>NAME OF REPORTING PERSON</w:t>
            </w:r>
          </w:p>
        </w:tc>
        <w:tc>
          <w:tcPr>
            <w:tcW w:w="1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I.R.S. IDENTIFICATION NO. OF ABOVE PERSON (ENTITIES ONLY)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60" w:type="dxa"/>
            <w:vAlign w:val="bottom"/>
            <w:tcBorders>
              <w:left w:val="single" w:sz="8" w:color="auto"/>
              <w:right w:val="single" w:sz="8" w:color="auto"/>
            </w:tcBorders>
            <w:vMerge w:val="continue"/>
          </w:tcPr>
          <w:p>
            <w:pPr>
              <w:spacing w:after="0"/>
              <w:rPr>
                <w:sz w:val="20"/>
                <w:szCs w:val="20"/>
                <w:color w:val="auto"/>
              </w:rPr>
            </w:pPr>
          </w:p>
        </w:tc>
        <w:tc>
          <w:tcPr>
            <w:tcW w:w="10420" w:type="dxa"/>
            <w:vAlign w:val="bottom"/>
            <w:gridSpan w:val="5"/>
            <w:vMerge w:val="restart"/>
          </w:tcPr>
          <w:p>
            <w:pPr>
              <w:ind w:left="40"/>
              <w:spacing w:after="0"/>
              <w:rPr>
                <w:sz w:val="20"/>
                <w:szCs w:val="20"/>
                <w:color w:val="auto"/>
              </w:rPr>
            </w:pPr>
            <w:r>
              <w:rPr>
                <w:rFonts w:ascii="Arial" w:cs="Arial" w:eastAsia="Arial" w:hAnsi="Arial"/>
                <w:sz w:val="19"/>
                <w:szCs w:val="19"/>
                <w:color w:val="auto"/>
              </w:rPr>
              <w:t>Christopher L. Gust</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60" w:type="dxa"/>
            <w:vAlign w:val="bottom"/>
            <w:tcBorders>
              <w:left w:val="single" w:sz="8" w:color="auto"/>
              <w:right w:val="single" w:sz="8" w:color="auto"/>
            </w:tcBorders>
          </w:tcPr>
          <w:p>
            <w:pPr>
              <w:spacing w:after="0"/>
              <w:rPr>
                <w:sz w:val="17"/>
                <w:szCs w:val="17"/>
                <w:color w:val="auto"/>
              </w:rPr>
            </w:pPr>
          </w:p>
        </w:tc>
        <w:tc>
          <w:tcPr>
            <w:tcW w:w="10420" w:type="dxa"/>
            <w:vAlign w:val="bottom"/>
            <w:gridSpan w:val="5"/>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10300" w:type="dxa"/>
            <w:vAlign w:val="bottom"/>
            <w:tcBorders>
              <w:bottom w:val="single" w:sz="8" w:color="auto"/>
            </w:tcBorders>
            <w:gridSpan w:val="4"/>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THE APPROPRIATE BOX IF A MEMBER OF A GROUP</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tcPr>
          <w:p>
            <w:pPr>
              <w:ind w:left="40"/>
              <w:spacing w:after="0" w:line="219" w:lineRule="exact"/>
              <w:rPr>
                <w:sz w:val="20"/>
                <w:szCs w:val="20"/>
                <w:color w:val="auto"/>
              </w:rPr>
            </w:pPr>
            <w:r>
              <w:rPr>
                <w:rFonts w:ascii="Arial" w:cs="Arial" w:eastAsia="Arial" w:hAnsi="Arial"/>
                <w:sz w:val="19"/>
                <w:szCs w:val="19"/>
                <w:color w:val="auto"/>
              </w:rPr>
              <w:t>(a)</w:t>
            </w:r>
            <w:r>
              <w:rPr>
                <w:rFonts w:ascii="MS PGothic" w:cs="MS PGothic" w:eastAsia="MS PGothic" w:hAnsi="MS PGothic"/>
                <w:sz w:val="19"/>
                <w:szCs w:val="19"/>
                <w:color w:val="auto"/>
              </w:rPr>
              <w:t>☐</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40"/>
              <w:spacing w:after="0" w:line="219" w:lineRule="exact"/>
              <w:rPr>
                <w:sz w:val="20"/>
                <w:szCs w:val="20"/>
                <w:color w:val="auto"/>
              </w:rPr>
            </w:pPr>
            <w:r>
              <w:rPr>
                <w:rFonts w:ascii="Arial" w:cs="Arial" w:eastAsia="Arial" w:hAnsi="Arial"/>
                <w:sz w:val="19"/>
                <w:szCs w:val="19"/>
                <w:color w:val="auto"/>
              </w:rPr>
              <w:t>(b)</w:t>
            </w:r>
            <w:r>
              <w:rPr>
                <w:rFonts w:ascii="MS PGothic" w:cs="MS PGothic" w:eastAsia="MS PGothic" w:hAnsi="MS PGothic"/>
                <w:sz w:val="19"/>
                <w:szCs w:val="19"/>
                <w:color w:val="auto"/>
              </w:rPr>
              <w:t>☐</w:t>
            </w:r>
          </w:p>
        </w:tc>
        <w:tc>
          <w:tcPr>
            <w:tcW w:w="4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3</w:t>
            </w:r>
          </w:p>
        </w:tc>
        <w:tc>
          <w:tcPr>
            <w:tcW w:w="140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9"/>
                <w:szCs w:val="19"/>
                <w:b w:val="1"/>
                <w:bCs w:val="1"/>
                <w:color w:val="auto"/>
                <w:w w:val="93"/>
              </w:rPr>
              <w:t>SEC USE ONLY</w:t>
            </w:r>
          </w:p>
        </w:tc>
        <w:tc>
          <w:tcPr>
            <w:tcW w:w="8900" w:type="dxa"/>
            <w:vAlign w:val="bottom"/>
            <w:shd w:val="clear" w:color="auto" w:fill="BFBFBF"/>
          </w:tcPr>
          <w:p>
            <w:pPr>
              <w:spacing w:after="0"/>
              <w:rPr>
                <w:sz w:val="22"/>
                <w:szCs w:val="22"/>
                <w:color w:val="auto"/>
              </w:rPr>
            </w:pPr>
          </w:p>
        </w:tc>
        <w:tc>
          <w:tcPr>
            <w:tcW w:w="120" w:type="dxa"/>
            <w:vAlign w:val="bottom"/>
            <w:shd w:val="clear" w:color="auto" w:fill="BFBFBF"/>
          </w:tcPr>
          <w:p>
            <w:pPr>
              <w:spacing w:after="0"/>
              <w:rPr>
                <w:sz w:val="22"/>
                <w:szCs w:val="22"/>
                <w:color w:val="auto"/>
              </w:rPr>
            </w:pPr>
          </w:p>
        </w:tc>
        <w:tc>
          <w:tcPr>
            <w:tcW w:w="12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46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900" w:type="dxa"/>
            <w:vAlign w:val="bottom"/>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BFBFBF"/>
            </w:tcBorders>
            <w:shd w:val="clear" w:color="auto" w:fill="BFBFBF"/>
          </w:tcPr>
          <w:p>
            <w:pPr>
              <w:spacing w:after="0"/>
              <w:rPr>
                <w:sz w:val="24"/>
                <w:szCs w:val="24"/>
                <w:color w:val="auto"/>
              </w:rPr>
            </w:pPr>
          </w:p>
        </w:tc>
        <w:tc>
          <w:tcPr>
            <w:tcW w:w="22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890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4</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CITIZENSHIP OR PLACE OF ORGANIZATION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9"/>
                <w:szCs w:val="19"/>
                <w:color w:val="auto"/>
                <w:w w:val="95"/>
              </w:rPr>
              <w:t>US Citizen</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w w:val="94"/>
              </w:rPr>
              <w:t>5</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SOLE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w w:val="94"/>
              </w:rPr>
              <w:t>6</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22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8900" w:type="dxa"/>
            <w:vAlign w:val="bottom"/>
            <w:vMerge w:val="restart"/>
          </w:tcPr>
          <w:p>
            <w:pPr>
              <w:ind w:left="20"/>
              <w:spacing w:after="0"/>
              <w:rPr>
                <w:sz w:val="20"/>
                <w:szCs w:val="20"/>
                <w:color w:val="auto"/>
              </w:rPr>
            </w:pPr>
            <w:r>
              <w:rPr>
                <w:rFonts w:ascii="Arial" w:cs="Arial" w:eastAsia="Arial" w:hAnsi="Arial"/>
                <w:sz w:val="19"/>
                <w:szCs w:val="19"/>
                <w:color w:val="auto"/>
              </w:rPr>
              <w:t>1,493,524</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BENEFICIALLY</w:t>
            </w:r>
          </w:p>
        </w:tc>
        <w:tc>
          <w:tcPr>
            <w:tcW w:w="22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8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OWNED BY EACH</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8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902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220" w:type="dxa"/>
            <w:vAlign w:val="bottom"/>
          </w:tcPr>
          <w:p>
            <w:pPr>
              <w:spacing w:after="0"/>
              <w:rPr>
                <w:sz w:val="15"/>
                <w:szCs w:val="15"/>
                <w:color w:val="auto"/>
              </w:rPr>
            </w:pPr>
          </w:p>
        </w:tc>
        <w:tc>
          <w:tcPr>
            <w:tcW w:w="48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w w:val="94"/>
              </w:rPr>
              <w:t>7</w:t>
            </w:r>
          </w:p>
        </w:tc>
        <w:tc>
          <w:tcPr>
            <w:tcW w:w="9020" w:type="dxa"/>
            <w:vAlign w:val="bottom"/>
            <w:gridSpan w:val="2"/>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1460" w:type="dxa"/>
            <w:vAlign w:val="bottom"/>
            <w:tcBorders>
              <w:left w:val="single" w:sz="8" w:color="auto"/>
            </w:tcBorders>
          </w:tcPr>
          <w:p>
            <w:pPr>
              <w:jc w:val="center"/>
              <w:ind w:left="538"/>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w w:val="94"/>
              </w:rPr>
              <w:t>8</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9"/>
                <w:szCs w:val="19"/>
                <w:color w:val="auto"/>
              </w:rPr>
              <w:t>1,493,524</w:t>
            </w: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9</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9"/>
                <w:szCs w:val="19"/>
                <w:color w:val="auto"/>
              </w:rPr>
              <w:t>1,493,524</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10</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BOX IF THE AGGREGATE AMOUNT IN ROW (9) EXCLUDES CERTAIN SHARES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40"/>
              <w:spacing w:after="0" w:line="191" w:lineRule="exact"/>
              <w:rPr>
                <w:sz w:val="20"/>
                <w:szCs w:val="20"/>
                <w:color w:val="auto"/>
              </w:rPr>
            </w:pPr>
            <w:r>
              <w:rPr>
                <w:rFonts w:ascii="MS PGothic" w:cs="MS PGothic" w:eastAsia="MS PGothic" w:hAnsi="MS PGothic"/>
                <w:sz w:val="19"/>
                <w:szCs w:val="19"/>
                <w:color w:val="auto"/>
              </w:rPr>
              <w:t>☐</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8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spacing w:after="0"/>
              <w:rPr>
                <w:sz w:val="13"/>
                <w:szCs w:val="13"/>
                <w:color w:val="auto"/>
              </w:rPr>
            </w:pPr>
          </w:p>
        </w:tc>
        <w:tc>
          <w:tcPr>
            <w:tcW w:w="8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10420" w:type="dxa"/>
            <w:vAlign w:val="bottom"/>
            <w:gridSpan w:val="5"/>
          </w:tcPr>
          <w:p>
            <w:pPr>
              <w:ind w:left="40"/>
              <w:spacing w:after="0"/>
              <w:rPr>
                <w:sz w:val="20"/>
                <w:szCs w:val="20"/>
                <w:color w:val="auto"/>
              </w:rPr>
            </w:pPr>
            <w:r>
              <w:rPr>
                <w:rFonts w:ascii="Arial" w:cs="Arial" w:eastAsia="Arial" w:hAnsi="Arial"/>
                <w:sz w:val="19"/>
                <w:szCs w:val="19"/>
                <w:color w:val="auto"/>
              </w:rPr>
              <w:t>4.1%*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TYPE OF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9"/>
                <w:szCs w:val="19"/>
                <w:color w:val="auto"/>
              </w:rPr>
              <w:t>IN/HC</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 w:right="80"/>
        <w:spacing w:after="0" w:line="288" w:lineRule="auto"/>
        <w:rPr>
          <w:sz w:val="20"/>
          <w:szCs w:val="20"/>
          <w:color w:val="auto"/>
        </w:rPr>
      </w:pPr>
      <w:r>
        <w:rPr>
          <w:rFonts w:ascii="Arial" w:cs="Arial" w:eastAsia="Arial" w:hAnsi="Arial"/>
          <w:sz w:val="17"/>
          <w:szCs w:val="17"/>
          <w:color w:val="auto"/>
        </w:rPr>
        <w:t>*Percentage calculated by dividing (i) the sum of (a) 19,160 shares of common stock of the Issuer plus (b) 20,700 shares of common stock receivable upon exercise of options of the Issuer plus (c) 1,453,664 shares of common stock receivable upon conversion of convertible notes of the Issuer plus (ii) the sum of</w:t>
      </w:r>
    </w:p>
    <w:p>
      <w:pPr>
        <w:jc w:val="both"/>
        <w:ind w:left="6" w:right="20" w:hanging="6"/>
        <w:spacing w:after="0" w:line="255" w:lineRule="auto"/>
        <w:tabs>
          <w:tab w:leader="none" w:pos="265" w:val="left"/>
        </w:tabs>
        <w:numPr>
          <w:ilvl w:val="0"/>
          <w:numId w:val="4"/>
        </w:numPr>
        <w:rPr>
          <w:rFonts w:ascii="Arial" w:cs="Arial" w:eastAsia="Arial" w:hAnsi="Arial"/>
          <w:sz w:val="19"/>
          <w:szCs w:val="19"/>
          <w:color w:val="auto"/>
        </w:rPr>
      </w:pPr>
      <w:r>
        <w:rPr>
          <w:rFonts w:ascii="Arial" w:cs="Arial" w:eastAsia="Arial" w:hAnsi="Arial"/>
          <w:sz w:val="19"/>
          <w:szCs w:val="19"/>
          <w:color w:val="auto"/>
        </w:rPr>
        <w:t>34,621,962 (the number of shares of common stock outstanding as of October 31, 2018, as reported in the Issuer's Form 10-Q filed on November 7, 2018) and (b) 1,453,664 (the number of shares of common stock receivable upon conversion of convertible notes of the Issuer plus (c) 20,700 (the number of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62508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5" w:name="page6"/>
    <w:bookmarkEnd w:id="5"/>
    <w:p>
      <w:pPr>
        <w:ind w:left="6"/>
        <w:spacing w:after="0"/>
        <w:rPr>
          <w:sz w:val="20"/>
          <w:szCs w:val="20"/>
          <w:color w:val="auto"/>
        </w:rPr>
      </w:pPr>
      <w:r>
        <w:rPr>
          <w:rFonts w:ascii="Arial" w:cs="Arial" w:eastAsia="Arial" w:hAnsi="Arial"/>
          <w:sz w:val="19"/>
          <w:szCs w:val="19"/>
          <w:b w:val="1"/>
          <w:bCs w:val="1"/>
          <w:color w:val="auto"/>
        </w:rPr>
        <w:t>CUSIP No.: 55933J203</w:t>
      </w:r>
    </w:p>
    <w:p>
      <w:pPr>
        <w:spacing w:after="0" w:line="246" w:lineRule="exact"/>
        <w:rPr>
          <w:sz w:val="20"/>
          <w:szCs w:val="20"/>
          <w:color w:val="auto"/>
        </w:rPr>
      </w:pPr>
    </w:p>
    <w:tbl>
      <w:tblPr>
        <w:tblLayout w:type="fixed"/>
        <w:tblInd w:w="16" w:type="dxa"/>
        <w:tblCellMar>
          <w:top w:w="0" w:type="dxa"/>
          <w:left w:w="0" w:type="dxa"/>
          <w:bottom w:w="0" w:type="dxa"/>
          <w:right w:w="0" w:type="dxa"/>
        </w:tblCellMar>
      </w:tblPr>
      <w:tr>
        <w:trPr>
          <w:trHeight w:val="270"/>
        </w:trPr>
        <w:tc>
          <w:tcPr>
            <w:tcW w:w="1460" w:type="dxa"/>
            <w:vAlign w:val="bottom"/>
            <w:tcBorders>
              <w:top w:val="single" w:sz="8" w:color="auto"/>
              <w:left w:val="single" w:sz="8" w:color="auto"/>
              <w:right w:val="single" w:sz="8" w:color="auto"/>
            </w:tcBorders>
          </w:tcPr>
          <w:p>
            <w:pPr>
              <w:spacing w:after="0"/>
              <w:rPr>
                <w:sz w:val="23"/>
                <w:szCs w:val="23"/>
                <w:color w:val="auto"/>
              </w:rPr>
            </w:pPr>
          </w:p>
        </w:tc>
        <w:tc>
          <w:tcPr>
            <w:tcW w:w="10420" w:type="dxa"/>
            <w:vAlign w:val="bottom"/>
            <w:tcBorders>
              <w:top w:val="single" w:sz="8" w:color="auto"/>
            </w:tcBorders>
            <w:gridSpan w:val="5"/>
          </w:tcPr>
          <w:p>
            <w:pPr>
              <w:ind w:left="40"/>
              <w:spacing w:after="0"/>
              <w:rPr>
                <w:sz w:val="20"/>
                <w:szCs w:val="20"/>
                <w:color w:val="auto"/>
              </w:rPr>
            </w:pPr>
            <w:r>
              <w:rPr>
                <w:rFonts w:ascii="Arial" w:cs="Arial" w:eastAsia="Arial" w:hAnsi="Arial"/>
                <w:sz w:val="19"/>
                <w:szCs w:val="19"/>
                <w:b w:val="1"/>
                <w:bCs w:val="1"/>
                <w:color w:val="auto"/>
              </w:rPr>
              <w:t>NAME OF REPORTING PERSON</w:t>
            </w:r>
          </w:p>
        </w:tc>
        <w:tc>
          <w:tcPr>
            <w:tcW w:w="1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I.R.S. IDENTIFICATION NO. OF ABOVE PERSON (ENTITIES ONLY)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60" w:type="dxa"/>
            <w:vAlign w:val="bottom"/>
            <w:tcBorders>
              <w:left w:val="single" w:sz="8" w:color="auto"/>
              <w:right w:val="single" w:sz="8" w:color="auto"/>
            </w:tcBorders>
            <w:vMerge w:val="continue"/>
          </w:tcPr>
          <w:p>
            <w:pPr>
              <w:spacing w:after="0"/>
              <w:rPr>
                <w:sz w:val="20"/>
                <w:szCs w:val="2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9"/>
                <w:szCs w:val="19"/>
                <w:color w:val="auto"/>
                <w:w w:val="93"/>
              </w:rPr>
              <w:t>Robert R. Bellick</w:t>
            </w:r>
          </w:p>
        </w:tc>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60" w:type="dxa"/>
            <w:vAlign w:val="bottom"/>
            <w:tcBorders>
              <w:left w:val="single" w:sz="8" w:color="auto"/>
              <w:right w:val="single" w:sz="8" w:color="auto"/>
            </w:tcBorders>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8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10300" w:type="dxa"/>
            <w:vAlign w:val="bottom"/>
            <w:tcBorders>
              <w:bottom w:val="single" w:sz="8" w:color="auto"/>
            </w:tcBorders>
            <w:gridSpan w:val="4"/>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THE APPROPRIATE BOX IF A MEMBER OF A GROUP</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tcPr>
          <w:p>
            <w:pPr>
              <w:ind w:left="40"/>
              <w:spacing w:after="0" w:line="219" w:lineRule="exact"/>
              <w:rPr>
                <w:sz w:val="20"/>
                <w:szCs w:val="20"/>
                <w:color w:val="auto"/>
              </w:rPr>
            </w:pPr>
            <w:r>
              <w:rPr>
                <w:rFonts w:ascii="Arial" w:cs="Arial" w:eastAsia="Arial" w:hAnsi="Arial"/>
                <w:sz w:val="19"/>
                <w:szCs w:val="19"/>
                <w:color w:val="auto"/>
              </w:rPr>
              <w:t>(a)</w:t>
            </w:r>
            <w:r>
              <w:rPr>
                <w:rFonts w:ascii="MS PGothic" w:cs="MS PGothic" w:eastAsia="MS PGothic" w:hAnsi="MS PGothic"/>
                <w:sz w:val="19"/>
                <w:szCs w:val="19"/>
                <w:color w:val="auto"/>
              </w:rPr>
              <w:t>☐</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40"/>
              <w:spacing w:after="0" w:line="219" w:lineRule="exact"/>
              <w:rPr>
                <w:sz w:val="20"/>
                <w:szCs w:val="20"/>
                <w:color w:val="auto"/>
              </w:rPr>
            </w:pPr>
            <w:r>
              <w:rPr>
                <w:rFonts w:ascii="Arial" w:cs="Arial" w:eastAsia="Arial" w:hAnsi="Arial"/>
                <w:sz w:val="19"/>
                <w:szCs w:val="19"/>
                <w:color w:val="auto"/>
              </w:rPr>
              <w:t>(b)</w:t>
            </w:r>
            <w:r>
              <w:rPr>
                <w:rFonts w:ascii="MS PGothic" w:cs="MS PGothic" w:eastAsia="MS PGothic" w:hAnsi="MS PGothic"/>
                <w:sz w:val="19"/>
                <w:szCs w:val="19"/>
                <w:color w:val="auto"/>
              </w:rPr>
              <w:t>☐</w:t>
            </w:r>
          </w:p>
        </w:tc>
        <w:tc>
          <w:tcPr>
            <w:tcW w:w="4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3</w:t>
            </w:r>
          </w:p>
        </w:tc>
        <w:tc>
          <w:tcPr>
            <w:tcW w:w="140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9"/>
                <w:szCs w:val="19"/>
                <w:b w:val="1"/>
                <w:bCs w:val="1"/>
                <w:color w:val="auto"/>
                <w:w w:val="93"/>
              </w:rPr>
              <w:t>SEC USE ONLY</w:t>
            </w:r>
          </w:p>
        </w:tc>
        <w:tc>
          <w:tcPr>
            <w:tcW w:w="8900" w:type="dxa"/>
            <w:vAlign w:val="bottom"/>
            <w:shd w:val="clear" w:color="auto" w:fill="BFBFBF"/>
          </w:tcPr>
          <w:p>
            <w:pPr>
              <w:spacing w:after="0"/>
              <w:rPr>
                <w:sz w:val="22"/>
                <w:szCs w:val="22"/>
                <w:color w:val="auto"/>
              </w:rPr>
            </w:pPr>
          </w:p>
        </w:tc>
        <w:tc>
          <w:tcPr>
            <w:tcW w:w="120" w:type="dxa"/>
            <w:vAlign w:val="bottom"/>
            <w:shd w:val="clear" w:color="auto" w:fill="BFBFBF"/>
          </w:tcPr>
          <w:p>
            <w:pPr>
              <w:spacing w:after="0"/>
              <w:rPr>
                <w:sz w:val="22"/>
                <w:szCs w:val="22"/>
                <w:color w:val="auto"/>
              </w:rPr>
            </w:pPr>
          </w:p>
        </w:tc>
        <w:tc>
          <w:tcPr>
            <w:tcW w:w="12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46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900" w:type="dxa"/>
            <w:vAlign w:val="bottom"/>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BFBFBF"/>
            </w:tcBorders>
            <w:shd w:val="clear" w:color="auto" w:fill="BFBFBF"/>
          </w:tcPr>
          <w:p>
            <w:pPr>
              <w:spacing w:after="0"/>
              <w:rPr>
                <w:sz w:val="24"/>
                <w:szCs w:val="24"/>
                <w:color w:val="auto"/>
              </w:rPr>
            </w:pPr>
          </w:p>
        </w:tc>
        <w:tc>
          <w:tcPr>
            <w:tcW w:w="22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890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tcBorders>
            <w:shd w:val="clear" w:color="auto" w:fill="BFBFBF"/>
          </w:tcPr>
          <w:p>
            <w:pPr>
              <w:spacing w:after="0"/>
              <w:rPr>
                <w:sz w:val="24"/>
                <w:szCs w:val="24"/>
                <w:color w:val="auto"/>
              </w:rPr>
            </w:pPr>
          </w:p>
        </w:tc>
        <w:tc>
          <w:tcPr>
            <w:tcW w:w="1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4</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CITIZENSHIP OR PLACE OF ORGANIZATION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9"/>
                <w:szCs w:val="19"/>
                <w:color w:val="auto"/>
                <w:w w:val="95"/>
              </w:rPr>
              <w:t>US Citizen</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w w:val="94"/>
              </w:rPr>
              <w:t>5</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SOLE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w w:val="94"/>
              </w:rPr>
              <w:t>6</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22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8900" w:type="dxa"/>
            <w:vAlign w:val="bottom"/>
            <w:vMerge w:val="restart"/>
          </w:tcPr>
          <w:p>
            <w:pPr>
              <w:ind w:left="20"/>
              <w:spacing w:after="0"/>
              <w:rPr>
                <w:sz w:val="20"/>
                <w:szCs w:val="20"/>
                <w:color w:val="auto"/>
              </w:rPr>
            </w:pPr>
            <w:r>
              <w:rPr>
                <w:rFonts w:ascii="Arial" w:cs="Arial" w:eastAsia="Arial" w:hAnsi="Arial"/>
                <w:sz w:val="19"/>
                <w:szCs w:val="19"/>
                <w:color w:val="auto"/>
              </w:rPr>
              <w:t>1,493,524</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BENEFICIALLY</w:t>
            </w:r>
          </w:p>
        </w:tc>
        <w:tc>
          <w:tcPr>
            <w:tcW w:w="22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8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OWNED BY EACH</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8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902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220" w:type="dxa"/>
            <w:vAlign w:val="bottom"/>
          </w:tcPr>
          <w:p>
            <w:pPr>
              <w:spacing w:after="0"/>
              <w:rPr>
                <w:sz w:val="15"/>
                <w:szCs w:val="15"/>
                <w:color w:val="auto"/>
              </w:rPr>
            </w:pPr>
          </w:p>
        </w:tc>
        <w:tc>
          <w:tcPr>
            <w:tcW w:w="48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w w:val="94"/>
              </w:rPr>
              <w:t>7</w:t>
            </w:r>
          </w:p>
        </w:tc>
        <w:tc>
          <w:tcPr>
            <w:tcW w:w="9020" w:type="dxa"/>
            <w:vAlign w:val="bottom"/>
            <w:gridSpan w:val="2"/>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1460" w:type="dxa"/>
            <w:vAlign w:val="bottom"/>
            <w:tcBorders>
              <w:left w:val="single" w:sz="8" w:color="auto"/>
            </w:tcBorders>
          </w:tcPr>
          <w:p>
            <w:pPr>
              <w:jc w:val="center"/>
              <w:ind w:left="538"/>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6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w w:val="94"/>
              </w:rPr>
              <w:t>8</w:t>
            </w:r>
          </w:p>
        </w:tc>
        <w:tc>
          <w:tcPr>
            <w:tcW w:w="9020" w:type="dxa"/>
            <w:vAlign w:val="bottom"/>
            <w:gridSpan w:val="2"/>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9"/>
                <w:szCs w:val="19"/>
                <w:color w:val="auto"/>
              </w:rPr>
              <w:t>1,493,524</w:t>
            </w: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9</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9"/>
                <w:szCs w:val="19"/>
                <w:color w:val="auto"/>
              </w:rPr>
              <w:t>1,493,524</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10</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CHECK BOX IF THE AGGREGATE AMOUNT IN ROW (9) EXCLUDES CERTAIN SHARES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40"/>
              <w:spacing w:after="0" w:line="191" w:lineRule="exact"/>
              <w:rPr>
                <w:sz w:val="20"/>
                <w:szCs w:val="20"/>
                <w:color w:val="auto"/>
              </w:rPr>
            </w:pPr>
            <w:r>
              <w:rPr>
                <w:rFonts w:ascii="MS PGothic" w:cs="MS PGothic" w:eastAsia="MS PGothic" w:hAnsi="MS PGothic"/>
                <w:sz w:val="19"/>
                <w:szCs w:val="19"/>
                <w:color w:val="auto"/>
              </w:rPr>
              <w:t>☐</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8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spacing w:after="0"/>
              <w:rPr>
                <w:sz w:val="13"/>
                <w:szCs w:val="13"/>
                <w:color w:val="auto"/>
              </w:rPr>
            </w:pPr>
          </w:p>
        </w:tc>
        <w:tc>
          <w:tcPr>
            <w:tcW w:w="8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11</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10420" w:type="dxa"/>
            <w:vAlign w:val="bottom"/>
            <w:gridSpan w:val="5"/>
          </w:tcPr>
          <w:p>
            <w:pPr>
              <w:ind w:left="40"/>
              <w:spacing w:after="0"/>
              <w:rPr>
                <w:sz w:val="20"/>
                <w:szCs w:val="20"/>
                <w:color w:val="auto"/>
              </w:rPr>
            </w:pPr>
            <w:r>
              <w:rPr>
                <w:rFonts w:ascii="Arial" w:cs="Arial" w:eastAsia="Arial" w:hAnsi="Arial"/>
                <w:sz w:val="19"/>
                <w:szCs w:val="19"/>
                <w:color w:val="auto"/>
              </w:rPr>
              <w:t>4.1%*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12</w:t>
            </w:r>
          </w:p>
        </w:tc>
        <w:tc>
          <w:tcPr>
            <w:tcW w:w="10420" w:type="dxa"/>
            <w:vAlign w:val="bottom"/>
            <w:gridSpan w:val="5"/>
          </w:tcPr>
          <w:p>
            <w:pPr>
              <w:ind w:left="40"/>
              <w:spacing w:after="0"/>
              <w:rPr>
                <w:sz w:val="20"/>
                <w:szCs w:val="20"/>
                <w:color w:val="auto"/>
              </w:rPr>
            </w:pPr>
            <w:r>
              <w:rPr>
                <w:rFonts w:ascii="Arial" w:cs="Arial" w:eastAsia="Arial" w:hAnsi="Arial"/>
                <w:sz w:val="19"/>
                <w:szCs w:val="19"/>
                <w:b w:val="1"/>
                <w:bCs w:val="1"/>
                <w:color w:val="auto"/>
              </w:rPr>
              <w:t>TYPE OF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9"/>
                <w:szCs w:val="19"/>
                <w:color w:val="auto"/>
              </w:rPr>
              <w:t>IN/HC</w:t>
            </w:r>
          </w:p>
        </w:tc>
        <w:tc>
          <w:tcPr>
            <w:tcW w:w="4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 w:right="80"/>
        <w:spacing w:after="0" w:line="288" w:lineRule="auto"/>
        <w:rPr>
          <w:sz w:val="20"/>
          <w:szCs w:val="20"/>
          <w:color w:val="auto"/>
        </w:rPr>
      </w:pPr>
      <w:r>
        <w:rPr>
          <w:rFonts w:ascii="Arial" w:cs="Arial" w:eastAsia="Arial" w:hAnsi="Arial"/>
          <w:sz w:val="17"/>
          <w:szCs w:val="17"/>
          <w:color w:val="auto"/>
        </w:rPr>
        <w:t>*Percentage calculated by dividing (i) the sum of (a) 19,160 shares of common stock of the Issuer plus (b) 20,700 shares of common stock receivable upon exercise of options of the Issuer plus (c) 1,453,664 shares of common stock receivable upon conversion of convertible notes of the Issuer plus (ii) the sum of</w:t>
      </w:r>
    </w:p>
    <w:p>
      <w:pPr>
        <w:jc w:val="both"/>
        <w:ind w:left="6" w:right="20" w:hanging="6"/>
        <w:spacing w:after="0" w:line="255" w:lineRule="auto"/>
        <w:tabs>
          <w:tab w:leader="none" w:pos="265" w:val="left"/>
        </w:tabs>
        <w:numPr>
          <w:ilvl w:val="0"/>
          <w:numId w:val="5"/>
        </w:numPr>
        <w:rPr>
          <w:rFonts w:ascii="Arial" w:cs="Arial" w:eastAsia="Arial" w:hAnsi="Arial"/>
          <w:sz w:val="19"/>
          <w:szCs w:val="19"/>
          <w:color w:val="auto"/>
        </w:rPr>
      </w:pPr>
      <w:r>
        <w:rPr>
          <w:rFonts w:ascii="Arial" w:cs="Arial" w:eastAsia="Arial" w:hAnsi="Arial"/>
          <w:sz w:val="19"/>
          <w:szCs w:val="19"/>
          <w:color w:val="auto"/>
        </w:rPr>
        <w:t>34,621,962 (the number of shares of common stock outstanding as of October 31, 2018, as reported in the Issuer's Form 10-Q filed on November 7, 2018) and (b) 1,453,664 (the number of shares of common stock receivable upon conversion of convertible notes of the Issuer plus (c) 20,700 (the number of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625080"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6" w:name="page7"/>
    <w:bookmarkEnd w:id="6"/>
    <w:p>
      <w:pPr>
        <w:ind w:left="6"/>
        <w:spacing w:after="0"/>
        <w:rPr>
          <w:sz w:val="20"/>
          <w:szCs w:val="20"/>
          <w:color w:val="auto"/>
        </w:rPr>
      </w:pPr>
      <w:r>
        <w:rPr>
          <w:rFonts w:ascii="Arial" w:cs="Arial" w:eastAsia="Arial" w:hAnsi="Arial"/>
          <w:sz w:val="19"/>
          <w:szCs w:val="19"/>
          <w:b w:val="1"/>
          <w:bCs w:val="1"/>
          <w:color w:val="auto"/>
        </w:rPr>
        <w:t>CUSIP No.: 55933J203</w:t>
      </w:r>
    </w:p>
    <w:p>
      <w:pPr>
        <w:spacing w:after="0" w:line="246"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8"/>
          <w:szCs w:val="18"/>
          <w:b w:val="1"/>
          <w:bCs w:val="1"/>
          <w:color w:val="auto"/>
        </w:rPr>
        <w:t>NAME OF ISSUER:</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Magnachip Semiconductor Corp.</w:t>
      </w:r>
    </w:p>
    <w:p>
      <w:pPr>
        <w:spacing w:after="0" w:line="266"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color w:val="auto"/>
        </w:rPr>
        <w:t>ITEM 1(b).</w:t>
      </w:r>
      <w:r>
        <w:rPr>
          <w:sz w:val="20"/>
          <w:szCs w:val="20"/>
          <w:color w:val="auto"/>
        </w:rPr>
        <w:tab/>
      </w:r>
      <w:r>
        <w:rPr>
          <w:rFonts w:ascii="Arial" w:cs="Arial" w:eastAsia="Arial" w:hAnsi="Arial"/>
          <w:sz w:val="18"/>
          <w:szCs w:val="18"/>
          <w:color w:val="auto"/>
        </w:rPr>
        <w:t>ADDRESS OF ISSUER'S PRINCIPAL EXECUTIVE OFFICES:</w:t>
      </w:r>
    </w:p>
    <w:p>
      <w:pPr>
        <w:spacing w:after="0" w:line="266" w:lineRule="exact"/>
        <w:rPr>
          <w:sz w:val="20"/>
          <w:szCs w:val="20"/>
          <w:color w:val="auto"/>
        </w:rPr>
      </w:pPr>
    </w:p>
    <w:p>
      <w:pPr>
        <w:ind w:left="6"/>
        <w:spacing w:after="0"/>
        <w:rPr>
          <w:sz w:val="20"/>
          <w:szCs w:val="20"/>
          <w:color w:val="auto"/>
        </w:rPr>
      </w:pPr>
      <w:r>
        <w:rPr>
          <w:rFonts w:ascii="Arial" w:cs="Arial" w:eastAsia="Arial" w:hAnsi="Arial"/>
          <w:sz w:val="19"/>
          <w:szCs w:val="19"/>
          <w:color w:val="auto"/>
        </w:rPr>
        <w:t>c/o MagnaChip Semiconductor S.A.</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1, Allee Scheffer, L-2520</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Luxembourg, Grand Duchy of Luxembourg</w:t>
      </w:r>
    </w:p>
    <w:p>
      <w:pPr>
        <w:spacing w:after="0" w:line="253"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color w:val="auto"/>
        </w:rPr>
        <w:t>ITEM 2(a).</w:t>
      </w:r>
      <w:r>
        <w:rPr>
          <w:sz w:val="20"/>
          <w:szCs w:val="20"/>
          <w:color w:val="auto"/>
        </w:rPr>
        <w:tab/>
      </w:r>
      <w:r>
        <w:rPr>
          <w:rFonts w:ascii="Arial" w:cs="Arial" w:eastAsia="Arial" w:hAnsi="Arial"/>
          <w:sz w:val="18"/>
          <w:szCs w:val="18"/>
          <w:color w:val="auto"/>
        </w:rPr>
        <w:t>NAME OF PERSON FILING:</w:t>
      </w:r>
    </w:p>
    <w:p>
      <w:pPr>
        <w:spacing w:after="0" w:line="266" w:lineRule="exact"/>
        <w:rPr>
          <w:sz w:val="20"/>
          <w:szCs w:val="20"/>
          <w:color w:val="auto"/>
        </w:rPr>
      </w:pPr>
    </w:p>
    <w:p>
      <w:pPr>
        <w:ind w:left="6"/>
        <w:spacing w:after="0"/>
        <w:rPr>
          <w:sz w:val="20"/>
          <w:szCs w:val="20"/>
          <w:color w:val="auto"/>
        </w:rPr>
      </w:pPr>
      <w:r>
        <w:rPr>
          <w:rFonts w:ascii="Arial" w:cs="Arial" w:eastAsia="Arial" w:hAnsi="Arial"/>
          <w:sz w:val="19"/>
          <w:szCs w:val="19"/>
          <w:color w:val="auto"/>
        </w:rPr>
        <w:t>Wolverine Asset Management, LLC</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Wolverine Holdings, L.P.</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Wolverine Trading Partners, Inc.</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Christopher L. Gust</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Robert R. Bellick</w:t>
      </w:r>
    </w:p>
    <w:p>
      <w:pPr>
        <w:spacing w:after="0" w:line="253"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color w:val="auto"/>
        </w:rPr>
        <w:t>ITEM 2(b).</w:t>
      </w:r>
      <w:r>
        <w:rPr>
          <w:sz w:val="20"/>
          <w:szCs w:val="20"/>
          <w:color w:val="auto"/>
        </w:rPr>
        <w:tab/>
      </w:r>
      <w:r>
        <w:rPr>
          <w:rFonts w:ascii="Arial" w:cs="Arial" w:eastAsia="Arial" w:hAnsi="Arial"/>
          <w:sz w:val="17"/>
          <w:szCs w:val="17"/>
          <w:color w:val="auto"/>
        </w:rPr>
        <w:t>ADDRESS OF PRINCIPAL BUSINESS OFFICE OR, IF NONE, RESIDENCE:</w:t>
      </w:r>
    </w:p>
    <w:p>
      <w:pPr>
        <w:spacing w:after="0" w:line="266" w:lineRule="exact"/>
        <w:rPr>
          <w:sz w:val="20"/>
          <w:szCs w:val="20"/>
          <w:color w:val="auto"/>
        </w:rPr>
      </w:pPr>
    </w:p>
    <w:p>
      <w:pPr>
        <w:ind w:left="6"/>
        <w:spacing w:after="0"/>
        <w:rPr>
          <w:sz w:val="20"/>
          <w:szCs w:val="20"/>
          <w:color w:val="auto"/>
        </w:rPr>
      </w:pPr>
      <w:r>
        <w:rPr>
          <w:rFonts w:ascii="Arial" w:cs="Arial" w:eastAsia="Arial" w:hAnsi="Arial"/>
          <w:sz w:val="19"/>
          <w:szCs w:val="19"/>
          <w:color w:val="auto"/>
        </w:rPr>
        <w:t>c/o Wolverine Asset Management, LLC</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175 West Jackson Blvd., Suite 340</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Chicago, IL 60604</w:t>
      </w:r>
    </w:p>
    <w:p>
      <w:pPr>
        <w:spacing w:after="0" w:line="247"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b w:val="1"/>
          <w:bCs w:val="1"/>
          <w:color w:val="auto"/>
        </w:rPr>
        <w:t>ITEM 2(c).</w:t>
      </w:r>
      <w:r>
        <w:rPr>
          <w:sz w:val="20"/>
          <w:szCs w:val="20"/>
          <w:color w:val="auto"/>
        </w:rPr>
        <w:tab/>
      </w:r>
      <w:r>
        <w:rPr>
          <w:rFonts w:ascii="Arial" w:cs="Arial" w:eastAsia="Arial" w:hAnsi="Arial"/>
          <w:sz w:val="18"/>
          <w:szCs w:val="18"/>
          <w:color w:val="auto"/>
        </w:rPr>
        <w:t>CITIZENSHIP:</w:t>
      </w:r>
    </w:p>
    <w:p>
      <w:pPr>
        <w:spacing w:after="0" w:line="272" w:lineRule="exact"/>
        <w:rPr>
          <w:sz w:val="20"/>
          <w:szCs w:val="20"/>
          <w:color w:val="auto"/>
        </w:rPr>
      </w:pPr>
    </w:p>
    <w:p>
      <w:pPr>
        <w:ind w:left="6"/>
        <w:spacing w:after="0"/>
        <w:rPr>
          <w:sz w:val="20"/>
          <w:szCs w:val="20"/>
          <w:color w:val="auto"/>
        </w:rPr>
      </w:pPr>
      <w:r>
        <w:rPr>
          <w:rFonts w:ascii="Arial" w:cs="Arial" w:eastAsia="Arial" w:hAnsi="Arial"/>
          <w:sz w:val="19"/>
          <w:szCs w:val="19"/>
          <w:color w:val="auto"/>
        </w:rPr>
        <w:t>Wolverine Asset Management, LLC – Illinois</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Wolverine Holdings, L.P. – Illinois</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Wolverine Trading Partners, Inc. – Illinois</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Christopher L. Gust – US Citizen</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Robert R. Bellick – US Citizen</w:t>
      </w:r>
    </w:p>
    <w:p>
      <w:pPr>
        <w:spacing w:after="0" w:line="253"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color w:val="auto"/>
        </w:rPr>
        <w:t>ITEM 2(d).</w:t>
      </w:r>
      <w:r>
        <w:rPr>
          <w:sz w:val="20"/>
          <w:szCs w:val="20"/>
          <w:color w:val="auto"/>
        </w:rPr>
        <w:tab/>
      </w:r>
      <w:r>
        <w:rPr>
          <w:rFonts w:ascii="Arial" w:cs="Arial" w:eastAsia="Arial" w:hAnsi="Arial"/>
          <w:sz w:val="18"/>
          <w:szCs w:val="18"/>
          <w:color w:val="auto"/>
        </w:rPr>
        <w:t>TITLE OF CLASS OF SECURITIES:</w:t>
      </w:r>
    </w:p>
    <w:p>
      <w:pPr>
        <w:spacing w:after="0" w:line="266" w:lineRule="exact"/>
        <w:rPr>
          <w:sz w:val="20"/>
          <w:szCs w:val="20"/>
          <w:color w:val="auto"/>
        </w:rPr>
      </w:pPr>
    </w:p>
    <w:p>
      <w:pPr>
        <w:ind w:left="6"/>
        <w:spacing w:after="0"/>
        <w:rPr>
          <w:sz w:val="20"/>
          <w:szCs w:val="20"/>
          <w:color w:val="auto"/>
        </w:rPr>
      </w:pPr>
      <w:r>
        <w:rPr>
          <w:rFonts w:ascii="Arial" w:cs="Arial" w:eastAsia="Arial" w:hAnsi="Arial"/>
          <w:sz w:val="19"/>
          <w:szCs w:val="19"/>
          <w:color w:val="auto"/>
        </w:rPr>
        <w:t>Common stock, par value $0.001 per share</w:t>
      </w:r>
    </w:p>
    <w:p>
      <w:pPr>
        <w:spacing w:after="0" w:line="266"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color w:val="auto"/>
        </w:rPr>
        <w:t>ITEM 2(e).</w:t>
      </w:r>
      <w:r>
        <w:rPr>
          <w:sz w:val="20"/>
          <w:szCs w:val="20"/>
          <w:color w:val="auto"/>
        </w:rPr>
        <w:tab/>
      </w:r>
      <w:r>
        <w:rPr>
          <w:rFonts w:ascii="Arial" w:cs="Arial" w:eastAsia="Arial" w:hAnsi="Arial"/>
          <w:sz w:val="18"/>
          <w:szCs w:val="18"/>
          <w:color w:val="auto"/>
        </w:rPr>
        <w:t>CUSIP NUMBER:</w:t>
      </w:r>
    </w:p>
    <w:p>
      <w:pPr>
        <w:spacing w:after="0" w:line="266" w:lineRule="exact"/>
        <w:rPr>
          <w:sz w:val="20"/>
          <w:szCs w:val="20"/>
          <w:color w:val="auto"/>
        </w:rPr>
      </w:pPr>
    </w:p>
    <w:p>
      <w:pPr>
        <w:ind w:left="1106"/>
        <w:spacing w:after="0"/>
        <w:rPr>
          <w:sz w:val="20"/>
          <w:szCs w:val="20"/>
          <w:color w:val="auto"/>
        </w:rPr>
      </w:pPr>
      <w:r>
        <w:rPr>
          <w:rFonts w:ascii="Arial" w:cs="Arial" w:eastAsia="Arial" w:hAnsi="Arial"/>
          <w:sz w:val="19"/>
          <w:szCs w:val="19"/>
          <w:color w:val="auto"/>
        </w:rPr>
        <w:t>55933J203</w:t>
      </w:r>
    </w:p>
    <w:p>
      <w:pPr>
        <w:spacing w:after="0" w:line="295" w:lineRule="exact"/>
        <w:rPr>
          <w:sz w:val="20"/>
          <w:szCs w:val="20"/>
          <w:color w:val="auto"/>
        </w:rPr>
      </w:pPr>
    </w:p>
    <w:p>
      <w:pPr>
        <w:ind w:left="1106" w:hanging="1111"/>
        <w:spacing w:after="0" w:line="275" w:lineRule="auto"/>
        <w:tabs>
          <w:tab w:leader="none" w:pos="1086" w:val="left"/>
        </w:tabs>
        <w:rPr>
          <w:sz w:val="20"/>
          <w:szCs w:val="20"/>
          <w:color w:val="auto"/>
        </w:rPr>
      </w:pPr>
      <w:r>
        <w:rPr>
          <w:rFonts w:ascii="Arial" w:cs="Arial" w:eastAsia="Arial" w:hAnsi="Arial"/>
          <w:sz w:val="19"/>
          <w:szCs w:val="19"/>
          <w:color w:val="auto"/>
        </w:rPr>
        <w:t>ITEM 3.</w:t>
      </w:r>
      <w:r>
        <w:rPr>
          <w:sz w:val="20"/>
          <w:szCs w:val="20"/>
          <w:color w:val="auto"/>
        </w:rPr>
        <w:tab/>
      </w:r>
      <w:r>
        <w:rPr>
          <w:rFonts w:ascii="Arial" w:cs="Arial" w:eastAsia="Arial" w:hAnsi="Arial"/>
          <w:sz w:val="19"/>
          <w:szCs w:val="19"/>
          <w:color w:val="auto"/>
        </w:rPr>
        <w:t>IF THIS STATEMENT IS FILED PURSUANT TO SECTION 240.13d-1(b), or 13d-2(b) or (c) CHECK WHETHER THE PERSON FILING IS A:</w:t>
      </w:r>
    </w:p>
    <w:p>
      <w:pPr>
        <w:spacing w:after="0" w:line="177" w:lineRule="exact"/>
        <w:rPr>
          <w:sz w:val="20"/>
          <w:szCs w:val="20"/>
          <w:color w:val="auto"/>
        </w:rPr>
      </w:pPr>
    </w:p>
    <w:p>
      <w:pPr>
        <w:ind w:left="306" w:hanging="306"/>
        <w:spacing w:after="0" w:line="219" w:lineRule="exact"/>
        <w:tabs>
          <w:tab w:leader="none" w:pos="306" w:val="left"/>
        </w:tabs>
        <w:numPr>
          <w:ilvl w:val="0"/>
          <w:numId w:val="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Broker or dealer registered under Section 15 of the Act (15 U.S.C. 78c);</w:t>
      </w:r>
    </w:p>
    <w:p>
      <w:pPr>
        <w:spacing w:after="0" w:line="60" w:lineRule="exact"/>
        <w:rPr>
          <w:rFonts w:ascii="Arial" w:cs="Arial" w:eastAsia="Arial" w:hAnsi="Arial"/>
          <w:sz w:val="19"/>
          <w:szCs w:val="19"/>
          <w:color w:val="auto"/>
        </w:rPr>
      </w:pPr>
    </w:p>
    <w:p>
      <w:pPr>
        <w:ind w:left="306" w:hanging="306"/>
        <w:spacing w:after="0" w:line="219" w:lineRule="exact"/>
        <w:tabs>
          <w:tab w:leader="none" w:pos="306" w:val="left"/>
        </w:tabs>
        <w:numPr>
          <w:ilvl w:val="0"/>
          <w:numId w:val="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62508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06"/>
          </w:cols>
          <w:pgMar w:left="114" w:top="0" w:right="220" w:bottom="1440" w:gutter="0" w:footer="0" w:header="0"/>
        </w:sectPr>
      </w:pPr>
    </w:p>
    <w:bookmarkStart w:id="7" w:name="page8"/>
    <w:bookmarkEnd w:id="7"/>
    <w:p>
      <w:pPr>
        <w:ind w:left="306" w:hanging="306"/>
        <w:spacing w:after="0" w:line="219"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Insurance company as defined in Section 3(a)(19) of the Act (15 U.S.C. 78c);</w:t>
      </w:r>
    </w:p>
    <w:p>
      <w:pPr>
        <w:spacing w:after="0" w:line="11" w:lineRule="exact"/>
        <w:rPr>
          <w:rFonts w:ascii="Arial" w:cs="Arial" w:eastAsia="Arial" w:hAnsi="Arial"/>
          <w:sz w:val="19"/>
          <w:szCs w:val="19"/>
          <w:color w:val="auto"/>
        </w:rPr>
      </w:pPr>
    </w:p>
    <w:p>
      <w:pPr>
        <w:ind w:left="306" w:hanging="306"/>
        <w:spacing w:after="0" w:line="219"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Investment company registered under Section 8 of the Investment Company Act of 1940 (15 U.S.C 80a-8);</w:t>
      </w:r>
    </w:p>
    <w:p>
      <w:pPr>
        <w:spacing w:after="0" w:line="9" w:lineRule="exact"/>
        <w:rPr>
          <w:rFonts w:ascii="Arial" w:cs="Arial" w:eastAsia="Arial" w:hAnsi="Arial"/>
          <w:sz w:val="19"/>
          <w:szCs w:val="19"/>
          <w:color w:val="auto"/>
        </w:rPr>
      </w:pPr>
    </w:p>
    <w:p>
      <w:pPr>
        <w:ind w:left="306" w:hanging="306"/>
        <w:spacing w:after="0" w:line="219"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investment adviser in accordance with 240.13d-1(b)(1)(ii)(E);</w:t>
      </w:r>
    </w:p>
    <w:p>
      <w:pPr>
        <w:spacing w:after="0" w:line="9" w:lineRule="exact"/>
        <w:rPr>
          <w:rFonts w:ascii="Arial" w:cs="Arial" w:eastAsia="Arial" w:hAnsi="Arial"/>
          <w:sz w:val="19"/>
          <w:szCs w:val="19"/>
          <w:color w:val="auto"/>
        </w:rPr>
      </w:pPr>
    </w:p>
    <w:p>
      <w:pPr>
        <w:ind w:left="306" w:hanging="306"/>
        <w:spacing w:after="0" w:line="219"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employee benefit plan or endowment fund in accordance with 240.13d-1(b)(1)(ii)(F);</w:t>
      </w:r>
    </w:p>
    <w:p>
      <w:pPr>
        <w:spacing w:after="0" w:line="9" w:lineRule="exact"/>
        <w:rPr>
          <w:rFonts w:ascii="Arial" w:cs="Arial" w:eastAsia="Arial" w:hAnsi="Arial"/>
          <w:sz w:val="19"/>
          <w:szCs w:val="19"/>
          <w:color w:val="auto"/>
        </w:rPr>
      </w:pPr>
    </w:p>
    <w:p>
      <w:pPr>
        <w:ind w:left="306" w:hanging="306"/>
        <w:spacing w:after="0" w:line="219"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parent holding company or control person in accordance with 240.13d-1(b)(1)(ii)(G);</w:t>
      </w:r>
    </w:p>
    <w:p>
      <w:pPr>
        <w:spacing w:after="0" w:line="9" w:lineRule="exact"/>
        <w:rPr>
          <w:rFonts w:ascii="Arial" w:cs="Arial" w:eastAsia="Arial" w:hAnsi="Arial"/>
          <w:sz w:val="19"/>
          <w:szCs w:val="19"/>
          <w:color w:val="auto"/>
        </w:rPr>
      </w:pPr>
    </w:p>
    <w:p>
      <w:pPr>
        <w:ind w:left="306" w:hanging="306"/>
        <w:spacing w:after="0" w:line="219"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savings associations as defined in Section 3(b) of the Federal Deposit Insurance Act (12 U.S.C. 1813);</w:t>
      </w:r>
    </w:p>
    <w:p>
      <w:pPr>
        <w:spacing w:after="0" w:line="9" w:lineRule="exact"/>
        <w:rPr>
          <w:rFonts w:ascii="Arial" w:cs="Arial" w:eastAsia="Arial" w:hAnsi="Arial"/>
          <w:sz w:val="19"/>
          <w:szCs w:val="19"/>
          <w:color w:val="auto"/>
        </w:rPr>
      </w:pPr>
    </w:p>
    <w:p>
      <w:pPr>
        <w:ind w:left="306" w:right="380" w:hanging="306"/>
        <w:spacing w:after="0" w:line="227"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church plan that is excluded from the definition of an investment company under Section 3(c)(14) of the Investment Company Act of 1940 (15 U.S.C. 80a-3);</w:t>
      </w:r>
    </w:p>
    <w:p>
      <w:pPr>
        <w:ind w:left="306" w:hanging="306"/>
        <w:spacing w:after="0" w:line="219"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non-U.S. institution in accordance with 240.13d-1(b)(1)(ii)(J);</w:t>
      </w:r>
    </w:p>
    <w:p>
      <w:pPr>
        <w:spacing w:after="0" w:line="12" w:lineRule="exact"/>
        <w:rPr>
          <w:rFonts w:ascii="Arial" w:cs="Arial" w:eastAsia="Arial" w:hAnsi="Arial"/>
          <w:sz w:val="19"/>
          <w:szCs w:val="19"/>
          <w:color w:val="auto"/>
        </w:rPr>
      </w:pPr>
    </w:p>
    <w:p>
      <w:pPr>
        <w:ind w:left="306" w:right="140" w:hanging="306"/>
        <w:spacing w:after="0" w:line="227" w:lineRule="exact"/>
        <w:tabs>
          <w:tab w:leader="none" w:pos="306" w:val="left"/>
        </w:tabs>
        <w:numPr>
          <w:ilvl w:val="0"/>
          <w:numId w:val="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Group, in accordance with 240.13d-1(b)(1)(ii)(K). If filing as a non-U.S. institution in accordance with 240.13d1(b)(1)(ii)(J), please specify the type of institution:</w:t>
      </w:r>
    </w:p>
    <w:p>
      <w:pPr>
        <w:spacing w:after="0" w:line="244"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color w:val="auto"/>
        </w:rPr>
        <w:t>ITEM 4.</w:t>
      </w:r>
      <w:r>
        <w:rPr>
          <w:sz w:val="20"/>
          <w:szCs w:val="20"/>
          <w:color w:val="auto"/>
        </w:rPr>
        <w:tab/>
      </w:r>
      <w:r>
        <w:rPr>
          <w:rFonts w:ascii="Arial" w:cs="Arial" w:eastAsia="Arial" w:hAnsi="Arial"/>
          <w:sz w:val="17"/>
          <w:szCs w:val="17"/>
          <w:color w:val="auto"/>
        </w:rPr>
        <w:t>OWNERSHIP:</w:t>
      </w:r>
    </w:p>
    <w:p>
      <w:pPr>
        <w:spacing w:after="0" w:line="238" w:lineRule="exact"/>
        <w:rPr>
          <w:sz w:val="20"/>
          <w:szCs w:val="20"/>
          <w:color w:val="auto"/>
        </w:rPr>
      </w:pPr>
    </w:p>
    <w:p>
      <w:pPr>
        <w:ind w:left="1106"/>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89" w:lineRule="exact"/>
        <w:rPr>
          <w:sz w:val="20"/>
          <w:szCs w:val="20"/>
          <w:color w:val="auto"/>
        </w:rPr>
      </w:pPr>
    </w:p>
    <w:p>
      <w:pPr>
        <w:ind w:left="1106"/>
        <w:spacing w:after="0"/>
        <w:rPr>
          <w:sz w:val="20"/>
          <w:szCs w:val="20"/>
          <w:color w:val="auto"/>
        </w:rPr>
      </w:pPr>
      <w:r>
        <w:rPr>
          <w:rFonts w:ascii="Arial" w:cs="Arial" w:eastAsia="Arial" w:hAnsi="Arial"/>
          <w:sz w:val="19"/>
          <w:szCs w:val="19"/>
          <w:color w:val="auto"/>
        </w:rPr>
        <w:t>(a) Amount beneficially owned:</w:t>
      </w:r>
    </w:p>
    <w:p>
      <w:pPr>
        <w:spacing w:after="0" w:line="266" w:lineRule="exact"/>
        <w:rPr>
          <w:sz w:val="20"/>
          <w:szCs w:val="20"/>
          <w:color w:val="auto"/>
        </w:rPr>
      </w:pPr>
    </w:p>
    <w:p>
      <w:pPr>
        <w:ind w:left="6" w:right="120"/>
        <w:spacing w:after="0" w:line="255" w:lineRule="auto"/>
        <w:rPr>
          <w:sz w:val="20"/>
          <w:szCs w:val="20"/>
          <w:color w:val="auto"/>
        </w:rPr>
      </w:pPr>
      <w:r>
        <w:rPr>
          <w:rFonts w:ascii="Arial" w:cs="Arial" w:eastAsia="Arial" w:hAnsi="Arial"/>
          <w:sz w:val="19"/>
          <w:szCs w:val="19"/>
          <w:color w:val="auto"/>
        </w:rPr>
        <w:t>Wolverine Asset Management, LLC (“WAM”) is an investment manager and has voting and dispositive power over 1,453,664 shares of the common stock receivable upon conversion of convertible notes of the Issuer. The sole member and manager of WAM is Wolverine Holdings, L.P. (“Wolverine Holdings”). In addition to shares deemed beneficially owned by WAM, Wolverine Holdings may be deemed to be the beneficial owner of (i) 19,160 shares of common stock of the Issuer plus (ii) 20,700 shares of common stock receivable upon exercise of options of the Issuer held by affiliates other than WAM as of December 31, 2018. Robert R. Bellick and Christopher L. Gust may be deemed to control Wolverine Trading Partners, Inc. (“WTP”), the general partner of Wolverine Holdings.</w:t>
      </w:r>
    </w:p>
    <w:p>
      <w:pPr>
        <w:spacing w:after="0" w:line="233" w:lineRule="exact"/>
        <w:rPr>
          <w:sz w:val="20"/>
          <w:szCs w:val="20"/>
          <w:color w:val="auto"/>
        </w:rPr>
      </w:pPr>
    </w:p>
    <w:p>
      <w:pPr>
        <w:ind w:left="1106"/>
        <w:spacing w:after="0"/>
        <w:rPr>
          <w:sz w:val="20"/>
          <w:szCs w:val="20"/>
          <w:color w:val="auto"/>
        </w:rPr>
      </w:pPr>
      <w:r>
        <w:rPr>
          <w:rFonts w:ascii="Arial" w:cs="Arial" w:eastAsia="Arial" w:hAnsi="Arial"/>
          <w:sz w:val="19"/>
          <w:szCs w:val="19"/>
          <w:color w:val="auto"/>
        </w:rPr>
        <w:t>(b) Percent of class:</w:t>
      </w:r>
    </w:p>
    <w:p>
      <w:pPr>
        <w:spacing w:after="0" w:line="266" w:lineRule="exact"/>
        <w:rPr>
          <w:sz w:val="20"/>
          <w:szCs w:val="20"/>
          <w:color w:val="auto"/>
        </w:rPr>
      </w:pPr>
    </w:p>
    <w:p>
      <w:pPr>
        <w:ind w:left="1466"/>
        <w:spacing w:after="0"/>
        <w:rPr>
          <w:sz w:val="20"/>
          <w:szCs w:val="20"/>
          <w:color w:val="auto"/>
        </w:rPr>
      </w:pPr>
      <w:r>
        <w:rPr>
          <w:rFonts w:ascii="Arial" w:cs="Arial" w:eastAsia="Arial" w:hAnsi="Arial"/>
          <w:sz w:val="19"/>
          <w:szCs w:val="19"/>
          <w:color w:val="auto"/>
        </w:rPr>
        <w:t>4.1%</w:t>
      </w:r>
    </w:p>
    <w:p>
      <w:pPr>
        <w:spacing w:after="0" w:line="266" w:lineRule="exact"/>
        <w:rPr>
          <w:sz w:val="20"/>
          <w:szCs w:val="20"/>
          <w:color w:val="auto"/>
        </w:rPr>
      </w:pPr>
    </w:p>
    <w:p>
      <w:pPr>
        <w:ind w:left="6" w:right="80"/>
        <w:spacing w:after="0" w:line="272" w:lineRule="auto"/>
        <w:rPr>
          <w:sz w:val="20"/>
          <w:szCs w:val="20"/>
          <w:color w:val="auto"/>
        </w:rPr>
      </w:pPr>
      <w:r>
        <w:rPr>
          <w:rFonts w:ascii="Arial" w:cs="Arial" w:eastAsia="Arial" w:hAnsi="Arial"/>
          <w:sz w:val="18"/>
          <w:szCs w:val="18"/>
          <w:color w:val="auto"/>
        </w:rPr>
        <w:t>WAM may be deemed the beneficial owner of 4.1% of the Issuer’s outstanding shares of common stock, and each of Wolverine Holdings, WTP, Mr. Bellick, and Mr. Gust may be deemed the beneficial owner of 4.1% of the Issuer’s outstanding shares of common stock. Percentages were calculated by dividing the number of shares deemed beneficially owned by each reporting person by the sum of (i) 34,621,962 (the number of shares of common stock outstanding as of October 31, 2018, as reported in the Issuer’s most recent Form 10-Q filed on November 7, 2018) and (ii) 1,453,664 (the number of shares of common stock receivable upon conversion of convertible notes of the Issuer) plus (iii) 20,700 (the number of shares of common stock receivable upon exercise of options of the Issuer held by affiliates other than WAM).</w:t>
      </w:r>
    </w:p>
    <w:p>
      <w:pPr>
        <w:spacing w:after="0" w:line="218" w:lineRule="exact"/>
        <w:rPr>
          <w:sz w:val="20"/>
          <w:szCs w:val="20"/>
          <w:color w:val="auto"/>
        </w:rPr>
      </w:pPr>
    </w:p>
    <w:p>
      <w:pPr>
        <w:ind w:left="1426" w:hanging="314"/>
        <w:spacing w:after="0"/>
        <w:tabs>
          <w:tab w:leader="none" w:pos="1426" w:val="left"/>
        </w:tabs>
        <w:numPr>
          <w:ilvl w:val="0"/>
          <w:numId w:val="8"/>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266" w:lineRule="exact"/>
        <w:rPr>
          <w:rFonts w:ascii="Arial" w:cs="Arial" w:eastAsia="Arial" w:hAnsi="Arial"/>
          <w:sz w:val="19"/>
          <w:szCs w:val="19"/>
          <w:color w:val="auto"/>
        </w:rPr>
      </w:pPr>
    </w:p>
    <w:p>
      <w:pPr>
        <w:ind w:left="2046" w:right="6940" w:hanging="506"/>
        <w:spacing w:after="0" w:line="532" w:lineRule="auto"/>
        <w:tabs>
          <w:tab w:leader="none" w:pos="2046" w:val="left"/>
        </w:tabs>
        <w:numPr>
          <w:ilvl w:val="1"/>
          <w:numId w:val="8"/>
        </w:numPr>
        <w:rPr>
          <w:rFonts w:ascii="Arial" w:cs="Arial" w:eastAsia="Arial" w:hAnsi="Arial"/>
          <w:sz w:val="19"/>
          <w:szCs w:val="19"/>
          <w:color w:val="auto"/>
        </w:rPr>
      </w:pPr>
      <w:r>
        <w:rPr>
          <w:rFonts w:ascii="Arial" w:cs="Arial" w:eastAsia="Arial" w:hAnsi="Arial"/>
          <w:sz w:val="19"/>
          <w:szCs w:val="19"/>
          <w:color w:val="auto"/>
        </w:rPr>
        <w:t>Sole power to vote or to direct the vote: 0</w:t>
      </w:r>
    </w:p>
    <w:p>
      <w:pPr>
        <w:spacing w:after="0" w:line="1" w:lineRule="exact"/>
        <w:rPr>
          <w:rFonts w:ascii="Arial" w:cs="Arial" w:eastAsia="Arial" w:hAnsi="Arial"/>
          <w:sz w:val="19"/>
          <w:szCs w:val="19"/>
          <w:color w:val="auto"/>
        </w:rPr>
      </w:pPr>
    </w:p>
    <w:p>
      <w:pPr>
        <w:ind w:left="2046" w:hanging="506"/>
        <w:spacing w:after="0"/>
        <w:tabs>
          <w:tab w:leader="none" w:pos="2046" w:val="left"/>
        </w:tabs>
        <w:numPr>
          <w:ilvl w:val="1"/>
          <w:numId w:val="8"/>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66" w:lineRule="exact"/>
        <w:rPr>
          <w:rFonts w:ascii="Arial" w:cs="Arial" w:eastAsia="Arial" w:hAnsi="Arial"/>
          <w:sz w:val="19"/>
          <w:szCs w:val="19"/>
          <w:color w:val="auto"/>
        </w:rPr>
      </w:pPr>
    </w:p>
    <w:p>
      <w:pPr>
        <w:jc w:val="both"/>
        <w:ind w:left="2046"/>
        <w:spacing w:after="0" w:line="263" w:lineRule="auto"/>
        <w:rPr>
          <w:rFonts w:ascii="Arial" w:cs="Arial" w:eastAsia="Arial" w:hAnsi="Arial"/>
          <w:sz w:val="19"/>
          <w:szCs w:val="19"/>
          <w:color w:val="auto"/>
        </w:rPr>
      </w:pPr>
      <w:r>
        <w:rPr>
          <w:rFonts w:ascii="Arial" w:cs="Arial" w:eastAsia="Arial" w:hAnsi="Arial"/>
          <w:sz w:val="19"/>
          <w:szCs w:val="19"/>
          <w:color w:val="auto"/>
        </w:rPr>
        <w:t>WAM has shared power to vote or direct the vote of 1,453,664 shares of the common stock of the Issuer, and each of Wolverine Holdings, WTP, Mr. Bellick, and Mr. Gust has shared power to vote or direct the vote of 1,493,524 shares of the common stock of the Issuer, in each case as set forth in Item 4(a) above.</w:t>
      </w:r>
    </w:p>
    <w:p>
      <w:pPr>
        <w:spacing w:after="0" w:line="222" w:lineRule="exact"/>
        <w:rPr>
          <w:rFonts w:ascii="Arial" w:cs="Arial" w:eastAsia="Arial" w:hAnsi="Arial"/>
          <w:sz w:val="19"/>
          <w:szCs w:val="19"/>
          <w:color w:val="auto"/>
        </w:rPr>
      </w:pPr>
    </w:p>
    <w:p>
      <w:pPr>
        <w:ind w:left="2046" w:right="5980" w:hanging="506"/>
        <w:spacing w:after="0" w:line="532" w:lineRule="auto"/>
        <w:tabs>
          <w:tab w:leader="none" w:pos="2046" w:val="left"/>
        </w:tabs>
        <w:numPr>
          <w:ilvl w:val="1"/>
          <w:numId w:val="8"/>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0</w:t>
      </w:r>
    </w:p>
    <w:p>
      <w:pPr>
        <w:spacing w:after="0" w:line="1" w:lineRule="exact"/>
        <w:rPr>
          <w:rFonts w:ascii="Arial" w:cs="Arial" w:eastAsia="Arial" w:hAnsi="Arial"/>
          <w:sz w:val="19"/>
          <w:szCs w:val="19"/>
          <w:color w:val="auto"/>
        </w:rPr>
      </w:pPr>
    </w:p>
    <w:p>
      <w:pPr>
        <w:ind w:left="2046" w:hanging="506"/>
        <w:spacing w:after="0"/>
        <w:tabs>
          <w:tab w:leader="none" w:pos="2046" w:val="left"/>
        </w:tabs>
        <w:numPr>
          <w:ilvl w:val="1"/>
          <w:numId w:val="8"/>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w:t>
      </w:r>
    </w:p>
    <w:p>
      <w:pPr>
        <w:spacing w:after="0" w:line="266" w:lineRule="exact"/>
        <w:rPr>
          <w:rFonts w:ascii="Arial" w:cs="Arial" w:eastAsia="Arial" w:hAnsi="Arial"/>
          <w:sz w:val="19"/>
          <w:szCs w:val="19"/>
          <w:color w:val="auto"/>
        </w:rPr>
      </w:pPr>
    </w:p>
    <w:p>
      <w:pPr>
        <w:jc w:val="both"/>
        <w:ind w:left="2046"/>
        <w:spacing w:after="0" w:line="263" w:lineRule="auto"/>
        <w:rPr>
          <w:rFonts w:ascii="Arial" w:cs="Arial" w:eastAsia="Arial" w:hAnsi="Arial"/>
          <w:sz w:val="19"/>
          <w:szCs w:val="19"/>
          <w:color w:val="auto"/>
        </w:rPr>
      </w:pPr>
      <w:r>
        <w:rPr>
          <w:rFonts w:ascii="Arial" w:cs="Arial" w:eastAsia="Arial" w:hAnsi="Arial"/>
          <w:sz w:val="19"/>
          <w:szCs w:val="19"/>
          <w:color w:val="auto"/>
        </w:rPr>
        <w:t>WAM has shared power to dispose or to direct the disposition of 1,453,664 shares of the common stock of the Issuer, and each of Wolverine Holdings, WTP, Mr. Bellick, and Mr. Gust has shared power to dispose or to direct the disposition of 1,493,524 shares of the common stock of the Issuer, in each case as set forth in Item 4(a) above.</w:t>
      </w:r>
    </w:p>
    <w:p>
      <w:pPr>
        <w:spacing w:after="0" w:line="223"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color w:val="auto"/>
        </w:rPr>
        <w:t>ITEM 5.</w:t>
      </w:r>
      <w:r>
        <w:rPr>
          <w:sz w:val="20"/>
          <w:szCs w:val="20"/>
          <w:color w:val="auto"/>
        </w:rPr>
        <w:tab/>
      </w:r>
      <w:r>
        <w:rPr>
          <w:rFonts w:ascii="Arial" w:cs="Arial" w:eastAsia="Arial" w:hAnsi="Arial"/>
          <w:sz w:val="17"/>
          <w:szCs w:val="17"/>
          <w:color w:val="auto"/>
        </w:rPr>
        <w:t>OWNERSHIP OF FIVE PERCENT OR LESS OF A CLASS:</w:t>
      </w:r>
    </w:p>
    <w:p>
      <w:pPr>
        <w:spacing w:after="0" w:line="266" w:lineRule="exact"/>
        <w:rPr>
          <w:sz w:val="20"/>
          <w:szCs w:val="20"/>
          <w:color w:val="auto"/>
        </w:rPr>
      </w:pPr>
    </w:p>
    <w:p>
      <w:pPr>
        <w:ind w:left="6" w:right="8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w:t>
      </w:r>
    </w:p>
    <w:p>
      <w:pPr>
        <w:spacing w:after="0" w:line="212"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9"/>
          <w:szCs w:val="19"/>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ectPr>
          <w:pgSz w:w="12240" w:h="15840" w:orient="portrait"/>
          <w:cols w:equalWidth="0" w:num="1">
            <w:col w:w="12006"/>
          </w:cols>
          <w:pgMar w:left="114" w:top="0" w:right="120" w:bottom="183" w:gutter="0" w:footer="0" w:header="0"/>
        </w:sectPr>
      </w:pPr>
    </w:p>
    <w:bookmarkStart w:id="8" w:name="page9"/>
    <w:bookmarkEnd w:id="8"/>
    <w:p>
      <w:pPr>
        <w:ind w:right="80"/>
        <w:spacing w:after="0" w:line="260" w:lineRule="auto"/>
        <w:rPr>
          <w:sz w:val="20"/>
          <w:szCs w:val="20"/>
          <w:color w:val="auto"/>
        </w:rPr>
      </w:pPr>
      <w:r>
        <w:rPr>
          <w:rFonts w:ascii="Arial" w:cs="Arial" w:eastAsia="Arial" w:hAnsi="Arial"/>
          <w:sz w:val="19"/>
          <w:szCs w:val="19"/>
          <w:color w:val="auto"/>
        </w:rPr>
        <w:t>Wolverine Flagship Fund Trading Limited is known to have the right to receive the receipt of dividends from, or the proceeds from the sale of, the shares of common stock covered by this statement that may be deemed to be beneficially owned by WAM.</w:t>
      </w:r>
    </w:p>
    <w:p>
      <w:pPr>
        <w:spacing w:after="0" w:line="225" w:lineRule="exact"/>
        <w:rPr>
          <w:sz w:val="20"/>
          <w:szCs w:val="20"/>
          <w:color w:val="auto"/>
        </w:rPr>
      </w:pPr>
    </w:p>
    <w:p>
      <w:pPr>
        <w:ind w:left="1100" w:hanging="1111"/>
        <w:spacing w:after="0" w:line="275" w:lineRule="auto"/>
        <w:tabs>
          <w:tab w:leader="none" w:pos="1080" w:val="left"/>
        </w:tabs>
        <w:rPr>
          <w:sz w:val="20"/>
          <w:szCs w:val="20"/>
          <w:color w:val="auto"/>
        </w:rPr>
      </w:pPr>
      <w:r>
        <w:rPr>
          <w:rFonts w:ascii="Arial" w:cs="Arial" w:eastAsia="Arial" w:hAnsi="Arial"/>
          <w:sz w:val="19"/>
          <w:szCs w:val="19"/>
          <w:color w:val="auto"/>
        </w:rPr>
        <w:t>ITEM 7.</w:t>
      </w:r>
      <w:r>
        <w:rPr>
          <w:sz w:val="20"/>
          <w:szCs w:val="20"/>
          <w:color w:val="auto"/>
        </w:rPr>
        <w:tab/>
      </w:r>
      <w:r>
        <w:rPr>
          <w:rFonts w:ascii="Arial" w:cs="Arial" w:eastAsia="Arial" w:hAnsi="Arial"/>
          <w:sz w:val="19"/>
          <w:szCs w:val="19"/>
          <w:color w:val="auto"/>
        </w:rPr>
        <w:t>IDENTIFICATION AND CLASSIFICATION OF THE SUBSIDIARY WHICH ACQUIRED THE SECURITY BEING REPORTED ON BY THE PARENT HOLDING COMPANY:</w:t>
      </w:r>
    </w:p>
    <w:p>
      <w:pPr>
        <w:spacing w:after="0" w:line="18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See Item 4(a) above.</w:t>
      </w:r>
    </w:p>
    <w:p>
      <w:pPr>
        <w:spacing w:after="0" w:line="238"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ITEM 9.</w:t>
      </w:r>
      <w:r>
        <w:rPr>
          <w:sz w:val="20"/>
          <w:szCs w:val="20"/>
          <w:color w:val="auto"/>
        </w:rPr>
        <w:tab/>
      </w:r>
      <w:r>
        <w:rPr>
          <w:rFonts w:ascii="Arial" w:cs="Arial" w:eastAsia="Arial" w:hAnsi="Arial"/>
          <w:sz w:val="18"/>
          <w:szCs w:val="18"/>
          <w:color w:val="auto"/>
        </w:rPr>
        <w:t>NOTICE OF DISSOLUTION OF GROUP:</w:t>
      </w: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ITEM 10.</w:t>
      </w:r>
      <w:r>
        <w:rPr>
          <w:sz w:val="20"/>
          <w:szCs w:val="20"/>
          <w:color w:val="auto"/>
        </w:rPr>
        <w:tab/>
      </w:r>
      <w:r>
        <w:rPr>
          <w:rFonts w:ascii="Arial" w:cs="Arial" w:eastAsia="Arial" w:hAnsi="Arial"/>
          <w:sz w:val="18"/>
          <w:szCs w:val="18"/>
          <w:color w:val="auto"/>
        </w:rPr>
        <w:t>CERTIFICATION:</w:t>
      </w:r>
    </w:p>
    <w:p>
      <w:pPr>
        <w:spacing w:after="0" w:line="26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625080"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20"/>
          </w:cols>
          <w:pgMar w:left="120" w:top="0" w:right="200" w:bottom="1440" w:gutter="0" w:footer="0" w:header="0"/>
        </w:sectPr>
      </w:pPr>
    </w:p>
    <w:bookmarkStart w:id="9" w:name="page10"/>
    <w:bookmarkEnd w:id="9"/>
    <w:p>
      <w:pPr>
        <w:jc w:val="center"/>
        <w:ind w:right="-339"/>
        <w:spacing w:after="0"/>
        <w:rPr>
          <w:sz w:val="20"/>
          <w:szCs w:val="20"/>
          <w:color w:val="auto"/>
        </w:rPr>
      </w:pPr>
      <w:r>
        <w:rPr>
          <w:rFonts w:ascii="Arial" w:cs="Arial" w:eastAsia="Arial" w:hAnsi="Arial"/>
          <w:sz w:val="19"/>
          <w:szCs w:val="19"/>
          <w:b w:val="1"/>
          <w:bCs w:val="1"/>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Date: February 13, 2019</w:t>
      </w:r>
    </w:p>
    <w:p>
      <w:pPr>
        <w:spacing w:after="0" w:line="260"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auto"/>
        </w:rPr>
        <w:t>Wolverine Asset Management, LLC</w:t>
      </w:r>
    </w:p>
    <w:p>
      <w:pPr>
        <w:spacing w:after="0" w:line="301"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auto"/>
        </w:rPr>
        <w:t>/s/ Kenneth L. Nadel</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Signature</w:t>
      </w: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auto"/>
        </w:rPr>
        <w:t>Kenneth L. Nadel, Chief Operating Officer</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Name/Title</w:t>
      </w:r>
    </w:p>
    <w:p>
      <w:pPr>
        <w:spacing w:after="0" w:line="289"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auto"/>
        </w:rPr>
        <w:t>Wolverine Holdings, L.P.</w:t>
      </w:r>
    </w:p>
    <w:p>
      <w:pPr>
        <w:spacing w:after="0" w:line="301"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auto"/>
        </w:rPr>
        <w:t>/s/ Christopher L. Gust</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Signature</w:t>
      </w: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auto"/>
        </w:rPr>
        <w:t>Christopher L. Gust, Managing Director</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Name/Title</w:t>
      </w:r>
    </w:p>
    <w:p>
      <w:pPr>
        <w:spacing w:after="0" w:line="289"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auto"/>
        </w:rPr>
        <w:t>Wolverine Trading Partners, Inc.</w:t>
      </w:r>
    </w:p>
    <w:p>
      <w:pPr>
        <w:spacing w:after="0" w:line="301"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auto"/>
        </w:rPr>
        <w:t>/s/ Christopher L. Gust</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Signature</w:t>
      </w: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auto"/>
        </w:rPr>
        <w:t>Christopher L. Gust, Authorized Signatory</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Name/Title</w:t>
      </w: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auto"/>
        </w:rPr>
        <w:t>/s/ Christopher L. Gust</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Christopher L. Gust</w:t>
      </w: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auto"/>
        </w:rPr>
        <w:t>/s/ Robert R. Bellick</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Robert R. Bellick</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625080"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sectPr>
      <w:pgSz w:w="12240" w:h="15840" w:orient="portrait"/>
      <w:cols w:equalWidth="0" w:num="1">
        <w:col w:w="11660"/>
      </w:cols>
      <w:pgMar w:left="120" w:top="0" w:right="4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2019-12-15T11:49:28Z</dcterms:created>
  <dcterms:modified xsi:type="dcterms:W3CDTF">2019-12-15T11:49:28Z</dcterms:modified>
</cp:coreProperties>
</file>